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90" w:lineRule="exact"/>
        <w:rPr>
          <w:sz w:val="24"/>
          <w:szCs w:val="24"/>
          <w:color w:val="auto"/>
        </w:rPr>
      </w:pPr>
    </w:p>
    <w:p>
      <w:pPr>
        <w:ind w:left="40"/>
        <w:spacing w:after="0"/>
        <w:tabs>
          <w:tab w:leader="none" w:pos="496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7"/>
          <w:szCs w:val="27"/>
          <w:b w:val="1"/>
          <w:bCs w:val="1"/>
          <w:color w:val="auto"/>
        </w:rPr>
        <w:t>Form 10-K</w:t>
      </w:r>
    </w:p>
    <w:p>
      <w:pPr>
        <w:spacing w:after="0" w:line="230" w:lineRule="exact"/>
        <w:rPr>
          <w:sz w:val="24"/>
          <w:szCs w:val="24"/>
          <w:color w:val="auto"/>
        </w:rPr>
      </w:pPr>
    </w:p>
    <w:p>
      <w:pPr>
        <w:ind w:left="380" w:right="2240" w:hanging="345"/>
        <w:spacing w:after="0" w:line="31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2015</w:t>
      </w:r>
    </w:p>
    <w:p>
      <w:pPr>
        <w:spacing w:after="0" w:line="1"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7" w:lineRule="exact"/>
        <w:rPr>
          <w:sz w:val="24"/>
          <w:szCs w:val="24"/>
          <w:color w:val="auto"/>
        </w:rPr>
      </w:pPr>
    </w:p>
    <w:p>
      <w:pPr>
        <w:ind w:left="380"/>
        <w:spacing w:after="0"/>
        <w:rPr>
          <w:sz w:val="20"/>
          <w:szCs w:val="20"/>
          <w:color w:val="auto"/>
        </w:rPr>
      </w:pPr>
      <w:r>
        <w:rPr>
          <w:rFonts w:ascii="Arial" w:cs="Arial" w:eastAsia="Arial" w:hAnsi="Arial"/>
          <w:sz w:val="18"/>
          <w:szCs w:val="18"/>
          <w:color w:val="auto"/>
        </w:rPr>
        <w:t>For the transition period from __________________________________to __________________________________</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001-36504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public limited company</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55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Ireland</w:t>
            </w:r>
          </w:p>
        </w:tc>
        <w:tc>
          <w:tcPr>
            <w:tcW w:w="3860" w:type="dxa"/>
            <w:vAlign w:val="bottom"/>
          </w:tcPr>
          <w:p>
            <w:pPr>
              <w:jc w:val="center"/>
              <w:ind w:left="1150"/>
              <w:spacing w:after="0"/>
              <w:rPr>
                <w:sz w:val="20"/>
                <w:szCs w:val="20"/>
                <w:color w:val="auto"/>
              </w:rPr>
            </w:pPr>
            <w:r>
              <w:rPr>
                <w:rFonts w:ascii="Arial" w:cs="Arial" w:eastAsia="Arial" w:hAnsi="Arial"/>
                <w:sz w:val="18"/>
                <w:szCs w:val="18"/>
                <w:b w:val="1"/>
                <w:bCs w:val="1"/>
                <w:color w:val="auto"/>
                <w:w w:val="89"/>
              </w:rPr>
              <w:t>98-0606750</w:t>
            </w:r>
          </w:p>
        </w:tc>
      </w:tr>
      <w:tr>
        <w:trPr>
          <w:trHeight w:val="270"/>
        </w:trPr>
        <w:tc>
          <w:tcPr>
            <w:tcW w:w="5540" w:type="dxa"/>
            <w:vAlign w:val="bottom"/>
          </w:tcPr>
          <w:p>
            <w:pPr>
              <w:jc w:val="center"/>
              <w:ind w:right="11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60" w:type="dxa"/>
            <w:vAlign w:val="bottom"/>
          </w:tcPr>
          <w:p>
            <w:pPr>
              <w:jc w:val="center"/>
              <w:ind w:left="115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540" w:type="dxa"/>
            <w:vAlign w:val="bottom"/>
          </w:tcPr>
          <w:p>
            <w:pPr>
              <w:jc w:val="center"/>
              <w:ind w:right="115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860" w:type="dxa"/>
            <w:vAlign w:val="bottom"/>
          </w:tcPr>
          <w:p>
            <w:pPr>
              <w:jc w:val="center"/>
              <w:ind w:left="1150"/>
              <w:spacing w:after="0"/>
              <w:rPr>
                <w:sz w:val="20"/>
                <w:szCs w:val="20"/>
                <w:color w:val="auto"/>
              </w:rPr>
            </w:pPr>
            <w:r>
              <w:rPr>
                <w:rFonts w:ascii="Arial" w:cs="Arial" w:eastAsia="Arial" w:hAnsi="Arial"/>
                <w:sz w:val="18"/>
                <w:szCs w:val="18"/>
                <w:b w:val="1"/>
                <w:bCs w:val="1"/>
                <w:color w:val="auto"/>
                <w:w w:val="92"/>
              </w:rPr>
              <w:t>CH 6340</w:t>
            </w:r>
          </w:p>
        </w:tc>
      </w:tr>
      <w:tr>
        <w:trPr>
          <w:trHeight w:val="270"/>
        </w:trPr>
        <w:tc>
          <w:tcPr>
            <w:tcW w:w="5540" w:type="dxa"/>
            <w:vAlign w:val="bottom"/>
          </w:tcPr>
          <w:p>
            <w:pPr>
              <w:jc w:val="center"/>
              <w:ind w:right="1150"/>
              <w:spacing w:after="0"/>
              <w:rPr>
                <w:sz w:val="20"/>
                <w:szCs w:val="20"/>
                <w:color w:val="auto"/>
              </w:rPr>
            </w:pPr>
            <w:r>
              <w:rPr>
                <w:rFonts w:ascii="Arial" w:cs="Arial" w:eastAsia="Arial" w:hAnsi="Arial"/>
                <w:sz w:val="18"/>
                <w:szCs w:val="18"/>
                <w:color w:val="auto"/>
                <w:w w:val="92"/>
              </w:rPr>
              <w:t>(Address of principal executive offices)</w:t>
            </w:r>
          </w:p>
        </w:tc>
        <w:tc>
          <w:tcPr>
            <w:tcW w:w="3860" w:type="dxa"/>
            <w:vAlign w:val="bottom"/>
          </w:tcPr>
          <w:p>
            <w:pPr>
              <w:jc w:val="center"/>
              <w:ind w:left="1150"/>
              <w:spacing w:after="0"/>
              <w:rPr>
                <w:sz w:val="20"/>
                <w:szCs w:val="20"/>
                <w:color w:val="auto"/>
              </w:rPr>
            </w:pPr>
            <w:r>
              <w:rPr>
                <w:rFonts w:ascii="Arial" w:cs="Arial" w:eastAsia="Arial" w:hAnsi="Arial"/>
                <w:sz w:val="18"/>
                <w:szCs w:val="18"/>
                <w:color w:val="auto"/>
                <w:w w:val="91"/>
              </w:rPr>
              <w:t>(Zip Code)</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640" w:type="dxa"/>
            <w:vAlign w:val="bottom"/>
            <w:gridSpan w:val="2"/>
          </w:tcPr>
          <w:p>
            <w:pPr>
              <w:jc w:val="center"/>
              <w:ind w:right="460"/>
              <w:spacing w:after="0"/>
              <w:rPr>
                <w:sz w:val="20"/>
                <w:szCs w:val="20"/>
                <w:color w:val="auto"/>
              </w:rPr>
            </w:pPr>
            <w:r>
              <w:rPr>
                <w:rFonts w:ascii="Arial" w:cs="Arial" w:eastAsia="Arial" w:hAnsi="Arial"/>
                <w:sz w:val="18"/>
                <w:szCs w:val="18"/>
                <w:color w:val="auto"/>
                <w:w w:val="90"/>
              </w:rPr>
              <w:t>Title of each class</w:t>
            </w:r>
          </w:p>
        </w:tc>
        <w:tc>
          <w:tcPr>
            <w:tcW w:w="47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61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780" w:type="dxa"/>
            <w:vAlign w:val="bottom"/>
            <w:tcBorders>
              <w:bottom w:val="single" w:sz="8" w:color="auto"/>
            </w:tcBorders>
          </w:tcPr>
          <w:p>
            <w:pPr>
              <w:spacing w:after="0"/>
              <w:rPr>
                <w:sz w:val="2"/>
                <w:szCs w:val="2"/>
                <w:color w:val="auto"/>
              </w:rPr>
            </w:pPr>
          </w:p>
        </w:tc>
      </w:tr>
      <w:tr>
        <w:trPr>
          <w:trHeight w:val="237"/>
        </w:trPr>
        <w:tc>
          <w:tcPr>
            <w:tcW w:w="66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Ordinary Shares, par value $0.001 per share</w:t>
            </w:r>
          </w:p>
        </w:tc>
        <w:tc>
          <w:tcPr>
            <w:tcW w:w="478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84" w:lineRule="exact"/>
        <w:rPr>
          <w:sz w:val="24"/>
          <w:szCs w:val="24"/>
          <w:color w:val="auto"/>
        </w:rPr>
      </w:pPr>
    </w:p>
    <w:p>
      <w:pPr>
        <w:ind w:right="188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7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right="440" w:firstLine="27"/>
        <w:spacing w:after="0" w:line="29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Smaller reporting company o 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74"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aggregate market value of the voting stock held by non-affiliates of the registrant as of June 30, 2015 was approximately $7.5 billion based upon the closing price on the New York Stock Exchange as of such date.</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779,491,546 ordinary shares outstanding as of February 9,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6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Portions of the registrant’s proxy statement for the 2016 Annual General Meeting of Shareholders to be held on June 15, 2016 are incorporated into Part III of this Form 10-K.</w:t>
      </w:r>
    </w:p>
    <w:p>
      <w:pPr>
        <w:sectPr>
          <w:pgSz w:w="11900" w:h="16838" w:orient="portrait"/>
          <w:cols w:equalWidth="0" w:num="1">
            <w:col w:w="11420"/>
          </w:cols>
          <w:pgMar w:left="240" w:top="859"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Weatherford International plc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10-K for the Year Ended December 31, 2015</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gridSpan w:val="5"/>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7"/>
          </w:tcPr>
          <w:p>
            <w:pPr>
              <w:ind w:left="240"/>
              <w:spacing w:after="0"/>
              <w:rPr>
                <w:sz w:val="20"/>
                <w:szCs w:val="20"/>
                <w:color w:val="auto"/>
              </w:rPr>
            </w:pPr>
            <w:r>
              <w:rPr>
                <w:rFonts w:ascii="Arial" w:cs="Arial" w:eastAsia="Arial" w:hAnsi="Arial"/>
                <w:sz w:val="18"/>
                <w:szCs w:val="18"/>
                <w:b w:val="1"/>
                <w:bCs w:val="1"/>
                <w:color w:val="auto"/>
              </w:rPr>
              <w:t>PAGE</w:t>
            </w: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3</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1A</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99"/>
              </w:rPr>
            </w:pPr>
            <w:hyperlink w:anchor="page8">
              <w:r>
                <w:rPr>
                  <w:rFonts w:ascii="Arial" w:cs="Arial" w:eastAsia="Arial" w:hAnsi="Arial"/>
                  <w:sz w:val="18"/>
                  <w:szCs w:val="18"/>
                  <w:color w:val="0000EE"/>
                  <w:w w:val="99"/>
                </w:rPr>
                <w:t>7</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16</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2</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17</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17</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4</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17</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03"/>
        </w:trPr>
        <w:tc>
          <w:tcPr>
            <w:tcW w:w="1380" w:type="dxa"/>
            <w:vAlign w:val="bottom"/>
            <w:gridSpan w:val="5"/>
          </w:tcPr>
          <w:p>
            <w:pPr>
              <w:ind w:left="40"/>
              <w:spacing w:after="0" w:line="202"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PART II</w:t>
              </w:r>
            </w:hyperlink>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Market for Registrant's Common Equity, Related Shareholder Matters and Issuer Purchases of Equity Securities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18</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5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6</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20</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7</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21</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7A</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44">
              <w:r>
                <w:rPr>
                  <w:rFonts w:ascii="Arial" w:cs="Arial" w:eastAsia="Arial" w:hAnsi="Arial"/>
                  <w:sz w:val="18"/>
                  <w:szCs w:val="18"/>
                  <w:color w:val="0000EE"/>
                </w:rPr>
                <w:t>Quantitative and Qualitative Disclosures About Market Risk</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44</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8</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Supplementary Data</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9</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Changes in and Disagreements With Accountants on Accounting and Financial Disclosure</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92</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9A</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93">
              <w:r>
                <w:rPr>
                  <w:rFonts w:ascii="Arial" w:cs="Arial" w:eastAsia="Arial" w:hAnsi="Arial"/>
                  <w:sz w:val="18"/>
                  <w:szCs w:val="18"/>
                  <w:color w:val="0000EE"/>
                </w:rPr>
                <w:t>Controls and Procedures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93</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9B</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Other Information</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93</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03"/>
        </w:trPr>
        <w:tc>
          <w:tcPr>
            <w:tcW w:w="1380" w:type="dxa"/>
            <w:vAlign w:val="bottom"/>
            <w:gridSpan w:val="5"/>
          </w:tcPr>
          <w:p>
            <w:pPr>
              <w:ind w:left="40"/>
              <w:spacing w:after="0" w:line="202" w:lineRule="exact"/>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PART III</w:t>
              </w:r>
            </w:hyperlink>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Directors, Executive Officers and Corporate Governance</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94</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11</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Executive Compensation</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94</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Security Ownership of Certain Beneficial Owners and Related Stockholder Matters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95">
              <w:r>
                <w:rPr>
                  <w:rFonts w:ascii="Arial" w:cs="Arial" w:eastAsia="Arial" w:hAnsi="Arial"/>
                  <w:sz w:val="18"/>
                  <w:szCs w:val="18"/>
                  <w:color w:val="0000EE"/>
                  <w:w w:val="89"/>
                </w:rPr>
                <w:t>94</w:t>
              </w:r>
            </w:hyperlink>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7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13</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Certain Relationships and Related Transactions, and Director Independence</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95</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7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10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13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Principal Accounting Fees and Services</w:t>
              </w:r>
            </w:hyperlink>
          </w:p>
        </w:tc>
        <w:tc>
          <w:tcPr>
            <w:tcW w:w="580" w:type="dxa"/>
            <w:vAlign w:val="bottom"/>
            <w:gridSpan w:val="5"/>
            <w:shd w:val="clear" w:color="auto" w:fill="CCEEFF"/>
          </w:tcPr>
          <w:p>
            <w:pPr>
              <w:jc w:val="center"/>
              <w:ind w:left="310"/>
              <w:spacing w:after="0" w:line="202" w:lineRule="exact"/>
              <w:rPr>
                <w:rFonts w:ascii="Arial" w:cs="Arial" w:eastAsia="Arial" w:hAnsi="Arial"/>
                <w:sz w:val="18"/>
                <w:szCs w:val="18"/>
                <w:color w:val="0000EE"/>
                <w:w w:val="89"/>
              </w:rPr>
            </w:pPr>
            <w:hyperlink w:anchor="page96">
              <w:r>
                <w:rPr>
                  <w:rFonts w:ascii="Arial" w:cs="Arial" w:eastAsia="Arial" w:hAnsi="Arial"/>
                  <w:sz w:val="18"/>
                  <w:szCs w:val="18"/>
                  <w:color w:val="0000EE"/>
                  <w:w w:val="89"/>
                </w:rPr>
                <w:t>95</w:t>
              </w:r>
            </w:hyperlink>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tcPr>
          <w:p>
            <w:pPr>
              <w:spacing w:after="0"/>
              <w:rPr>
                <w:sz w:val="23"/>
                <w:szCs w:val="23"/>
                <w:color w:val="auto"/>
              </w:rPr>
            </w:pPr>
          </w:p>
        </w:tc>
        <w:tc>
          <w:tcPr>
            <w:tcW w:w="6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3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82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10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4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54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r>
      <w:tr>
        <w:trPr>
          <w:trHeight w:val="203"/>
        </w:trPr>
        <w:tc>
          <w:tcPr>
            <w:tcW w:w="13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96">
              <w:r>
                <w:rPr>
                  <w:rFonts w:ascii="Arial" w:cs="Arial" w:eastAsia="Arial" w:hAnsi="Arial"/>
                  <w:sz w:val="18"/>
                  <w:szCs w:val="18"/>
                  <w:b w:val="1"/>
                  <w:bCs w:val="1"/>
                  <w:color w:val="0000EE"/>
                </w:rPr>
                <w:t>PART IV</w:t>
              </w:r>
            </w:hyperlink>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r>
        <w:trPr>
          <w:trHeight w:val="203"/>
        </w:trPr>
        <w:tc>
          <w:tcPr>
            <w:tcW w:w="138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Item 15</w:t>
            </w:r>
          </w:p>
        </w:tc>
        <w:tc>
          <w:tcPr>
            <w:tcW w:w="8900" w:type="dxa"/>
            <w:vAlign w:val="bottom"/>
            <w:gridSpan w:val="22"/>
          </w:tcPr>
          <w:p>
            <w:pPr>
              <w:ind w:left="600"/>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Exhibits, Financial Statement Schedules</w:t>
              </w:r>
            </w:hyperlink>
          </w:p>
        </w:tc>
        <w:tc>
          <w:tcPr>
            <w:tcW w:w="580" w:type="dxa"/>
            <w:vAlign w:val="bottom"/>
            <w:gridSpan w:val="5"/>
          </w:tcPr>
          <w:p>
            <w:pPr>
              <w:jc w:val="center"/>
              <w:ind w:left="310"/>
              <w:spacing w:after="0" w:line="202"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96</w:t>
              </w:r>
            </w:hyperlink>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900" w:type="dxa"/>
            <w:vAlign w:val="bottom"/>
            <w:gridSpan w:val="22"/>
            <w:shd w:val="clear" w:color="auto" w:fill="CCEEFF"/>
          </w:tcPr>
          <w:p>
            <w:pPr>
              <w:ind w:left="600"/>
              <w:spacing w:after="0" w:line="202" w:lineRule="exact"/>
              <w:rPr>
                <w:rFonts w:ascii="Arial" w:cs="Arial" w:eastAsia="Arial" w:hAnsi="Arial"/>
                <w:sz w:val="18"/>
                <w:szCs w:val="18"/>
                <w:color w:val="0000EE"/>
              </w:rPr>
            </w:pPr>
            <w:hyperlink w:anchor="page105">
              <w:r>
                <w:rPr>
                  <w:rFonts w:ascii="Arial" w:cs="Arial" w:eastAsia="Arial" w:hAnsi="Arial"/>
                  <w:sz w:val="18"/>
                  <w:szCs w:val="18"/>
                  <w:color w:val="0000EE"/>
                </w:rPr>
                <w:t>SIGNATURES</w:t>
              </w:r>
            </w:hyperlink>
          </w:p>
        </w:tc>
        <w:tc>
          <w:tcPr>
            <w:tcW w:w="1120" w:type="dxa"/>
            <w:vAlign w:val="bottom"/>
            <w:gridSpan w:val="7"/>
            <w:shd w:val="clear" w:color="auto" w:fill="CCEEFF"/>
          </w:tcPr>
          <w:p>
            <w:pPr>
              <w:jc w:val="center"/>
              <w:ind w:right="140"/>
              <w:spacing w:after="0" w:line="202" w:lineRule="exact"/>
              <w:rPr>
                <w:rFonts w:ascii="Arial" w:cs="Arial" w:eastAsia="Arial" w:hAnsi="Arial"/>
                <w:sz w:val="18"/>
                <w:szCs w:val="18"/>
                <w:color w:val="0000EE"/>
                <w:w w:val="86"/>
              </w:rPr>
            </w:pPr>
            <w:hyperlink w:anchor="page105">
              <w:r>
                <w:rPr>
                  <w:rFonts w:ascii="Arial" w:cs="Arial" w:eastAsia="Arial" w:hAnsi="Arial"/>
                  <w:sz w:val="18"/>
                  <w:szCs w:val="18"/>
                  <w:color w:val="0000EE"/>
                  <w:w w:val="86"/>
                </w:rPr>
                <w:t>105</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17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report contains various statements relating to future financial performance and results, including certain projections, business trends and other statements that are not historical facts. These statements constitute “Forward-Looking Statements” as defined in the Securities Act of 1933, as amended (the “Securities Act”) and the Private Securities Litigation Reform Act of 1995.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“Item 1A. – Risk Factors” and the following:</w:t>
      </w:r>
    </w:p>
    <w:p>
      <w:pPr>
        <w:spacing w:after="0" w:line="182" w:lineRule="exact"/>
        <w:rPr>
          <w:sz w:val="20"/>
          <w:szCs w:val="20"/>
          <w:color w:val="auto"/>
        </w:rPr>
      </w:pPr>
    </w:p>
    <w:p>
      <w:pPr>
        <w:ind w:left="8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volatility of oil, natural gas and natural gas liquids, including the impact of the significant prolonged decline in the price of these commodities on our financial condition and results of operations;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high level of indebtedness and our ability to service our indebtedness;</w:t>
      </w:r>
    </w:p>
    <w:p>
      <w:pPr>
        <w:spacing w:after="0" w:line="6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and international currency fluctuations;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nonrealization of expected benefits from our acquisitions or business dispositions and our ability to execute such acquisitions and dispositions;</w:t>
      </w:r>
    </w:p>
    <w:p>
      <w:pPr>
        <w:spacing w:after="0" w:line="86" w:lineRule="exact"/>
        <w:rPr>
          <w:rFonts w:ascii="Arial" w:cs="Arial" w:eastAsia="Arial" w:hAnsi="Arial"/>
          <w:sz w:val="16"/>
          <w:szCs w:val="16"/>
          <w:color w:val="auto"/>
        </w:rPr>
      </w:pPr>
    </w:p>
    <w:p>
      <w:pPr>
        <w:ind w:left="820" w:right="2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2014, 2015 and 2016 cost reduction plans;</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63" w:lineRule="exact"/>
        <w:rPr>
          <w:rFonts w:ascii="Arial" w:cs="Arial" w:eastAsia="Arial" w:hAnsi="Arial"/>
          <w:sz w:val="18"/>
          <w:szCs w:val="18"/>
          <w:color w:val="auto"/>
        </w:rPr>
      </w:pPr>
    </w:p>
    <w:p>
      <w:pPr>
        <w:jc w:val="both"/>
        <w:ind w:left="820" w:hanging="326"/>
        <w:spacing w:after="0" w:line="264"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charges arising out of the U.S. Securities and Exchange Commission (“SEC”) and Department of Justice (“DOJ”) investigation into the circumstances surrounding the prior material weakness in our internal controls over financial reporting for income taxes and the restatements of our historical financial statements in 2011 and 2012;</w:t>
      </w:r>
    </w:p>
    <w:p>
      <w:pPr>
        <w:spacing w:after="0" w:line="19"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downturns in our industry which could further affect the carrying value of our goodwill;</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 (“OPEC”);</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realize the expected benefits from our 2014 redomestication from Switzerland to Ireland and to maintain our Swiss tax residency;</w:t>
      </w:r>
    </w:p>
    <w:p>
      <w:pPr>
        <w:spacing w:after="0" w:line="86" w:lineRule="exact"/>
        <w:rPr>
          <w:rFonts w:ascii="Arial" w:cs="Arial" w:eastAsia="Arial" w:hAnsi="Arial"/>
          <w:sz w:val="16"/>
          <w:szCs w:val="16"/>
          <w:color w:val="auto"/>
        </w:rPr>
      </w:pPr>
    </w:p>
    <w:p>
      <w:pPr>
        <w:ind w:left="820" w:right="280" w:hanging="326"/>
        <w:spacing w:after="0" w:line="277"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tax and accounting laws, rules and regulations; and</w:t>
      </w:r>
    </w:p>
    <w:p>
      <w:pPr>
        <w:spacing w:after="0" w:line="8" w:lineRule="exact"/>
        <w:rPr>
          <w:rFonts w:ascii="Arial" w:cs="Arial" w:eastAsia="Arial" w:hAnsi="Arial"/>
          <w:sz w:val="18"/>
          <w:szCs w:val="18"/>
          <w:color w:val="auto"/>
        </w:rPr>
      </w:pPr>
    </w:p>
    <w:p>
      <w:pPr>
        <w:ind w:left="820" w:hanging="326"/>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limited access to capital, significantly higher cost of capital, or difficulty raising additional funds in the equity or debt capital markets.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our other filings with the SEC under the Securities Exchange Act of 1934, as amended (the “Exchange Act”) and the Securities Act. For additional information regarding risks and uncertainties, see our other filings with the SEC.</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9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an Irish public limited company, together with its subsidiaries (“Weatherford,” the “Company,” “we,” “us” and “our”), is a multinational oilfield service company. Weatherford is one of the world’s leading providers of equipment and services used in the drilling, evaluation, completion, production and intervention of oil and natural gas wells. Many of our businesses, including those of our predecessor companies, have been operating for more than 50 years.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conduct operations in over 100 countries and have service and sales locations in nearly all of the oil and natural gas producing regions in the world. Our operational performance is reviewed on a geographic basis and we report the following regions as separate, distinct reporting segments: North America, Latin America, Europe/Sub-Sahara Africa (“SSA”)/Russia, Middle East/North Africa (“MENA”)/Asia Pacific and Land Drilling Rigs.</w:t>
      </w:r>
    </w:p>
    <w:p>
      <w:pPr>
        <w:spacing w:after="0" w:line="16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headquarters are located at Bahnhofstrasse 1, 6340 Baar, Switzerland and our telephone number at that location is +41.22.816.1500. Our internet address is www.weatherford.com. General information about us, including our corporate governance policies, code of business conduct and charters for the committees of our Board of Directors, can be found on our web site under the “Investor Relations” section. On our web site we make available, free of charge, our annual reports on Form 10-K, quarterly reports on Form 10-Q, current reports on Form 8-K, and amendments to those reports filed or furnished pursuant to Section 13(a) or 15(d) of the Exchange Act as soon as reasonably practicable after we electronically file or furnish them to the SEC. The public may read and copy any materials we have filed with the SEC at the SEC’s Public Reference Room at 100 F Street, NE, Washington, DC 20549. Information on the operation of the Public Reference Room may be obtained by calling the SEC at 1-800-SEC-0330. The SEC maintains a web site that contains our reports, proxy and information statements, and our other SEC filings. The address of that site is www.sec.gov. Our ordinary shares are listed on the NYSE under the symbol “WFT”.</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objective is to build stakeholder value through profitable growth in our core product lines with disciplined use of capital and a strong customer focus.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components of our strategy include:</w:t>
      </w:r>
    </w:p>
    <w:p>
      <w:pPr>
        <w:spacing w:after="0" w:line="63" w:lineRule="exact"/>
        <w:rPr>
          <w:sz w:val="20"/>
          <w:szCs w:val="20"/>
          <w:color w:val="auto"/>
        </w:rPr>
      </w:pPr>
    </w:p>
    <w:p>
      <w:pPr>
        <w:jc w:val="both"/>
        <w:ind w:left="660" w:right="20" w:hanging="328"/>
        <w:spacing w:after="0" w:line="329"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Continuously improving the efficiency, productivity and quality of our products and services and their respective delivery to our customers, in order to grow revenues and operating margins and generate free cash flow from our core operations (Formation Evaluation and Well Construction and Completion and Production) and Land Drilling Rigs operations in all of our geographic markets at a rate exceeding underlying market activity;</w:t>
      </w:r>
    </w:p>
    <w:p>
      <w:pPr>
        <w:spacing w:after="0" w:line="188" w:lineRule="exact"/>
        <w:rPr>
          <w:rFonts w:ascii="Arial" w:cs="Arial" w:eastAsia="Arial" w:hAnsi="Arial"/>
          <w:sz w:val="16"/>
          <w:szCs w:val="16"/>
          <w:color w:val="auto"/>
        </w:rPr>
      </w:pPr>
    </w:p>
    <w:p>
      <w:pPr>
        <w:ind w:left="660" w:right="20" w:hanging="328"/>
        <w:spacing w:after="0" w:line="30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commitment to the innovation, invention and integration, development and commercialization of new products and services that meet the evolving needs of our customers across the reservoir lifecycle; and</w:t>
      </w:r>
    </w:p>
    <w:p>
      <w:pPr>
        <w:spacing w:after="0" w:line="19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Further extending the process, productivity, quality, safety and competency across our global infrastructure to meet client demands for our core products and services in an operationally efficient manner.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 leading provider of equipment and services to the oil and natural gas exploration and production industry. Demand for our industry’s services and products depends upon commodity prices for oil and gas, the number of oil and natural gas wells drilled, the depth and drilling conditions of wells, the number of well completions, the depletion and age of existing wells and the level of workover activity worldwide.</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Technology has become increasingly critical to the oil and natural gas marketplace as a result of the maturity of the world’s oil and natural gas reservoirs, accelerating production decline rates and the focus on complex well designs, including deep-water prospects. Clients continue to seek, test and use production-enabling technologies at an increasing rate. We have invested a substantial amount of our time and resources into building our technology offerings, which help us provide our clients with more efficient tools to find and produce oil and natural gas. We believe our products and services enable our clients to reduce their costs of drilling and production and/or increase production rates. Furthermore, these offerings afford us additional opportunities to sell our core products and services to our clients.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9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Offerings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three business groups: (1) Formation Evaluation and Well Construction, (2) Completion and Production and (3) Land Drilling Rigs, which together include 14 product lines.</w:t>
      </w:r>
    </w:p>
    <w:p>
      <w:pPr>
        <w:spacing w:after="0" w:line="181" w:lineRule="exact"/>
        <w:rPr>
          <w:sz w:val="20"/>
          <w:szCs w:val="20"/>
          <w:color w:val="auto"/>
        </w:rPr>
      </w:pPr>
    </w:p>
    <w:p>
      <w:pPr>
        <w:jc w:val="both"/>
        <w:ind w:left="840" w:hanging="332"/>
        <w:spacing w:after="0" w:line="264"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Formation Evaluation and Well Construction </w:t>
      </w:r>
      <w:r>
        <w:rPr>
          <w:rFonts w:ascii="Arial" w:cs="Arial" w:eastAsia="Arial" w:hAnsi="Arial"/>
          <w:sz w:val="18"/>
          <w:szCs w:val="18"/>
          <w:color w:val="auto"/>
        </w:rPr>
        <w:t>includes Managed-Pressure Drilling, Drilling Services, Tubular Running Services, Drilling Tools,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Wireline Services, Testing and Production Services, Re-entry and Fishing Services, Cementing, Liner Systems, Integrated Laboratory Services and Surface Logging Systems.</w:t>
      </w:r>
    </w:p>
    <w:p>
      <w:pPr>
        <w:spacing w:after="0" w:line="181"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includes Artificial Lift Systems, Stimulation and Completion Systems.</w:t>
      </w:r>
    </w:p>
    <w:p>
      <w:pPr>
        <w:spacing w:after="0" w:line="225" w:lineRule="exact"/>
        <w:rPr>
          <w:rFonts w:ascii="Arial" w:cs="Arial" w:eastAsia="Arial" w:hAnsi="Arial"/>
          <w:sz w:val="18"/>
          <w:szCs w:val="18"/>
          <w:color w:val="auto"/>
        </w:rPr>
      </w:pPr>
    </w:p>
    <w:p>
      <w:pPr>
        <w:ind w:left="840" w:hanging="332"/>
        <w:spacing w:after="0"/>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Land Drilling Rigs </w:t>
      </w:r>
      <w:r>
        <w:rPr>
          <w:rFonts w:ascii="Arial" w:cs="Arial" w:eastAsia="Arial" w:hAnsi="Arial"/>
          <w:sz w:val="18"/>
          <w:szCs w:val="18"/>
          <w:color w:val="auto"/>
        </w:rPr>
        <w:t>encompasses our land drilling rigs business, including the products and services ancillary thereto.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Formation Evaluation and Well Construction</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Within the Formation Evaluation and Well Construction business group we provide formation evaluation services from early well planning to reservoir management services, including core analysis, surface logging, well site geochemistry, logging while drilling and wireline services. Our full suite of formation evaluation services has broad applications across all types of reservoirs. We also provide well construction services to help clients ensure well integrity for the full life cycle of the well using reliable casing and tubing strings, cementation design, reliable liner top isolation and methods that ensure the well reaches total depth in the best condition possible. Further descriptions of our product lines are as follows:</w:t>
      </w:r>
    </w:p>
    <w:p>
      <w:pPr>
        <w:spacing w:after="0" w:line="1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Managed-Pressure Drilling </w:t>
      </w:r>
      <w:r>
        <w:rPr>
          <w:rFonts w:ascii="Arial" w:cs="Arial" w:eastAsia="Arial" w:hAnsi="Arial"/>
          <w:sz w:val="18"/>
          <w:szCs w:val="18"/>
          <w:color w:val="auto"/>
        </w:rPr>
        <w:t>consists of several drilling techniques including closed-loop drilling, air drilling, managed-pressure drilling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underbalanced drilling.</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Drilling Services </w:t>
      </w:r>
      <w:r>
        <w:rPr>
          <w:rFonts w:ascii="Arial" w:cs="Arial" w:eastAsia="Arial" w:hAnsi="Arial"/>
          <w:sz w:val="18"/>
          <w:szCs w:val="18"/>
          <w:color w:val="auto"/>
        </w:rPr>
        <w:t>includes directional drilling, logging while drilling, measurement while drilling and rotary steerable systems. This service line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our full range of downhole equipment including high temperature motors, wireline steering tools, air rotary hammer drills, casing exit systems, downhole deployment valves and downhole data acquisition equipment.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Tubular Running Services </w:t>
      </w:r>
      <w:r>
        <w:rPr>
          <w:rFonts w:ascii="Arial" w:cs="Arial" w:eastAsia="Arial" w:hAnsi="Arial"/>
          <w:sz w:val="18"/>
          <w:szCs w:val="18"/>
          <w:color w:val="auto"/>
        </w:rPr>
        <w:t>consists of a wide variety of tubular connection and installation services for the drilling, completion and workover of an oil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well, including liner systems, solid expandable systems, zonal isolation products and swellable well-construction technologies. We also specialize in critical-service installations.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Drilling Tools </w:t>
      </w:r>
      <w:r>
        <w:rPr>
          <w:rFonts w:ascii="Arial" w:cs="Arial" w:eastAsia="Arial" w:hAnsi="Arial"/>
          <w:sz w:val="18"/>
          <w:szCs w:val="18"/>
          <w:color w:val="auto"/>
        </w:rPr>
        <w:t>includes our patented drilling jars, underreamers, rotating control devices, downhole tools, drillpipe and related tools, tubular handling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other pressure-control equipment used in drilling oil and natural gas wells. We also offer wellhead systems to reduce time in changing wellhead sizes while increasing safety procedures, production monitoring and optimization, and flow measurement which measures how much oil, water and gas is flowing in a well.</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b w:val="1"/>
          <w:bCs w:val="1"/>
          <w:i w:val="1"/>
          <w:iCs w:val="1"/>
          <w:color w:val="auto"/>
        </w:rPr>
        <w:t xml:space="preserve">Wireline Services </w:t>
      </w:r>
      <w:r>
        <w:rPr>
          <w:rFonts w:ascii="Arial" w:cs="Arial" w:eastAsia="Arial" w:hAnsi="Arial"/>
          <w:sz w:val="16"/>
          <w:szCs w:val="16"/>
          <w:color w:val="auto"/>
        </w:rPr>
        <w:t>includes open hole and cased-hole logging services to measure the physical properties of underground formations and help determine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location and potential deliverability of oil and gas from a reservoir. It also includes production and produced water systems for fracturing, production disposal and enhanced oil recovery operations. We also offer global petroleum consulting services in the geoscience and engineering domain.</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Testing and Production Services </w:t>
      </w:r>
      <w:r>
        <w:rPr>
          <w:rFonts w:ascii="Arial" w:cs="Arial" w:eastAsia="Arial" w:hAnsi="Arial"/>
          <w:sz w:val="18"/>
          <w:szCs w:val="18"/>
          <w:color w:val="auto"/>
        </w:rPr>
        <w:t>include drillstem test tools, early production facilities, life-of-field production facilities, produced-water systems, tubing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conveyed perforating systems and well testing systems.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Re-entry and Fishing Services </w:t>
      </w:r>
      <w:r>
        <w:rPr>
          <w:rFonts w:ascii="Arial" w:cs="Arial" w:eastAsia="Arial" w:hAnsi="Arial"/>
          <w:sz w:val="18"/>
          <w:szCs w:val="18"/>
          <w:color w:val="auto"/>
        </w:rPr>
        <w:t>provides re-entry services, fishing services, thru-tubing services, well abandonment services and wellbore cleaning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b w:val="1"/>
          <w:bCs w:val="1"/>
          <w:i w:val="1"/>
          <w:iCs w:val="1"/>
          <w:color w:val="auto"/>
        </w:rPr>
        <w:t xml:space="preserve">Cementing </w:t>
      </w:r>
      <w:r>
        <w:rPr>
          <w:rFonts w:ascii="Arial" w:cs="Arial" w:eastAsia="Arial" w:hAnsi="Arial"/>
          <w:sz w:val="18"/>
          <w:szCs w:val="18"/>
          <w:color w:val="auto"/>
        </w:rPr>
        <w:t>operations comprise one of the most expensive phases of well completion. We produce specialized equipment that allows operators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centralize the casing throughout the wellbore and control the displacement of cement and other fluids for proper zonal isolation. Our cementing engineers also analyze complex wells and provide all job requirements from pre-job planning to installation.</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Liner Systems </w:t>
      </w:r>
      <w:r>
        <w:rPr>
          <w:rFonts w:ascii="Arial" w:cs="Arial" w:eastAsia="Arial" w:hAnsi="Arial"/>
          <w:sz w:val="18"/>
          <w:szCs w:val="18"/>
          <w:color w:val="auto"/>
        </w:rPr>
        <w:t>includes liner hangers, which allow suspension of strings of casing within a wellbore without the need to extend the casing to the surface.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Most directional wells include one or more liners to optimize casing programs. Drilling liners are used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9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isolate areas within the well during drilling operations. Production liners are used in the producing area of the well to support the wellbore and to isolate various sections of the well.</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Integrated Laboratory Services </w:t>
      </w:r>
      <w:r>
        <w:rPr>
          <w:rFonts w:ascii="Arial" w:cs="Arial" w:eastAsia="Arial" w:hAnsi="Arial"/>
          <w:sz w:val="18"/>
          <w:szCs w:val="18"/>
          <w:color w:val="auto"/>
        </w:rPr>
        <w:t>provides support for fluid reservoir characterization, specialized core and fluid testing, enhanced oil recovery, rock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strength and characterization, sour richness and maturity, sorption properties assessment and reservoir flow studies.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Surface Logging Systems </w:t>
      </w:r>
      <w:r>
        <w:rPr>
          <w:rFonts w:ascii="Arial" w:cs="Arial" w:eastAsia="Arial" w:hAnsi="Arial"/>
          <w:sz w:val="18"/>
          <w:szCs w:val="18"/>
          <w:color w:val="auto"/>
        </w:rPr>
        <w:t>provide advanced gas analysis, drilling instrumentation, mud logging services and wellsite consultants.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and Production</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Completion and Production business group provides a comprehensive line of products and services, plus specialized technologies, for stimulating and completing wells effectively in all types of reservoirs. Our completion products, reservoir stimulation design and engineering capabilities are delivered to unlock reserves in deepwater, unconventional and aging reservoirs. Our suite of production optimization services boosts field productivity and profitability through our artificial lift portfolio as well as production workflows and optimization software. Further descriptions are as follows:</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Artificial Lift Systems </w:t>
      </w:r>
      <w:r>
        <w:rPr>
          <w:rFonts w:ascii="Arial" w:cs="Arial" w:eastAsia="Arial" w:hAnsi="Arial"/>
          <w:sz w:val="18"/>
          <w:szCs w:val="18"/>
          <w:color w:val="auto"/>
        </w:rPr>
        <w:t>are installed in oil and gas wells without sufficient reservoir pressure to produce oil or natural gas from the well. We provide most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forms of lift, including reciprocating rod lift systems which create a pumping action via a downhole rod pump, progressing cavity pumping for predominantly heavy oil, coal-bed methane and medium crude oil applications, gas lift systems for producing reservoirs or in wells that have stopped working, hydraulic lift systems to operate a downhole hydraulic pump (jet or piston), plunger lift systems primarily for dewatering liquid loaded gas wells and hybrid lift systems for special applications.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Stimulation </w:t>
      </w:r>
      <w:r>
        <w:rPr>
          <w:rFonts w:ascii="Arial" w:cs="Arial" w:eastAsia="Arial" w:hAnsi="Arial"/>
          <w:sz w:val="18"/>
          <w:szCs w:val="18"/>
          <w:color w:val="auto"/>
        </w:rPr>
        <w:t>offers clients advanced chemical technology and services for safer and more effective production enhancement. These products 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a full fleet of pressure pumping services, which include cementing services, coiled tubing services equipment designed to ensure effective results during operations that require coiled tubing intervention, and reservoir stimulation hydraulic fracturing services for oil and natural gas wells in low-permeability reservoirs.</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 xml:space="preserve">Completion Systems </w:t>
      </w:r>
      <w:r>
        <w:rPr>
          <w:rFonts w:ascii="Arial" w:cs="Arial" w:eastAsia="Arial" w:hAnsi="Arial"/>
          <w:sz w:val="17"/>
          <w:szCs w:val="17"/>
          <w:color w:val="auto"/>
        </w:rPr>
        <w:t>offers clients a comprehensive line of completion tools such as cased hole and flow control systems, well screens, industrial screens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sand screens. We also offer a full range of completion services including upper completions, lower completions and reservoir monitoring.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Drilling Rigs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Land Drilling Rigs business group provides onshore contract drilling services and related operations globally for the oil and gas industry. We operate a fleet of land drilling and workover rigs in most major oil and gas producing regions with the concentration in the Middle East and North Africa. With our technologically diverse fleet, we have the capabilities to perform a broad range of advanced drilling projects that include multi-well pad drilling, high pressure high temperature drilling, deep gas drilling, special well design and other unconventional drilling methods in various climatic conditions.</w:t>
      </w:r>
    </w:p>
    <w:p>
      <w:pPr>
        <w:spacing w:after="0" w:line="167" w:lineRule="exact"/>
        <w:rPr>
          <w:sz w:val="20"/>
          <w:szCs w:val="20"/>
          <w:color w:val="auto"/>
        </w:rPr>
      </w:pPr>
    </w:p>
    <w:p>
      <w:pPr>
        <w:jc w:val="center"/>
        <w:ind w:right="9840"/>
        <w:spacing w:after="0"/>
        <w:rPr>
          <w:sz w:val="20"/>
          <w:szCs w:val="20"/>
          <w:color w:val="auto"/>
        </w:rPr>
      </w:pPr>
      <w:r>
        <w:rPr>
          <w:rFonts w:ascii="Arial" w:cs="Arial" w:eastAsia="Arial" w:hAnsi="Arial"/>
          <w:sz w:val="16"/>
          <w:szCs w:val="16"/>
          <w:b w:val="1"/>
          <w:bCs w:val="1"/>
          <w:color w:val="auto"/>
        </w:rPr>
        <w:t>Other Business Data</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provide our products and services worldwide and compete in a variety of distinct segments with a number of competitors. Our principal competitors include Schlumberger, Halliburton, Baker Hughes, National Oilwell Varco, Cameron International, Noble Energy, Nabors Industries and Frank’s International. We also compete with various other regional suppliers that provide a limited range of equipment and services tailored for local markets. Competition is based on a number of factors, including performance, safety, quality, reliability, service, price, response time and, in some cases, breadth of products. See “Item 1A. – Risk Factors – The oilfield services business is highly competitive, which may adversely affect our ability to succeed. Additionally, the impact of consolidation and acquisitions of our competitors is difficult to predict and may harm our business.”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9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purchase a wide variety of raw materials as well as parts and components made by other manufacturers and suppliers for use in our manufacturing. Many of the products or components of products sold by us are manufactured by other parties. We are not dependent in any material respect on any single supplier for our raw materials or purchased components.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Substantially all of our customers are engaged in the energy industry. Most of our international sales are to large international or national oil companies and these sales have resulted in a concentration of receivables from certain national oil companies worldwide, especially in Latin America. As of December 31, 2015, our receivables from Latin America customers accounted for 38% of our net outstanding accounts receivable balance with $205 million due from Petroleos de Venezuela, S.A. (“PDVSA”) and $47 million from Petroleos Mexicanos (“Pemex”). During 2015, 2014 and 2013, no individual customer accounted for 10% or more of our consolidated revenues.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services are usually short-term in nature, day-rate based and cancellable should our customer wish to alter the scope of work. Consequently, our backlog of firm orders is not material to the Company.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world-class technology and training centers throughout the world. Additionally, we have research, development and engineering facilities that are focused on improving existing products and services and developing new technologies to meet customer demands for improved drilling performance and enhanced reservoir productivity. Our expenditures for research and development totaled $231 million in 2015, $290 million in 2014 and $265 million in 2013.</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many areas of our business rely on patents and proprietary technology, we seek patent protection both inside and outside the U.S. for products and methods that appear to have commercial significance. We amortize patents over the years that we expect to benefit from their existence, which is limited by the life of the patent, and ranges from three to 20 years.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Although in the aggregate our patents are important to the manufacturing and marketing of many of our products and services, we do not believe that the loss of any one of our patents would have a material adverse effect on our business.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 and natural phenomena can temporarily affect the level of demand for our products and services. Spring months in Canada and winter months in the North Sea and Russia can affect our operations negatively. Additionally, heavy rains or an exceedingly cold winter in a given region or climate changes may impact our results. The unpredictable impact of climate changes or unusually harsh weather conditions could lengthen the periods of reduced activity and have a detrimental impact to our results of operations. The widespread geographical locations of our operations serve to mitigate the overall impact of the seasonal nature of our business.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Federal Regulation and Environmental Matters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operations are subject to federal, state and local laws and regulations relating to the energy industry in general and the environment in particular. Our 2015 expenditures to comply with environmental laws and regulations were not material, and we currently do not expect the cost of compliance with environmental laws and regulations for 2016 to be material.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2015, we employed approximately 39,500 employees. Certain of our operations are subject to union contracts. These contracts cover approximately 17% of our employees. We believe that our relationship with our employees is generally satisfactory.</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response to the significant decline in the price of crude oil and a lower level of exploration and production spending, starting in 2014 and throughout 2015, we reduced our overall costs and workforce to better align with anticipated activity levels. The workforce reductions in 2014 and throughout 2015 totaled approximately 20,300 employees. In response to continued decline and lower prices of crude oil and natural gas and the continued decline in the anticipated level of exploration and production spending in 2016, we initiated a reduction in force plan to reduce our overall costs and workforce to align with the anticipated activity levels and expect to complete a further workforce reduction of 6,000 employees in the first half of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An investment in our securities involves various risks. You should consider carefully all of the risk factors described below, the matters discussed herein under “Forward-Looking Statements” and other information included and incorporated by reference in this Form 10-K, as well as in other reports and materials that we file with the SEC. If any of the risks described below or elsewhere in this Form 10-K were to materialize, our business, financial condition, results of operations, cash flows or prospects could be materially adversely affected. In such case, the trading price of our common stock could decline and you could lose part or all of your investment. Additional risks and uncertainties not currently known to us or that we currently deem immaterial may also materially adversely affect our financial condition, results of operations and cash flows.</w:t>
      </w:r>
    </w:p>
    <w:p>
      <w:pPr>
        <w:spacing w:after="0" w:line="17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Demand for our services and products is affected by fluctuations in oil and natural gas prices, especially a substantial or extended decline, which, in turn, affect the level of exploration, development and production activity of our customers and could have a material adverse effect on our business, financial condition, results of operations and impede our growth.</w:t>
      </w:r>
    </w:p>
    <w:p>
      <w:pPr>
        <w:spacing w:after="0" w:line="1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Demand for our services and products is tied to the level of exploration, development and production activity and the corresponding capital expenditures by oil and natural gas companies, including national oil companies. The level of exploration, development and production activity is directly affected by fluctuations in oil and natural gas prices, which historically have been volatile and are likely to continue to be volatile in the future, especially given current geopolitical and economic conditions. Therefore, declines in oil and natural gas prices (as has occurred since late 2014) or customer perceptions that oil and natural gas prices will remain depressed or further decrease in the future could result in a reduction in the demand and pricing for our equipment and will likely result in lower rates for our services.</w:t>
      </w:r>
    </w:p>
    <w:p>
      <w:pPr>
        <w:spacing w:after="0" w:line="19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Prices for oil and natural gas are highly volatile and are subject to large fluctuations in response to relatively minor changes in the supply of and demand for oil and natural gas. For example, during 2015 oil prices fluctuated from a high of $61.82 per barrel in mid-June to a low of $35.81 per barrel in late December for West Texas Intermediate (“WTI”) crude. As recently as February 2016, a barrel of WTI crude traded below $27.00 per barrel on the New York Mercantile Exchange. Factors that can or could cause these price fluctuations include: excess supply of crude oil relative to demand; domestic and international drilling activity; global market uncertainty; the risk of slowing economic growth or recession in the United States, China, Europe or emerging markets; the ability of OPEC to set and maintain production levels for oil; the decision of OPEC to abandon production quotas and/or member-country quota compliance within OPEC; oil and gas production levels by non-OPEC countries; the nature and extent of governmental regulation, including environmental regulation; technological advances affecting energy consumption; adverse weather conditions and a variety of other economic factors that are beyond our control. Any perceived or actual further reduction in oil and natural gas prices will depress the immediate levels of exploration, development and production activity and decrease spending by our customers, which could have a material adverse effect on our business, financial condition and results of operations.</w:t>
      </w:r>
    </w:p>
    <w:p>
      <w:pPr>
        <w:spacing w:after="0" w:line="16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substantial decline in oil and natural gas prices has led to a significant decrease in spending by our customers, and further decreases in oil and natural gas prices could lead to further cuts in spending. Our customers also take into account the volatility of energy prices and other risk factors when determining whether to pursue capital projects and higher perceived risks generally mandate higher required returns. Any of these factors could affect the demand for oil and natural gas and could have a material adverse effect on our business, financial condition, results of operations and cash flow.</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9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Our business is dependent on capital spending by our customers, and reductions in capital spending by our customers has had and could continue to have an adverse effect on our business, financial condition and results of operations.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substantial decline in oil and natural gas prices has led to a significant decrease in capital expenditures by our customers. Most of our contracts can be cancelled by our customer at any time. The declines in commodity prices, the short-term tenor of most of our contracts and the extreme financial stress experienced by our customers (some of whom may have to seek bankruptcy protection) have combined to generate demands by many of our customers for significant reductions in the prices of our products and services. Further reductions in capital spending or requests for further cost reductions by our customers could directly impact our business by reducing demand for our services and products and have a material adverse effect on our business, financial condition, results of operations and prospects. Spending by exploration and production companies can also be impacted by conditions in the capital markets, which have been highly volatile in recent months. Limitations on the availability of capital or higher costs of capital may cause exploration and production companies to make additional reductions to capital budgets even if oil and natural gas prices increase from current levels. Any such cuts in spending will curtail drilling programs as well as discretionary spending on well services, which may result in a reduction in the demand for our services, the rates we can charge and the utilization of our assets. Moreover, reduced discovery rates of new oil and natural gas reserves or a decrease in the development rate of reserves in our market areas, whether due to increased governmental regulation, limitations on exploration and drilling activity or other factors, could also have a material adverse impact on our business, even in a stronger oil and natural gas price environment. With respect to national oil company customers, we are also subject to risk of policy, regime, currency and budgetary changes all of which may affect their capital expenditures.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credit risks of our concentrated customer base in the energy industry could result in losses.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concentration of our customer base in the energy industry may impact our overall exposure to credit risk as our customers may be similarly affected by prolonged changes in economic and industry conditions. Some of our customers are experiencing extreme financial distress as a result of falling commodity prices and may be forced to seek protection under applicable bankruptcy laws. Furthermore, countries that rely heavily upon income from hydrocarbon exports have been negatively and significantly affected by the drop in oil prices, which could affect our ability to collect from our customers in these countries, particularly national oil companies. Laws in some jurisdictions in which we operate could make collection difficult or time consuming. We perform on-going credit evaluations of our customers and do not generally require collateral in support of our trade receivables. While we maintain reserves for potential credit losses, we cannot assure such reserves will be sufficient to meet write-offs of uncollectible receivables or that our losses from such receivables will be consistent with our expectations. Additionally, in the event of a bankruptcy of any of our customers, we may be treated as an unsecured creditor and may collect substantially less, or none, of the amounts owed to us by such customer.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 and weather conditions could adversely affect demand for our services and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Variation from normal weather patterns, such as cooler or warmer summers and winters, can have a significant impact on demand. Adverse weather conditions, such as hurricanes in the Gulf of Mexico or extreme winter conditions in Canada, Russia and the North Sea, may interrupt or curtail our operations, or our customers’ operations, cause supply disruptions or loss of productivity or result in a loss of revenue or damage to our equipment and facilities, which may or may not be insured. Any of these outcomes could have a material adverse effect on our business, financial condition and results of operations.</w:t>
      </w:r>
    </w:p>
    <w:p>
      <w:pPr>
        <w:spacing w:after="0" w:line="18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oilfield services business is highly competitive, which may adversely affect our ability to succeed. Additionally, the impact of consolidation and acquisitions of our competitors is difficult to predict and may harm our business.</w:t>
      </w:r>
    </w:p>
    <w:p>
      <w:pPr>
        <w:spacing w:after="0" w:line="16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business is highly competitive, particularly with respect to marketing our products and services to our customers and securing equipment and trained personnel. Currently the oilfield service industry has significant excess capacity relative to customer demand, and, in most cases, multiple sources of comparable oilfield services are available from a number of different competitors. This competitive environment could impact our ability to maintain market share, defend, maintain or increase pricing for our products and services and negotiate acceptable contract terms with our customers and suppliers. In order to remain competitive, we must continue to add value for our customers by providing, relative to our peers, new technologies, reliable products and services and competent personnel. The anticipated timing and cost of the development of competitive technology and new product introductions can impact our financial results, particularly if one of our competitors were to develop competing technology that accelerates the obsolescence of any of our products or services. Additionally, we may be disadvantaged competitively and financially by a significant movement of exploration and production operations to areas of the world in which we are not currently active, particularly if one or more of our competitors is already operating in that area of the world.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9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several of our largest competitors have announced a plan to combine including a merger between Halliburton and Baker Hughes as well as between Schlumberger and Cameron International. Mergers, combinations and consolidations in our industry could result in existing competitors increasing their market share and may result in stronger competitors, which in turn, could have a material adverse effect on our business, financial condition and results of operations. We may not be able to compete successfully in an increasingly consolidated industry and cannot predict with certainty how industry consolidation will affect our other competitors or us.</w:t>
      </w:r>
    </w:p>
    <w:p>
      <w:pPr>
        <w:spacing w:after="0" w:line="18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Physical dangers are inherent in our operations and may expose us to significant potential losses. Personnel and property may be harmed during the process of drilling for oil and natural gas.</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Drilling for and producing hydrocarbons, and the associated products and services that we provide, include inherent dangers that may lead to property damage, personal injury, death or the discharge of hazardous materials into the environment. Many of these events are outside our control. Typically, we provide products and services at a well site where our personnel and equipment are located together with personnel and equipment of our customer and third parties, such as other service providers. At many sites, we depend on other companies and personnel to conduct drilling operations in accordance with appropriate safety standards. From time to time, personnel are injured or equipment or property is damaged or destroyed as a result of accidents, failed equipment, faulty products or services, failure of safety measures, uncontained formation pressures or other dangers inherent in drilling for oil and natural gas. Any of these events can be the result of human error. With increasing frequency, our products and services are deployed on more challenging prospects both onshore and offshore, where the occurrence of the types of events mentioned above can have an even more catastrophic impact on people, equipment and the environment. Such events may expose us to significant potential losses.</w:t>
      </w:r>
    </w:p>
    <w:p>
      <w:pPr>
        <w:spacing w:after="0" w:line="17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may not be fully indemnified against financial losses in all circumstances where damage to or loss of property, personal injury, death or environmental harm occur.</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is customary in our industry, our contracts typically require that our customers indemnify us for claims arising from the injury or death of their employees (and those of their other contractors), the loss or damage of their equipment (and that of their other contractors), damage to the well or reservoir and pollution originating from the customer’s equipment or from the reservoir (including uncontained oil flow from a reservoir) and claims arising from catastrophic events, such as a well blowout, fire, explosion and from pollution below the surface. Conversely, we typically indemnify our customers for claims arising from the injury or death of our employees, the loss or damage of our equipment (other than equipment lost in the hole) or pollution originating from our equipment above the surface of the earth or water.</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indemnification arrangements may not protect us in every case. For example, from time to time we may enter into contracts with less favorable indemnities or perform work without a contract that protects us. Our indemnity arrangements may also be held to be overly broad in some courts and/or contrary to public policy in some jurisdictions, and to that extent unenforceable. Additionally, some jurisdictions which permit indemnification nonetheless limit its scope by statute. We may be subject to claims brought by third parties or government agencies with respect to which we are not indemnified. Furthermore, the parties from which we seek indemnity may not be solvent, may become bankrupt, may lack resources or insurance to honor their indemnities or may not otherwise be able to satisfy their indemnity obligations to us. The lack of enforceable indemnification could expose us to significant potential losses.</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 our assets generally are not insured against loss from political violence such as war, terrorism or civil commotion. If any of our assets are damaged or destroyed as a result of an uninsured cause, we could recognize a loss of those assets.</w:t>
      </w:r>
    </w:p>
    <w:p>
      <w:pPr>
        <w:spacing w:after="0" w:line="16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business may be exposed to uninsured claims and, as a result, litigation might result in significant potential losses. The cost of our insured risk management program may increase.</w:t>
      </w:r>
    </w:p>
    <w:p>
      <w:pPr>
        <w:spacing w:after="0" w:line="16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the ordinary course of business, we become the subject of various claims and litigation. We maintain liability insurance, which includes insurance against damage to people, property and the environment, up to maximum limits of $600 million, subject to self-insured retentions and deductibles.</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insurance policies are subject to exclusions, limitations and other conditions and may not apply in all cases, for example where willful wrongdoing on our part is alleged. It is possible an unexpected judgment could be rendered against us in cases in which we could be uninsured and beyond the amounts we currently have reserved or anticipate incurring, and in some cases those potential losses could be material.</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9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insurance may not be sufficient to cover any particular loss or our insurance may not cover all losses. For example, although we maintain product liability insurance, this type of insurance is limited in coverage and it is possible an adverse claim could arise in excess of our coverage. Additionally, insurance rates have in the past been subject to wide fluctuation and may be unavailable on terms that we or our customers believe are economically acceptable. Reductions in coverage, changes in the insurance markets and accidents affecting our industry may result in further increases in our cost and higher deductibles and retentions in future years and may also result in reduced activity levels in certain markets. Any of these events would have an adverse impact on our financial performance.</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Our operations are subject to environmental and other laws and regulations that may expose us to significant liabilities and could reduce our business opportunities and revenues.</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subject to various laws and regulations relating to the energy industry in general and the environment in particular. An environmental claim could arise with respect to one or more of our current businesses, products or services, or a business or property that one of our predecessors owned or used, and such claims could involve material expenditures. Generally, environmental laws have in recent years become more stringent and have sought to impose greater liability on a larger number of potentially responsible parties. The scope of regulation of our industry and our products and services may increase further, including possible increases in liabilities or funding requirements imposed by governmental agencies. We also cannot ensure that our future business in the deepwater Gulf of Mexico, if any, will be profitable in light of new regulations that have been, and may continue to be, promulgated and in light of the current risk environment and insurance markets. Further, additional regulations on deepwater drilling elsewhere in the world could be imposed, and those regulations could limit our business where they are imposed.</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addition, members of the U.S. Congress, the U.S. Environmental Protection Agency and various agencies of several states within the U.S. frequently review, consider and propose more stringent regulation of hydraulic fracturing, a service we provide to clients and regulators are investigating whether any chemicals used in the fracturing process might adversely affect groundwater or whether the fracturing processes could lead to other unintended effects or damages. In recent years, several cities and states within the U.S. passed new laws and regulations concerning or banning hydraulic fracturing. A significant portion of North American service activity today is directed at prospects that require hydraulic fracturing in order to produce hydrocarbons. Therefore, additional regulation could increase the costs of conducting our business by subjecting fracturing to more stringent regulation. Such regulation, among other things, may change construction standards for wells intended for hydraulic fracturing, require additional certifications concerning the conduct of hydraulic fracturing operations, change requirements pertaining to the management of water used in hydraulic fracturing operations, require other measures intended to prevent operational hazards or ban hydraulic fracturing completely. Any such federal, state, local or foreign legislation could increase our costs of providing services or could materially reduce our business opportunities and revenues if our customers decrease their levels of activity in response to such regulation or if we are not able to pass along any cost increases to our customers. We are unable to predict whether changes in laws or regulations or any other governmental proposals or responses will ultimately occur, and accordingly, we are unable to assess the potential financial or operational impact they may have on our business.</w:t>
      </w:r>
    </w:p>
    <w:p>
      <w:pPr>
        <w:spacing w:after="0" w:line="18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conduct some of our business using fixed-fee or turn-key contracts, which subject us to risks associated with cost over-runs, operating cost inflation and potential claims for liquidated damages.</w:t>
      </w:r>
    </w:p>
    <w:p>
      <w:pPr>
        <w:spacing w:after="0" w:line="16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conduct our business under various types of contracts, including in some cases fixed-fee or turn-key contracts where we estimate costs in advance of our performance. We price these types of contracts based in part on assumptions including prices and availability of labor, equipment and materials as well as productivity, performance and future economic conditions. If our cost estimates prove inaccurate, there are errors or ambiguities as to contract specifications or if circumstances change due to, among other things, unanticipated technical problems, difficulties in obtaining permits or approvals, changes in local laws or labor conditions, weather delays, changes in the costs of equipment and materials or our suppliers’ or subcontractors’ inability to perform, then cost over-runs may occur. We may not be able to obtain compensation for additional work performed or expenses incurred in all cases. Additionally, in some contracts we may be required to pay liquidated damages if we do not achieve schedule or performance requirements of our contracts. Our failure to accurately estimate the resources and time required for fixed-fee contracts or our failure to complete our contractual obligations within the time frame and costs committed could result in reduced profits or a loss for that contract. If the contract is significant, or we encounter issues that impact multiple contracts, cost over-runs could have a material adverse effect on our business, financial condition and results of operations. For example, during 2015 and 2014, we recognized estimated project losses of $153 million and $72 million, respectively, related to our long-term early production facility construction contracts in Iraq that are accounted for under the percentage-of-completion method. Total estimated losses on these two projects were $532 million at December 31, 2015.</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9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If our long-lived assets, goodwill, other intangible assets and other assets are further impaired, we may be required to record significant non-cash charges to our earnings.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recognize impairments of goodwill to its implied fair value when the fair value of any of our reporting units becomes less than its carrying value. Our estimates of fair value are based on assumptions about future cash flows of each reporting unit, discount rates applied to these cash flows and current market estimates of value. Based on the uncertainty of future revenue growth rates, gross profit performance, and other assumptions used to estimate our reporting units’ fair value, future reductions in our expected cash flows could cause a material non-cash impairment charge of goodwill, which could have a material adverse effect on our results of operations and financial condition. Based on the results of our impairment tests we recognized impairments to goodwill of $161 million in 2014.</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certain long-lived assets, other intangible assets and other assets which could be at risk of impairment or may require reserves based upon anticipated future benefits to be derived from such assets. Any change in the valuation of such assets could have a material effect on our profitability. Based on our impairment tests in 2015, we recognized total long-lived impairment charges of $638 million and $25 million related to our equity method investments. In 2014 we recognized total long-lived and other asset impairments of $495 million.</w:t>
      </w:r>
    </w:p>
    <w:p>
      <w:pPr>
        <w:spacing w:after="0" w:line="183"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b w:val="1"/>
          <w:bCs w:val="1"/>
          <w:color w:val="auto"/>
        </w:rPr>
        <w:t>We have significant operations that would be adversely impacted in the event of war, political disruption, civil disturbance, economic and legal sanctions or changes in global trade policies.</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Like most multinational oilfield service companies, we have operations in certain international areas, including parts of the Middle East, Africa, Latin America, the Asia Pacific, Europe and Russia regions that are subject to risks of war, political disruption, civil disturbance, economic and legal sanctions (such as restrictions against countries that the U.S. government may deem to sponsor terrorism) and changes in global trade policies. Our operations may be restricted or prohibited in any country in which the foregoing risks occur.</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particular, the occurrence of any of these risks could result in the following events, which in turn, could materially and adversely impact our results of operations:</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 of oil and natural gas exploration and production activities;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 of the movement and exchange of funds;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collect receivables;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or nationalization of assets in affected jurisdictions;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enactment of additional or stricter U.S. government or international sanctions;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 of our access to markets for periods of time.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third quarter of 2014, geopolitical issues and disruptions in North Africa, primarily Libya, resulted in the decisions to exit product lines in selected markets, which had a negative impact on our 2014 results. We recognized a restructuring and long-lived asset impairment of $81 million related to these markets. We risk loss of assets in any location where hostilities arise and persist. In these areas we also may not be able to perform the work we are contracted to perform, which could lead to forfeiture of performance bonds.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Continuing political instability in Ukraine, sanctions against Russia, and Russia’s response to those sanctions could materially adversely affect our business, results of operations and financial condition.</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Due to Russia’s annexation of the Crimean region of Ukraine in March 2014, economic sanctions against Russia remain in place, which have, and may continue to adversely impact our business, results of operations and financial condition of our Russia operations. Additionally, in the event of further sanctions or changes to existing sanctions our ability to do business in Russia may be further reduced or impacted.</w:t>
      </w:r>
    </w:p>
    <w:p>
      <w:pPr>
        <w:spacing w:after="0" w:line="177"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The divestiture of our land drilling rigs business may not be completed on the currently contemplated timeline, or at all, and we may not achieve the intended benefits of our 2014 divestitures.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2014, we divested certain of our non-core businesses (land drilling rigs in Russia and Venezuela, engineered chemistry and Integrity drilling fluids, pipeline and specialty services and production services). We have not yet completed the divestiture of the remaining portion of our land drilling rigs, which we may accomplish through an initial public offering, a spin-off, an asset sale,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9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or some combination of the foregoing. Any such divestiture would be complex in nature and may be affected by unanticipated developments, such as unfavorable market conditions, including as a result of the recent and significant decrease in the price of crude oil, delays in obtaining regulatory or governmental approvals and challenges in establishing processes and infrastructure for both the underlying business and for potential investors or buyers of the business, which may result in such divestiture being delayed, or not being completed at all. There is no guarantee that we will fully realize the intended benefits of consummating such divestiture transactions.</w:t>
      </w:r>
    </w:p>
    <w:p>
      <w:pPr>
        <w:spacing w:after="0" w:line="18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We have been the subject of governmental and internal investigations related to alleged corrupt conduct and violations of U.S. sanctioned country laws, which were costly to conduct, resulted in a loss of revenue and substantial financial penalties and created other disruptions for the business. If we are the subject of such investigations in the future, it could have a material adverse effect on our business, financial condition and results of operations.</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2013 and 2014, we settled investigations of prior alleged violations by us and certain of our subsidiaries related to certain trade sanctions laws, participation in the United Nations oil-for-food program governing sales of goods into Iraq and non-compliance with the Foreign Corrupt Practices Act (“FCPA”). These settlement agreements required us to pay $253 million and to retain, for a period of 18 months, an independent monitor responsible for assessing our compliance with the terms of the settlement agreements so as to address and reduce the risk of recurrence of alleged misconduct, after which will continue to evaluate our own compliance program and make periodic reports to the Department of Justice (“DOJ”) and SEC and to maintain agreed compliance monitoring and reporting systems, all of which was and is costly to us. These settlement agreements also required us to retain an independent third party to retroactively audit our compliance with U.S. export control laws during the years 2012, 2013 and 2014.</w:t>
      </w:r>
    </w:p>
    <w:p>
      <w:pPr>
        <w:spacing w:after="0" w:line="19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Failure to comply with the terms of the settlement agreements could have serious consequences. Breach of the settlement agreements with the DOJ could subject us and certain of our subsidiaries to prosecution for the FCPA criminal violations that were resolved in the settlement. Under such circumstances, the DOJ would be permitted to rely upon the admissions we and certain of our subsidiaries made in the settlement, and would benefit from our waiver of certain procedural and evidentiary defenses. Moreover, failure to abide by the terms of the settlement agreement with the SEC could result in rescission of the settlement agreement, exposing us and certain of our subsidiaries to civil enforcement proceedings in connection with the conduct that had previously been resolved in those settlement agreements.</w:t>
      </w:r>
    </w:p>
    <w:p>
      <w:pPr>
        <w:spacing w:after="0" w:line="193"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To the extent we violate trade sanctions laws, the FCPA or other laws or regulations in the future, additional fines and other penalties may be imposed and there would be uncertainty as to the ultimate amount of any penalties we could pay and there can be no assurance that actual fines or penalties, if any, will not have a material adverse effect on our business, financial condition and results of operations.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additional information about these actions and claims, you should refer to the section entitled “Item 8. – Financial Statements and Supplementary Data – Notes to Consolidated Financial Statements – Note 21 – Disputes, Litigation and Contingencies.”</w:t>
      </w:r>
    </w:p>
    <w:p>
      <w:pPr>
        <w:spacing w:after="0" w:line="166" w:lineRule="exact"/>
        <w:rPr>
          <w:sz w:val="20"/>
          <w:szCs w:val="20"/>
          <w:color w:val="auto"/>
        </w:rPr>
      </w:pPr>
    </w:p>
    <w:p>
      <w:pPr>
        <w:ind w:right="40" w:firstLine="324"/>
        <w:spacing w:after="0" w:line="282" w:lineRule="auto"/>
        <w:rPr>
          <w:sz w:val="20"/>
          <w:szCs w:val="20"/>
          <w:color w:val="auto"/>
        </w:rPr>
      </w:pPr>
      <w:r>
        <w:rPr>
          <w:rFonts w:ascii="Arial" w:cs="Arial" w:eastAsia="Arial" w:hAnsi="Arial"/>
          <w:sz w:val="18"/>
          <w:szCs w:val="18"/>
          <w:b w:val="1"/>
          <w:bCs w:val="1"/>
          <w:color w:val="auto"/>
        </w:rPr>
        <w:t>Our significant international operations subject us to economic risks and we may be adversely affected by changes in foreign currency including devaluation and changes in local banking and currency regulations and exchange controls.</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operate in virtually every oil and natural gas exploration and production region in the world. In some parts of the world, such as Latin America, the Middle East and Southeast Asia, the currency of our primary economic environment is generally the U.S. dollar, and we use the U.S. dollar as our functional currency. In other parts of the world, we conduct our business in currencies other than the U.S. dollar, and the functional currency is generally the applicable local currency. As such, we are exposed to significant currency exchange risk and devaluation risk. For example, in 2015, 2014 and 2013, we recognized pre-tax currency-related charges of $85 million, $245 million and $100 million, respectively. In 2015, currency devaluation and related charges reflect the impacts of the continued devaluation of the Angolan kwanza and Argentine peso and the recognized remeasurement charges related to the Venezuelan bolivar and the Kazakhstani tenge. The charges in 2014 and 2013 were related to the devaluation of the Venezuelan bolivar. For information about the currency devaluations, refer to the section entitled “Item 8. – Financial Statements and Supplementary Data – Notes to Consolidated Financial Statements – Note 1 – Summary of Significant Accounting Policies.” Any future change in the exchange rates in these countries could cause us to take additional charges on the foreign denominated assets held by our subsidiaries.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also subject to risks resulting from changes in the implementation of exchange controls, as well as limitations on our ability to reinvest earnings from operations in one country to fund the capital needs of our operations in other countries. If we 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9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unable to reinvest earnings or repatriate foreign income, our liquidity and recognition of income tax liabilities may be negatively affected.</w:t>
      </w:r>
    </w:p>
    <w:p>
      <w:pPr>
        <w:spacing w:after="0" w:line="2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Our business in Venezuela subjects us to actions by the Venezuelan government or our primary customer which could have a material adverse effect on our liquidity, results of operations and financial condition.</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future results of our Venezuelan operations may be adversely affected by many factors, including our ability to take action to mitigate the effect of future exchange controls, actions of the Venezuelan government and the general economic conditions in the country, continued inflation, and future customer payments and spending. We may continue to see a delay in payment on our receivables from our primary customer in Venezuela or may be compelled to accept bonds as payment, which may then be sold at a loss, similar to our bond transaction in 2013 related to $127 million of trade receivables. Upon receipt of bonds for these receivables, we immediately sold them, recognizing a loss of $58 million. If PDVSA further delays paying or fails to pay a significant amount of our outstanding receivables, or if there is a major action by the Venezuelan government, it could have a material adverse effect on our liquidity, consolidated results of operations and consolidated financial condition.</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Credit rating agencies could further lower our credit ratings.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credit ratings have recently been downgraded by multiple credit rating agencies and these agencies could further downgrade our credit ratings. Our Standard &amp; Poor’s Ratings Services’ (“S&amp;P”) credit rating on our senior unsecured debt is currently BB+ and our short-term rating is B, both with a stable outlook. Our Moody’s Investors Ratings Services’ credit rating on our unsecured debt is currently Ba1 and our short-term rating is SGL-2, both with a stable outlook. However, on January 21, 2016, Moody’s placed the company’s rating on review for downgrade. On April 15, 2015, Fitch Rating assigned a credit rating on our senior unsecured debt of BBB- and our short-term rating of F3, with a negative outlook. On January 25, 2016, Fitch Ratings lowered its credit rating on our senior unsecured debt to BB from BBB- and lowered our short-term rating to B from F3 and maintained its negative outlook. The lowering of our credit ratings in 2015 to non-investment grade levels resulted in our loss of access to the commercial paper market for our short-term liquidity needs. Furthermore, our non-investment grade status may limit our ability to refinance our existing debt, could cause us to refinance or issue debt with less favorable and more restrictive terms and conditions, and could increase certain fees and interest rates of our borrowings. Suppliers and financial institutions may lower or eliminate the level of credit provided through payment terms or intraday funding when dealing with us thereby increasing the need for higher levels of cash on hand, which would decrease our ability to repay debt balances.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Capital financing may not be available to us at economic rates.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Credit and equity markets have been highly volatile in recent months, the cost to obtain capital financing has increased, and some markets may not be available at certain times. Credit and equity market conditions and the potential impact on liquidity of major financial institutions may have an adverse effect on our ability to fund operational needs or other activities through borrowings under either existing or newly created instruments in the public or private markets on terms we believe to be reasonable. If we are unable to borrow via debt offerings or our credit facility, or to obtain equity financing, we could experience a reduction of liquidity and may result in difficulty funding our operations, repayment of short-term borrowings, payments of interest and other obligations. This could be detrimental to our business and have a material adverse effect on our liquidity, consolidated results of operations and financial condition.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terrorist attack could have a material and adverse effect on our business.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operate in many dangerous countries, such as Iraq, in which acts of terrorism or political violence are a substantial and frequent risk. Such acts could result in kidnappings, illegal detainment, or the loss of life of our employees or contractors, a loss of equipment, which may or may not be insurable in all cases, or a cessation of business in an affected area. We cannot be certain that our security efforts will in all cases be sufficient to deter or prevent acts of political violence or terrorist strikes against us or our customers’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9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Our failure to maintain effective internal controls over financial reporting has resulted in governmental investigations and shareholder lawsuits and could further result in material misstatements in our financial statements which, in turn, could require us to restate financial statements, may cause investors to lose confidence in our reported financial information and could have an adverse effect on our share price or our debt ratings.</w:t>
      </w:r>
    </w:p>
    <w:p>
      <w:pPr>
        <w:spacing w:after="0" w:line="1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previously identified a material weakness in our internal controls over financial reporting that had resulted in a material weakness in accounting for income taxes. As of December 31, 2013, we remediated our material weakness in accounting for income taxes. We cannot assure that additional material weaknesses in our internal controls over financial reporting will not be identified in the future. Any failure to maintain or implement required new or improved controls, or any difficulties we encounter in their implementation, could result in additional material weaknesses, cause us to fail to meet our periodic reporting obligations or result in material misstatements in our financial statements. Any such failure could also adversely affect the results of periodic management evaluations regarding the effectiveness of our internal controls over financial reporting. The existence of a material weakness could result in errors in our financial statements that could result in a restatement of financial statements, cause us to fail to meet our reporting obligations and/or cause investors to lose confidence in our reported financial information, potentially leading to a decline in our share price.</w:t>
      </w:r>
    </w:p>
    <w:p>
      <w:pPr>
        <w:spacing w:after="0" w:line="17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SEC and DOJ are investigating the circumstances surrounding the prior material weakness in our internal controls over financial reporting for income taxes and the restatements of our historical financial statements in 2011 and 2012. We are cooperating fully with these investigations. We are unable to predict the outcome of these investigations due to the inherent uncertainties they present and we are unable to predict potential outcomes or estimate the range of potential loss contingencies, if any. The government, generally, has a broad range of civil and criminal penalties available for these types of matters under applicable law and regulation, including injunctive relief, fines, penalties and modifications to business practices, some of which, if imposed on us, could be material to our business, financial condition or results of operations. For additional information about these actions and claims, you should refer to the section entitled “Item 8. – Financial Statements and Supplementary Data – Notes to Consolidated Financial Statements – Note 21 – Disputes, Litigation and Contingencies.”</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March 2011, a shareholder derivative action was filed purportedly on behalf of the Company against certain current and former officers and directors, alleging breaches of duty related to the material weakness and restatement announcements. In February 2012, a second shareholder derivative action was filed. On June 30, 2015, we signed a stipulation to settle a purported securities class action captioned </w:t>
      </w:r>
      <w:r>
        <w:rPr>
          <w:rFonts w:ascii="Arial" w:cs="Arial" w:eastAsia="Arial" w:hAnsi="Arial"/>
          <w:sz w:val="17"/>
          <w:szCs w:val="17"/>
          <w:i w:val="1"/>
          <w:iCs w:val="1"/>
          <w:color w:val="auto"/>
        </w:rPr>
        <w:t>Freedman v. Weatherford International LTD., et al.</w:t>
      </w:r>
      <w:r>
        <w:rPr>
          <w:rFonts w:ascii="Arial" w:cs="Arial" w:eastAsia="Arial" w:hAnsi="Arial"/>
          <w:sz w:val="17"/>
          <w:szCs w:val="17"/>
          <w:color w:val="auto"/>
        </w:rPr>
        <w:t>, No. 12-cv-2121-LAK (SDNY) for $120 million. The case had been filed in the federal court in the Southern District of New York in March 2012. That case alleges violation of the federal securities laws related to the restatement of our historical financial statements announced on February 21, 2012, and later added claims related to the announcement of a subsequent restatement on July 24, 2012. The settlement is subject to notice to the class and court approval. For additional information about these actions and claims, you should refer to the section entitled “Item 8. – Financial Statements and Supplementary Data – Notes to Consolidated Financial Statements – Note 21 – Disputes, Litigation and Contingencies.”</w:t>
      </w:r>
    </w:p>
    <w:p>
      <w:pPr>
        <w:spacing w:after="0" w:line="17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Additionally, in March 2011, a purported shareholder class action captioned </w:t>
      </w:r>
      <w:r>
        <w:rPr>
          <w:rFonts w:ascii="Arial" w:cs="Arial" w:eastAsia="Arial" w:hAnsi="Arial"/>
          <w:sz w:val="17"/>
          <w:szCs w:val="17"/>
          <w:i w:val="1"/>
          <w:iCs w:val="1"/>
          <w:color w:val="auto"/>
        </w:rPr>
        <w:t>Dobina v. Weatherford International Ltd</w:t>
      </w:r>
      <w:r>
        <w:rPr>
          <w:rFonts w:ascii="Arial" w:cs="Arial" w:eastAsia="Arial" w:hAnsi="Arial"/>
          <w:sz w:val="17"/>
          <w:szCs w:val="17"/>
          <w:color w:val="auto"/>
        </w:rPr>
        <w:t>., et al., No. 1:11-cv-01646-LAK (SDNY), was filed in the U.S. District Court for the Southern District of New York, following our announcement on March 1, 2011 of a material weakness in our internal controls over financial reporting for income taxes, and restatement of our historical financial statements. The Dobina lawsuit alleged violation of the federal securities laws by us and certain current and former officers. On January 29, 2014, we, together with certain current and former officers, resolved the Dobina lawsuit. The settlement was approved by the U.S. District Court for the Southern District of New York on January 5, 2015, and final judgment entered on January 30, 2015. Pursuant to the settlement, we were required to pay $53 million, which was entirely funded by our insurers, in exchange for dismissal with prejudice of the litigation and the unconditional release of all claims, known or unknown, that settlement class members brought or could have brought against us and individual defendants related to the facts and allegations in the litigation. As a condition of the settlement, we and the other defendants deny any liability or wrongdoing related to the allegations in the litigation.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9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Adverse changes in tax laws both in the United States and abroad, changes in tax rates or exposure to additional income tax liabilities could have a material adverse effect on our results of operations.</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2002, we reorganized from the United States to a foreign jurisdiction. There are frequent legislative proposals in the United States that attempt to treat companies that have undertaken similar transactions as U.S. corporations subject to U.S. taxes or to limit the tax deductions or tax credits available to United States subsidiaries of these corporations. Our tax expense as a foreign incorporated company could be impacted by changes in tax laws, tax treaties or tax regulations or the interpretation or enforcement thereof or differing interpretation or enforcement of applicable law by the U.S. Internal Revenue Service and other taxing jurisdictions, acting in unison or separately. The inability to reduce our tax expense could have a material impact on our financial statements.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Numerous foreign jurisdictions in which we operate have been influenced by studies performed by the Organization of Economic Cooperation and Development (“OECD”) and are increasingly active in evaluating changes to their tax laws. The OECD, which represents a coalition of member countries, has issued various white papers addressing Tax Base Erosion and Jurisdictional Profit Shifting. Their recommendations are aimed at combating what they believe is tax avoidance. Changes in tax laws could significantly increase our tax expense and require us to take actions, at potential significant expense, to seek to preserve our current level of tax expense.</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effective tax rate has fluctuated in the past and may fluctuate in the future. Future effective tax rates could be affected by changes in the composition of earnings in countries in which we operate with differing tax rates, changes in tax laws, or changes in deferred tax assets and liabilities. We assess our deferred tax assets on a quarterly basis to determine whether a valuation allowance may be required. A prolonged downturn could result in us needing to record a valuation allowance on current or future deferred tax assets, which would negatively impact our financial results.</w:t>
      </w:r>
    </w:p>
    <w:p>
      <w:pPr>
        <w:spacing w:after="0" w:line="16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U.S. persons that own, or are deemed to own, 10% or more of our shares may be subject to U.S. federal income taxation under the controlled foreign corporation (“CFC”) rules and may also subject the Company to increased taxation. The potential for shareholders to be taxed under the CFC rules may impact demand for our shares.</w:t>
      </w:r>
    </w:p>
    <w:p>
      <w:pPr>
        <w:spacing w:after="0" w:line="1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Currently, certain of our subsidiary corporations are not considered CFCs because they are less than 50% owned by our U.S. group of subsidiaries and other 10% or greater shareholders. However, there is a risk that if a U.S. shareholder holds 10% or more of our shares, directly, indirectly or by attribution, that some of our subsidiaries could be classified as CFCs for U.S. federal income tax purposes. If one or more of our subsidiaries is classified as a CFC, any shareholder that is a U.S. person that owns, directly or indirectly or by attribution, 10% or more of our outstanding shares, as well as the Company, may be subject to U.S. income taxation at ordinary income tax rates on all or a portion of the CFC’s undistributed earnings and profits attributable to “subpart F income.” The CFC rules are complex and U.S. persons that hold our shares are urged to consult their own tax advisors regarding the possible application of the CFC rules to them in their particular circumstances. The risk of being subject to increased taxation may deter our current shareholders from acquiring additional ordinary shares or new shareholders from establishing a position in our ordinary shares. Either of these scenarios could impact the demand for, and value of, our shares.</w:t>
      </w:r>
    </w:p>
    <w:p>
      <w:pPr>
        <w:spacing w:after="0" w:line="17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anticipated benefits of our redomestication to Ireland may not be realized. Additionally, we and our shareholders could be subject to increased taxation if we are considered to be a tax resident in both Switzerland and Ireland.</w:t>
      </w:r>
    </w:p>
    <w:p>
      <w:pPr>
        <w:spacing w:after="0" w:line="17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2014, we redomesticated from Switzerland to Ireland. We may not realize the benefits we anticipate from this redomestication. Our failure to realize those benefits could have an adverse effect on our business, results of operations and financial condition. Additionally, while we moved our place of incorporation from Switzerland to Ireland in 2014, we continue to be effectively managed from Switzerland. Under current Swiss law a company is regarded as a Swiss tax resident if it has its place of effective management in Switzerland or is incorporated in Switzerland. Where a company is treated as a tax resident of Switzerland as a result of having its place of effective management in Switzerland, Irish law provides Ireland will generally treat the company as not resident in Ireland for Irish tax purposes. We intend to maintain our place of effective management in Switzerland and therefore qualify as a Swiss, but not Irish, tax resident. However, it is possible that in the future, whether as a result of a change in law or tax treaty or how we manage our business, that we could become a tax resident in Ireland in addition to Switzerland. If we were to be considered to be a tax resident of Ireland, we could become liable for Irish and Swiss corporation tax and any dividends paid to its shareholders could be subject to Irish and Swiss dividend withholding tax.</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9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rights of our shareholders are governed by Irish law following our 2014 redomestication from Switzerland to Ireland. Irish law differs from the laws in effect in the United States and may afford less protection to holders of our securities.</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an Irish company, we are governed by the Irish Companies Act, which differs in some material respects from laws generally applicable to U.S. corporations and shareholders, including, among others, provisions relating to interested directors, mergers and acquisitions, takeovers, shareholder lawsuits and indemnification of directors. Likewise, the duties of directors and officers of an Irish company generally are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jurisdiction of the United States. Additionally, while we are an Irish company, we hold shareholders meetings in Switzerland, which may make attendance in person more difficult for some investors.</w:t>
      </w:r>
    </w:p>
    <w:p>
      <w:pPr>
        <w:spacing w:after="0" w:line="17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We are incorporated in Ireland and a significant portion of our assets are located outside the United States. As a result, it might not be possible for shareholders to enforce civil liability provisions of the federal or state securities laws of the United States.</w:t>
      </w:r>
    </w:p>
    <w:p>
      <w:pPr>
        <w:spacing w:after="0" w:line="16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organized under the laws of Ireland, and a significant portion of our assets are located outside the United States. The United States currently does not have a treaty with Ireland providing for the reciprocal recognition and enforcement of judgments in civil and commercial matters. As such, a shareholder who obtains a court judgment based on the civil liability provisions of U.S. federal or state securities laws may be unable to enforce the judgment against us in Ireland. In addition, there is some doubt as to whether the courts of Ireland and other countries would recognize or enforce judgments of U.S. courts obtained against us or our directors or officers based on the civil liabilities provisions of the federal or state securities laws of the United States or would hear actions against us or those persons based on those laws. The laws of Ireland do, however, as a general rule, provide that the judgments of the courts of the United States have the same validity in Ireland as if rendered by Irish Courts. Certain important requirements must be satisfied before the Irish Courts will recognize the U.S. judgment. The originating court must have been a court of competent jurisdiction, the judgment must be final and conclusive and the judgment may not be recognized if it was obtained by fraud or its recognition would be contrary to Irish public policy. Any judgment obtained in contravention of the rules of natural justice or that is irreconcilable with an earlier foreign judgment would not be enforced in Ireland.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Similarly, judgments might not be enforceable in countries other than the United States where we have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9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4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8"/>
          <w:szCs w:val="18"/>
          <w:color w:val="auto"/>
        </w:rPr>
        <w:t xml:space="preserve">Our operations are conducted in over 100 countries and we have manufacturing facilities, research and technology centers, fluids and processing centers and sales, service and distribution locations throughout the world. </w:t>
      </w:r>
      <w:r>
        <w:rPr>
          <w:rFonts w:ascii="Arial" w:cs="Arial" w:eastAsia="Arial" w:hAnsi="Arial"/>
          <w:sz w:val="19"/>
          <w:szCs w:val="19"/>
          <w:color w:val="auto"/>
        </w:rPr>
        <w:t>T</w:t>
      </w:r>
      <w:r>
        <w:rPr>
          <w:rFonts w:ascii="Arial" w:cs="Arial" w:eastAsia="Arial" w:hAnsi="Arial"/>
          <w:sz w:val="18"/>
          <w:szCs w:val="18"/>
          <w:color w:val="auto"/>
        </w:rPr>
        <w:t>he following sets forth the locations of our principal owned or leased facilities for our commercial operations by geographic segment as of December 31, 2015:</w:t>
      </w:r>
    </w:p>
    <w:p>
      <w:pPr>
        <w:spacing w:after="0" w:line="114"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b w:val="1"/>
          <w:bCs w:val="1"/>
          <w:color w:val="auto"/>
        </w:rPr>
        <w:t>Region</w:t>
      </w:r>
      <w:r>
        <w:rPr>
          <w:sz w:val="20"/>
          <w:szCs w:val="20"/>
          <w:color w:val="auto"/>
        </w:rPr>
        <w:tab/>
      </w:r>
      <w:r>
        <w:rPr>
          <w:rFonts w:ascii="Arial" w:cs="Arial" w:eastAsia="Arial" w:hAnsi="Arial"/>
          <w:sz w:val="18"/>
          <w:szCs w:val="18"/>
          <w:b w:val="1"/>
          <w:bCs w:val="1"/>
          <w:color w:val="auto"/>
        </w:rPr>
        <w:t>Specific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317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317500"/>
                    </a:xfrm>
                    <a:prstGeom prst="rect">
                      <a:avLst/>
                    </a:prstGeom>
                    <a:noFill/>
                  </pic:spPr>
                </pic:pic>
              </a:graphicData>
            </a:graphic>
          </wp:anchor>
        </w:drawing>
      </w:r>
    </w:p>
    <w:p>
      <w:pPr>
        <w:spacing w:after="0" w:line="57" w:lineRule="exact"/>
        <w:rPr>
          <w:sz w:val="20"/>
          <w:szCs w:val="20"/>
          <w:color w:val="auto"/>
        </w:rPr>
      </w:pPr>
    </w:p>
    <w:p>
      <w:pPr>
        <w:ind w:left="2340" w:right="480" w:hanging="2281"/>
        <w:spacing w:after="0" w:line="277" w:lineRule="auto"/>
        <w:tabs>
          <w:tab w:leader="none" w:pos="2320" w:val="left"/>
        </w:tabs>
        <w:rPr>
          <w:sz w:val="20"/>
          <w:szCs w:val="20"/>
          <w:color w:val="auto"/>
        </w:rPr>
      </w:pPr>
      <w:r>
        <w:rPr>
          <w:rFonts w:ascii="Arial" w:cs="Arial" w:eastAsia="Arial" w:hAnsi="Arial"/>
          <w:sz w:val="18"/>
          <w:szCs w:val="18"/>
          <w:b w:val="1"/>
          <w:bCs w:val="1"/>
          <w:color w:val="auto"/>
        </w:rPr>
        <w:t>North America:</w:t>
      </w:r>
      <w:r>
        <w:rPr>
          <w:sz w:val="20"/>
          <w:szCs w:val="20"/>
          <w:color w:val="auto"/>
        </w:rPr>
        <w:tab/>
      </w:r>
      <w:r>
        <w:rPr>
          <w:rFonts w:ascii="Arial" w:cs="Arial" w:eastAsia="Arial" w:hAnsi="Arial"/>
          <w:sz w:val="18"/>
          <w:szCs w:val="18"/>
          <w:color w:val="auto"/>
        </w:rPr>
        <w:t>Greenville, Houston, Huntsville, Katy, Longview, Odessa, Pasadena, and San Antonio, Texas; Broussard and Schriever, Louisiana; Williston, North Dakota; and Calgary, Edmonton, and Nisku,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171450</wp:posOffset>
            </wp:positionV>
            <wp:extent cx="7229475" cy="283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283210"/>
                    </a:xfrm>
                    <a:prstGeom prst="rect">
                      <a:avLst/>
                    </a:prstGeom>
                    <a:noFill/>
                  </pic:spPr>
                </pic:pic>
              </a:graphicData>
            </a:graphic>
          </wp:anchor>
        </w:drawing>
      </w:r>
    </w:p>
    <w:p>
      <w:pPr>
        <w:spacing w:after="0" w:line="259"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b w:val="1"/>
          <w:bCs w:val="1"/>
          <w:color w:val="auto"/>
        </w:rPr>
        <w:t>Latin America:</w:t>
      </w:r>
      <w:r>
        <w:rPr>
          <w:sz w:val="20"/>
          <w:szCs w:val="20"/>
          <w:color w:val="auto"/>
        </w:rPr>
        <w:tab/>
      </w:r>
      <w:r>
        <w:rPr>
          <w:rFonts w:ascii="Arial" w:cs="Arial" w:eastAsia="Arial" w:hAnsi="Arial"/>
          <w:sz w:val="16"/>
          <w:szCs w:val="16"/>
          <w:color w:val="auto"/>
        </w:rPr>
        <w:t>Cutral Co, Argentina; Rio de Janeiro, Brazil; Venustiano Carranza and Villahermosa, Mexico; and Anaco, Venezuela.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317500</wp:posOffset>
            </wp:positionV>
            <wp:extent cx="7229475" cy="283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2832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40"/>
        <w:spacing w:after="0"/>
        <w:tabs>
          <w:tab w:leader="none" w:pos="2320" w:val="left"/>
        </w:tabs>
        <w:rPr>
          <w:sz w:val="20"/>
          <w:szCs w:val="20"/>
          <w:color w:val="auto"/>
        </w:rPr>
      </w:pPr>
      <w:r>
        <w:rPr>
          <w:rFonts w:ascii="Arial" w:cs="Arial" w:eastAsia="Arial" w:hAnsi="Arial"/>
          <w:sz w:val="18"/>
          <w:szCs w:val="18"/>
          <w:b w:val="1"/>
          <w:bCs w:val="1"/>
          <w:color w:val="auto"/>
        </w:rPr>
        <w:t>Europe/SSA/Russia:</w:t>
      </w:r>
      <w:r>
        <w:rPr>
          <w:sz w:val="20"/>
          <w:szCs w:val="20"/>
          <w:color w:val="auto"/>
        </w:rPr>
        <w:tab/>
      </w:r>
      <w:r>
        <w:rPr>
          <w:rFonts w:ascii="Arial" w:cs="Arial" w:eastAsia="Arial" w:hAnsi="Arial"/>
          <w:sz w:val="18"/>
          <w:szCs w:val="18"/>
          <w:color w:val="auto"/>
        </w:rPr>
        <w:t>Langenhagen, Germany; Aberdeen, UK; Atyrau, Kazakhstan; and Stavanger, Norway.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317500</wp:posOffset>
            </wp:positionV>
            <wp:extent cx="72294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340" w:right="60" w:hanging="2281"/>
        <w:spacing w:after="0" w:line="277" w:lineRule="auto"/>
        <w:tabs>
          <w:tab w:leader="none" w:pos="2320" w:val="left"/>
        </w:tabs>
        <w:rPr>
          <w:sz w:val="20"/>
          <w:szCs w:val="20"/>
          <w:color w:val="auto"/>
        </w:rPr>
      </w:pPr>
      <w:r>
        <w:rPr>
          <w:rFonts w:ascii="Arial" w:cs="Arial" w:eastAsia="Arial" w:hAnsi="Arial"/>
          <w:sz w:val="18"/>
          <w:szCs w:val="18"/>
          <w:b w:val="1"/>
          <w:bCs w:val="1"/>
          <w:color w:val="auto"/>
        </w:rPr>
        <w:t>MENA/Asia Pacific:</w:t>
      </w:r>
      <w:r>
        <w:rPr>
          <w:sz w:val="20"/>
          <w:szCs w:val="20"/>
          <w:color w:val="auto"/>
        </w:rPr>
        <w:tab/>
      </w:r>
      <w:r>
        <w:rPr>
          <w:rFonts w:ascii="Arial" w:cs="Arial" w:eastAsia="Arial" w:hAnsi="Arial"/>
          <w:sz w:val="18"/>
          <w:szCs w:val="18"/>
          <w:color w:val="auto"/>
        </w:rPr>
        <w:t>Hassi Messaoud, Algeria; Luanda, Angola; Dhahran, Saudi Arabia; North Rumaila, Iraq; Abu Dhabi and Dubai, United Arab Emirates; Jiangsu and Shifang, China; Barmer, India; and Singapore, Singapore.</w:t>
      </w:r>
    </w:p>
    <w:p>
      <w:pPr>
        <w:spacing w:after="0" w:line="20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headquarters are in Switzerland, with offices in Geneva and Baar, and we have corporate offices in Houston, Texas. We own or lease numerous other facilities such as service centers, shops and sales and administrative offices throughout the geographic regions in which we operate. All of our owned properties are unencumbered. We believe the facilities that we currently occupy are suitable for their intended 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ordinary course of business, we are the subject of various claims and litigation. We maintain insurance to cover many of our potential losses, and we are subject to various self-retention limits and deductibles with respect to our insurance.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Please see the following:</w:t>
      </w:r>
    </w:p>
    <w:p>
      <w:pPr>
        <w:spacing w:after="0" w:line="6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“Item 1. – Business – Other Business Data – Federal Regulation and Environmental Matters,” which is incorporated by reference into this item.</w:t>
      </w:r>
    </w:p>
    <w:p>
      <w:pPr>
        <w:spacing w:after="0" w:line="74"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“Item 1A. – Risk Factors – We have been the subject of governmental and internal investigations related to alleged corrupt conduct and violations of U.S. sanctioned country laws, which were costly to conduct, resulted in a loss of revenue and substantial financial penalties and created other disruptions for the business. If we are the subject of such investigations in the future, it could have a material adverse effect on our business, financial condition and results of operations,” which is incorporated by reference into this item.</w:t>
      </w:r>
    </w:p>
    <w:p>
      <w:pPr>
        <w:spacing w:after="0" w:line="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“Item 8. – Financial Statements and Supplementary Data – Notes to Consolidated Financial Statements – Note 21 – Disputes, Litigation and Contingencies.”</w:t>
      </w:r>
    </w:p>
    <w:p>
      <w:pPr>
        <w:spacing w:after="0" w:line="2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are subject to various on-going items of litigation, we do not believe it is probable that any of the items of litigation to which we are currently subject will result in any material uninsured losses to us. It is possible, however, that an unexpected judgment could be rendered against us, or we could decide to resolve a case or cases that would result in a liability that could be uninsured and beyond the amounts we currently have reserved and in some cases those losses could be 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9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ordinary shares are traded under the symbol “WFT” on the New York Stock Exchange (“NYSE”). As of February 9, 2016, there were 1,931 shareholders of record. The following table sets forth, for the periods indicated, the range of high and low sales prices per share for our stock as reported on the NYSE.</w:t>
      </w:r>
    </w:p>
    <w:p>
      <w:pPr>
        <w:spacing w:after="0" w:line="123"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Price</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High</w:t>
            </w: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jc w:val="right"/>
              <w:ind w:right="61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20"/>
              <w:spacing w:after="0"/>
              <w:rPr>
                <w:sz w:val="20"/>
                <w:szCs w:val="20"/>
                <w:color w:val="auto"/>
              </w:rPr>
            </w:pPr>
            <w:r>
              <w:rPr>
                <w:rFonts w:ascii="Arial" w:cs="Arial" w:eastAsia="Arial" w:hAnsi="Arial"/>
                <w:sz w:val="18"/>
                <w:szCs w:val="18"/>
                <w:color w:val="auto"/>
              </w:rPr>
              <w:t>Year ending December 31, 2015</w:t>
            </w:r>
          </w:p>
        </w:tc>
        <w:tc>
          <w:tcPr>
            <w:tcW w:w="1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First Quarter</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43"/>
        </w:trPr>
        <w:tc>
          <w:tcPr>
            <w:tcW w:w="606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1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14.91</w:t>
            </w:r>
          </w:p>
        </w:tc>
        <w:tc>
          <w:tcPr>
            <w:tcW w:w="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Third Quarter</w:t>
            </w: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12.35</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43"/>
        </w:trPr>
        <w:tc>
          <w:tcPr>
            <w:tcW w:w="606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1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11.49</w:t>
            </w:r>
          </w:p>
        </w:tc>
        <w:tc>
          <w:tcPr>
            <w:tcW w:w="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Year ending December 31, 2014</w:t>
            </w:r>
          </w:p>
        </w:tc>
        <w:tc>
          <w:tcPr>
            <w:tcW w:w="1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First Quarter</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17.53</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43"/>
        </w:trPr>
        <w:tc>
          <w:tcPr>
            <w:tcW w:w="6060" w:type="dxa"/>
            <w:vAlign w:val="bottom"/>
          </w:tcPr>
          <w:p>
            <w:pPr>
              <w:ind w:left="260"/>
              <w:spacing w:after="0"/>
              <w:rPr>
                <w:sz w:val="20"/>
                <w:szCs w:val="20"/>
                <w:color w:val="auto"/>
              </w:rPr>
            </w:pPr>
            <w:r>
              <w:rPr>
                <w:rFonts w:ascii="Arial" w:cs="Arial" w:eastAsia="Arial" w:hAnsi="Arial"/>
                <w:sz w:val="18"/>
                <w:szCs w:val="18"/>
                <w:color w:val="auto"/>
              </w:rPr>
              <w:t>Second Quarter</w:t>
            </w:r>
          </w:p>
        </w:tc>
        <w:tc>
          <w:tcPr>
            <w:tcW w:w="1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23.25</w:t>
            </w:r>
          </w:p>
        </w:tc>
        <w:tc>
          <w:tcPr>
            <w:tcW w:w="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16.68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Third Quarter</w:t>
            </w:r>
          </w:p>
        </w:tc>
        <w:tc>
          <w:tcPr>
            <w:tcW w:w="1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24.88</w:t>
            </w:r>
          </w:p>
        </w:tc>
        <w:tc>
          <w:tcPr>
            <w:tcW w:w="5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6060" w:type="dxa"/>
            <w:vAlign w:val="bottom"/>
          </w:tcPr>
          <w:p>
            <w:pPr>
              <w:ind w:left="260"/>
              <w:spacing w:after="0"/>
              <w:rPr>
                <w:sz w:val="20"/>
                <w:szCs w:val="20"/>
                <w:color w:val="auto"/>
              </w:rPr>
            </w:pPr>
            <w:r>
              <w:rPr>
                <w:rFonts w:ascii="Arial" w:cs="Arial" w:eastAsia="Arial" w:hAnsi="Arial"/>
                <w:sz w:val="18"/>
                <w:szCs w:val="18"/>
                <w:color w:val="auto"/>
              </w:rPr>
              <w:t>Fourth Quarter</w:t>
            </w:r>
          </w:p>
        </w:tc>
        <w:tc>
          <w:tcPr>
            <w:tcW w:w="116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20.89</w:t>
            </w:r>
          </w:p>
        </w:tc>
        <w:tc>
          <w:tcPr>
            <w:tcW w:w="52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February 9, 2016, the closing sales price of our shares as reported by the NYSE was $6.34 per share. We have not declared or paid cash dividends on our shares since 1984. We intend to retain any future earnings and do not expect to pay any cash dividends in the near future.</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conjunction with our 2014 redomestication, we amended our Executive Deferred Compensation Stock Ownership Plan to provide that benefits thereunder may be payable in cash in lieu of our shares of Weatherford. In 2014, the trustee for our executive deferred compensation plan, a consolidated subsidiary, sold 973,611 shares, at $22.41 per share, of our common stock totaling approximately $22 million in cash proceeds for the benefit of the plan participants.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concerning securities authorized for issuance under equity compensation plans is set forth in Part III of this report under “Item 12(d). – Securities Authorized for Issuance under Equity Compensation Plans,” which is incorporated by reference into this item.</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9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This graph compares the yearly cumulative return on our shares with the cumulative return on the Dow Jones U.S. Oil Equipment &amp; Services Index and the Dow Jones U.S. Index for the last five years. The graph assumes the value of the investment in our shares and each index was $100 on December 31, 2010. The stockholder return set forth below is not necessarily indicative of future performance. The following graph and related information shall not be deemed “soliciting material” or to be “filed” with the SEC, nor shall such information be incorporated by reference into any future filing under the Securities Act or the Exchange Act, except to the extent that we specifically incorporate it by reference into such filing.</w:t>
      </w:r>
    </w:p>
    <w:p>
      <w:pPr>
        <w:spacing w:after="0" w:line="173"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Comparison of Five-Year Cumulative Total Return</w:t>
      </w:r>
    </w:p>
    <w:p>
      <w:pPr>
        <w:spacing w:after="0" w:line="28"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Weatherford ordinary shares, the Dow Jones U.S.</w:t>
      </w:r>
    </w:p>
    <w:p>
      <w:pPr>
        <w:spacing w:after="0" w:line="4"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Oil Equipment and Services Index and</w:t>
      </w:r>
    </w:p>
    <w:p>
      <w:pPr>
        <w:spacing w:after="0" w:line="4"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the Dow Jones U.S.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30480</wp:posOffset>
            </wp:positionV>
            <wp:extent cx="5025390" cy="45707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25390" cy="457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9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8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following table sets forth certain selected historical consolidated financial data and should be read in conjunction with “Item 7. – Management’s Discussion and Analysis of Financial Condition and Results of Operations” and “Item 8. – Financial Statements and Supplementary Data,” which contain information on the comparability of the selected financial data and are both contained in this report. Discussion of material uncertainties is included in “Item</w:t>
      </w:r>
    </w:p>
    <w:p>
      <w:pPr>
        <w:ind w:firstLine="8"/>
        <w:spacing w:after="0" w:line="261" w:lineRule="auto"/>
        <w:tabs>
          <w:tab w:leader="none" w:pos="191" w:val="left"/>
        </w:tabs>
        <w:numPr>
          <w:ilvl w:val="0"/>
          <w:numId w:val="8"/>
        </w:numPr>
        <w:rPr>
          <w:rFonts w:ascii="Arial" w:cs="Arial" w:eastAsia="Arial" w:hAnsi="Arial"/>
          <w:sz w:val="18"/>
          <w:szCs w:val="18"/>
          <w:color w:val="auto"/>
        </w:rPr>
      </w:pPr>
      <w:r>
        <w:rPr>
          <w:rFonts w:ascii="Arial" w:cs="Arial" w:eastAsia="Arial" w:hAnsi="Arial"/>
          <w:sz w:val="18"/>
          <w:szCs w:val="18"/>
          <w:color w:val="auto"/>
        </w:rPr>
        <w:t>– Financial Statements and Supplementary Data – Notes to Consolidated Financial Statements – Note 21 – Disputes, Litigation and Contingencies.” The following information may not be indicative of our future operating results.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 except per share amounts)</w:t>
            </w:r>
          </w:p>
        </w:tc>
        <w:tc>
          <w:tcPr>
            <w:tcW w:w="30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400" w:type="dxa"/>
            <w:vAlign w:val="bottom"/>
          </w:tcPr>
          <w:p>
            <w:pPr>
              <w:spacing w:after="0"/>
              <w:rPr>
                <w:sz w:val="20"/>
                <w:szCs w:val="20"/>
                <w:color w:val="auto"/>
              </w:rPr>
            </w:pPr>
          </w:p>
        </w:tc>
        <w:tc>
          <w:tcPr>
            <w:tcW w:w="9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7"/>
        </w:trPr>
        <w:tc>
          <w:tcPr>
            <w:tcW w:w="46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Statements of Operations Data:</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9,433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14,911</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15,263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15,215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12,988</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(1,546)</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505</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523</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298</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1,307</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Net Income (Loss) Attributable to Weatherford</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(1,985)</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(584)</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(778)</w:t>
            </w:r>
          </w:p>
        </w:tc>
        <w:tc>
          <w:tcPr>
            <w:tcW w:w="3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189</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Basic Earnings (Loss) Per Share Attributable To Weatherford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w w:val="92"/>
              </w:rPr>
              <w:t>Diluted Earnings (Loss) Per Share Attributable To Weatherford</w:t>
            </w:r>
          </w:p>
        </w:tc>
        <w:tc>
          <w:tcPr>
            <w:tcW w:w="3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(2.55)</w:t>
            </w:r>
          </w:p>
        </w:tc>
        <w:tc>
          <w:tcPr>
            <w:tcW w:w="3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(0.75)</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0.25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324"/>
        </w:trPr>
        <w:tc>
          <w:tcPr>
            <w:tcW w:w="4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Balance Sheet Data:</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14,787</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18,889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21,977</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22,795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21,051</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w w:val="93"/>
              </w:rPr>
              <w:t>Short-term Borrowings and Current Portion of Long-term Debt</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1,582</w:t>
            </w:r>
          </w:p>
        </w:tc>
        <w:tc>
          <w:tcPr>
            <w:tcW w:w="3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727</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1,653</w:t>
            </w:r>
          </w:p>
        </w:tc>
        <w:tc>
          <w:tcPr>
            <w:tcW w:w="4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1,585</w:t>
            </w:r>
          </w:p>
        </w:tc>
        <w:tc>
          <w:tcPr>
            <w:tcW w:w="3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1,320</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5,879</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6,798</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7,061</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7,049</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6,286</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30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4,365</w:t>
            </w:r>
          </w:p>
        </w:tc>
        <w:tc>
          <w:tcPr>
            <w:tcW w:w="3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7,033</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8,203</w:t>
            </w:r>
          </w:p>
        </w:tc>
        <w:tc>
          <w:tcPr>
            <w:tcW w:w="40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8,818</w:t>
            </w:r>
          </w:p>
        </w:tc>
        <w:tc>
          <w:tcPr>
            <w:tcW w:w="3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9,345</w:t>
            </w:r>
          </w:p>
        </w:tc>
      </w:tr>
      <w:tr>
        <w:trPr>
          <w:trHeight w:val="27"/>
        </w:trPr>
        <w:tc>
          <w:tcPr>
            <w:tcW w:w="4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729"/>
        </w:trPr>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used herein, the “Company,” “we,” “us” and “our” refer to Weatherford International plc (“Weatherford Ireland”), a public limited company organized under the laws of Ireland, and its subsidiaries on a consolidated basis, or for periods prior to June 17, 2014, to our predecessor, Weatherford International Ltd. (“Weatherford Switzerland”), a Swiss joint-stock corporation and its subsidiaries on a consolidated basis.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Notes thereto included in “Item 8. – Financial Statements and Supplementary Data.” Our discussion includes various forward-looking statements about our markets, the demand for our products and services and our future results. These statements include certain risks and uncertainties. For information about these risks and uncertainties, refer to the section entitled “Forward-Looking Statements” and the section entitled “Item 1A. –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over 100 countries and have service and sales locations in nearly all of the oil and natural gas producing regions in the world. Our operational performance is reviewed on a geographic basis, and we report the following regions as separate, distinct reporting segments: North America, MENA/Asia Pacific, Europe/SSA/Russia, Latin America and Land Drilling Rigs.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principally provide products, equipment and services to the oil and natural gas exploration and production industry, both on land and offshore, through our three business groups: (1) Formation Evaluation and Well Construction and (2) Completion and Production, and (3) Land Drilling Rigs, which together include 14 product lines.</w:t>
      </w:r>
    </w:p>
    <w:p>
      <w:pPr>
        <w:spacing w:after="0" w:line="181" w:lineRule="exact"/>
        <w:rPr>
          <w:sz w:val="20"/>
          <w:szCs w:val="20"/>
          <w:color w:val="auto"/>
        </w:rPr>
      </w:pPr>
    </w:p>
    <w:p>
      <w:pPr>
        <w:jc w:val="both"/>
        <w:ind w:left="840" w:hanging="332"/>
        <w:spacing w:after="0" w:line="264"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Formation Evaluation and Well Construction </w:t>
      </w:r>
      <w:r>
        <w:rPr>
          <w:rFonts w:ascii="Arial" w:cs="Arial" w:eastAsia="Arial" w:hAnsi="Arial"/>
          <w:sz w:val="18"/>
          <w:szCs w:val="18"/>
          <w:color w:val="auto"/>
        </w:rPr>
        <w:t>includes Managed-Pressure Drilling, Drilling Services, Tubular Running Services, Drilling Tools,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Wireline Services, Testing and Production Services, Re-entry and Fishing, Cementing, Liner Systems, Integrated Laboratory Services and Surface Logging.</w:t>
      </w:r>
    </w:p>
    <w:p>
      <w:pPr>
        <w:spacing w:after="0" w:line="181" w:lineRule="exact"/>
        <w:rPr>
          <w:rFonts w:ascii="Arial" w:cs="Arial" w:eastAsia="Arial" w:hAnsi="Arial"/>
          <w:sz w:val="18"/>
          <w:szCs w:val="18"/>
          <w:color w:val="auto"/>
        </w:rPr>
      </w:pPr>
    </w:p>
    <w:p>
      <w:pPr>
        <w:ind w:left="840" w:hanging="3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 and Production </w:t>
      </w:r>
      <w:r>
        <w:rPr>
          <w:rFonts w:ascii="Arial" w:cs="Arial" w:eastAsia="Arial" w:hAnsi="Arial"/>
          <w:sz w:val="18"/>
          <w:szCs w:val="18"/>
          <w:color w:val="auto"/>
        </w:rPr>
        <w:t>includes Artificial Lift Systems, Stimulation and Completion Systems.</w:t>
      </w:r>
    </w:p>
    <w:p>
      <w:pPr>
        <w:spacing w:after="0" w:line="225" w:lineRule="exact"/>
        <w:rPr>
          <w:rFonts w:ascii="Arial" w:cs="Arial" w:eastAsia="Arial" w:hAnsi="Arial"/>
          <w:sz w:val="18"/>
          <w:szCs w:val="18"/>
          <w:color w:val="auto"/>
        </w:rPr>
      </w:pPr>
    </w:p>
    <w:p>
      <w:pPr>
        <w:ind w:left="840" w:hanging="332"/>
        <w:spacing w:after="0"/>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Land Drilling Rigs </w:t>
      </w:r>
      <w:r>
        <w:rPr>
          <w:rFonts w:ascii="Arial" w:cs="Arial" w:eastAsia="Arial" w:hAnsi="Arial"/>
          <w:sz w:val="18"/>
          <w:szCs w:val="18"/>
          <w:color w:val="auto"/>
        </w:rPr>
        <w:t>encompasses our land drilling business, including the products and services ancillary thereto.</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sell our products and services separately or may bundle them together to provide integrated solutions up to, and including, integrated well construction where we are responsible for the entire process of drilling, constructing and completing a well. Our customers include both exploration and production companies and other oilfield service companies. Depending on the service line, customer and location, our contracts vary in their terms, provisions and indemnities. We earn revenues under our contracts when products are delivered and services are performed. Typically, we provide products and services at a well site where our personnel and equipment may be located together with personnel and equipment of our customer and third parties, such as other service providers. Our services are usually short-term in nature, day-rate based and cancellable should our customer wish to alter the scope of work. Consequently, our backlog of firm orders is not material to the Company.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225"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In the first quarter of 2015, we changed our business structure to better align with management’s current view and future growth objectives. This change involved separating our Land Drilling Rigs business into a reportable segment resulting in a total of five reportable segments which are North America, MENA/Asia Pacific, Europe/SSA/Russia, Latin America and Land Drilling Rigs. We have recast prior periods to conform to the current business segment presentation. See “Note 23 – Segment Information” for additional information.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9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left="60" w:firstLine="324"/>
        <w:spacing w:after="0" w:line="297" w:lineRule="auto"/>
        <w:rPr>
          <w:sz w:val="20"/>
          <w:szCs w:val="20"/>
          <w:color w:val="auto"/>
        </w:rPr>
      </w:pPr>
      <w:r>
        <w:rPr>
          <w:rFonts w:ascii="Arial" w:cs="Arial" w:eastAsia="Arial" w:hAnsi="Arial"/>
          <w:sz w:val="16"/>
          <w:szCs w:val="16"/>
          <w:color w:val="auto"/>
        </w:rPr>
        <w:t>Throughout 2014, we successfully disposed of several of our non-core businesses and an equity investment. We received cash proceeds totaling approximately $1.7 billion from these dispositions and used approximately $1.2 billion of the proceeds to reduce debt. For the year ended December 31, 2014, we recognized a gain on these dispositions of $349 million. Dispositions in 2014 included our land drilling and workover rig operations in Russia and Venezuela, pipeline and specialty services business, engineered chemistry and Integrity drilling fluids businesses and the disposal of all our shares in Proserv. See “Note 2 – Business Combinations and Divestitures” for additional information. In 2015, we did not complete any material dispositions.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 Impairments and Other Related Charges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2015, the continued weakness in crude oil prices contributed to lower exploration and production spending and a decline in the utilization of our land drilling rigs and certain U.S. asset groups. Based on our impairment tests, we recognized total long-lived impairment charges of $638 million in 2015 with $383 million related to pressure pumping, drilling tools and wireline assets in the U.S. and $255 million related to Land Drilling Rigs segment assets. In 2015, we also recognized $130 million related to supply agreement charges in our North America segment. These long-lived asset impairments and other related charges are reported as “Long-Lived Asset Impairments and Other Related Charges” on our Consolidated Statements of Operations. In connection with our long-lived asset impairments in 2015, we prepared an analysis to determine the fair value of our equity method investments. We assessed these declines in value as other than temporary and recognized an impairment loss of $25 million.</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 ended December 31, 2014, we had total non-cash asset impairment charges of $656 million. In the fourth quarter of 2014, we recognized a long-lived asset impairment of $352 million and a $40 million goodwill impairment charge to adjust the assets of our Land Drilling Rig business to fair value. In the second and third quarters of 2014, as a result of our commitment to sell our land drilling and workover rig operations in Russia and Venezuela, we recorded a $143 million long-lived asset impairment loss and a $121 million goodwill impairment loss.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8 – Long-lived Asset Impairments” and “Note 9 – Goodwill” for additional information regarding the long-lived, other asset and goodwill impairments.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 Settlement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June 30, 2015, we settled a purported securities class action for $120 million in exchange for the dismissal with prejudice of the litigation and the unconditional release of all claims captioned </w:t>
      </w:r>
      <w:r>
        <w:rPr>
          <w:rFonts w:ascii="Arial" w:cs="Arial" w:eastAsia="Arial" w:hAnsi="Arial"/>
          <w:sz w:val="18"/>
          <w:szCs w:val="18"/>
          <w:i w:val="1"/>
          <w:iCs w:val="1"/>
          <w:color w:val="auto"/>
        </w:rPr>
        <w:t>Freedman v. Weatherford International Ltd., et al.</w:t>
      </w:r>
      <w:r>
        <w:rPr>
          <w:rFonts w:ascii="Arial" w:cs="Arial" w:eastAsia="Arial" w:hAnsi="Arial"/>
          <w:sz w:val="18"/>
          <w:szCs w:val="18"/>
          <w:color w:val="auto"/>
        </w:rPr>
        <w:t>, that was filed in the Southern District of New York against us and certain current and former officers in March 2012. The settlement agreement was subject to notice to the class, approval by the U.S. District Court for the Southern District of New York and other conditions and was paid into escrow in August 2015. We are pursuing reimbursement from our insurance carriers and recovered $15 million of the settlement amount in the fourth quarter of 2015. See “Note 21 – Disputes, Litigation and Contingencies” for additional information.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level of spending in the energy industry is heavily influenced by changes in the current and expected future prices of oil and natural gas. Changes in expenditures result in an increased or decreased demand for our products and services. Rig count is an indicator of the level of spending for the exploration for and production of oil and natural gas reserves. The following chart sets forth certain statistics that reflect historical market conditions: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0" w:type="dxa"/>
            <w:vAlign w:val="bottom"/>
          </w:tcPr>
          <w:p>
            <w:pPr>
              <w:jc w:val="center"/>
              <w:ind w:right="410"/>
              <w:spacing w:after="0"/>
              <w:rPr>
                <w:sz w:val="20"/>
                <w:szCs w:val="20"/>
                <w:color w:val="auto"/>
              </w:rPr>
            </w:pPr>
            <w:r>
              <w:rPr>
                <w:rFonts w:ascii="Arial" w:cs="Arial" w:eastAsia="Arial" w:hAnsi="Arial"/>
                <w:sz w:val="18"/>
                <w:szCs w:val="18"/>
                <w:b w:val="1"/>
                <w:bCs w:val="1"/>
                <w:color w:val="auto"/>
                <w:w w:val="95"/>
              </w:rPr>
              <w:t>North</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00" w:type="dxa"/>
            <w:vAlign w:val="bottom"/>
          </w:tcPr>
          <w:p>
            <w:pPr>
              <w:jc w:val="center"/>
              <w:ind w:right="390"/>
              <w:spacing w:after="0"/>
              <w:rPr>
                <w:sz w:val="20"/>
                <w:szCs w:val="20"/>
                <w:color w:val="auto"/>
              </w:rPr>
            </w:pPr>
            <w:r>
              <w:rPr>
                <w:rFonts w:ascii="Arial" w:cs="Arial" w:eastAsia="Arial" w:hAnsi="Arial"/>
                <w:sz w:val="18"/>
                <w:szCs w:val="18"/>
                <w:b w:val="1"/>
                <w:bCs w:val="1"/>
                <w:color w:val="auto"/>
                <w:w w:val="92"/>
              </w:rPr>
              <w:t>American</w:t>
            </w:r>
          </w:p>
        </w:tc>
        <w:tc>
          <w:tcPr>
            <w:tcW w:w="2280" w:type="dxa"/>
            <w:vAlign w:val="bottom"/>
          </w:tcPr>
          <w:p>
            <w:pPr>
              <w:jc w:val="right"/>
              <w:ind w:right="430"/>
              <w:spacing w:after="0"/>
              <w:rPr>
                <w:sz w:val="20"/>
                <w:szCs w:val="20"/>
                <w:color w:val="auto"/>
              </w:rPr>
            </w:pPr>
            <w:r>
              <w:rPr>
                <w:rFonts w:ascii="Arial" w:cs="Arial" w:eastAsia="Arial" w:hAnsi="Arial"/>
                <w:sz w:val="18"/>
                <w:szCs w:val="18"/>
                <w:b w:val="1"/>
                <w:bCs w:val="1"/>
                <w:color w:val="auto"/>
              </w:rPr>
              <w:t>International Rig</w:t>
            </w:r>
          </w:p>
        </w:tc>
      </w:tr>
      <w:tr>
        <w:trPr>
          <w:trHeight w:val="261"/>
        </w:trPr>
        <w:tc>
          <w:tcPr>
            <w:tcW w:w="230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tcPr>
          <w:p>
            <w:pPr>
              <w:jc w:val="right"/>
              <w:ind w:right="550"/>
              <w:spacing w:after="0" w:line="262" w:lineRule="exact"/>
              <w:rPr>
                <w:sz w:val="20"/>
                <w:szCs w:val="20"/>
                <w:color w:val="auto"/>
              </w:rPr>
            </w:pPr>
            <w:r>
              <w:rPr>
                <w:rFonts w:ascii="Arial" w:cs="Arial" w:eastAsia="Arial" w:hAnsi="Arial"/>
                <w:sz w:val="18"/>
                <w:szCs w:val="18"/>
                <w:b w:val="1"/>
                <w:bCs w:val="1"/>
                <w:color w:val="auto"/>
                <w:w w:val="98"/>
              </w:rPr>
              <w:t xml:space="preserve">Henry Hub Gas </w:t>
            </w:r>
            <w:r>
              <w:rPr>
                <w:rFonts w:ascii="Arial" w:cs="Arial" w:eastAsia="Arial" w:hAnsi="Arial"/>
                <w:sz w:val="25"/>
                <w:szCs w:val="25"/>
                <w:b w:val="1"/>
                <w:bCs w:val="1"/>
                <w:color w:val="auto"/>
                <w:w w:val="98"/>
                <w:vertAlign w:val="superscript"/>
              </w:rPr>
              <w:t>(b)</w:t>
            </w:r>
          </w:p>
        </w:tc>
        <w:tc>
          <w:tcPr>
            <w:tcW w:w="2200" w:type="dxa"/>
            <w:vAlign w:val="bottom"/>
            <w:tcBorders>
              <w:bottom w:val="single" w:sz="8" w:color="auto"/>
            </w:tcBorders>
          </w:tcPr>
          <w:p>
            <w:pPr>
              <w:jc w:val="center"/>
              <w:ind w:right="41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2280" w:type="dxa"/>
            <w:vAlign w:val="bottom"/>
            <w:tcBorders>
              <w:bottom w:val="single" w:sz="8" w:color="auto"/>
            </w:tcBorders>
          </w:tcPr>
          <w:p>
            <w:pPr>
              <w:jc w:val="right"/>
              <w:ind w:right="77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2300" w:type="dxa"/>
            <w:vAlign w:val="bottom"/>
            <w:tcBorders>
              <w:bottom w:val="single" w:sz="8" w:color="CCEEFF"/>
            </w:tcBorders>
            <w:shd w:val="clear" w:color="auto" w:fill="CCEEFF"/>
          </w:tcPr>
          <w:p>
            <w:pPr>
              <w:jc w:val="right"/>
              <w:ind w:right="1810"/>
              <w:spacing w:after="0"/>
              <w:rPr>
                <w:sz w:val="20"/>
                <w:szCs w:val="20"/>
                <w:color w:val="auto"/>
              </w:rPr>
            </w:pPr>
            <w:r>
              <w:rPr>
                <w:rFonts w:ascii="Arial" w:cs="Arial" w:eastAsia="Arial" w:hAnsi="Arial"/>
                <w:sz w:val="18"/>
                <w:szCs w:val="18"/>
                <w:color w:val="auto"/>
                <w:w w:val="94"/>
              </w:rPr>
              <w:t>2015</w:t>
            </w:r>
          </w:p>
        </w:tc>
        <w:tc>
          <w:tcPr>
            <w:tcW w:w="1520" w:type="dxa"/>
            <w:vAlign w:val="bottom"/>
            <w:tcBorders>
              <w:bottom w:val="single" w:sz="8" w:color="CCEEFF"/>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37.04</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2.36</w:t>
            </w:r>
          </w:p>
        </w:tc>
        <w:tc>
          <w:tcPr>
            <w:tcW w:w="2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910</w:t>
            </w:r>
          </w:p>
        </w:tc>
        <w:tc>
          <w:tcPr>
            <w:tcW w:w="2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r>
      <w:tr>
        <w:trPr>
          <w:trHeight w:val="243"/>
        </w:trPr>
        <w:tc>
          <w:tcPr>
            <w:tcW w:w="2300" w:type="dxa"/>
            <w:vAlign w:val="bottom"/>
          </w:tcPr>
          <w:p>
            <w:pPr>
              <w:jc w:val="right"/>
              <w:ind w:right="1810"/>
              <w:spacing w:after="0"/>
              <w:rPr>
                <w:sz w:val="20"/>
                <w:szCs w:val="20"/>
                <w:color w:val="auto"/>
              </w:rPr>
            </w:pPr>
            <w:r>
              <w:rPr>
                <w:rFonts w:ascii="Arial" w:cs="Arial" w:eastAsia="Arial" w:hAnsi="Arial"/>
                <w:sz w:val="18"/>
                <w:szCs w:val="18"/>
                <w:color w:val="auto"/>
                <w:w w:val="94"/>
              </w:rPr>
              <w:t>2014</w:t>
            </w:r>
          </w:p>
        </w:tc>
        <w:tc>
          <w:tcPr>
            <w:tcW w:w="152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53.27</w:t>
            </w:r>
          </w:p>
        </w:tc>
        <w:tc>
          <w:tcPr>
            <w:tcW w:w="340" w:type="dxa"/>
            <w:vAlign w:val="bottom"/>
          </w:tcPr>
          <w:p>
            <w:pPr>
              <w:spacing w:after="0"/>
              <w:rPr>
                <w:sz w:val="21"/>
                <w:szCs w:val="21"/>
                <w:color w:val="auto"/>
              </w:rPr>
            </w:pPr>
          </w:p>
        </w:tc>
        <w:tc>
          <w:tcPr>
            <w:tcW w:w="2200" w:type="dxa"/>
            <w:vAlign w:val="bottom"/>
          </w:tcPr>
          <w:p>
            <w:pPr>
              <w:jc w:val="right"/>
              <w:ind w:right="290"/>
              <w:spacing w:after="0"/>
              <w:rPr>
                <w:sz w:val="20"/>
                <w:szCs w:val="20"/>
                <w:color w:val="auto"/>
              </w:rPr>
            </w:pPr>
            <w:r>
              <w:rPr>
                <w:rFonts w:ascii="Arial" w:cs="Arial" w:eastAsia="Arial" w:hAnsi="Arial"/>
                <w:sz w:val="18"/>
                <w:szCs w:val="18"/>
                <w:color w:val="auto"/>
              </w:rPr>
              <w:t>2.90</w:t>
            </w:r>
          </w:p>
        </w:tc>
        <w:tc>
          <w:tcPr>
            <w:tcW w:w="2200" w:type="dxa"/>
            <w:vAlign w:val="bottom"/>
          </w:tcPr>
          <w:p>
            <w:pPr>
              <w:jc w:val="right"/>
              <w:ind w:right="350"/>
              <w:spacing w:after="0"/>
              <w:rPr>
                <w:sz w:val="20"/>
                <w:szCs w:val="20"/>
                <w:color w:val="auto"/>
              </w:rPr>
            </w:pPr>
            <w:r>
              <w:rPr>
                <w:rFonts w:ascii="Arial" w:cs="Arial" w:eastAsia="Arial" w:hAnsi="Arial"/>
                <w:sz w:val="18"/>
                <w:szCs w:val="18"/>
                <w:color w:val="auto"/>
              </w:rPr>
              <w:t>2,294</w:t>
            </w: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1,315</w:t>
            </w:r>
          </w:p>
        </w:tc>
      </w:tr>
      <w:tr>
        <w:trPr>
          <w:trHeight w:val="27"/>
        </w:trPr>
        <w:tc>
          <w:tcPr>
            <w:tcW w:w="2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23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w w:val="94"/>
              </w:rPr>
              <w:t>2013</w:t>
            </w:r>
          </w:p>
        </w:tc>
        <w:tc>
          <w:tcPr>
            <w:tcW w:w="15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98.42</w:t>
            </w:r>
          </w:p>
        </w:tc>
        <w:tc>
          <w:tcPr>
            <w:tcW w:w="340" w:type="dxa"/>
            <w:vAlign w:val="bottom"/>
            <w:shd w:val="clear" w:color="auto" w:fill="CCEEFF"/>
          </w:tcPr>
          <w:p>
            <w:pPr>
              <w:spacing w:after="0"/>
              <w:rPr>
                <w:sz w:val="21"/>
                <w:szCs w:val="21"/>
                <w:color w:val="auto"/>
              </w:rPr>
            </w:pPr>
          </w:p>
        </w:tc>
        <w:tc>
          <w:tcPr>
            <w:tcW w:w="22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4.19</w:t>
            </w:r>
          </w:p>
        </w:tc>
        <w:tc>
          <w:tcPr>
            <w:tcW w:w="22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2,129</w:t>
            </w:r>
          </w:p>
        </w:tc>
        <w:tc>
          <w:tcPr>
            <w:tcW w:w="2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1,320</w:t>
            </w:r>
          </w:p>
        </w:tc>
      </w:tr>
      <w:tr>
        <w:trPr>
          <w:trHeight w:val="27"/>
        </w:trPr>
        <w:tc>
          <w:tcPr>
            <w:tcW w:w="23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ind w:left="500" w:hanging="330"/>
        <w:spacing w:after="0"/>
        <w:tabs>
          <w:tab w:leader="none" w:pos="5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Price per barrel of West Texas Intermediate (“WTI”) crude oil as of the last business day of the year indicated at Cushing Oklahoma – Source: Thomson Reuters</w:t>
      </w:r>
    </w:p>
    <w:p>
      <w:pPr>
        <w:spacing w:after="0" w:line="20" w:lineRule="exact"/>
        <w:rPr>
          <w:rFonts w:ascii="Arial" w:cs="Arial" w:eastAsia="Arial" w:hAnsi="Arial"/>
          <w:sz w:val="15"/>
          <w:szCs w:val="15"/>
          <w:color w:val="auto"/>
        </w:rPr>
      </w:pPr>
    </w:p>
    <w:p>
      <w:pPr>
        <w:ind w:left="500" w:hanging="330"/>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Price per MM/BTU as of the last business day of the year indicated at Henry Hub Louisiana – Source: Thomson Reuters</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Average rig count for the fourth quarter – Source: Baker Hughes Rig Count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9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Oil prices fluctuated during 2015, ranging from a high of $61.82 per barrel in mid-June to a low of $35.81 per barrel in late December. Natural gas ranged from a high of $3.21 MM/BTU in mid-January to a low of $1.95 MM/BTU in mid-December. As recently as February 2016, a barrel of WTI crude oil traded below $27.00 per barrel on the New York Mercantile Exchange. Factors influencing oil and natural gas prices during the period include hydrocarbon inventory levels, realized and expected global economic growth, realized and expected levels of hydrocarbon demand, the level of production capacity, weather and geopolitical uncertainty.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entered into 2015 challenged by a steep decline in oil prices with a severe market contraction. This decline has materially reduced capital spending by our customers which has reduced our revenue, both through lower activity levels and pricing. In 2015, we completed a reduction in force targeting 14,000 employee positions and realized annualized cost savings of $973 million from this cost reduction initiative. In response to the continued significant decline in the price of crude oil and the continued decline in the anticipated level of exploration and production spending in 2016, we initiated another plan to continue reducing our cost structure through a workforce reduction of 6,000 additional employees that we expect to complete by the first half of 2016. Our 2016 capital expenditures are also expected to be significantly reduced to approximately $300 million, which is 56% lower than our 2015 capital spending.</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closed approximately 90 operating facilities across North America as of December 31, 2015. In addition to our headcount and operating facility reductions, we have closed six of our manufacturing and service facilities during 2015 and plan additional closures of 9 manufacturing and service facilities during 2016.</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expect market conditions to continue to weaken during the first half of 2016 with the potential for a slight recovery during the second half of the year if commodity prices stabilize. North America will continue to be severely impacted by both lower volume and pricing pressure as our customers continue to respond to the decline in commodity prices. We expect Latin America to show contraction in Mexico, Colombia and Brazil from lower activity levels as well as self-imposed reductions in Ecuador and Venezuela. We expect the Eastern Hemisphere to also show further reductions in all markets due to volume declines and pricing pressure.</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Over the longer term, we believe the outlook for our core businesses is favorable. As well production decline rates accelerate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and therefore increase demand for our products and services. These factors provide us with a positive outlook for our core businesses over the longer term. However, the level of improvement in our core businesses in the future will depend heavily on pricing, volume of work and our ability to offer solutions to more efficiently extract hydrocarbons, control costs and penetrate new and existing markets with our newly developed technologies.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continually seek opportunities to maximize efficiency and value through various transactions, including purchases or dispositions of assets, businesses, investments or joint ventures. We evaluate our disposition candidates based on the strategic fit within our business and/or objectives. It is also our intention to divest our remaining land drilling rigs when market conditions improve. Upon completion, the cash proceeds from any divestitures are expected to be used to repay or repurchase debt. Any such debt reduction may include the repurchase of our outstanding senior notes prior to their maturity in the open market, privately negotiated transaction or otherwise.</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OPEC and weather conditions and other factors, including those described in the section entitled “Forward-Looking Statements” and the section entitled “Item 1A. – Risk Factors.”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industry offers many opportunities and challenges. The cyclicality of the energy industry impacts the demand for our products and services. Certain of our products and services, such as our drilling and evaluation services, well installation services and well completion services, depend on the level of exploration and development activity and the completion phase of the well life cycle. Other products and services, such as our production optimization and artificial lift systems, are dependent on production activity. We have created a long-term strategy aimed at growing our businesses, servicing our customers, and most importantly, creating value for our shareholders. The success of our long-term strategy will be determined by our ability to manage effectively any industry cyclicality, respond to industry demands and periods of over-supply or low oil prices, successfully maximize the benefits from our acquisitions and complete the disposition of our land drilling rigs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39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Results of Operations</w:t>
      </w:r>
    </w:p>
    <w:p>
      <w:pPr>
        <w:spacing w:after="0" w:line="13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 contains selected financial data comparing our consolidated and segment results from operations for 2015, 2014 and 2013. See “Notes to Consolidated Financial Statements – Note 23 – Segment Information” for additional information regarding variances in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50800</wp:posOffset>
            </wp:positionV>
            <wp:extent cx="4142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42105" cy="889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Percentage Change</w:t>
            </w:r>
          </w:p>
        </w:tc>
      </w:tr>
      <w:tr>
        <w:trPr>
          <w:trHeight w:val="270"/>
        </w:trPr>
        <w:tc>
          <w:tcPr>
            <w:tcW w:w="4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Favorable (Unfavorable)</w:t>
            </w:r>
          </w:p>
        </w:tc>
      </w:tr>
      <w:tr>
        <w:trPr>
          <w:trHeight w:val="27"/>
        </w:trPr>
        <w:tc>
          <w:tcPr>
            <w:tcW w:w="4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ind w:left="80"/>
              <w:spacing w:after="0"/>
              <w:rPr>
                <w:sz w:val="20"/>
                <w:szCs w:val="20"/>
                <w:color w:val="auto"/>
              </w:rPr>
            </w:pPr>
            <w:r>
              <w:rPr>
                <w:rFonts w:ascii="Arial" w:cs="Arial" w:eastAsia="Arial" w:hAnsi="Arial"/>
                <w:sz w:val="16"/>
                <w:szCs w:val="16"/>
                <w:b w:val="1"/>
                <w:bCs w:val="1"/>
                <w:i w:val="1"/>
                <w:iCs w:val="1"/>
                <w:color w:val="auto"/>
              </w:rPr>
              <w:t>(Dollars in millions, except per share data)</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 vs 2014</w:t>
            </w: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rPr>
              <w:t>2014 vs 2013</w:t>
            </w:r>
          </w:p>
        </w:tc>
      </w:tr>
      <w:tr>
        <w:trPr>
          <w:trHeight w:val="27"/>
        </w:trPr>
        <w:tc>
          <w:tcPr>
            <w:tcW w:w="4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North America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6,852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6,390</w:t>
            </w:r>
          </w:p>
        </w:tc>
        <w:tc>
          <w:tcPr>
            <w:tcW w:w="1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13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MENA/Asia Pacific</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Europe/SSA/Russia</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134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2,635</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4900" w:type="dxa"/>
            <w:vAlign w:val="bottom"/>
          </w:tcPr>
          <w:p>
            <w:pPr>
              <w:ind w:left="280"/>
              <w:spacing w:after="0"/>
              <w:rPr>
                <w:sz w:val="20"/>
                <w:szCs w:val="20"/>
                <w:color w:val="auto"/>
              </w:rPr>
            </w:pPr>
            <w:r>
              <w:rPr>
                <w:rFonts w:ascii="Arial" w:cs="Arial" w:eastAsia="Arial" w:hAnsi="Arial"/>
                <w:sz w:val="18"/>
                <w:szCs w:val="18"/>
                <w:color w:val="auto"/>
              </w:rPr>
              <w:t>Subtotal</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8,720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13,669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13,718</w:t>
            </w:r>
          </w:p>
        </w:tc>
        <w:tc>
          <w:tcPr>
            <w:tcW w:w="100" w:type="dxa"/>
            <w:vAlign w:val="bottom"/>
            <w:tcBorders>
              <w:top w:val="single" w:sz="8" w:color="auto"/>
            </w:tcBorders>
          </w:tcPr>
          <w:p>
            <w:pPr>
              <w:spacing w:after="0"/>
              <w:rPr>
                <w:sz w:val="20"/>
                <w:szCs w:val="20"/>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(36)%</w:t>
            </w: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Drilling Rigs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1,545</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9,433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14,911</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15,263</w:t>
            </w:r>
          </w:p>
        </w:tc>
        <w:tc>
          <w:tcPr>
            <w:tcW w:w="100" w:type="dxa"/>
            <w:vAlign w:val="bottom"/>
          </w:tcPr>
          <w:p>
            <w:pPr>
              <w:spacing w:after="0"/>
              <w:rPr>
                <w:sz w:val="20"/>
                <w:szCs w:val="20"/>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(37)%</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97"/>
        </w:trPr>
        <w:tc>
          <w:tcPr>
            <w:tcW w:w="4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Operating Income (Expense):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MENA/Asia Pacific</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(124)%</w:t>
            </w:r>
          </w:p>
        </w:tc>
        <w:tc>
          <w:tcPr>
            <w:tcW w:w="1340" w:type="dxa"/>
            <w:vAlign w:val="bottom"/>
          </w:tcPr>
          <w:p>
            <w:pPr>
              <w:jc w:val="right"/>
              <w:spacing w:after="0"/>
              <w:rPr>
                <w:sz w:val="20"/>
                <w:szCs w:val="20"/>
                <w:color w:val="auto"/>
              </w:rPr>
            </w:pPr>
            <w:r>
              <w:rPr>
                <w:rFonts w:ascii="Arial" w:cs="Arial" w:eastAsia="Arial" w:hAnsi="Arial"/>
                <w:sz w:val="18"/>
                <w:szCs w:val="18"/>
                <w:color w:val="auto"/>
              </w:rPr>
              <w:t>285 %</w:t>
            </w: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Europe/SSA/Russia</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Latin America</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134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4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Land Drilling Rigs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87 %</w:t>
            </w:r>
          </w:p>
        </w:tc>
        <w:tc>
          <w:tcPr>
            <w:tcW w:w="134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4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Segment 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20 %</w:t>
            </w: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Expenses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Long-Lived Asset Impairment and Other Related Charges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(55)%</w:t>
            </w:r>
          </w:p>
        </w:tc>
        <w:tc>
          <w:tcPr>
            <w:tcW w:w="13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Litigation Charges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100 %</w:t>
            </w: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and Equity Investment Impairment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84 %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Gain (Loss) on Sale of Businesses and Investments, Net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(102)%</w:t>
            </w:r>
          </w:p>
        </w:tc>
        <w:tc>
          <w:tcPr>
            <w:tcW w:w="1340" w:type="dxa"/>
            <w:vAlign w:val="bottom"/>
          </w:tcPr>
          <w:p>
            <w:pPr>
              <w:jc w:val="right"/>
              <w:spacing w:after="0"/>
              <w:rPr>
                <w:sz w:val="20"/>
                <w:szCs w:val="20"/>
                <w:color w:val="auto"/>
              </w:rPr>
            </w:pPr>
            <w:r>
              <w:rPr>
                <w:rFonts w:ascii="Arial" w:cs="Arial" w:eastAsia="Arial" w:hAnsi="Arial"/>
                <w:sz w:val="18"/>
                <w:szCs w:val="18"/>
                <w:color w:val="auto"/>
              </w:rPr>
              <w:t>1,354 %</w:t>
            </w: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Items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37"/>
        </w:trPr>
        <w:tc>
          <w:tcPr>
            <w:tcW w:w="4900" w:type="dxa"/>
            <w:vAlign w:val="bottom"/>
          </w:tcPr>
          <w:p>
            <w:pPr>
              <w:ind w:left="40"/>
              <w:spacing w:after="0"/>
              <w:rPr>
                <w:sz w:val="20"/>
                <w:szCs w:val="20"/>
                <w:color w:val="auto"/>
              </w:rPr>
            </w:pPr>
            <w:r>
              <w:rPr>
                <w:rFonts w:ascii="Arial" w:cs="Arial" w:eastAsia="Arial" w:hAnsi="Arial"/>
                <w:sz w:val="18"/>
                <w:szCs w:val="18"/>
                <w:color w:val="auto"/>
              </w:rPr>
              <w:t>Total Operating Income (Expense)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523</w:t>
            </w:r>
          </w:p>
        </w:tc>
        <w:tc>
          <w:tcPr>
            <w:tcW w:w="100" w:type="dxa"/>
            <w:vAlign w:val="bottom"/>
            <w:tcBorders>
              <w:top w:val="single" w:sz="8" w:color="auto"/>
            </w:tcBorders>
          </w:tcPr>
          <w:p>
            <w:pPr>
              <w:spacing w:after="0"/>
              <w:rPr>
                <w:sz w:val="20"/>
                <w:szCs w:val="20"/>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(406)%</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97"/>
        </w:trPr>
        <w:tc>
          <w:tcPr>
            <w:tcW w:w="4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6 %</w:t>
            </w:r>
          </w:p>
        </w:tc>
        <w:tc>
          <w:tcPr>
            <w:tcW w:w="134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Devaluation and Related Charges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118 %</w:t>
            </w:r>
          </w:p>
        </w:tc>
        <w:tc>
          <w:tcPr>
            <w:tcW w:w="134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151 %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Net Loss per Diluted Share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rPr>
              <w:t>(240)%</w:t>
            </w:r>
          </w:p>
        </w:tc>
        <w:tc>
          <w:tcPr>
            <w:tcW w:w="1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4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12 %</w:t>
            </w:r>
          </w:p>
        </w:tc>
        <w:tc>
          <w:tcPr>
            <w:tcW w:w="134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608"/>
        </w:trPr>
        <w:tc>
          <w:tcPr>
            <w:tcW w:w="4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percentage distribution of our consolidated revenues by business groups for 2015, 2014 and 2013:</w:t>
      </w:r>
    </w:p>
    <w:p>
      <w:pPr>
        <w:spacing w:after="0" w:line="167" w:lineRule="exact"/>
        <w:rPr>
          <w:sz w:val="20"/>
          <w:szCs w:val="20"/>
          <w:color w:val="auto"/>
        </w:rPr>
      </w:pPr>
    </w:p>
    <w:p>
      <w:pPr>
        <w:ind w:left="80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34290</wp:posOffset>
            </wp:positionV>
            <wp:extent cx="3070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gridSpan w:val="2"/>
          </w:tcPr>
          <w:p>
            <w:pPr>
              <w:ind w:left="7180"/>
              <w:spacing w:after="0"/>
              <w:rPr>
                <w:sz w:val="20"/>
                <w:szCs w:val="20"/>
                <w:color w:val="auto"/>
              </w:rPr>
            </w:pPr>
            <w:r>
              <w:rPr>
                <w:rFonts w:ascii="Arial" w:cs="Arial" w:eastAsia="Arial" w:hAnsi="Arial"/>
                <w:sz w:val="18"/>
                <w:szCs w:val="18"/>
                <w:b w:val="1"/>
                <w:bCs w:val="1"/>
                <w:color w:val="auto"/>
                <w:w w:val="99"/>
              </w:rPr>
              <w:t>2015</w:t>
            </w:r>
          </w:p>
        </w:tc>
        <w:tc>
          <w:tcPr>
            <w:tcW w:w="16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2013</w:t>
            </w:r>
          </w:p>
        </w:tc>
      </w:tr>
      <w:tr>
        <w:trPr>
          <w:trHeight w:val="27"/>
        </w:trPr>
        <w:tc>
          <w:tcPr>
            <w:tcW w:w="6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Formation Evaluation and Well Construction</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7600" w:type="dxa"/>
            <w:vAlign w:val="bottom"/>
            <w:gridSpan w:val="2"/>
          </w:tcPr>
          <w:p>
            <w:pPr>
              <w:ind w:left="40"/>
              <w:spacing w:after="0"/>
              <w:rPr>
                <w:sz w:val="20"/>
                <w:szCs w:val="20"/>
                <w:color w:val="auto"/>
              </w:rPr>
            </w:pPr>
            <w:r>
              <w:rPr>
                <w:rFonts w:ascii="Arial" w:cs="Arial" w:eastAsia="Arial" w:hAnsi="Arial"/>
                <w:sz w:val="18"/>
                <w:szCs w:val="18"/>
                <w:color w:val="auto"/>
              </w:rPr>
              <w:t>Completion and Production</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38</w:t>
            </w:r>
          </w:p>
        </w:tc>
      </w:tr>
      <w:tr>
        <w:trPr>
          <w:trHeight w:val="27"/>
        </w:trPr>
        <w:tc>
          <w:tcPr>
            <w:tcW w:w="6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Drilling Rigs</w:t>
            </w:r>
          </w:p>
        </w:tc>
        <w:tc>
          <w:tcPr>
            <w:tcW w:w="10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r>
      <w:tr>
        <w:trPr>
          <w:trHeight w:val="257"/>
        </w:trPr>
        <w:tc>
          <w:tcPr>
            <w:tcW w:w="6580" w:type="dxa"/>
            <w:vAlign w:val="bottom"/>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5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Revenues</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2014</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Consolidated revenues decreased $5.5 billion, or 37%, in 2015 compared to 2014 across all our segments with declines of $3.4 billion, or 49%, in North America, $1.6 billion, or 23%, in our International segments and $529 million, or 43%, in Land Drilling Rigs. International revenues represent revenues of our regional segments other than North America and the Land Drilling Rigs segments. The decline in North America revenue is consistent with the 60% decrease in North American rig count since December 31, 2014 with significant declines across product lines, particularly pressure pumping, drilling tools, artificial lift, intervention services and drilling services. The decline in the North America segment was driven by a combination of lower activity and customer pricing pressure, with the largest decline primarily in the United States. The disposition of our engineered chemistry business on December 31, 2014 also negatively impacted revenues when compared to the prior year.</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decline in revenues in our International segments is in line with the decrease in international rig count of 16% since 2014 as well as declines in revenue from Europe/SSA/Russia and MENA/Asia Pacific due to pricing pressure and reduced activity across all our product lines. Lastly, our Latin America segment experienced lower activity particularly in the Well Construction and Formation Evaluation product lines.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decline in our Land Drilling Rigs revenue is primarily attributable to the decline in drilling activity consistent with the rig count declines, decreases in new drilling activity and the 2014 disposal of our land drilling and workover rig operations in Russia and Venezuela.</w:t>
      </w:r>
    </w:p>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2013</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Consolidated revenues decreased $352 million, or 2%, in 2014 compared to 2013. International revenues decreased $511 million, or 7%, and our Land Drilling Rigs revenues decreased $303 million, or 20%, in 2014 compared to 2013, on a slight decrease in the 2014 annual international rig count and the disposal of our land drilling and workover rig operations in Russia and Venezuela. The decline in Europe/SSA/Russia, Latin America and Land Drilling Rigs revenues was aided by the disposal of our land drilling and workover rig operations in Russia and Venezuela and our pipeline services business. These divestitures were completed on July 31, 2014 and September 1, 2014, respectively. Latin America also experienced additional revenue declines related to the completion of project work in Mexico and the impact of our self-imposed capital discipline to reduce activity in Venezuela which impacted the first half of 2014. The international revenue decline was also attributable to our MENA/Asia Pacific segment due to lower activity on our remaining legacy contracts in Iraq and a reduction in scope of work on a project in China.</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decline in International revenue was partially offset by an increase in North America. Revenue in our North America segment increased $462 million, or 7%, in 2014 compared to the prior year, on an 6% increase in the 2014 annual North American rig count. The increased revenue was primarily due to higher demand for pressure pumping, artificial lift, completions and formation evaluation products and services.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9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2014</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Consolidated operating income decreased $2.1 billion, or 406%, in 2015 compared to 2014. The decline in operating income is consistent with the reduction in activity resulting from the significant decline in both the price of oil and rig counts, which has put pressure on our pricing and has resulted in a lower volume of work.</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Consolidated operating income for 2015 includes $1.2 billion of charges as follows:</w:t>
      </w:r>
    </w:p>
    <w:p>
      <w:pPr>
        <w:spacing w:after="0" w:line="225"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$768 million of long-lived asset impairment charges and supply contract related charges;</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$232 million of severance and restructuring charges;</w:t>
      </w:r>
    </w:p>
    <w:p>
      <w:pPr>
        <w:spacing w:after="0" w:line="9" w:lineRule="exact"/>
        <w:rPr>
          <w:rFonts w:ascii="Arial" w:cs="Arial" w:eastAsia="Arial" w:hAnsi="Arial"/>
          <w:sz w:val="18"/>
          <w:szCs w:val="18"/>
          <w:color w:val="auto"/>
        </w:rPr>
      </w:pPr>
    </w:p>
    <w:p>
      <w:pPr>
        <w:ind w:left="900" w:right="20" w:hanging="325"/>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$116 million of litigation charges primarily for the settlement of a lawsuit related to the restatement of our historical financial statements in previous years;</w:t>
      </w:r>
    </w:p>
    <w:p>
      <w:pPr>
        <w:ind w:left="900" w:hanging="325"/>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$58 million in professional and other fees, divestiture related charges and facility closures, loss on sale of businesses and investments, and other charges; and</w:t>
      </w: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$25 million of equity investment impairment charges.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additional information regarding charges by segment, see the subsection entitled “Segment Results” and “Restructuring Charges” below.</w:t>
      </w:r>
    </w:p>
    <w:p>
      <w:pPr>
        <w:spacing w:after="0" w:line="23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2013</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Consolidated operating income increased $18 million, or 3%, in 2014 compared to 2013. Consolidated operating income for 2014 includes the following charges:</w:t>
      </w:r>
    </w:p>
    <w:p>
      <w:pPr>
        <w:spacing w:after="0" w:line="170" w:lineRule="exact"/>
        <w:rPr>
          <w:sz w:val="20"/>
          <w:szCs w:val="20"/>
          <w:color w:val="auto"/>
        </w:rPr>
      </w:pPr>
    </w:p>
    <w:p>
      <w:pPr>
        <w:ind w:left="900" w:hanging="325"/>
        <w:spacing w:after="0" w:line="25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$656 million of non-cash charges primarily for the impairment of long-lived assets and goodwill, of which $495 million is related to long-lived asset impairments and $161 million is related to goodwill impairments;</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$331 million of severance and restructuring charges; and</w:t>
      </w:r>
    </w:p>
    <w:p>
      <w:pPr>
        <w:spacing w:after="0" w:line="9" w:lineRule="exact"/>
        <w:rPr>
          <w:rFonts w:ascii="Arial" w:cs="Arial" w:eastAsia="Arial" w:hAnsi="Arial"/>
          <w:sz w:val="18"/>
          <w:szCs w:val="18"/>
          <w:color w:val="auto"/>
        </w:rPr>
      </w:pPr>
    </w:p>
    <w:p>
      <w:pPr>
        <w:ind w:left="900" w:hanging="325"/>
        <w:spacing w:after="0" w:line="261"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$112 million in charges incurred in conjunction with the divestiture of our non-core businesses, restatement related litigation, the settlement of the U.S. government investigations and our redomestication from Switzerland to Ireland.</w:t>
      </w:r>
    </w:p>
    <w:p>
      <w:pPr>
        <w:spacing w:after="0" w:line="1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Partially offsetting these charges in 2014 was a $349 million gain on sale of businesses and investments, which includes gains on the disposition of our engineered chemistry and Integrity drilling fluids businesses, Proserv investment and pipeline and specialty services business, offset by a loss on the sale of our land drilling and workover rig operations in Russia and Venezuela.</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Excluding, from both years, the impairment charges for long-lived assets and goodwill, restructuring charges, the $153 million of FCPA settlement charge in 2013 and the gain on the sale of businesses and investments in both years our consolidated adjusted operating income increased $491 million, or 75%, in 2014 compared to 2013, primarily due to improvements in our geographic segments partially offset by the decline in the Land Drilling Rigs segment.</w:t>
      </w:r>
    </w:p>
    <w:p>
      <w:pPr>
        <w:spacing w:after="0" w:line="147" w:lineRule="exact"/>
        <w:rPr>
          <w:sz w:val="20"/>
          <w:szCs w:val="20"/>
          <w:color w:val="auto"/>
        </w:rPr>
      </w:pPr>
    </w:p>
    <w:p>
      <w:pPr>
        <w:jc w:val="both"/>
        <w:ind w:left="900" w:hanging="325"/>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North America operating income increased $178 million, or 22%, in 2014 driven by the higher revenues from increased demand and improved pricing from our pressure pumping, completions and formation evaluation product lines and a lower cost structure achieved through our reduction in workforce and closure of less profitable locations.</w:t>
      </w:r>
    </w:p>
    <w:p>
      <w:pPr>
        <w:jc w:val="both"/>
        <w:ind w:left="900" w:hanging="325"/>
        <w:spacing w:after="0" w:line="25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MENA/Asia Pacific operating income increased $177 million, or 285%, primarily due to decreased operating costs related to lower activity on our remaining legacy contract in Iraq, the completion of another legacy Iraq contract earlier in 2014 and a gain of $16 million from the acquisition of an additional 30% ownership interest in a joint venture in China.</w:t>
      </w:r>
    </w:p>
    <w:p>
      <w:pPr>
        <w:spacing w:after="0" w:line="1" w:lineRule="exact"/>
        <w:rPr>
          <w:rFonts w:ascii="Arial" w:cs="Arial" w:eastAsia="Arial" w:hAnsi="Arial"/>
          <w:sz w:val="18"/>
          <w:szCs w:val="18"/>
          <w:color w:val="auto"/>
        </w:rPr>
      </w:pPr>
    </w:p>
    <w:p>
      <w:pPr>
        <w:ind w:left="900" w:hanging="325"/>
        <w:spacing w:after="0" w:line="25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Europe/SSA/Russia operating income increased $101 million, or 38%, in 2014, which was largely attributable to improvements in activity in Europe and continued growth in Sub-Sahara Africa, generally across all product lines.</w:t>
      </w:r>
    </w:p>
    <w:p>
      <w:pPr>
        <w:jc w:val="both"/>
        <w:ind w:left="900" w:hanging="325"/>
        <w:spacing w:after="0" w:line="250"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Latin America operating income increased 6% largely related to focus on higher margin activity in Argentina and Brazil with improvements in pressure pumping, formation evaluation and well construction services partially offset by lower demand for our artificial lift and formation evaluation services resulting from the completion of project work in Mexico and our self-imposed capital discipline driven activity reductions in Venezuela during the first half of 2014.</w:t>
      </w:r>
    </w:p>
    <w:p>
      <w:pPr>
        <w:spacing w:after="0" w:line="1" w:lineRule="exact"/>
        <w:rPr>
          <w:rFonts w:ascii="Arial" w:cs="Arial" w:eastAsia="Arial" w:hAnsi="Arial"/>
          <w:sz w:val="18"/>
          <w:szCs w:val="18"/>
          <w:color w:val="auto"/>
        </w:rPr>
      </w:pPr>
    </w:p>
    <w:p>
      <w:pPr>
        <w:ind w:left="900" w:hanging="325"/>
        <w:spacing w:after="0" w:line="323"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Land Drilling Rigs operating income decreased $70 million, or 212%, in 2014 compared to 2013 primarily the result of the sale of our Russian Land Drilling Rigs business, slight decrease in the international rig count, and facility closure costs related to the 2014 restructuring plan.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9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Gain (Loss) on Sale of Businesses and Investments, Net</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2015, we did not recognize any material net gain or loss on sale of businesses and investments. During 2014, we recognized a $349 million net gain on sale of businesses and investments, which includes a $250 million gain on the disposition of our engineered chemistry and Integrity drilling fluids businesses, a $65 million gain on the disposition of our Proserv investment and a $49 million gain on the disposition of our pipeline and specialty services business. These gains were partially offset by a $15 million loss on the sale of our land drilling and workover rig operations in Russia and Venezuela.</w:t>
      </w:r>
    </w:p>
    <w:p>
      <w:pPr>
        <w:spacing w:after="0" w:line="15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During 2013, we recognized a $24 million net gain on sale of businesses and investments, which included an $18 million gain on the disposition of our remaining interest in Borets International Limited (“Borets”) and a $6 million gain on the disposition of our industrial screens business.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and Related Charges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2015, currency devaluations and related charges were $85 million and are included in current earnings in the line captioned “Currency Devaluation and Related Charges” on the accompanying Consolidated Statements of Operations. In 2015, currency devaluation and related charges reflect the impacts of the continued devaluation of the Angolan kwanza of $39 million and Argentine peso of $11 million and the recognized remeasurement charges related to the Venezuelan bolivar of $26 million and the Kazakhstani tenge of $9 million. The Angolan kwanza charges reflect currency devaluations of approximately 24% in 2015. The devaluation of the Argentine peso was due to the modifying of currency control restrictions on purchasing foreign currencies by the Argentine Central Bank. The cumulative depreciation of the Kazakhstani tenge was 46% during 2015 after the National Bank of Kazakhstan abandoned its peg of the tenge to the U.S. dollar. The Venezuelan bolivar charge reflects remeasurement charges when we began using the exchange rate published by the Venezuelan currency exchange system known as the “Marginal Currency System” or SIMADI. The SIMADI opened for trading February 12, 2015, replacing the Venezuela’s Supplementary Foreign Currency Administration System auction rate (“SICAD II”) mechanism. The SIMADI is intended to provide limited access to a free market rate of exchange.</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2014 and 2013, we recognized charges of $245 million and $100 million, respectively, on the devaluation of the Venezuelan bolivar. As of December 31, 2014, we adopted the SICAD II daily auction rate of approximately 50 Venezuelan bolivars per U.S. dollar. This rate was used at December 31, 2014 for the purposes of remeasuring Venezuelan bolivar denominated assets and liabilities (primarily cash, accounts receivables, trade payables and other current liabilities). The 2013 devaluation was due to the Venezuelan government changing the official exchange rate of the bolivar from 4.3 per dollar to 6.3 per dollar for all goods and services.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Segment Results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North America</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2014</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North America segment decreased $3.4 billion, or 49%, in 2015 compared to 2014 primarily due to the 60% decline in the North America rig count since December 31, 2014. The decline in revenue in 2015 was driven by lower activity and pricing pressure that broadly impacted all product lines, particularly pressure pumping, drilling tools, artificial lift, intervention services and drilling services. The disposition of our engineered chemistry business on December 31, 2014 also negatively impacted revenues when compared to the prior year.</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in the U.S. were $2.9 billion in 2015, $5.6 billion in 2014 and $5.1 billion in 2013. The remaining revenues of our North America segment of $630 million in 2015, $1.3 billion in 2014 and $1.2 billion in 2013, were derived from our operations in Canada.</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income in our North America segment decreased $1.3 billion, or 131%, in 2015 compared to 2014. Operating margins were (9)% in 2015 compared to 15% in 2014. The same factors contributing to the decline in revenues directly contributed to the decline in operating income. During 2015, we recognized inventory write-down charges of $73 million and bad debt expense charges of $20 million.</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2013</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9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Revenues in our North America segment increased $462 million, or 7%, in 2014 compared to 2013. North America rig count increased 8% since December 31, 2013. The 2014 revenue increase was due to higher demand for pressure pumping, artificial lift, completion and formation evaluation products and services and improved pricing in North America across essentially all our core product lines. North America results were also positively impacted by less severe spring seasonality in Canada that resulted in increased productivity in Canada. Revenue in these core product lines had growth of approximately 8% for artificial lift and formation evaluation and 20% for pressure pumping and completions in 2014 compared to 2013.</w:t>
      </w:r>
    </w:p>
    <w:p>
      <w:pPr>
        <w:spacing w:after="0" w:line="1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Operating income increased $178 million, or 22%, in 2014 compared to 2013. The increase in operating income was driven by higher demand and improved pricing from pressure pumping, completions and formation evaluation product lines. Additionally, our decision to reduce our workforce and close lower margin operations this year improved our operating income. Operating margins were 15% in 2014 compared to 13% in 2013.</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MENA/Asia Pacific</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2014</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MENA/Asia Pacific segment decreased $459 million, or 19%, in 2015 compared to 2014. The revenue decline affected most product lines although primarily intervention services, wireline, testing and production services, and well construction. The decline was attributable to lower revenues from our legacy Zubair contract in Iraq as it nears completion, lower activity in Yemen from the political disruption and lower activity levels in the Asia Pacific region, primarily in China, Indonesia and Malaysia. Pricing pressure also had an impact on the revenue decline. In addition, our lower revenues reflect the sale of the pipeline and specialty services business in September 2014.</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income decreased $143 million, or 124%, in 2015 compared to 2014. The decrease in operating income is primarily attributable to legacy contract project losses in Iraq, lower activity across most product lines and a gain on a step acquisition of a joint venture investment in China in 2014 that did not recur in 2015. The decline was also partially offset by improved profitability for the tubular running services line in 2015 and higher profitability resulting from the closure of unprofitable locations in 2014. During 2015, we recognized inventory write-down charges of $38 million and bad debt expense charges of $7 million.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2013</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MENA/Asia Pacific revenues decreased $340 million, or 12%, in 2014 compared to 2013. The lower revenue for 2014 was primarily due to lower activity on legacy contracts in Iraq as a result of lower progress on our percentage-of-completion projects. In addition, we had reduced demand related to decreased activity in Australia and Indonesia, primarily from well construction and our non-core businesses. Furthermore, the 2014 revenues were impacted by a reduction of revenue due to a change in scope on a project in China accounted for under the percentage-of-completion method. Partially offsetting the decline in revenues were improvements across our product lines associated with increased demand for services in the Gulf Countries and Southeast Asia.</w:t>
      </w:r>
    </w:p>
    <w:p>
      <w:pPr>
        <w:spacing w:after="0" w:line="1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Operating income increased $177 million, or 285%, in 2014 compared to 2013. The increase in 2014 operating income was primarily due to decreased operating costs related to lower activity on our remaining legacy contracts in Iraq, the completion of a legacy Iraq contract earlier in 2014 and a gain of $16 million as a result of the acquisition of an additional 30% ownership interest in a joint venture in China. Additionally, our decision to reduce our workforce and close lower margin operations in 2014 improved our operating income. Partially offsetting the improvement in MENA/Asia Pacific operating income was the recognition of a $27 million loss resulting from a change in scope on the otherwise profitable project in China accounted for under the percentage-of-completion method.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Europe/SSA/Russia</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2014</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Europe/SSA/Russia segment decreased $596 million, or 28%, in 2015 compared to 2014. The decline in activity directly impacted the decline in revenues in all product lines due to lower demand and pricing pressure. The overall decline was led by Europe, primarily in Norway and Romania. The lower activity from continued project delays and cancellations in Angola and Gabon in Sub-Sahara Africa contributed to the revenue decline while the sale of the pipeline and specialty services and engineered chemistry product lines in the third and fourth quarters of 2014 also resulted in lower segment revenues.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9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Operating income decreased $194 million, or 53%, in 2015 compared to 2014. The decline was the direct impact of lower revenue activity and pricing pressure as mentioned above. During 2015, we recognized inventory write-down charges of $32 million and bad debt expense charges of $12 million.</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2013</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Europe/SSA/Russia segment increased $182 million, or 9%, in 2014 compared to 2013. The increase was driven by increased activity in Europe and new contract start-ups in Sub-Sahara Africa. The Europe and Sub-Sahara Africa regions realized strong performances due to increased demand primarily for our well construction, completions, and formation evaluation products and services. Revenues were down in Russia and the North Sea and due to the impact of a markedly weaker Russian ruble.</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Operating income increased $101 million, or 38%, in 2014 compared to 2013. The operating income improvement was primarily attributable to the recovery in the region, improvements in activity in Europe and continued growth in SSA, generally across all product lines. Additionally, our decision to reduce our workforce and close lower margin operations in 2014 improved our operating income. Operating margins were 17% in 2014 and 14% in 2013.</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Latin America</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2014</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Revenues in our Latin America segment decreased $536 million, or 23%, in 2015 compared to 2014. The decline in revenue is primarily due to reduced demand across our core product lines, primarily artificial lift, drilling services, intervention and pressure pumping in Mexico, Colombia, Venezuela and Ecuador, partially offset by an increase in sales in our managed-pressure drilling product line in Brazil.</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Operating income decreased $85 million, or 25%, in 2015 compared to 2014. The same factors contributing to the decline in revenues directly contributed to the decline in operating income, which were partially offset by cost reduction initiatives in Mexico and a continued focus on higher margin activity in Brazil. During 2015, we recognized inventory write-down charges of $54 million and bad debt expense charges of $9 million.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2013</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Revenues in our Latin America segment decreased $353 million, or 13%, and operating income increased $19 million, or 6%, in 2014 compared to 2013. The decline in revenues were largely related to a decline in activity associated with lower demand for our artificial lift and formation evaluation services resulting from the completion of project work in Mexico and our self-imposed capital discipline driven activity reductions in Venezuela, which impacted the first half of the year. The increase in operating income was largely due to a continued focus on improved higher margin activity around unconventionals in Argentina and well construction services in Brazil. Operating margins were 15% in 2014 and 12% in 2013.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9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Land Drilling Rigs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2014</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Revenues in our Land Drilling Rigs segment decreased $529 million, or 43%, in 2015 compared to 2014. The decrease is due to the sale of the Russian Land Drilling Rigs business in July 2014, in addition to the overall decrease in the international rig count and drilling activity, partially offset by improved activity in Oman and Kuwait. Operating loss decreased $90 million, or 87%, in 2015 compared to 2014. The decrease is primarily the result of improved drilling efficiencies in Iraq and Oman and contract termination fees in Chad and India while 2014 included facility closure costs that did not reoccur in 2015. During 2015, we recognized inventory write-down charges of $26 million.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18"/>
          <w:szCs w:val="18"/>
          <w:b w:val="1"/>
          <w:bCs w:val="1"/>
          <w:i w:val="1"/>
          <w:iCs w:val="1"/>
          <w:color w:val="auto"/>
        </w:rPr>
        <w:t>vs</w:t>
      </w:r>
      <w:r>
        <w:rPr>
          <w:rFonts w:ascii="Arial" w:cs="Arial" w:eastAsia="Arial" w:hAnsi="Arial"/>
          <w:sz w:val="18"/>
          <w:szCs w:val="18"/>
          <w:b w:val="1"/>
          <w:bCs w:val="1"/>
          <w:color w:val="auto"/>
        </w:rPr>
        <w:t xml:space="preserve"> 2013</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Land Drilling Rigs segment decreased $303 million, or 20%, in 2014 compared to 2013. The decrease was primarily driven by the decrease in the international rig count, which reduced drilling activity and the sale of the Russian Rigs business in July 2014. Operating income decreased $70 million, or 212%, in 2014 compared to 2013. The decrease is primarily the result of the sale of our Russian Land Drilling Rigs business and facility closure costs related to the 2014 restructuring plan.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expense, net decreased $30 million, or 6%, in 2015 compared to 2014 primarily due to a reduction in our debt balance as a result of lower net debt from divestiture proceeds received in 2014 and the repurchase of certain senior notes in 2014 and 2015. Interest expense, net decreased $18 million, or 3%, in 2014 compared to 2013 primarily due to repayments of our higher coupon senior notes partially offset by an increase in lower cost short-term borrowings in 2014.</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Income/Expense, Net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income, net was $3 million in 2015, and other expense, net was $17 million and $77 million in 2014 and 2013, respectively. In 2015, other income was driven by gains on the repurchase of certain senior notes offset by foreign currency exchange losses due to the strengthening U.S. dollar compared to our foreign denominated operations.</w:t>
      </w:r>
    </w:p>
    <w:p>
      <w:pPr>
        <w:spacing w:after="0" w:line="18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2014, other expense, net represents foreign currency exchange losses due to the weakening of foreign currencies of our foreign denominated operations compared to the U.S. Dollar, partially offset by gains on the repurchase of certain senior notes. In 2013, other expense, net primarily represent foreign currency exchange losses due to the strengthening U.S. dollar compared to our foreign denominated operations partially offset by the changes in fair value of our foreign currency forward contracts and cross-currency swap contracts.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provide for income taxes based on the laws and rates in effect in the countries in which operations are conducted, or in which we or our subsidiaries are considered resident for income tax purposes. We are exempt from Swiss cantonal and communal tax on income derived outside Switzerland, and are also granted participation relief from Swiss federal tax for qualifying dividend income and capital gains related to the sale of qualifying investments in subsidiaries. We expect that the participation relief will result in a full exemption of participation income from Swiss federal income tax.</w:t>
      </w:r>
    </w:p>
    <w:p>
      <w:pPr>
        <w:spacing w:after="0" w:line="15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relationship between our pre-tax income or loss from continuing operations and our income tax benefit or provision varies from period to period as a result of various factors which include changes in total pre-tax income or loss, the jurisdictions in which our income is earned, the tax laws in those jurisdictions, the impacts of tax planning activities and the resolution of tax audits. Our income derived in Switzerland is taxed at a rate of 7.83%; however, our effective rate is substantially above the Swiss statutory tax rate as the majority of our operations are taxed in jurisdictions with much higher tax rates.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9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income tax benefit in 2015 was $145 million compared to an income tax provision of $284 million in 2014 and $144 million in 2013, respectively, which resulted in an effective tax rate of 7%, (111)% and (85)%, respectively. In 2015, we had a tax benefit of $145 million on a loss before income taxes of $2.1 billion. The tax benefit was favorably impacted by a U.S. loss, which included restructuring impairment charges and a worthless stock deduction. Our results for 2015, includes $255 million of Land Drilling Rig impairment charges, $232 million of restructuring charges, $116 million of litigation settlements, $153 million of legacy project losses, $85 million of currency devaluation and related losses and $25 million of equity investment impairment, all with no significant tax benefit. In addition, we recorded a tax charge of $265 million for a non cash tax expense on distribution of subsidiary earnings.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2014, we had a tax provision of $284 million on a loss before income taxes of $255 million. Our results for 2014 included a $161 million goodwill impairment charge, a $245 million loss due to the devaluation of Venezuela bolivar and $72 million of project losses related to our early production facility contracts in Iraq, all of which provided no tax benefit. In addition, we incurred a $495 million long-lived assets impairment charge, with limited tax benefit. During 2014, we also sold our land drilling and workover rig operations in Russia and Venezuela, pipeline and specialty services business, engineered chemistry, Integrity drilling fluids business and our equity investment in Proserv for a total gain of approximately $349 million. Our results in 2014 include significant tax losses in Mexico, Venezuela, and Iraq and in 2013 include significant tax losses in Iraq upon which we recorded valuation allowances of $172 million and $134 million, respectively.</w:t>
      </w:r>
    </w:p>
    <w:p>
      <w:pPr>
        <w:spacing w:after="0" w:line="18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2013, our income before tax included a $153 million charge for the settlement of the United Nations oil-for-food program governing sales of goods into Iraq and FCPA matters, a $299 million loss on certain projects in Iraq, a $98 million Venezuela notes receivable impairment charge and other bad debt expense and a $100 million loss due to the devaluation of the Venezuelan bolivar, all with no or little tax benefit. Our 2013 tax provision includes certain discrete tax benefits primarily due to tax planning activities, decreases in reserves for uncertain tax positions due to statute of limitation expiration and audit closures, and the enactment of the American Taxpayer Relief Act, which decreased our effective tax rate for the period.</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effective tax rate for these periods was also negatively impacted by the taxing regimes in certain countries and our operating structure. Several of the countries in which we operate, primarily in our MENA and SSA regions, tax us based on "deemed", rather than actual, profits. We are not currently profitable in certain of those countries, which results in us accruing and paying taxes based on a "deemed profit" instead of recognizing no tax expense or potentially recognizing a tax benefit. Our operating structure results in us paying withholding taxes on intercompany charges for items such as rentals, management fees, royalties, and interest as well as on applicable third party transactions. Such net withholding taxes were $101 million in 2015, $140 million in 2014 and $85 million in 2013 prior to possibly receiving a tax benefit in the jurisdiction of the payee. We also incur pre-tax losses in certain jurisdictions that do not have a corporate income tax and thus we are not able to recognize an income tax benefit on those losses.</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effective tax rate improved in 2015 compared to 2014 primarily due to utilization of tax benefits on loss from operations, tax restructuring benefits and decrease in our reserve for uncertain tax positions due to audit settlements and statute expirations, offset by additional valuation allowances booked on non U.S. deferred tax assets and a tax charge for a non cash tax expense on distribution of subsidiary earnings. Our effective tax rate increased from 2013 to 2014 primarily due to the sale of our non-core businesses during the year, non-tax deductible losses, such as the Venezuela bolivar devaluation, Iraq project losses and goodwill impairment, which are partially offset by the decrease of our reserve for uncertain tax benefits due to settlements and statute expirations.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9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Restructuring Charges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first quarter of 2014, we announced a cost reduction plan (“the 2014 Plan”), which included a worldwide workforce reduction of 6,300 people and other cost reduction measures. In the fourth quarter of 2014, in response to the significant decline in the price of crude oil and our anticipation of a lower level of exploration and production spending in 2015, we initiated an additional plan (“the 2015 Plan”) to reduce our overall costs and workforce to better align with anticipated activity levels. In 2015, we completed a reduction in force targeting 14,000 employee positions and realized annualized cost savings of $973 million from this cost reduction initiative. In response to the continued significant decline in the price of crude oil and the continued decline in the anticipated level of exploration and production spending in 2016, we initiated a reduction in force plan to reduce our overall costs and workforce to align with the anticipated activity levels and expect to complete a workforce reduction of 6,000 employees in the first half of 2016 and estimate we will incur $75 million to $95 million of severance charges.</w:t>
      </w:r>
    </w:p>
    <w:p>
      <w:pPr>
        <w:spacing w:after="0" w:line="19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connection with the 2015 Plan, we recognized restructuring charges of $232 million in 2015 and $58 million in 2014. Our restructuring charges during 2015 in connection with the 2015 Plan include termination (severance) benefits of $149 million, restructuring related asset charges of $64 million and other restructuring charges of $19 million. Restructuring related asset charges include asset write-offs of $26 million related to Yemen due to the political disruption and $38 million in other regions. Other restructuring charges include exit costs, contract termination costs, relocation costs and other associated costs. Our restructuring charges during 2014 in connection with the 2015 Plan include termination (severance) benefits of $58 million.</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2014 Plan, we recognized restructuring charges of $273 million in 2014. Our restructuring charges during 2014 in connection with the 2014 Plan include restructuring related asset charges of $135 million, termination (severance) benefits of $114 million and other restructuring charges of $24 million. Other restructuring charges include contract termination costs, relocation and other associated costs.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impairments recognized in connection with the 2014 Plan primarily pertain to operations in our MENA region, where geopolitical issues and recent disruptions in North Africa, primarily Libya, resulted in the decisions in the third quarter of 2014 to exit certain businesses in selected markets. The 2014 Plan activities resulted in $106 million of cash payments in 2014.</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2015, we completed our planned headcount reductions and closures of underperforming operating locations in connection with the 2014 and 2015 Plans. The following tables present the components of the restructuring charges by segment and plan for the years ended December 31, 2015 and 2014.</w:t>
      </w:r>
    </w:p>
    <w:p>
      <w:pPr>
        <w:spacing w:after="0" w:line="12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700" w:type="dxa"/>
            <w:vAlign w:val="bottom"/>
            <w:gridSpan w:val="4"/>
          </w:tcPr>
          <w:p>
            <w:pPr>
              <w:jc w:val="center"/>
              <w:ind w:left="1130"/>
              <w:spacing w:after="0"/>
              <w:rPr>
                <w:sz w:val="20"/>
                <w:szCs w:val="20"/>
                <w:color w:val="auto"/>
              </w:rPr>
            </w:pPr>
            <w:r>
              <w:rPr>
                <w:rFonts w:ascii="Arial" w:cs="Arial" w:eastAsia="Arial" w:hAnsi="Arial"/>
                <w:sz w:val="18"/>
                <w:szCs w:val="18"/>
                <w:b w:val="1"/>
                <w:bCs w:val="1"/>
                <w:color w:val="auto"/>
                <w:w w:val="90"/>
              </w:rPr>
              <w:t>Year Ended December 31, 2015</w:t>
            </w:r>
          </w:p>
        </w:tc>
        <w:tc>
          <w:tcPr>
            <w:tcW w:w="156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80" w:type="dxa"/>
            <w:vAlign w:val="bottom"/>
          </w:tcPr>
          <w:p>
            <w:pPr>
              <w:spacing w:after="0"/>
              <w:rPr>
                <w:sz w:val="23"/>
                <w:szCs w:val="23"/>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b w:val="1"/>
                <w:bCs w:val="1"/>
                <w:color w:val="auto"/>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2015 Plan</w:t>
            </w:r>
          </w:p>
        </w:tc>
        <w:tc>
          <w:tcPr>
            <w:tcW w:w="380" w:type="dxa"/>
            <w:vAlign w:val="bottom"/>
          </w:tcPr>
          <w:p>
            <w:pPr>
              <w:spacing w:after="0"/>
              <w:rPr>
                <w:sz w:val="23"/>
                <w:szCs w:val="23"/>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7"/>
        </w:trPr>
        <w:tc>
          <w:tcPr>
            <w:tcW w:w="5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5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57"/>
        </w:trPr>
        <w:tc>
          <w:tcPr>
            <w:tcW w:w="5360" w:type="dxa"/>
            <w:vAlign w:val="bottom"/>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232</w:t>
            </w:r>
          </w:p>
        </w:tc>
      </w:tr>
      <w:tr>
        <w:trPr>
          <w:trHeight w:val="20"/>
        </w:trPr>
        <w:tc>
          <w:tcPr>
            <w:tcW w:w="5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32</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2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6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90"/>
              </w:rPr>
              <w:t>Year Ended December 31, 2014</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Severance</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Severance and</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Charges</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Other Charges</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2014 Plan:</w:t>
            </w:r>
          </w:p>
        </w:tc>
        <w:tc>
          <w:tcPr>
            <w:tcW w:w="14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North America</w:t>
            </w: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MENA/Asia Pacific</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Europe/SSA/Russia</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Subtotal</w:t>
            </w:r>
          </w:p>
        </w:tc>
        <w:tc>
          <w:tcPr>
            <w:tcW w:w="14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Land Drilling Rigs</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2014 Plan Total</w:t>
            </w: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360" w:type="dxa"/>
            <w:vAlign w:val="bottom"/>
            <w:gridSpan w:val="2"/>
            <w:vMerge w:val="restart"/>
          </w:tcPr>
          <w:p>
            <w:pPr>
              <w:ind w:left="20"/>
              <w:spacing w:after="0"/>
              <w:rPr>
                <w:sz w:val="20"/>
                <w:szCs w:val="20"/>
                <w:color w:val="auto"/>
              </w:rPr>
            </w:pPr>
            <w:r>
              <w:rPr>
                <w:rFonts w:ascii="Arial" w:cs="Arial" w:eastAsia="Arial" w:hAnsi="Arial"/>
                <w:sz w:val="18"/>
                <w:szCs w:val="18"/>
                <w:b w:val="1"/>
                <w:bCs w:val="1"/>
                <w:i w:val="1"/>
                <w:iCs w:val="1"/>
                <w:color w:val="auto"/>
              </w:rPr>
              <w:t>2015 Plan:</w:t>
            </w: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360" w:type="dxa"/>
            <w:vAlign w:val="bottom"/>
            <w:gridSpan w:val="2"/>
            <w:vMerge w:val="continue"/>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2015 Plan Total</w:t>
            </w:r>
          </w:p>
        </w:tc>
        <w:tc>
          <w:tcPr>
            <w:tcW w:w="1420" w:type="dxa"/>
            <w:vAlign w:val="bottom"/>
            <w:tcBorders>
              <w:top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At December 31, 2015, we had cash and cash equivalents of $467 million compared to $474 million at December 31, 2014 and $435 million at December 31, 2013. At December 31, 2015, cash and cash equivalents reflected a negative impact of $43 million related to the revaluation of cash balances held in the Venezuelan bolivar, Angolan kwanza, Argentine peso and the Kazakhstani tenge. At December 31, 2014, cash and cash equivalents reflected a $92 million charge due to the devaluation of the Venezuelan bolivar related to our decision to adopt the SICAD II exchange rate. The following table summarizes cash provided by (used in) each type of business activity, for the years ended December 31, 2015, 2014 and 2013:</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8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w w:val="89"/>
              </w:rPr>
              <w:t>Year Ended December 31,</w:t>
            </w:r>
          </w:p>
        </w:tc>
        <w:tc>
          <w:tcPr>
            <w:tcW w:w="102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69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00" w:type="dxa"/>
            <w:vAlign w:val="bottom"/>
          </w:tcPr>
          <w:p>
            <w:pPr>
              <w:spacing w:after="0"/>
              <w:rPr>
                <w:sz w:val="20"/>
                <w:szCs w:val="20"/>
                <w:color w:val="auto"/>
              </w:rPr>
            </w:pPr>
          </w:p>
        </w:tc>
        <w:tc>
          <w:tcPr>
            <w:tcW w:w="940" w:type="dxa"/>
            <w:vAlign w:val="bottom"/>
          </w:tcPr>
          <w:p>
            <w:pPr>
              <w:jc w:val="right"/>
              <w:ind w:right="352"/>
              <w:spacing w:after="0"/>
              <w:rPr>
                <w:sz w:val="20"/>
                <w:szCs w:val="20"/>
                <w:color w:val="auto"/>
              </w:rPr>
            </w:pPr>
            <w:r>
              <w:rPr>
                <w:rFonts w:ascii="Arial" w:cs="Arial" w:eastAsia="Arial" w:hAnsi="Arial"/>
                <w:sz w:val="16"/>
                <w:szCs w:val="16"/>
                <w:b w:val="1"/>
                <w:bCs w:val="1"/>
                <w:color w:val="auto"/>
              </w:rPr>
              <w:t>2015</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32"/>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2013</w:t>
            </w:r>
          </w:p>
        </w:tc>
      </w:tr>
      <w:tr>
        <w:trPr>
          <w:trHeight w:val="33"/>
        </w:trPr>
        <w:tc>
          <w:tcPr>
            <w:tcW w:w="6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1,229</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(659)</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(1,104)</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6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Cash flows provided by operating activities were $706 million in 2015 compared to $963 million during 2014. The decrease in operating cash flow is primarily due to the reduction in income associated with the significant decline in drilling activity resulting from the significant decline in commodity prices and the net payment of $105 million related to the </w:t>
      </w:r>
      <w:r>
        <w:rPr>
          <w:rFonts w:ascii="Arial" w:cs="Arial" w:eastAsia="Arial" w:hAnsi="Arial"/>
          <w:sz w:val="18"/>
          <w:szCs w:val="18"/>
          <w:i w:val="1"/>
          <w:iCs w:val="1"/>
          <w:color w:val="auto"/>
        </w:rPr>
        <w:t>Freedman</w:t>
      </w:r>
      <w:r>
        <w:rPr>
          <w:rFonts w:ascii="Arial" w:cs="Arial" w:eastAsia="Arial" w:hAnsi="Arial"/>
          <w:sz w:val="18"/>
          <w:szCs w:val="18"/>
          <w:color w:val="auto"/>
        </w:rPr>
        <w:t xml:space="preserve"> litigation.</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Cash flows provided by operating activities was $963 million in 2014 compared to $1.2 billion in 2013. The cash provided by our operating activities in 2014 is a result of our positive operating results excluding the non-cash impact of $656 million in long-lived assets and goodwill impairment, the $245 million Venezuelan bolivar devaluation charge and $112 million of Land Drilling Rig business related write-down and reserve charges. The significant uses of operating cash in 2014 included over $340 million of completion and end of contract payments associated with our legacy percentage-of-completion contracts in Iraq and</w:t>
      </w:r>
    </w:p>
    <w:p>
      <w:pPr>
        <w:sectPr>
          <w:pgSz w:w="11900" w:h="16838" w:orient="portrait"/>
          <w:cols w:equalWidth="0" w:num="1">
            <w:col w:w="11420"/>
          </w:cols>
          <w:pgMar w:left="240" w:top="378"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78"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payment of $253 million to settle the United Nations oil-for-food program governing sales of goods into Iraq and FCPA matters.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flows provided by operating activities in 2013 were attributable to our positive operating income and improved net working capital operating cash flows of $186 million. Our net loss decreased by $436 million for 2013 compared to the net loss in 2012, primarily due to the non-cash charges related to the impairment of goodwill and equity investment which occurred in 2012 that did not recur in 2013.</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2015, our investing activities used cash of $659 million versus providing cash of $330 million in 2014 and used cash of $1.1 billion in 2013. Cash used in 2015 was primarily for capital expenditures for property, plant and equipment and was $682 million in 2015 compared to $1.45 billion in 2014. The amount we spend for capital expenditures varies each year based on the nature of our contracts, asset availability and our expectations with respect to industry activity levels in the following year. The significant reduction in capital expenditures is responsive to the severe downturn in the industry resulting from the decline in commodity prices and customer spending.</w:t>
      </w:r>
    </w:p>
    <w:p>
      <w:pPr>
        <w:spacing w:after="0" w:line="18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Investing activities in 2014 provided cash of $330 million primarily due to $1.8 billion in cash proceeds from the sale of businesses in 2014. Dispositions in 2014 included our land drilling and workover rig operations in Russia and Venezuela, pipeline and specialty services business, engineered chemistry and Integrity drilling fluids businesses and the disposal of all our shares in Proserv. In 2014, we also received net cash of $18 million from consolidation following the purchase of additional ownership interest in a joint venture in China. See “Note 2 – Business Combinations and Divestitures” for additional information regarding these transactions. While we expect to continue to make business acquisitions when strategically advantageous, our current focus is on disposition of businesses or capital assets that are no longer core to our long-term strategy.</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2013, cash used in investing activities totaled $1.1 billion primarily for capital expenditures of $1.6 billion, partially offset by $488 million of cash proceeds from dispositions primarily from the sale of our 38.5% equity interest in Borets and our industrial screen business. Cash used for acquisitions of businesses and intellectual property in 2013 totaled $17 million.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2015 financing activities primarily consisted of the borrowing and repayment of short-term and long-term debt. Our short-term borrowings, net of repayments, were $505 million and total net long-term repayments were $470 million. In 2015, through a series of open market transactions, we repurchased certain of our senior notes with a total book value of $527 million. We recognized a cumulative gain of $84 million on these transactions in the line captioned “Other, Net” on the accompanying Consolidated Statements of Operations. See “Note 12 – Short-term Borrowings and Current Portion of Long-term Debt” and “Note 13 – Long-term Debt” for additional details of our financing activities. Our other financing activities in 2015 included dividends paid to noncontrolling partners in consolidated joint ventures of $49 million and proceeds from the exercise of stock options issued to our employees and directors of $26 million.</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2014 financing activities primarily consisted of repayment and repurchase of approximately $924 million of short-term debt and $259 million of long-term debt, including the repurchase of senior notes. In December 2014, through a series of open market transactions, we repurchased certain of our senior notes with a total book value of $138 million and recognized a gain of approximately $11 million.</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conjunction with our 2014 redomestication, we amended our Executive Deferred Compensation Stock Ownership Plan to provide that benefits thereunder may be payable in cash in lieu of our shares. The trustee for our executive deferred compensation plan, a consolidated subsidiary, sold 973,611 shares of our common stock realizing $22 million in cash proceeds for the benefit of the plan participants. Our other financing activities in 2014 included dividends paid to noncontrolling partners in consolidated joint ventures of $39 million and proceeds from the exercise of stock options issued to our employees and directors of $11 million.</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2013 financing activities primarily consisted of short-term borrowings of $612 million and long-term debt repayments of $603 million, which included the repayment of our senior notes of $544 million. Our other financing activities in 2013 included dividends paid to noncontrolling partners in consolidated joint ventures of $27 million and proceeds from the exercise of stock options issued to our employees and directors of $22 million.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9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sources of available liquidity include cash and cash equivalent balances, cash generated from operations, dispositions, and availability under committed lines of credit. We also historically have accessed banks for short-term loans from uncommitted borrowing arrangements and have accessed the capital markets with debt and equity offerings. From time to time we may and have entered into transactions to factor accounts receivable or to dispose of businesses or capital assets that are no longer core to our long-term strategy.</w:t>
      </w:r>
    </w:p>
    <w:p>
      <w:pPr>
        <w:spacing w:after="0" w:line="18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Through our sales of assets and businesses in 2014 we realized $1.8 billion in sale proceeds, net of cash on the balance sheets of businesses sold. These proceeds contributed to the early repayment or repurchase of portions of our short-term and long-term debt in 2014 and 2015.</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At December 31, 2015, we had a $2.25 billion unsecured, revolving credit agreement (the “Credit Agreement”) that matures on July 13, 2017. The Credit Agreement can be used for a combination of borrowings, including support for our former commercial paper program and issuances of letters of credit. This agreement required that we maintain a debt-to-total capitalization ratio of less than 60%, and we were in compliance with this covenant at December 31, 2015 with a ratio of 55.6%, which is calculated as total consolidated indebtedness, net of derivative positions of $9 million, divided by total capitalization, including non-controlling interest balances and excluding $1.6 billion of foreign currency translation adjustments. At December 31, 2015, we had $1.3 billion available under the Credit Agreement. There were $16 million in outstanding letters of credit in addition to borrowings under the Credit Agreement. On February 1, 2016, we amended our Credit Agreement and reduced the limit of borrowings to $2 billion. The amended Credit Agreement requires that we maintain a debt-to-total capitalization ratio of less than 70% for the quarters ending March 31 and June 30, 2016, and less than 60% thereafter. In addition, we intend to renegotiate our Credit Agreement to extend the maturity date.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our availability under the Credit Agreement at December 31, 2015 (dollars in millions):</w:t>
      </w:r>
    </w:p>
    <w:p>
      <w:pPr>
        <w:spacing w:after="0" w:line="158" w:lineRule="exact"/>
        <w:rPr>
          <w:sz w:val="20"/>
          <w:szCs w:val="20"/>
          <w:color w:val="auto"/>
        </w:rPr>
      </w:pPr>
    </w:p>
    <w:tbl>
      <w:tblPr>
        <w:tblLayout w:type="fixed"/>
        <w:tblInd w:w="2680" w:type="dxa"/>
        <w:tblCellMar>
          <w:top w:w="0" w:type="dxa"/>
          <w:left w:w="0" w:type="dxa"/>
          <w:bottom w:w="0" w:type="dxa"/>
          <w:right w:w="0" w:type="dxa"/>
        </w:tblCellMar>
      </w:tblPr>
      <w:tr>
        <w:trPr>
          <w:trHeight w:val="27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Facility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Less uses of facility:</w:t>
            </w: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43"/>
        </w:trPr>
        <w:tc>
          <w:tcPr>
            <w:tcW w:w="5360" w:type="dxa"/>
            <w:vAlign w:val="bottom"/>
          </w:tcPr>
          <w:p>
            <w:pPr>
              <w:ind w:left="160"/>
              <w:spacing w:after="0"/>
              <w:rPr>
                <w:sz w:val="20"/>
                <w:szCs w:val="20"/>
                <w:color w:val="auto"/>
              </w:rPr>
            </w:pPr>
            <w:r>
              <w:rPr>
                <w:rFonts w:ascii="Arial" w:cs="Arial" w:eastAsia="Arial" w:hAnsi="Arial"/>
                <w:sz w:val="18"/>
                <w:szCs w:val="18"/>
                <w:color w:val="auto"/>
              </w:rPr>
              <w:t>Letters of credit</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Availability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facilities. At December 31, 2015, we had $214 million in short-term borrowings under these arrangements with a weighted average interest rate of 2.0%, including $180 million borrowed under a credit agreement entered into in March 2014 that matures on March 20, 2016 (with respect to $150 million) and June 20, 2016 (with respect to the remaining $30 million), with a LIBOR-based interest rate of 1.95% as of December 31, 2015. On April 9, 2015, the maturity date, we repaid the remaining balance of $175 million on our $400 million, 364-day term loan facility.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Standard &amp; Poor’s Rating Services’ credit rating on our senior unsecured debt is currently BB+, and our short-term rating is B. On November 3, 2015, S&amp;P lowered our credit rating to the current BB+ from BBB- and changed our outlook from negative to stable. Our Moody’s Investors Ratings Services’ credit rating on our unsecured debt is currently Ba1, and our short-term rating is SGL-2. On October 27, 2015, Moody Investors lowered our credit rating to the current Ba1 from Baa3 and changed our outlook from negative to stable. However, on January 21, 2016, Moody’s placed the company’s rating on review for downgrade. On April 15, 2015, Fitch Rating assigned a credit rating on our senior unsecured debt of BBB- and our short-term rating of F3, with a negative outlook. On January 25, 2016, Fitch Ratings lowered its credit rating on our senior unsecured debt to BB from BBB- and lowered our short-term rating to B from F3 and maintained its negative outlook. We have access and expect we will continue to have access to most credit markets.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9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2016, we anticipate our cash requirements will include payments for capital expenditures, repayment of debt, interest payments on our outstanding debt, severance and payments for short-term working capital needs. Our cash requirements may also include opportunistic debt repurchases, business acquisitions and amounts to settle litigation related matters described in “Item 1A. – Risk Factors” and “Item 8. – Financial Statements and Supplementary Data – Notes to Consolidated Financial Statements – Note 21 – Disputes, Litigation and Contingencies.” We anticipate funding these requirements from cash generated from operations, availability under our existing or additional credit facilities, and if completed, proceeds from disposals of businesses or capital assets. We anticipate that cash generated from operations will be augmented by working capital improvements driven by capital discipline including further inventory reductions. Capital expenditures for 2016 are projected to be approximately $300 million, which will be 56% lower than capital expenditures of $682 million in 2015. The amounts we ultimately spend will depend on a number of factors including the type of contracts we enter into, asset availability and our expectations with respect to industry activity levels in 2016. Expenditures are expected to be used primarily to supporting ongoing activities of our core businesses and our sources of liquidity are anticipated to be sufficient to meet our needs.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Cash and cash equivalent of $467 million at December 31, 2015, are held by subsidiaries outside of Ireland. Based on the nature of our structure, we are generally able to redeploy cash with no incremental tax. However, in 2015 we recorded a $179 million tax charge to cover future planned distributions of subsidiary earnings to the U.S.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December 31, 2015, $149 million of our cash and cash equivalent balance was denominated in Angolan kwanza. The National Bank of Angola supervises all kwanza exchange operations and had limited U.S. Dollar conversions during 2015, causing our kwanza cash balance to increase throughout the year. Prolonged Angolan exchange limitations may limit our ability to repatriate earnings and expose us to additional exchange rate risk.</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participate in factoring arrangements to sell accounts receivable to third party financial institutions. In 2015, under these arrangements we sold $78 million, received cash totaling of $77 million and recognized a loss of $0.2 million. We did not sell any accounts receivable in 2014. In 2013, under these arrangements we sold $215 million, received cash totaling $204 million and recognized a loss of $3 million. Our factoring transactions in 2015 and 2013 qualified for sale accounting under U.S. Generally Accepted Accounting Principles (“GAAP”) and all related proceeds are included in operating cash flows in our Consolidated Statements of Cash Flows.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summarizes our contractual obligations and contingent commitments by period. The obligations we pay in future periods may vary due to certain assumptions including the duration of our obligations and anticipated actions by third parties.</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Payments Due by Period</w:t>
            </w:r>
          </w:p>
        </w:tc>
        <w:tc>
          <w:tcPr>
            <w:tcW w:w="1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34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2017 and 2018</w:t>
            </w:r>
          </w:p>
        </w:tc>
        <w:tc>
          <w:tcPr>
            <w:tcW w:w="240" w:type="dxa"/>
            <w:vAlign w:val="bottom"/>
          </w:tcPr>
          <w:p>
            <w:pPr>
              <w:spacing w:after="0"/>
              <w:rPr>
                <w:sz w:val="20"/>
                <w:szCs w:val="20"/>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2019 and 2020</w:t>
            </w:r>
          </w:p>
        </w:tc>
        <w:tc>
          <w:tcPr>
            <w:tcW w:w="32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Thereafter</w:t>
            </w:r>
          </w:p>
        </w:tc>
        <w:tc>
          <w:tcPr>
            <w:tcW w:w="4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r>
      <w:tr>
        <w:trPr>
          <w:trHeight w:val="270"/>
        </w:trPr>
        <w:tc>
          <w:tcPr>
            <w:tcW w:w="35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(a)</w:t>
            </w:r>
          </w:p>
        </w:tc>
        <w:tc>
          <w:tcPr>
            <w:tcW w:w="34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392</w:t>
            </w:r>
          </w:p>
        </w:tc>
        <w:tc>
          <w:tcPr>
            <w:tcW w:w="2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1,132</w:t>
            </w:r>
          </w:p>
        </w:tc>
        <w:tc>
          <w:tcPr>
            <w:tcW w:w="24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1,821</w:t>
            </w:r>
          </w:p>
        </w:tc>
        <w:tc>
          <w:tcPr>
            <w:tcW w:w="320" w:type="dxa"/>
            <w:vAlign w:val="bottom"/>
          </w:tcPr>
          <w:p>
            <w:pPr>
              <w:spacing w:after="0"/>
              <w:rPr>
                <w:sz w:val="23"/>
                <w:szCs w:val="23"/>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2,939</w:t>
            </w:r>
          </w:p>
        </w:tc>
        <w:tc>
          <w:tcPr>
            <w:tcW w:w="4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6,284</w:t>
            </w:r>
          </w:p>
        </w:tc>
      </w:tr>
      <w:tr>
        <w:trPr>
          <w:trHeight w:val="25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712</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2,931</w:t>
            </w: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4,477</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Noncancellable Operating Leases</w:t>
            </w:r>
          </w:p>
        </w:tc>
        <w:tc>
          <w:tcPr>
            <w:tcW w:w="34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349</w:t>
            </w:r>
          </w:p>
        </w:tc>
        <w:tc>
          <w:tcPr>
            <w:tcW w:w="2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3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277</w:t>
            </w:r>
          </w:p>
        </w:tc>
        <w:tc>
          <w:tcPr>
            <w:tcW w:w="4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1,172</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w:t>
            </w:r>
          </w:p>
        </w:tc>
      </w:tr>
      <w:tr>
        <w:trPr>
          <w:trHeight w:val="237"/>
        </w:trPr>
        <w:tc>
          <w:tcPr>
            <w:tcW w:w="35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2,525</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2,345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2,473</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6,153</w:t>
            </w:r>
          </w:p>
        </w:tc>
        <w:tc>
          <w:tcPr>
            <w:tcW w:w="4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13,496</w:t>
            </w:r>
          </w:p>
        </w:tc>
      </w:tr>
      <w:tr>
        <w:trPr>
          <w:trHeight w:val="27"/>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line="275"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Amounts represent the expected cash payments of principal associated with our long-term debt. These amounts do not include the unamortized discounts or deferred gains on terminated interest rate swap agreements.</w:t>
      </w:r>
    </w:p>
    <w:p>
      <w:pPr>
        <w:spacing w:after="0" w:line="1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Due to the uncertainty with respect to the timing of future cash flows associated with our uncertain tax positions, we are unable to make reasonably reliable estimates of the period of cash settlement, if any, to the respective taxing authorities. Therefore, $245 million in uncertain tax positions, including interest and penalties, have been excluded from the contractual obligations table above.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defined benefit pension and other post-retirement benefit plans covering certain of our U.S. and international employees. During 2015, we contributed approximately $6 million towards those plans and we anticipate funding approximately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9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$5 million during 2016. Our projected benefit obligations for our defined benefit pension and other post-retirement benefit plans were $245 million as of December 31, 2015.</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fixed-rate debt. As of December 31, 2015 and 2014, we had net unamortized premiums of $23 million and $33 million, respectively, associated with fair value hedge swap terminations. These premiums are being amortized over the remaining term of the originally hedged debt as a reduction to interest expense. See “Note 15 – Derivative Instruments” to our Consolidated Financial Statements for additional details.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Hedges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use interest rate derivatives to mitigate our exposure to variability in forecasted cash flows due to changes in interest rates. 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Income (Loss) to interest expense over the remaining term of the debt. As of December 31, 2015 and 2014, we had net unamortized losses of $10 million and $11 million, respectively, associated with our cash flow hedge terminations.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Derivative Instruments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enter into contracts to hedge our exposure to currency fluctuations in various foreign currencies. As of December 31, 2015 and 2014, we had outstanding foreign currency forward contracts with total notional amounts totaling $1.7 billion and $1.6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 See “Note 15 – Derivative Instruments” for additional information.</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foreign currency forward contracts and cross-currency swaps are not designated as hedges, and the changes in fair value of the contracts are recorded in current earnings each period in the line captioned “Other, Net” on the accompanying Consolidated Statements of Operations. See “Note 15 – Derivative Instruments” for additional information.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Weatherford Ireland guarantees the obligations of our subsidiaries Weatherford International Ltd. (“Weatherford Bermuda”) and Weatherford International, LLC (“Weatherford Delaware”), including the notes and credit facilities listed below.</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December 31, 2015, 2014 and 2013: (1) 6.35% senior notes and (2) 6.80% senior notes.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obligations of Weatherford Bermuda were guaranteed by Weatherford Delaware at December 31, 2015, 2014 and 2013: (1) revolving credit facility, (2) 5.50% senior notes, (3) 6.50% senior notes, (4) 6.00% senior notes, (5) 7.00% senior notes, (6) 9.625% senior notes, (7) 9.875% senior notes, (8) 5.125% senior notes, (9) 6.75% senior notes, (10) 4.50% senior notes and (11) 5.95% senior notes. Our 364-day term loan facility was an obligation of Weatherford Bermuda guaranteed by Weatherford Delaware as of December 31, 2013. In 2014, we refinanced the 364-day term loan facility with a new 364-day term loan facility, which was an obligation of Weatherford Bermuda, was guaranteed by Weatherford Delaware as of December 31, 2014 and was repaid in 2015.</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certain of these guarantee arrangements, we are required to present condensed consolidating financial information. See guarantor financial information presented in “Note 24 – Consolidating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9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use letters of credit and performance and bid bonds in the normal course of our business. As of December 31, 2015, we had $791 million of letters of credit and performance and bid bonds outstanding, consisting of $626 million outstanding under various uncommitted credit facilities, $16 million of letters of credit outstanding under our Credit Agreement and $149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facility, our available liquidity would be reduced by the amount called.</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Consolidated Financial Statements. We prepare these financial statements in conformity with U.S. GAAP.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 accounting policies we believe require management’s most difficult, subjective or complex judgments and are the most critical to our reporting of results of operations and financial position are as follows: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Combinations and Goodwill</w:t>
      </w:r>
    </w:p>
    <w:p>
      <w:pPr>
        <w:spacing w:after="0" w:line="225" w:lineRule="exact"/>
        <w:rPr>
          <w:sz w:val="20"/>
          <w:szCs w:val="20"/>
          <w:color w:val="auto"/>
        </w:rPr>
      </w:pPr>
    </w:p>
    <w:p>
      <w:pPr>
        <w:jc w:val="both"/>
        <w:ind w:right="20" w:firstLine="324"/>
        <w:spacing w:after="0" w:line="276" w:lineRule="auto"/>
        <w:rPr>
          <w:sz w:val="20"/>
          <w:szCs w:val="20"/>
          <w:color w:val="auto"/>
        </w:rPr>
      </w:pPr>
      <w:r>
        <w:rPr>
          <w:rFonts w:ascii="Arial" w:cs="Arial" w:eastAsia="Arial" w:hAnsi="Arial"/>
          <w:sz w:val="17"/>
          <w:szCs w:val="17"/>
          <w:color w:val="auto"/>
        </w:rPr>
        <w:t>Goodwill represents the excess of consideration paid over the fair value of net tangible and identifiable intangible assets acquired, and liabilities assumed in a business combination. Goodwill is allocated to Weatherford’s reporting units when initially acquired. Reporting units are operating segments or one level below the operating segment level. Our reporting units are based on our regions and include the United States, Canada, Latin America, Europe, SSA, Russia, MENA, Asia Pacific and Land Drilling Rigs. Land Drilling Rigs was separated into its own reportable segment and reporting unit in the first quarter of 2015 in order to align our business structure with management’s current view and future growth objectives.</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Goodwill is not amortized but is evaluated for impairment. We perform an impairment test for goodwill annually as of October 1 or more frequently if indicators of potential impairment exist that would more-likely-than-not reduce the fair value of the reporting unit below its carrying value. We have the option to assess qualitative factors to determine if it is necessary to perform further goodwill impairment tests. If it is more-likely-than-not that the fair value of a reporting unit is less than its carrying value, we must perform the first step of the goodwill impairment test. We also have the option to bypass the qualitative assessment at any time and perform the first step. Goodwill impairment is evaluated using a two-step process. The first step of the goodwill impairment test involves a comparison of the fair value of each of our reporting units with their carrying values.</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fair value of our reporting units is determined using a combination of the income approach and the market approach. The income approach estimates fair value by discounting each reporting unit’s estimated future cash flows. The income approach requires us to make certain estimates and judgments. To arrive at our future cash flows, we use estimates of economic and market information, including growth rates in revenues and costs, working capital and capital expenditure requirements, and operating margins and tax rates. Several of the assumptions used in our discounted cash flow analysis are based upon our annual financial forecast. Our annual planning process takes into consideration many factors including historical results and operating performance, related industry trends, pricing strategies, customer analysis, operational issues, competitor analysis, and marketplace data, among others. Assumptions are also made for periods beyond the financial forecast period. The discount rate used in the income approach is determined using a weighted average cost of capital and reflects the risks and uncertainties in the cash flow estimates. The weighted average cost of capital includes a cost of debt and equity. The cost of equity is estimated using the capital asset pricing model, which includes inputs for a long-term risk-free rate, equity risk premium, country risk premium, and an asset beta appropriate for the assets in the reporting unit. The discount rates for our reporting units ranged from 10.50% to 17.25% as of our October 1, 2015 annual impairment test. The market approach estimates fair value using as a multiple of each reporting unit’s actual and forecasted earnings using earnings multiples of comparable publicly traded companies.</w:t>
      </w:r>
    </w:p>
    <w:p>
      <w:pPr>
        <w:spacing w:after="0" w:line="1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used an independent valuation specialist in each of our annual impairment tests to assist us in our valuations under both methods. The final estimate of each reporting unit’s fair value is determined by using an appropriate weighting of the values from each method, where the income method was weighted heavier than the market method as we believe that the income method and assumptions therein are more reflective of a market participant’s view of fair value given current market conditions.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9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values estimated using the income approach and the market approach cannot be directly compared to our market capitalization due to several factors, most importantly the premium that would be paid by a market participant to acquire a controlling interest in Weatherford, which is not reflected in the price of our publicly traded stock. The sum of the fair values of Weatherford’s reporting units’ implied a control premium of approximately 28% as of our October 1, 2015 testing date, which is consistent with observable control premiums in market transactions.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fair values of all of our reporting units that have goodwill were in excess of their carrying value as of our October 1, 2015 annual impairment test. Considering declining oil prices and revisions to our forecasts during the fourth quarter 2015, we re-performed the first step of the goodwill impairment test as of December 31, 2015, and the fair values of all of our reporting units continued to exceed their carrying values as of that date.</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estimates of fair value are sensitive to the aforementioned inputs to the valuation approaches. If any one of the above inputs changes, it could reduce the estimated fair value of the affected reporting unit and result in an impairment charge to goodwill. Some of the inputs, such as forecasts of revenue and earnings growth, are subject to change given their uncertainty. Other inputs, such as the discount rate used in the income approach and the valuation multiple used in the market approach, are subject to change as they are outside of our control. In the event that discount rates increased by more than 100 basis points for our United States reporting unit as of October 1, 2015, all else being equal, we expect that the resulting fair value would still exceed our reporting unit’s carrying value.</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carrying value of a reporting unit’s goodwill exceeds its fair value, the second step of the goodwill impairment test shall be performed. The second step compares the implied fair value of the reporting unit’s goodwill to the carrying value of its goodwill. The implied fair value of goodwill is determined by performing a hypothetical purchase price allocation of the reporting unit’s assets and liabilities using the fair value of the reporting unit as the purchase price in the calculation. If the amount of goodwill resulting from this hypothetical purchase price allocation is less than the carrying value of a reporting unit’s goodwill, the recorded carrying value of goodwill is written down to the implied fair value.</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the results of our impairment tests, we recognized goodwill impairments of $161 million in 2014. We did not recognize a goodwill impairment charge in 2015.</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2014, our annual goodwill impairment test indicated that the goodwill of the Land Drilling Rigs reporting units in Latin America, Europe and Asia Pacific was impaired. The results of our “step-one” analysis were accompanied by other indicators in the form of a decline in the anticipated utilization rates for our drilling rig fleet. Responsive to the impairment indicators noted, we performed a “step two” analysis, comparing the implied fair value of reporting units’ goodwill with the carrying value of their goodwill. The “step two” analysis indicated that the goodwill for these reporting units was fully impaired and we recognized an impairment loss of $40 million related to Land Drilling Rigs segment in Latin America, Europe and Asia Pacific.</w:t>
      </w:r>
    </w:p>
    <w:p>
      <w:pPr>
        <w:spacing w:after="0" w:line="1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during the second quarter of 2014, we engaged in negotiation to sell our land drilling and workover operations in Russia and Venezuela and we subsequently entered into an agreement to sell the businesses in July 2014. During this time frame we expected the sale would significantly impact the revenues and results of operations of our Russia reporting unit. Consequently, we considered the associated circumstances to assess whether an event or change had occurred that, more likely than not, reduced the fair value of our reporting units below their carrying amount. We concluded that the planned sale represented an indicator of impairment and we prepared the analysis necessary to identify the potential impairment and recognized the required impairment loss. The analysis indicated that the goodwill for the Russia reporting unit was impaired, and we recognized a goodwill impairment loss of $121 million, $95 million of which pertained to goodwill classified in current assets held for sale.</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further analysis and discussion of goodwill refer to “Item 8. – Financial Statements and Supplementary Data – Notes to Consolidated Financial Statements – Note 9 – Goodwill” of this Form 10-K.</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9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Long-lived assets, which include property, plant and equipment and definite-lived intangibles, comprise a significant amount of our assets. We must make estimates about the expected useful lives of the assets. The value of the long-lived assets is then amortized over its expected useful life. A change in the estimated useful lives of our long-lived assets would have an impact on our results of operations. We estimate the useful lives of our long-lived asset groups as follows:</w:t>
      </w:r>
    </w:p>
    <w:p>
      <w:pPr>
        <w:spacing w:after="0" w:line="187" w:lineRule="exact"/>
        <w:rPr>
          <w:sz w:val="20"/>
          <w:szCs w:val="20"/>
          <w:color w:val="auto"/>
        </w:rPr>
      </w:pPr>
    </w:p>
    <w:tbl>
      <w:tblPr>
        <w:tblLayout w:type="fixed"/>
        <w:tblInd w:w="110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p>
        </w:tc>
        <w:tc>
          <w:tcPr>
            <w:tcW w:w="2980" w:type="dxa"/>
            <w:vAlign w:val="bottom"/>
          </w:tcPr>
          <w:p>
            <w:pPr>
              <w:ind w:left="20"/>
              <w:spacing w:after="0"/>
              <w:rPr>
                <w:sz w:val="20"/>
                <w:szCs w:val="20"/>
                <w:color w:val="auto"/>
              </w:rPr>
            </w:pPr>
            <w:r>
              <w:rPr>
                <w:rFonts w:ascii="Arial" w:cs="Arial" w:eastAsia="Arial" w:hAnsi="Arial"/>
                <w:sz w:val="18"/>
                <w:szCs w:val="18"/>
                <w:color w:val="auto"/>
              </w:rPr>
              <w:t>Estimated Useful Lives</w:t>
            </w:r>
          </w:p>
        </w:tc>
      </w:tr>
      <w:tr>
        <w:trPr>
          <w:trHeight w:val="27"/>
        </w:trPr>
        <w:tc>
          <w:tcPr>
            <w:tcW w:w="626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 – 40 years or lease term</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Rental and service equipment</w:t>
            </w:r>
          </w:p>
        </w:tc>
        <w:tc>
          <w:tcPr>
            <w:tcW w:w="2980" w:type="dxa"/>
            <w:vAlign w:val="bottom"/>
          </w:tcPr>
          <w:p>
            <w:pPr>
              <w:ind w:left="20"/>
              <w:spacing w:after="0"/>
              <w:rPr>
                <w:sz w:val="20"/>
                <w:szCs w:val="20"/>
                <w:color w:val="auto"/>
              </w:rPr>
            </w:pPr>
            <w:r>
              <w:rPr>
                <w:rFonts w:ascii="Arial" w:cs="Arial" w:eastAsia="Arial" w:hAnsi="Arial"/>
                <w:sz w:val="18"/>
                <w:szCs w:val="18"/>
                <w:color w:val="auto"/>
              </w:rPr>
              <w:t>2 – 20 years</w:t>
            </w:r>
          </w:p>
        </w:tc>
      </w:tr>
      <w:tr>
        <w:trPr>
          <w:trHeight w:val="27"/>
        </w:trPr>
        <w:tc>
          <w:tcPr>
            <w:tcW w:w="626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other</w:t>
            </w:r>
          </w:p>
        </w:tc>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 – 12 years</w:t>
            </w:r>
          </w:p>
        </w:tc>
      </w:tr>
      <w:tr>
        <w:trPr>
          <w:trHeight w:val="243"/>
        </w:trPr>
        <w:tc>
          <w:tcPr>
            <w:tcW w:w="62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980" w:type="dxa"/>
            <w:vAlign w:val="bottom"/>
          </w:tcPr>
          <w:p>
            <w:pPr>
              <w:ind w:left="20"/>
              <w:spacing w:after="0"/>
              <w:rPr>
                <w:sz w:val="20"/>
                <w:szCs w:val="20"/>
                <w:color w:val="auto"/>
              </w:rPr>
            </w:pPr>
            <w:r>
              <w:rPr>
                <w:rFonts w:ascii="Arial" w:cs="Arial" w:eastAsia="Arial" w:hAnsi="Arial"/>
                <w:sz w:val="18"/>
                <w:szCs w:val="18"/>
                <w:color w:val="auto"/>
              </w:rPr>
              <w:t>2 – 20 years</w:t>
            </w:r>
          </w:p>
        </w:tc>
      </w:tr>
    </w:tbl>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estimating the useful lives of our property, plant and equipment, we rely primarily on our actual experience with the same or similar assets. The useful lives of our intangible assets are determined by the years over which we expect the assets to generate a benefit based on legal, contractual or regulatory terms.</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Long-lived assets to be held and used by us are reviewed to determine whether any events or changes in circumstances indicate that we may not be able to recover the carrying amount of the asset. Factors that might indicate a long-lived asset may not be recoverable may include, but are not limited to, significant decreases in the market value of the long-lived asset, a significant change in the long-lived asset’s physical condition, the introduction of competing technologies, legal challenges, a reduction in the utilization rate of the assets, a change in industry conditions, or a reduction in cash flows driven by pricing pressure as a result of oversupply associated with the use of the long-lived asset. If these or other factors exist that indicate the carrying amount of the asset may not be recoverable, we determine whether an impairment has occurred through the use of an undiscounted cash flow analysis. The undiscounted cash flow analysis consists of estimating the future cash flows that are directly associated with, and are expected to arise from, the use and eventual disposition of the asset over its remaining useful life. These cash flows are inherently subjective and require estimates based upon historical experience and future expectations. If the undiscounted cash flows do not exceed the carrying value of the long-lived asset, the asset is not recoverable and impairment is recognized to the extent the carrying amount exceeds the estimated fair value of the asset. The fair value of the asset is measured using market prices, or in the absence of market prices, is based on an estimate of discounted cash flows. Cash flows are discounted at an interest rate commensurate with our weighted average cost of capital for a similar asset.</w:t>
      </w:r>
    </w:p>
    <w:p>
      <w:pPr>
        <w:spacing w:after="0" w:line="1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Assets are grouped at the lowest level at which cash flows are identifiable and independent. We generally group operating assets by product line of the respective region. We have long-lived assets, such as facilities, utilized by multiple operating divisions that do not have identifiable cash flows and impairment testing for these long-lived assets is based on the consolidated entity.</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significant decline in crude oil prices contributed to lower anticipated exploration and production spending and a decline in the anticipated utilization rates for our assets. The decline and its impact on demand represent a significant adverse change in the business climate and an indication that some of our long-lived assets may not be recoverable. Based on the impairment indicators noted we performed an analysis of our long-lived assets in 2014 and 2015 and recorded long-lived and other asset impairment charges to adjust to fair value. See “Note 8 – Long-lived Asset Impairments” for additional information regarding the long-lived assets impairment.</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recognized total long-lived asset impairment charges of $638 million in 2015 with $383 million related to pressure pumping, drilling tools and wireline assets in North America segment and $255 million related to Land Drilling Rigs segment assets. In 2014 we recognized total long-lived and other asset impairments of $495 million, of which $352 million related to our Land Drilling Rig business and $143 million related to the sale of our land drilling and workover operations in Russia and Venezuela.</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cannot predict the occurrence of future impairment-triggering events, so we continue to assess whether indicators of impairment to long-lived assets exist due to the current business conditions in the oilfield services industry.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9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Percentage-of-Completion Revenue Recognition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long-term contracts, primarily for our integrated project management services, is reported on the percentage-of-completion method of accounting. This method of accounting requires us to calculate contract profit to be recognized in each reporting period for each contract based upon our projections of future outcomes, which include:</w:t>
      </w:r>
    </w:p>
    <w:p>
      <w:pPr>
        <w:spacing w:after="0" w:line="262" w:lineRule="exact"/>
        <w:rPr>
          <w:sz w:val="20"/>
          <w:szCs w:val="20"/>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estimates of the available revenue under the contracts;</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estimates of the total cost to complete the project;</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estimates of project schedule and completion date;</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estimates of the extent of progress toward completion; and</w:t>
      </w:r>
    </w:p>
    <w:p>
      <w:pPr>
        <w:spacing w:after="0" w:line="157" w:lineRule="exact"/>
        <w:rPr>
          <w:rFonts w:ascii="Arial" w:cs="Arial" w:eastAsia="Arial" w:hAnsi="Arial"/>
          <w:sz w:val="18"/>
          <w:szCs w:val="18"/>
          <w:color w:val="auto"/>
        </w:rPr>
      </w:pPr>
    </w:p>
    <w:p>
      <w:pPr>
        <w:ind w:left="720" w:hanging="388"/>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of any change orders or claims included in revenue.</w:t>
      </w:r>
    </w:p>
    <w:p>
      <w:pPr>
        <w:spacing w:after="0" w:line="29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Measurements of progress are generally based on costs incurred to date as a percentage of total estimated costs or output related to physical progress. At the outset of each contract, we prepare a detailed analysis of our estimated cost to complete the project. Risks related to service delivery, usage, productivity and other factors are considered in the estimation process. Our personnel periodically evaluate the estimated costs, claims, change orders and percentage-of-completion at the contract level. The recording of profits and losses on long-term contracts requires an estimate of the total profit or loss over the life of each contract. This estimate requires consideration of total contract value, change orders and claims, less costs incurred and estimated costs to complete. Anticipated losses on contracts are recorded in full in the period in which they become evident. Profits are recorded based upon the total estimated contract profit multiplied by the current estimated percentage complete for the contract. There are many factors that impact future costs, including but not limited to weather, inflation, client activity levels and budgeting constraints, labor and community disruptions, timely availability of materials, productivity and other factors as outlined in our “Item 1A. – Risk Factors.”</w:t>
      </w:r>
    </w:p>
    <w:p>
      <w:pPr>
        <w:spacing w:after="0" w:line="18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2015, we recognized estimated project losses of $153 million related to our long-term early production facility construction contracts in Iraq accounted for under the percentage-of-completion method. Total estimated losses on these loss projects were $532 million at December 31, 2015. As of December 31, 2015, our percentage-of-completion project estimates include $116 million of claims revenue and $28 million of back charges. During 2015, an additional $32 million of claims revenue was included in our project estimates. Our costs in excess of billings as of December 31, 2015 were $6 million and are shown in the “Other Current Assets” line on our Consolidated Balance Sheets. We also have a variety of unapproved contract change orders or claims that are not included in our revenues as of December 31, 2015. The amounts associated with these contract change orders or claims are included in revenue only when they can be reliably estimated and their realization is reasonably assured.</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2014, we recognized estimated project losses of $72 million related to our long-term early production facility construction contracts in Iraq accounted for under the percentage-of-completion method. Total estimated losses on these projects were $379 million at December 31, 2014. As of December 31, 2014, our percentage-of-completion project estimates include $90 million of claims revenue and $24 million of back charges. Our costs in excess of billings as of December 31, 2014 were $128 million and are shown in the “Other Current Assets” line on the balance sheet. We had a variety of unapproved contract change orders or claims that were not included in our revenues as of December 31, 2014. During 2014, an additional $80 million of claims revenue was included in our project estimates and $26 million of our prior claims were approved.</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2013, we recognized estimated project losses of $232 million related to our long-term early production facility construction contracts in Iraq accounted for under the percentage-of-completion method. The total estimated losses on these projects were $307 million at December 31, 2013. As of December 31, 2013, our percentage-of-completion project estimates include $36 million of claims revenue and $82 million for liquidated damages that we are contractually obligated to pay as a result of delays in the expected completion of the project. We had a variety of unapproved contract change orders or claims that were not included in our revenues as of December 31, 2013.</w:t>
      </w:r>
    </w:p>
    <w:p>
      <w:pPr>
        <w:spacing w:after="0" w:line="188" w:lineRule="exact"/>
        <w:rPr>
          <w:sz w:val="20"/>
          <w:szCs w:val="20"/>
          <w:color w:val="auto"/>
        </w:rPr>
      </w:pPr>
    </w:p>
    <w:p>
      <w:pPr>
        <w:jc w:val="both"/>
        <w:ind w:firstLine="366"/>
        <w:spacing w:after="0" w:line="342" w:lineRule="auto"/>
        <w:rPr>
          <w:sz w:val="20"/>
          <w:szCs w:val="20"/>
          <w:color w:val="auto"/>
        </w:rPr>
      </w:pPr>
      <w:r>
        <w:rPr>
          <w:rFonts w:ascii="Arial" w:cs="Arial" w:eastAsia="Arial" w:hAnsi="Arial"/>
          <w:sz w:val="16"/>
          <w:szCs w:val="16"/>
          <w:color w:val="auto"/>
        </w:rPr>
        <w:t>Although we have not yet met the recognition criteria for revenue recognition, we expect to vigorously pursue collection of the claims and reduction or elimination of the liquidated damages. Any benefits resulting from those efforts will be recognized when the criteria for the revenue recognition are met.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9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take into account the differences between the financial statement treatment and tax treatment of certain transactions.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of a change in tax rates is recognized as income or expense in the period that includes the enactment date. Our income tax benefit in 2015 was $145 million compared to an income tax provision of $284 million in 2014 and $144 million in 2013, respectively, which resulted in an effective tax rate of 7%, (111)% and (85)%, respectively.</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recognize the impact of an uncertain tax position taken or expected to be taken on an income tax return in the financial statements at the largest amount that is more likely than not to be sustained upon examination by the relevant taxing authority.</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operate in over 100 countries through hundreds of legal entities. As a result, we are subject to numerous tax laws in the jurisdictions, and tax agreements and treaties among the various taxing authorities. Our operations in these jurisdictions in which we operate are taxed on various bases: income before taxes, deemed profits (which is generally determined using a percentage of revenues rather than profits), withholding taxes based on revenue, and other alternative minimum taxes. The calculation of our tax liabilities involves consideration of uncertainties in the application and interpretation of complex tax regulations in a multitude of jurisdictions across our global operations. We recognize potential liabilities and record tax liabilities for anticipated tax audit issues in the tax jurisdictions based on our estimate of whether, and the extent to which, additional taxes will be due. As of December 31, 2015, we had recorded reserves for uncertain tax positions of $195 million, excluding accrued interest and penalties of $50 million. The tax liabilities are reflected net of realized tax loss carryforwards. We adjust these reserves upon specific events; however, due to the complexity of some of these uncertainties, the ultimate resolution may result in a payment that is different from our current estimate of the tax liabilities.</w:t>
      </w:r>
    </w:p>
    <w:p>
      <w:pPr>
        <w:spacing w:after="0" w:line="2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our estimate of tax liabilities proves to be less than the ultimate assessment, an additional charge to expense would result. If payment of these amounts ultimately proves to be less than the recorded amounts, the reversal of the liabilities would result in tax benefits being recognized in the period when the contingency has been resolved and the liabilities are no longer necessary. Changes in tax laws, regulations, agreements and treaties, foreign currency exchange restrictions or our level of operations or profitability in each taxing jurisdiction could have an impact upon the amount of income taxes that we provide during any given year.</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Allowance for Deferred Tax Assets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record a valuation allowance to reduce the carrying value of our deferred tax assets when it is more likely than not that a portion or all of the deferred tax assets will expire before realization of the benefit. The ultimate realization of the deferred tax assets depends on the ability to generate sufficient taxable income of the appropriate character and in the related jurisdiction in the future. In evaluating our ability to recover our deferred tax assets, we consider the available positive and negative evidence, including our past operating results, the existence of cumulative losses in the most recent years and our forecast of future taxable income. In estimating future taxable income, we develop assumptions, including the amount of future pre-tax operating income, the reversal of temporary differences and the implementation of feasible and prudent tax planning strategies. These assumptions require significant judgment.</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considered various tax planning strategies that we would implement, if necessary, to enable the realization of our deferred tax assets; however, when the likelihood of the realization of existing deferred tax assets changes, adjustments to the valuation allowance are charged to our income tax provision in the period in which the determination is made.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2015, our gross deferred tax assets were $1.6 billion before a related valuation allowance of $868 million. As of December 31, 2014, our gross deferred tax assets were $1.2 billion before a related valuation allowance of $732 million. The gross deferred tax assets were also offset by gross deferred tax liabilities of $474 million and $573 million as of December 31, 2015 and 2014,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9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Doubtful Accounts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maintain an allowance for doubtful accounts in order to record accounts receivable at their net realizable value. Significant judgment is involved in recognizing this allowance. The determination of the collectability requires us to use estimates and make judgments regarding future events and trends, including monitoring our customers’ payment history and current creditworthiness to determine that collectability is reasonably assured, as well as consideration of the overall business and political climate in which our customers operate. Provisions for doubtful accounts are recorded when it becomes evident that customer accounts are uncollectible. At December 31, 2015 and 2014, the allowance for doubtful accounts totaled $113 million, or 6%, and $108 million, or 3%, of total gross accounts receivable, respectively. In 2015, we recognized a charge for bad debt expense of $48 million attributable to our reporting segments. We believe that our allowance for doubtful accounts is adequate to cover potential bad debt losses under current conditions. However, uncertainties regarding changes in the financial condition of our customers, either adverse or positive, could impact the amount and timing of any additional provisions for doubtful accounts that may be required. A 5% change in the allowance for doubtful accounts would have had an impact on income before income taxes of approximately $6 million in 2015.</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Inventory Reserves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Inventory represents a significant component of current assets and is stated at the lower of cost or market using either a first-in, first-out (“FIFO”) or average cost method. To maintain a book value that is the lower of cost or market, we maintain reserves for excess, slow moving and obsolete inventory. To determine these reserve amounts, we review inventory quantities on hand, future product demand, market conditions, production requirements and technological obsolesce. This review requires us to make judgments regarding potential future outcomes. At December 31, 2015 and 2014, inventory reserves totaled $288 million, or 11%, and $147 million, or 5%, of gross inventory, respectively. During 2015, we recognized a charge of $186 million for excess and obsolete inventory attributable to our reporting segments. We believe that our reserves are adequate to properly value potential excess, slow-moving and obsolete inventory under current conditions.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2014, we recognized a charge of $21 million for excess and obsolete inventory associated with rigs reporting units with the remaining charge attributable to our regional excess and obsolete inventory review. During 2013, we recognized a charge for excess and obsolete inventory of $62 million attributable to our reporting segments.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Disputes, Litigation and Contingencies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of December 31, 2015, we have accrued an estimate of the probable and estimable cost to resolve certain legal and investigation matters. For matters not deemed probable and reasonably estimable, we have not accrued any amounts in accordance with U.S. GAAP. Our legal department manages all pending or threatened claims and investigations on our behalf. The estimate of the probable costs related to these matters is developed in consultation with internal and outside legal counsel. Our contingent loss estimates are based upon an analysis of potential results, assuming a combination of probable litigation and settlement strategies. The accuracy of these estimates is impacted by the complexity of the issues. Whenever possible, we attempt to resolve these matters through settlements, mediation and arbitration proceedings if advantageous to us. If the actual settlement costs, final judgments or fines differ from our estimates, our future financial results may be adversely affected. For a more comprehensive discussion of our Disputes, Litigation and Contingencies, see “Item 8. – Financial Statements and Supplementary Data – Notes to Consolidated Financial Statements – Note 21 – Disputes, Litigation and Contingencies.”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1 – Summary of Significant Accounting Policies” to our Consolidated Financial Statements for additional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9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are currently exposed to market risk from changes in foreign currency and changes in interest rates. From time to time, we may enter into derivative financial instrument transactions to manage or reduce our market risk. A discussion of our market risk exposure in these financial instruments follows.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Exchange Rates and Inflationary Impacts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operate in virtually every oil and natural gas exploration and production region in the world. In some parts of the world, such as Latin America, the Middle East and Southeast Asia, the currency of our primary economic environment is the U.S. dollar, and we use the U.S. dollar as our functional currency. In other parts of the world, we conduct our business in currencies other than the U.S. dollar, and the functional currency is the applicable local currency.</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currency devaluation and related charges resulting from certain devaluations and depreciation are included in the line captioned “Currency Devaluation and Related Charges” on the accompanying Consolidated Statements of Operations.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2015, currency devaluations and related charges were $85 million and reflects the impact of the continued devaluation of the Angolan kwanza of $39 million and Argentine peso of $11 million and the recognized remeasurement charges of $26 million related to the Venezuelan bolivar and Kazakhstani tenge of $9 million. The Angolan kwanza charges reflect currency devaluations of approximately 24% in 2015. After the National Bank of Kazakhstan abandoned its peg of the tenge to the U.S. dollar, the cumulative depreciation of the Kazakhstani tenge was 46% during 2015. The devaluation of the Argentine peso was due to the modifying of currency control restrictions on purchasing foreign currencies by the Argentine Central Bank. The Venezuelan bolivar charge reflects remeasurement charges when we began using the exchange rate published by the Venezuelan currency exchange system known as the “Marginal Currency System” or SIMADI, which opened for trading February 12, 2015, replacing the Venezuela’s SICAD II mechanism. The SIMADI is intended to provide limited access to a free market rate of exchange.</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2014 and 2013, we recognized charges of $245 million and $100 million respectively, on the devaluation of the Venezuelan bolivar. As of December 31, 2014, we adopted the SICAD II daily auction rate of approximately 50 Venezuelan bolivars per U.S. dollar. This rate was used at December 31, 2014 for the purposes of remeasuring Venezuelan bolivar denominated assets and liabilities (primarily cash, accounts receivables, trade payables and other current liabilities). The 2013 devaluation was due to the Venezuelan government changing the official exchange rate of the bolivar from 4.3 per dollar to 6.3 per dollar for all goods and services.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Potential Highly Inflationary Country</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noted the concerns raised by the IMF relating to the accuracy of Argentina’s officially reported consumer price index. We are closely monitoring Argentina’s price index. As of December 31, 2015, we had a net monetary asset position denominated in Argentine pesos of $42 million, comprised primarily of accounts receivable and current liabilities. Any future change in the inflation rate in Argentina could cause us to change to a U.S. dollar functional currency, which would result in gains or losses on the Argentine peso denominated assets held by our subsidiaries for subsequent changes in the exchange rate.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Foreign Currency, Forward Contracts and Cross-Currency Swaps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Assets and liabilities of entities for which the functional currency other than the U.S. dollar are translated into U.S. dollars using the exchange rates in effect at the balance sheet date result in translation adjustments that are reflected in Accumulated Other Comprehensive Income (Loss) in the Shareholders’ Equity section on our Consolidated Balance Sheets. We recorded a $789 million and $763 million adjustment to decrease shareholders’ equity for 2015 and 2014, respectively, to reflect the change in the U.S. dollar against various foreign currencies.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December 31, 2015 and 2014, we had outstanding foreign currency forward contracts with total notional amounts aggregating $1.7 billion and $1.6 billion, respectively. These contracts were entered into in order to hedge our net monetary exposure to currency fluctuations in various foreign currencies. The total estimated fair value of these contracts and amounts owed associated with closed contracts at December 31, 2015 and 2014, resulted in a net liability of approximately $9 million and $5 million, respectively. These derivative instruments were not designated as hedges, and the changes in fair value of the contracts are recorded each period in current earnings.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9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Interest Rates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subject to interest rate risk on our long-term fixed-interest rate debt and variable-interest rate borrowings. Variable rate debt exposes us to short-term changes in market interest rates. Fixed rate debt exposes us to changes in market interest rates reflected in the fair value of the debt and to the risk that we may need to refinance maturing debt with new debt at a higher rate. All other things being equal, the fair value of our fixed rate debt will increase or decrease inversely to changes in interest rates.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senior notes that were outstanding at December 31, 2015 and 2014, and that were subject to interest rate risk consist of the following:</w:t>
      </w:r>
    </w:p>
    <w:p>
      <w:pPr>
        <w:spacing w:after="0" w:line="167"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3221355</wp:posOffset>
            </wp:positionH>
            <wp:positionV relativeFrom="paragraph">
              <wp:posOffset>34290</wp:posOffset>
            </wp:positionV>
            <wp:extent cx="3773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ind w:right="133"/>
              <w:spacing w:after="0"/>
              <w:rPr>
                <w:sz w:val="20"/>
                <w:szCs w:val="20"/>
                <w:color w:val="auto"/>
              </w:rPr>
            </w:pPr>
            <w:r>
              <w:rPr>
                <w:rFonts w:ascii="Arial" w:cs="Arial" w:eastAsia="Arial" w:hAnsi="Arial"/>
                <w:sz w:val="16"/>
                <w:szCs w:val="16"/>
                <w:b w:val="1"/>
                <w:bCs w:val="1"/>
                <w:color w:val="auto"/>
                <w:w w:val="95"/>
              </w:rPr>
              <w:t>2015</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ind w:right="133"/>
              <w:spacing w:after="0"/>
              <w:rPr>
                <w:sz w:val="20"/>
                <w:szCs w:val="20"/>
                <w:color w:val="auto"/>
              </w:rPr>
            </w:pPr>
            <w:r>
              <w:rPr>
                <w:rFonts w:ascii="Arial" w:cs="Arial" w:eastAsia="Arial" w:hAnsi="Arial"/>
                <w:sz w:val="16"/>
                <w:szCs w:val="16"/>
                <w:b w:val="1"/>
                <w:bCs w:val="1"/>
                <w:color w:val="auto"/>
                <w:w w:val="95"/>
              </w:rPr>
              <w:t>2014</w:t>
            </w:r>
          </w:p>
        </w:tc>
        <w:tc>
          <w:tcPr>
            <w:tcW w:w="1040" w:type="dxa"/>
            <w:vAlign w:val="bottom"/>
          </w:tcPr>
          <w:p>
            <w:pPr>
              <w:spacing w:after="0"/>
              <w:rPr>
                <w:sz w:val="18"/>
                <w:szCs w:val="18"/>
                <w:color w:val="auto"/>
              </w:rPr>
            </w:pPr>
          </w:p>
        </w:tc>
      </w:tr>
      <w:tr>
        <w:trPr>
          <w:trHeight w:val="47"/>
        </w:trPr>
        <w:tc>
          <w:tcPr>
            <w:tcW w:w="50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8"/>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Carrying</w:t>
            </w:r>
          </w:p>
        </w:tc>
        <w:tc>
          <w:tcPr>
            <w:tcW w:w="580" w:type="dxa"/>
            <w:vAlign w:val="bottom"/>
          </w:tcPr>
          <w:p>
            <w:pPr>
              <w:spacing w:after="0"/>
              <w:rPr>
                <w:sz w:val="18"/>
                <w:szCs w:val="18"/>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8"/>
                <w:szCs w:val="18"/>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rPr>
              <w:t>Carrying</w:t>
            </w:r>
          </w:p>
        </w:tc>
        <w:tc>
          <w:tcPr>
            <w:tcW w:w="580" w:type="dxa"/>
            <w:vAlign w:val="bottom"/>
          </w:tcPr>
          <w:p>
            <w:pPr>
              <w:spacing w:after="0"/>
              <w:rPr>
                <w:sz w:val="18"/>
                <w:szCs w:val="18"/>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234"/>
        </w:trPr>
        <w:tc>
          <w:tcPr>
            <w:tcW w:w="50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0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580" w:type="dxa"/>
            <w:vAlign w:val="bottom"/>
          </w:tcPr>
          <w:p>
            <w:pPr>
              <w:spacing w:after="0"/>
              <w:rPr>
                <w:sz w:val="20"/>
                <w:szCs w:val="2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20"/>
                <w:szCs w:val="20"/>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5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r>
      <w:tr>
        <w:trPr>
          <w:trHeight w:val="27"/>
        </w:trPr>
        <w:tc>
          <w:tcPr>
            <w:tcW w:w="5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5.50% Senior Notes due 2016</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6.35% Senior Notes due 2017</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607</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643</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6.00% Senior Notes due 2018</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9.625% Senior Notes due 2019</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1,014</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965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1,018</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1,180</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5.125% Senior Notes due 2020</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4.50% Senior Notes due 2022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644</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715</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642</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6.50% Senior Notes due 2036</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6.80% Senior Notes due 2037</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257</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286</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7.00% Senior Notes due 2038</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9.875% Senior Notes due 2039</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312</w:t>
            </w:r>
          </w:p>
        </w:tc>
      </w:tr>
      <w:tr>
        <w:trPr>
          <w:trHeight w:val="27"/>
        </w:trPr>
        <w:tc>
          <w:tcPr>
            <w:tcW w:w="5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6.75% Senior Notes due 2040</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5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5.95% Senior Notes due 2042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372</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w:t>
            </w:r>
          </w:p>
        </w:tc>
        <w:tc>
          <w:tcPr>
            <w:tcW w:w="5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407</w:t>
            </w:r>
          </w:p>
        </w:tc>
      </w:tr>
      <w:tr>
        <w:trPr>
          <w:trHeight w:val="27"/>
        </w:trPr>
        <w:tc>
          <w:tcPr>
            <w:tcW w:w="5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w:t>
            </w:r>
          </w:p>
        </w:tc>
        <w:tc>
          <w:tcPr>
            <w:tcW w:w="5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5,095</w:t>
            </w:r>
          </w:p>
        </w:tc>
        <w:tc>
          <w:tcPr>
            <w:tcW w:w="2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5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6,733</w:t>
            </w:r>
          </w:p>
        </w:tc>
      </w:tr>
      <w:tr>
        <w:trPr>
          <w:trHeight w:val="20"/>
        </w:trPr>
        <w:tc>
          <w:tcPr>
            <w:tcW w:w="5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2015, through a series of open market transactions, we repurchased certain of our 4.5% senior notes, 5.125% senior notes, 5.95% senior notes, 6.5% senior notes, 6.75% senior notes, 6.80% senior notes and 7.00% senior notes with a total book value of $527 million. We recognized a cumulative gain of approximately $84 million on these transactions. In December 2014, through a series of open market transactions, we repurchased certain of our 4.5% senior notes, 5.95% senior notes and 6.5% senior notes with a an aggregate book value of $138 million and recognized a gain of approximately $11 million.</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various capital lease and other long-term debt instruments of $154 million at December 31, 2015, but believe the impact of changes in interest rates in the near term will not be material to these instruments. The carrying value of our short-term borrowings of $1.2 billion at December 31, 2015 approximates their fair value.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it relates to our variable rate debt, if market interest rates increase by an average of 1% from the rates as of December 31, 2015, interest expense for 2015 would increase by approximately $12 million. This amount was determined by calculating the effect of the hypothetical interest rate on our variable rate debt. For purposes of this sensitivity analysis, we assumed no changes in our capital structure.</w:t>
      </w:r>
    </w:p>
    <w:p>
      <w:pPr>
        <w:spacing w:after="0" w:line="17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Interest Rate Swaps and Derivatives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manage our debt portfolio to limit our exposure to interest rate volatility and may employ interest rate derivatives as a tool to achieve that goal. The major risks from interest rate derivatives include changes in the interest rates affecting the fair value of such instruments, potential increases in interest expense due to market increases in floating interest rates and the creditworthiness of the counterparties in such transactions. The counterparties to our interest rate swaps are multinational commercial banks. We continually re-evaluate counterparty creditworthiness and modify our requirements accordingly.</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Amounts paid or received upon termination of the interest rate swaps represent the fair value of the agreements at the time of termination. Derivative gains and losses are recognized each period in current earnings or other comprehensive income (loss), depending on whether the derivative is designated as part of a hedge relationship, and if so, the type of hedge.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9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INDEX TO FINANCIAL STATEMENTS AND FINANCIAL STATEMENT SCHEDULE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40" w:type="dxa"/>
            <w:vAlign w:val="bottom"/>
            <w:gridSpan w:val="5"/>
          </w:tcPr>
          <w:p>
            <w:pPr>
              <w:ind w:left="780"/>
              <w:spacing w:after="0"/>
              <w:rPr>
                <w:sz w:val="20"/>
                <w:szCs w:val="20"/>
                <w:color w:val="auto"/>
              </w:rPr>
            </w:pPr>
            <w:r>
              <w:rPr>
                <w:rFonts w:ascii="Arial" w:cs="Arial" w:eastAsia="Arial" w:hAnsi="Arial"/>
                <w:sz w:val="18"/>
                <w:szCs w:val="18"/>
                <w:b w:val="1"/>
                <w:bCs w:val="1"/>
                <w:color w:val="auto"/>
              </w:rPr>
              <w:t>PAGE</w:t>
            </w:r>
          </w:p>
        </w:tc>
      </w:tr>
      <w:tr>
        <w:trPr>
          <w:trHeight w:val="297"/>
        </w:trPr>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03"/>
        </w:trPr>
        <w:tc>
          <w:tcPr>
            <w:tcW w:w="98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Reports of Independent Registered Public Accounting Firms</w:t>
              </w:r>
            </w:hyperlink>
          </w:p>
        </w:tc>
        <w:tc>
          <w:tcPr>
            <w:tcW w:w="1120" w:type="dxa"/>
            <w:vAlign w:val="bottom"/>
            <w:gridSpan w:val="3"/>
            <w:shd w:val="clear" w:color="auto" w:fill="CCEEFF"/>
          </w:tcPr>
          <w:p>
            <w:pPr>
              <w:jc w:val="center"/>
              <w:ind w:left="850"/>
              <w:spacing w:after="0" w:line="202"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9880" w:type="dxa"/>
            <w:vAlign w:val="bottom"/>
            <w:gridSpan w:val="10"/>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Consolidated Balance Sheets as of December 31, 2015 and 2014</w:t>
              </w:r>
            </w:hyperlink>
          </w:p>
        </w:tc>
        <w:tc>
          <w:tcPr>
            <w:tcW w:w="1120" w:type="dxa"/>
            <w:vAlign w:val="bottom"/>
            <w:gridSpan w:val="3"/>
          </w:tcPr>
          <w:p>
            <w:pPr>
              <w:jc w:val="center"/>
              <w:ind w:left="85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51</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9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98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Consolidated Statements of Operations for each of the three years in the period ended December 31, 2015</w:t>
              </w:r>
            </w:hyperlink>
          </w:p>
        </w:tc>
        <w:tc>
          <w:tcPr>
            <w:tcW w:w="1120" w:type="dxa"/>
            <w:vAlign w:val="bottom"/>
            <w:gridSpan w:val="3"/>
            <w:shd w:val="clear" w:color="auto" w:fill="CCEEFF"/>
          </w:tcPr>
          <w:p>
            <w:pPr>
              <w:jc w:val="center"/>
              <w:ind w:left="85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49</w:t>
              </w:r>
            </w:hyperlink>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9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9880" w:type="dxa"/>
            <w:vAlign w:val="bottom"/>
            <w:gridSpan w:val="10"/>
          </w:tcPr>
          <w:p>
            <w:pPr>
              <w:ind w:left="40"/>
              <w:spacing w:after="0" w:line="202" w:lineRule="exact"/>
              <w:rPr>
                <w:rFonts w:ascii="Arial" w:cs="Arial" w:eastAsia="Arial" w:hAnsi="Arial"/>
                <w:sz w:val="18"/>
                <w:szCs w:val="18"/>
                <w:color w:val="0000EE"/>
                <w:w w:val="97"/>
              </w:rPr>
            </w:pPr>
            <w:hyperlink w:anchor="page50">
              <w:r>
                <w:rPr>
                  <w:rFonts w:ascii="Arial" w:cs="Arial" w:eastAsia="Arial" w:hAnsi="Arial"/>
                  <w:sz w:val="18"/>
                  <w:szCs w:val="18"/>
                  <w:color w:val="0000EE"/>
                  <w:w w:val="97"/>
                </w:rPr>
                <w:t>Consolidated Statements of Comprehensive Income (Loss) for each of the three years in the period ended December 31, 2015</w:t>
              </w:r>
            </w:hyperlink>
          </w:p>
        </w:tc>
        <w:tc>
          <w:tcPr>
            <w:tcW w:w="1120" w:type="dxa"/>
            <w:vAlign w:val="bottom"/>
            <w:gridSpan w:val="3"/>
          </w:tcPr>
          <w:p>
            <w:pPr>
              <w:jc w:val="center"/>
              <w:ind w:left="85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50</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9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98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2">
              <w:r>
                <w:rPr>
                  <w:rFonts w:ascii="Arial" w:cs="Arial" w:eastAsia="Arial" w:hAnsi="Arial"/>
                  <w:sz w:val="18"/>
                  <w:szCs w:val="18"/>
                  <w:color w:val="0000EE"/>
                </w:rPr>
                <w:t>Consolidated Statements of Shareholders' Equity for each of the three years in the period ended December 31, 2015</w:t>
              </w:r>
            </w:hyperlink>
          </w:p>
        </w:tc>
        <w:tc>
          <w:tcPr>
            <w:tcW w:w="1120" w:type="dxa"/>
            <w:vAlign w:val="bottom"/>
            <w:gridSpan w:val="3"/>
            <w:shd w:val="clear" w:color="auto" w:fill="CCEEFF"/>
          </w:tcPr>
          <w:p>
            <w:pPr>
              <w:jc w:val="center"/>
              <w:ind w:left="850"/>
              <w:spacing w:after="0" w:line="20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52</w:t>
              </w:r>
            </w:hyperlink>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9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03"/>
        </w:trPr>
        <w:tc>
          <w:tcPr>
            <w:tcW w:w="9880" w:type="dxa"/>
            <w:vAlign w:val="bottom"/>
            <w:gridSpan w:val="10"/>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Consolidated Statements of Cash Flows for each of the three years in the period ended December 31, 2015</w:t>
              </w:r>
            </w:hyperlink>
          </w:p>
        </w:tc>
        <w:tc>
          <w:tcPr>
            <w:tcW w:w="1120" w:type="dxa"/>
            <w:vAlign w:val="bottom"/>
            <w:gridSpan w:val="3"/>
          </w:tcPr>
          <w:p>
            <w:pPr>
              <w:jc w:val="center"/>
              <w:ind w:left="85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53</w:t>
              </w:r>
            </w:hyperlink>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14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9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r>
      <w:tr>
        <w:trPr>
          <w:trHeight w:val="203"/>
        </w:trPr>
        <w:tc>
          <w:tcPr>
            <w:tcW w:w="98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Notes to Consolidated Financial Statements</w:t>
              </w:r>
            </w:hyperlink>
          </w:p>
        </w:tc>
        <w:tc>
          <w:tcPr>
            <w:tcW w:w="1120" w:type="dxa"/>
            <w:vAlign w:val="bottom"/>
            <w:gridSpan w:val="3"/>
            <w:shd w:val="clear" w:color="auto" w:fill="CCEEFF"/>
          </w:tcPr>
          <w:p>
            <w:pPr>
              <w:jc w:val="center"/>
              <w:ind w:left="85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14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9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r>
      <w:tr>
        <w:trPr>
          <w:trHeight w:val="243"/>
        </w:trPr>
        <w:tc>
          <w:tcPr>
            <w:tcW w:w="9880" w:type="dxa"/>
            <w:vAlign w:val="bottom"/>
            <w:gridSpan w:val="10"/>
          </w:tcPr>
          <w:p>
            <w:pPr>
              <w:ind w:left="40"/>
              <w:spacing w:after="0"/>
              <w:rPr>
                <w:sz w:val="20"/>
                <w:szCs w:val="20"/>
                <w:color w:val="auto"/>
              </w:rPr>
            </w:pPr>
            <w:r>
              <w:rPr>
                <w:rFonts w:ascii="Arial" w:cs="Arial" w:eastAsia="Arial" w:hAnsi="Arial"/>
                <w:sz w:val="18"/>
                <w:szCs w:val="18"/>
                <w:color w:val="auto"/>
              </w:rPr>
              <w:t>Financial Statement Schedule II:</w:t>
            </w: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9880" w:type="dxa"/>
            <w:vAlign w:val="bottom"/>
            <w:gridSpan w:val="10"/>
            <w:shd w:val="clear" w:color="auto" w:fill="CCEEFF"/>
          </w:tcPr>
          <w:p>
            <w:pPr>
              <w:ind w:left="40"/>
              <w:spacing w:after="0" w:line="202" w:lineRule="exact"/>
              <w:rPr>
                <w:rFonts w:ascii="Arial" w:cs="Arial" w:eastAsia="Arial" w:hAnsi="Arial"/>
                <w:sz w:val="18"/>
                <w:szCs w:val="18"/>
                <w:color w:val="0000EE"/>
              </w:rPr>
            </w:pPr>
            <w:hyperlink w:anchor="page104">
              <w:r>
                <w:rPr>
                  <w:rFonts w:ascii="Arial" w:cs="Arial" w:eastAsia="Arial" w:hAnsi="Arial"/>
                  <w:sz w:val="18"/>
                  <w:szCs w:val="18"/>
                  <w:color w:val="0000EE"/>
                </w:rPr>
                <w:t>Valuation and Qualifying Accounts and Allowances</w:t>
              </w:r>
            </w:hyperlink>
          </w:p>
        </w:tc>
        <w:tc>
          <w:tcPr>
            <w:tcW w:w="1540" w:type="dxa"/>
            <w:vAlign w:val="bottom"/>
            <w:gridSpan w:val="5"/>
            <w:shd w:val="clear" w:color="auto" w:fill="CCEEFF"/>
          </w:tcPr>
          <w:p>
            <w:pPr>
              <w:jc w:val="center"/>
              <w:ind w:left="430"/>
              <w:spacing w:after="0" w:line="202" w:lineRule="exact"/>
              <w:rPr>
                <w:rFonts w:ascii="Arial" w:cs="Arial" w:eastAsia="Arial" w:hAnsi="Arial"/>
                <w:sz w:val="18"/>
                <w:szCs w:val="18"/>
                <w:color w:val="0000EE"/>
                <w:w w:val="86"/>
              </w:rPr>
            </w:pPr>
            <w:hyperlink w:anchor="page104">
              <w:r>
                <w:rPr>
                  <w:rFonts w:ascii="Arial" w:cs="Arial" w:eastAsia="Arial" w:hAnsi="Arial"/>
                  <w:sz w:val="18"/>
                  <w:szCs w:val="18"/>
                  <w:color w:val="0000EE"/>
                  <w:w w:val="86"/>
                </w:rPr>
                <w:t>104</w:t>
              </w:r>
            </w:hyperlink>
          </w:p>
        </w:tc>
      </w:tr>
      <w:tr>
        <w:trPr>
          <w:trHeight w:val="783"/>
        </w:trPr>
        <w:tc>
          <w:tcPr>
            <w:tcW w:w="40" w:type="dxa"/>
            <w:vAlign w:val="bottom"/>
            <w:tcBorders>
              <w:top w:val="single" w:sz="8" w:color="CCEEFF"/>
            </w:tcBorders>
          </w:tcPr>
          <w:p>
            <w:pPr>
              <w:spacing w:after="0"/>
              <w:rPr>
                <w:sz w:val="24"/>
                <w:szCs w:val="24"/>
                <w:color w:val="auto"/>
              </w:rPr>
            </w:pPr>
          </w:p>
        </w:tc>
        <w:tc>
          <w:tcPr>
            <w:tcW w:w="3740" w:type="dxa"/>
            <w:vAlign w:val="bottom"/>
            <w:tcBorders>
              <w:top w:val="single" w:sz="8" w:color="0000EE"/>
            </w:tcBorders>
            <w:gridSpan w:val="2"/>
          </w:tcPr>
          <w:p>
            <w:pPr>
              <w:spacing w:after="0"/>
              <w:rPr>
                <w:sz w:val="24"/>
                <w:szCs w:val="24"/>
                <w:color w:val="auto"/>
              </w:rPr>
            </w:pPr>
          </w:p>
        </w:tc>
        <w:tc>
          <w:tcPr>
            <w:tcW w:w="3880" w:type="dxa"/>
            <w:vAlign w:val="bottom"/>
            <w:tcBorders>
              <w:top w:val="single" w:sz="8" w:color="CCEEFF"/>
            </w:tcBorders>
            <w:gridSpan w:val="3"/>
          </w:tcPr>
          <w:p>
            <w:pPr>
              <w:jc w:val="right"/>
              <w:ind w:right="1860"/>
              <w:spacing w:after="0"/>
              <w:rPr>
                <w:sz w:val="20"/>
                <w:szCs w:val="20"/>
                <w:color w:val="auto"/>
              </w:rPr>
            </w:pPr>
            <w:r>
              <w:rPr>
                <w:rFonts w:ascii="Arial" w:cs="Arial" w:eastAsia="Arial" w:hAnsi="Arial"/>
                <w:sz w:val="18"/>
                <w:szCs w:val="18"/>
                <w:color w:val="auto"/>
              </w:rPr>
              <w:t>46</w:t>
            </w:r>
          </w:p>
        </w:tc>
        <w:tc>
          <w:tcPr>
            <w:tcW w:w="6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80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Weatherford International plc and subsidiaries as of December 31, 2015 and 2014, and the related consolidated statements of operations, comprehensive income (loss), shareholders’ equity, and cash flows for each of the years in the three-year period ended December 31, 2015. In connection with our audits of the consolidated financial statements, we also have audited financial statement schedule II for each of the years in the three-year period ended December 31, 2015.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Weatherford International plc and subsidiaries as of December 31, 2015 and 2014, and the results of their operations and their cash flows for each of the years in the three-year period ended December 31, 2015, in conformity with U.S. generally accepted accounting principles. Also in our opinion, the related financial statement schedule for each of the years in the three-year period ended December 31, 2015, when considered in relation to the basic consolidated financial statements taken as a whole, presents fairly, in all material respects, the information set forth therein.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Weatherford International plc’s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February 16, 2016 expressed an unqualified opinion on the effectiveness of the Company’s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ind w:left="340"/>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9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Weatherford International plc’s internal control over financial reporting as of December 31, 2015, based on criteria established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(COSO). Weatherford</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plc’s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our opinion, Weatherford International plc maintained, in all material respects, effective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Weatherford International plc and subsidiaries as of December 31, 2015 and 2014, and the related consolidated statements of operations, comprehensive income (loss), shareholders’ equity, and cash flows for each of the years in the three-year period ended December 31, 2015, and our report dated February 16, 2016 expressed an unqualified opinion on those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2016</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9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60"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34290</wp:posOffset>
            </wp:positionV>
            <wp:extent cx="25298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and shares in millions, except per share amounts)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7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3,573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6,059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6,007</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5,860</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8,852</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9,256</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9,433</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14,911</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15,263</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97"/>
        </w:trPr>
        <w:tc>
          <w:tcPr>
            <w:tcW w:w="7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3,433</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4,942</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4,480</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4,588</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6,519</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7,822</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231</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Selling, General and Administrative Attributable to Segments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1,353</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1,727</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1,728</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227</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290</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316</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Long-Lived Asset Impairments and Other Related Charges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768</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495</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Equity Investment Impairment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161</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Severance and Restructuring Charges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331</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Charges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116</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Loss (Gain) on Sale of Businesses and Investments, Net</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10,979</w:t>
            </w: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14,406</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14,740</w:t>
            </w:r>
          </w:p>
        </w:tc>
      </w:tr>
      <w:tr>
        <w:trPr>
          <w:trHeight w:val="291"/>
        </w:trPr>
        <w:tc>
          <w:tcPr>
            <w:tcW w:w="74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r>
      <w:tr>
        <w:trPr>
          <w:trHeight w:val="297"/>
        </w:trPr>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Devaluation and Related Charges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91"/>
        </w:trPr>
        <w:tc>
          <w:tcPr>
            <w:tcW w:w="7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(2,096)</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(Provision)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145</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97"/>
        </w:trPr>
        <w:tc>
          <w:tcPr>
            <w:tcW w:w="7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Weatherford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r>
        <w:trPr>
          <w:trHeight w:val="284"/>
        </w:trPr>
        <w:tc>
          <w:tcPr>
            <w:tcW w:w="74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Loss Per Share Attributable to Weatherford:</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&amp; 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(0.45)</w:t>
            </w:r>
          </w:p>
        </w:tc>
      </w:tr>
      <w:tr>
        <w:trPr>
          <w:trHeight w:val="297"/>
        </w:trPr>
        <w:tc>
          <w:tcPr>
            <w:tcW w:w="7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Basic &amp; Diluted</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779</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777</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395"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00"/>
          </w:cols>
          <w:pgMar w:left="240" w:top="395" w:right="25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60"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34290</wp:posOffset>
            </wp:positionV>
            <wp:extent cx="2529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7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37"/>
        </w:trPr>
        <w:tc>
          <w:tcPr>
            <w:tcW w:w="74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w:t>
            </w:r>
          </w:p>
        </w:tc>
      </w:tr>
      <w:tr>
        <w:trPr>
          <w:trHeight w:val="27"/>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395"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0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and shares in millions, except par value)</w:t>
            </w:r>
          </w:p>
        </w:tc>
        <w:tc>
          <w:tcPr>
            <w:tcW w:w="30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2014</w:t>
            </w:r>
          </w:p>
        </w:tc>
      </w:tr>
      <w:tr>
        <w:trPr>
          <w:trHeight w:val="33"/>
        </w:trPr>
        <w:tc>
          <w:tcPr>
            <w:tcW w:w="8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20"/>
                <w:szCs w:val="20"/>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474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 of Allowance for Uncollectible Accounts of $113 in 2015 and $108 in 2014</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3,015</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Inventories, Net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2,344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3,087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708</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5,564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7,944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Buildings and Leasehold Improvements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1,836</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Rental and Service Equipment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8,702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9,714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Machinery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2,468</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Property, Plant and Equipment, Gross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12,914</w:t>
            </w: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14,018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6,895</w:t>
            </w:r>
          </w:p>
        </w:tc>
      </w:tr>
      <w:tr>
        <w:trPr>
          <w:trHeight w:val="231"/>
        </w:trPr>
        <w:tc>
          <w:tcPr>
            <w:tcW w:w="88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5,679</w:t>
            </w: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7,123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2,803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3,011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Equity Investments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w:t>
            </w:r>
          </w:p>
        </w:tc>
      </w:tr>
      <w:tr>
        <w:trPr>
          <w:trHeight w:val="297"/>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14,787</w:t>
            </w:r>
          </w:p>
        </w:tc>
        <w:tc>
          <w:tcPr>
            <w:tcW w:w="1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18,889</w:t>
            </w:r>
          </w:p>
        </w:tc>
      </w:tr>
      <w:tr>
        <w:trPr>
          <w:trHeight w:val="271"/>
        </w:trPr>
        <w:tc>
          <w:tcPr>
            <w:tcW w:w="88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Borrowings and Current Portion of Long-term Debt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1,736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Salaries and Benefits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909</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4,031</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4,027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5,879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6,798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w:t>
            </w:r>
          </w:p>
        </w:tc>
      </w:tr>
      <w:tr>
        <w:trPr>
          <w:trHeight w:val="217"/>
        </w:trPr>
        <w:tc>
          <w:tcPr>
            <w:tcW w:w="880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10,422</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11,856</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88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Shares - Par Value $0.001; Authorized 1,356 shares, Issued and Outstanding 779 shares and 774 shares at December 31, 2015 and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 respectively</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Capital in Excess of Par Value</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5,502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5,411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2,427</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(1,641)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(881)</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6,958</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30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75</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Shareholders’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4,365</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7,033</w:t>
            </w:r>
          </w:p>
        </w:tc>
      </w:tr>
      <w:tr>
        <w:trPr>
          <w:trHeight w:val="257"/>
        </w:trPr>
        <w:tc>
          <w:tcPr>
            <w:tcW w:w="8800" w:type="dxa"/>
            <w:vAlign w:val="bottom"/>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14,787</w:t>
            </w:r>
          </w:p>
        </w:tc>
        <w:tc>
          <w:tcPr>
            <w:tcW w:w="1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18,889</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395" w:right="239" w:bottom="622" w:gutter="0" w:footer="0" w:header="0"/>
        </w:sectPr>
      </w:pP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395" w:right="239" w:bottom="622"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Capital In</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Other</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Non-</w:t>
            </w:r>
          </w:p>
        </w:tc>
        <w:tc>
          <w:tcPr>
            <w:tcW w:w="22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4"/>
              </w:rPr>
              <w:t>Total</w:t>
            </w:r>
          </w:p>
        </w:tc>
      </w:tr>
      <w:tr>
        <w:trPr>
          <w:trHeight w:val="203"/>
        </w:trPr>
        <w:tc>
          <w:tcPr>
            <w:tcW w:w="2620" w:type="dxa"/>
            <w:vAlign w:val="bottom"/>
          </w:tcPr>
          <w:p>
            <w:pPr>
              <w:spacing w:after="0"/>
              <w:rPr>
                <w:sz w:val="17"/>
                <w:szCs w:val="17"/>
                <w:color w:val="auto"/>
              </w:rPr>
            </w:pPr>
          </w:p>
        </w:tc>
        <w:tc>
          <w:tcPr>
            <w:tcW w:w="11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Par Value of</w:t>
            </w:r>
          </w:p>
        </w:tc>
        <w:tc>
          <w:tcPr>
            <w:tcW w:w="200" w:type="dxa"/>
            <w:vAlign w:val="bottom"/>
          </w:tcPr>
          <w:p>
            <w:pPr>
              <w:spacing w:after="0"/>
              <w:rPr>
                <w:sz w:val="17"/>
                <w:szCs w:val="17"/>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87"/>
              </w:rPr>
              <w:t>Excess of Par</w:t>
            </w:r>
          </w:p>
        </w:tc>
        <w:tc>
          <w:tcPr>
            <w:tcW w:w="240" w:type="dxa"/>
            <w:vAlign w:val="bottom"/>
          </w:tcPr>
          <w:p>
            <w:pPr>
              <w:spacing w:after="0"/>
              <w:rPr>
                <w:sz w:val="17"/>
                <w:szCs w:val="17"/>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Retained</w:t>
            </w:r>
          </w:p>
        </w:tc>
        <w:tc>
          <w:tcPr>
            <w:tcW w:w="220" w:type="dxa"/>
            <w:vAlign w:val="bottom"/>
          </w:tcPr>
          <w:p>
            <w:pPr>
              <w:spacing w:after="0"/>
              <w:rPr>
                <w:sz w:val="17"/>
                <w:szCs w:val="17"/>
                <w:color w:val="auto"/>
              </w:rPr>
            </w:pPr>
          </w:p>
        </w:tc>
        <w:tc>
          <w:tcPr>
            <w:tcW w:w="134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Comprehensive</w:t>
            </w:r>
          </w:p>
        </w:tc>
        <w:tc>
          <w:tcPr>
            <w:tcW w:w="200" w:type="dxa"/>
            <w:vAlign w:val="bottom"/>
          </w:tcPr>
          <w:p>
            <w:pPr>
              <w:spacing w:after="0"/>
              <w:rPr>
                <w:sz w:val="17"/>
                <w:szCs w:val="17"/>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Treasury</w:t>
            </w:r>
          </w:p>
        </w:tc>
        <w:tc>
          <w:tcPr>
            <w:tcW w:w="22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controlling</w:t>
            </w:r>
          </w:p>
        </w:tc>
        <w:tc>
          <w:tcPr>
            <w:tcW w:w="22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89"/>
              </w:rPr>
              <w:t>Shareholders’</w:t>
            </w:r>
          </w:p>
        </w:tc>
      </w:tr>
      <w:tr>
        <w:trPr>
          <w:trHeight w:val="210"/>
        </w:trPr>
        <w:tc>
          <w:tcPr>
            <w:tcW w:w="26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1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0"/>
              </w:rPr>
              <w:t>Issued Shares</w:t>
            </w:r>
          </w:p>
        </w:tc>
        <w:tc>
          <w:tcPr>
            <w:tcW w:w="20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Value</w:t>
            </w:r>
          </w:p>
        </w:tc>
        <w:tc>
          <w:tcPr>
            <w:tcW w:w="240" w:type="dxa"/>
            <w:vAlign w:val="bottom"/>
          </w:tcPr>
          <w:p>
            <w:pPr>
              <w:spacing w:after="0"/>
              <w:rPr>
                <w:sz w:val="18"/>
                <w:szCs w:val="18"/>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Earnings</w:t>
            </w:r>
          </w:p>
        </w:tc>
        <w:tc>
          <w:tcPr>
            <w:tcW w:w="220" w:type="dxa"/>
            <w:vAlign w:val="bottom"/>
          </w:tcPr>
          <w:p>
            <w:pPr>
              <w:spacing w:after="0"/>
              <w:rPr>
                <w:sz w:val="18"/>
                <w:szCs w:val="18"/>
                <w:color w:val="auto"/>
              </w:rPr>
            </w:pPr>
          </w:p>
        </w:tc>
        <w:tc>
          <w:tcPr>
            <w:tcW w:w="134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Income (Loss)</w:t>
            </w:r>
          </w:p>
        </w:tc>
        <w:tc>
          <w:tcPr>
            <w:tcW w:w="200" w:type="dxa"/>
            <w:vAlign w:val="bottom"/>
          </w:tcPr>
          <w:p>
            <w:pPr>
              <w:spacing w:after="0"/>
              <w:rPr>
                <w:sz w:val="18"/>
                <w:szCs w:val="18"/>
                <w:color w:val="auto"/>
              </w:rPr>
            </w:pPr>
          </w:p>
        </w:tc>
        <w:tc>
          <w:tcPr>
            <w:tcW w:w="800" w:type="dxa"/>
            <w:vAlign w:val="bottom"/>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220" w:type="dxa"/>
            <w:vAlign w:val="bottom"/>
          </w:tcPr>
          <w:p>
            <w:pPr>
              <w:spacing w:after="0"/>
              <w:rPr>
                <w:sz w:val="18"/>
                <w:szCs w:val="18"/>
                <w:color w:val="auto"/>
              </w:rPr>
            </w:pPr>
          </w:p>
        </w:tc>
        <w:tc>
          <w:tcPr>
            <w:tcW w:w="102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Interests</w:t>
            </w:r>
          </w:p>
        </w:tc>
        <w:tc>
          <w:tcPr>
            <w:tcW w:w="22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Equity</w:t>
            </w:r>
          </w:p>
        </w:tc>
      </w:tr>
      <w:tr>
        <w:trPr>
          <w:trHeight w:val="33"/>
        </w:trPr>
        <w:tc>
          <w:tcPr>
            <w:tcW w:w="2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2012</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4,674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3,356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8,818</w:t>
            </w:r>
          </w:p>
        </w:tc>
      </w:tr>
      <w:tr>
        <w:trPr>
          <w:trHeight w:val="284"/>
        </w:trPr>
        <w:tc>
          <w:tcPr>
            <w:tcW w:w="2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40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(350)</w:t>
            </w:r>
          </w:p>
        </w:tc>
        <w:tc>
          <w:tcPr>
            <w:tcW w:w="20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33"/>
        </w:trPr>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to Noncontrolling</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4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20"/>
        </w:trPr>
        <w:tc>
          <w:tcPr>
            <w:tcW w:w="2620" w:type="dxa"/>
            <w:vAlign w:val="bottom"/>
          </w:tcPr>
          <w:p>
            <w:pPr>
              <w:ind w:left="40"/>
              <w:spacing w:after="0"/>
              <w:rPr>
                <w:sz w:val="20"/>
                <w:szCs w:val="20"/>
                <w:color w:val="auto"/>
              </w:rPr>
            </w:pPr>
            <w:r>
              <w:rPr>
                <w:rFonts w:ascii="Arial" w:cs="Arial" w:eastAsia="Arial" w:hAnsi="Arial"/>
                <w:sz w:val="16"/>
                <w:szCs w:val="16"/>
                <w:color w:val="auto"/>
              </w:rPr>
              <w:t>Equity Awards Granted, Vested and</w:t>
            </w: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620" w:type="dxa"/>
            <w:vAlign w:val="bottom"/>
          </w:tcPr>
          <w:p>
            <w:pPr>
              <w:ind w:left="40"/>
              <w:spacing w:after="0"/>
              <w:rPr>
                <w:sz w:val="20"/>
                <w:szCs w:val="20"/>
                <w:color w:val="auto"/>
              </w:rPr>
            </w:pPr>
            <w:r>
              <w:rPr>
                <w:rFonts w:ascii="Arial" w:cs="Arial" w:eastAsia="Arial" w:hAnsi="Arial"/>
                <w:sz w:val="16"/>
                <w:szCs w:val="16"/>
                <w:color w:val="auto"/>
              </w:rPr>
              <w:t>Exercised</w:t>
            </w:r>
          </w:p>
        </w:tc>
        <w:tc>
          <w:tcPr>
            <w:tcW w:w="400" w:type="dxa"/>
            <w:vAlign w:val="bottom"/>
          </w:tcPr>
          <w:p>
            <w:pPr>
              <w:spacing w:after="0"/>
              <w:rPr>
                <w:sz w:val="17"/>
                <w:szCs w:val="17"/>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17"/>
                <w:szCs w:val="17"/>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145</w:t>
            </w:r>
          </w:p>
        </w:tc>
        <w:tc>
          <w:tcPr>
            <w:tcW w:w="22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77</w:t>
            </w:r>
          </w:p>
        </w:tc>
      </w:tr>
      <w:tr>
        <w:trPr>
          <w:trHeight w:val="33"/>
        </w:trPr>
        <w:tc>
          <w:tcPr>
            <w:tcW w:w="2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Excess Tax Benefit of Share-Based</w:t>
            </w: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Plans</w:t>
            </w:r>
          </w:p>
        </w:tc>
        <w:tc>
          <w:tcPr>
            <w:tcW w:w="4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Other</w:t>
            </w:r>
          </w:p>
        </w:tc>
        <w:tc>
          <w:tcPr>
            <w:tcW w:w="400" w:type="dxa"/>
            <w:vAlign w:val="bottom"/>
          </w:tcPr>
          <w:p>
            <w:pPr>
              <w:spacing w:after="0"/>
              <w:rPr>
                <w:sz w:val="20"/>
                <w:szCs w:val="20"/>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2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2013</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775</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4,600</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3,011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8,203</w:t>
            </w:r>
          </w:p>
        </w:tc>
      </w:tr>
      <w:tr>
        <w:trPr>
          <w:trHeight w:val="20"/>
        </w:trPr>
        <w:tc>
          <w:tcPr>
            <w:tcW w:w="2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Loss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Consolidation of Joint Venture</w:t>
      </w:r>
    </w:p>
    <w:p>
      <w:pPr>
        <w:spacing w:after="0" w:line="73" w:lineRule="exact"/>
        <w:rPr>
          <w:sz w:val="20"/>
          <w:szCs w:val="20"/>
          <w:color w:val="auto"/>
        </w:rPr>
      </w:pPr>
    </w:p>
    <w:p>
      <w:pPr>
        <w:ind w:left="40" w:right="280"/>
        <w:spacing w:after="0" w:line="293" w:lineRule="auto"/>
        <w:rPr>
          <w:sz w:val="20"/>
          <w:szCs w:val="20"/>
          <w:color w:val="auto"/>
        </w:rPr>
      </w:pPr>
      <w:r>
        <w:rPr>
          <w:rFonts w:ascii="Arial" w:cs="Arial" w:eastAsia="Arial" w:hAnsi="Arial"/>
          <w:sz w:val="16"/>
          <w:szCs w:val="16"/>
          <w:color w:val="auto"/>
        </w:rPr>
        <w:t>Dividends Paid to Noncontrolling Interests</w:t>
      </w:r>
    </w:p>
    <w:p>
      <w:pPr>
        <w:spacing w:after="0" w:line="10" w:lineRule="exact"/>
        <w:rPr>
          <w:sz w:val="20"/>
          <w:szCs w:val="20"/>
          <w:color w:val="auto"/>
        </w:rPr>
      </w:pPr>
    </w:p>
    <w:p>
      <w:pPr>
        <w:jc w:val="both"/>
        <w:ind w:left="40"/>
        <w:spacing w:after="0" w:line="305" w:lineRule="auto"/>
        <w:rPr>
          <w:sz w:val="20"/>
          <w:szCs w:val="20"/>
          <w:color w:val="auto"/>
        </w:rPr>
      </w:pPr>
      <w:r>
        <w:rPr>
          <w:rFonts w:ascii="Arial" w:cs="Arial" w:eastAsia="Arial" w:hAnsi="Arial"/>
          <w:sz w:val="15"/>
          <w:szCs w:val="15"/>
          <w:color w:val="auto"/>
        </w:rPr>
        <w:t>Change in Common Shares, Treasury Shares and Paid in Capital Associated with Redomestication</w:t>
      </w:r>
    </w:p>
    <w:p>
      <w:pPr>
        <w:spacing w:after="0" w:line="4" w:lineRule="exact"/>
        <w:rPr>
          <w:sz w:val="20"/>
          <w:szCs w:val="20"/>
          <w:color w:val="auto"/>
        </w:rPr>
      </w:pPr>
    </w:p>
    <w:p>
      <w:pPr>
        <w:ind w:left="40" w:right="160"/>
        <w:spacing w:after="0" w:line="293" w:lineRule="auto"/>
        <w:rPr>
          <w:sz w:val="20"/>
          <w:szCs w:val="20"/>
          <w:color w:val="auto"/>
        </w:rPr>
      </w:pPr>
      <w:r>
        <w:rPr>
          <w:rFonts w:ascii="Arial" w:cs="Arial" w:eastAsia="Arial" w:hAnsi="Arial"/>
          <w:sz w:val="16"/>
          <w:szCs w:val="16"/>
          <w:color w:val="auto"/>
        </w:rPr>
        <w:t>Equity Awards Granted, Vested and Exercised</w:t>
      </w:r>
    </w:p>
    <w:p>
      <w:pPr>
        <w:spacing w:after="0" w:line="10" w:lineRule="exact"/>
        <w:rPr>
          <w:sz w:val="20"/>
          <w:szCs w:val="20"/>
          <w:color w:val="auto"/>
        </w:rPr>
      </w:pPr>
    </w:p>
    <w:p>
      <w:pPr>
        <w:ind w:left="40" w:right="180"/>
        <w:spacing w:after="0" w:line="293" w:lineRule="auto"/>
        <w:rPr>
          <w:sz w:val="20"/>
          <w:szCs w:val="20"/>
          <w:color w:val="auto"/>
        </w:rPr>
      </w:pPr>
      <w:r>
        <w:rPr>
          <w:rFonts w:ascii="Arial" w:cs="Arial" w:eastAsia="Arial" w:hAnsi="Arial"/>
          <w:sz w:val="16"/>
          <w:szCs w:val="16"/>
          <w:color w:val="auto"/>
        </w:rPr>
        <w:t>Excess Tax Benefit of Share-Based Compensation Plans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Balance at December 31, 2014</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4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19"/>
              <w:spacing w:after="0"/>
              <w:rPr>
                <w:sz w:val="20"/>
                <w:szCs w:val="20"/>
                <w:color w:val="auto"/>
              </w:rPr>
            </w:pPr>
            <w:r>
              <w:rPr>
                <w:rFonts w:ascii="Arial" w:cs="Arial" w:eastAsia="Arial" w:hAnsi="Arial"/>
                <w:sz w:val="16"/>
                <w:szCs w:val="16"/>
                <w:color w:val="auto"/>
              </w:rPr>
              <w:t>(584)</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45</w:t>
            </w:r>
          </w:p>
        </w:tc>
        <w:tc>
          <w:tcPr>
            <w:tcW w:w="1000" w:type="dxa"/>
            <w:vAlign w:val="bottom"/>
          </w:tcPr>
          <w:p>
            <w:pPr>
              <w:jc w:val="right"/>
              <w:spacing w:after="0"/>
              <w:rPr>
                <w:sz w:val="20"/>
                <w:szCs w:val="20"/>
                <w:color w:val="auto"/>
              </w:rPr>
            </w:pPr>
            <w:r>
              <w:rPr>
                <w:rFonts w:ascii="Arial" w:cs="Arial" w:eastAsia="Arial" w:hAnsi="Arial"/>
                <w:sz w:val="16"/>
                <w:szCs w:val="16"/>
                <w:color w:val="auto"/>
              </w:rPr>
              <w:t>(539)</w:t>
            </w:r>
          </w:p>
        </w:tc>
      </w:tr>
      <w:tr>
        <w:trPr>
          <w:trHeight w:val="270"/>
        </w:trPr>
        <w:tc>
          <w:tcPr>
            <w:tcW w:w="14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99"/>
              <w:spacing w:after="0"/>
              <w:rPr>
                <w:sz w:val="20"/>
                <w:szCs w:val="20"/>
                <w:color w:val="auto"/>
              </w:rPr>
            </w:pPr>
            <w:r>
              <w:rPr>
                <w:rFonts w:ascii="Arial" w:cs="Arial" w:eastAsia="Arial" w:hAnsi="Arial"/>
                <w:sz w:val="16"/>
                <w:szCs w:val="16"/>
                <w:color w:val="auto"/>
              </w:rPr>
              <w:t>(694)</w:t>
            </w:r>
          </w:p>
        </w:tc>
        <w:tc>
          <w:tcPr>
            <w:tcW w:w="11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(694)</w:t>
            </w:r>
          </w:p>
        </w:tc>
      </w:tr>
      <w:tr>
        <w:trPr>
          <w:trHeight w:val="270"/>
        </w:trPr>
        <w:tc>
          <w:tcPr>
            <w:tcW w:w="14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27</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w:t>
            </w:r>
          </w:p>
        </w:tc>
      </w:tr>
      <w:tr>
        <w:trPr>
          <w:trHeight w:val="459"/>
        </w:trPr>
        <w:tc>
          <w:tcPr>
            <w:tcW w:w="14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9"/>
              <w:spacing w:after="0"/>
              <w:rPr>
                <w:sz w:val="20"/>
                <w:szCs w:val="20"/>
                <w:color w:val="auto"/>
              </w:rPr>
            </w:pPr>
            <w:r>
              <w:rPr>
                <w:rFonts w:ascii="Arial" w:cs="Arial" w:eastAsia="Arial" w:hAnsi="Arial"/>
                <w:sz w:val="16"/>
                <w:szCs w:val="16"/>
                <w:color w:val="auto"/>
              </w:rPr>
              <w:t>(39)</w:t>
            </w:r>
          </w:p>
        </w:tc>
        <w:tc>
          <w:tcPr>
            <w:tcW w:w="10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662"/>
        </w:trPr>
        <w:tc>
          <w:tcPr>
            <w:tcW w:w="1420" w:type="dxa"/>
            <w:vAlign w:val="bottom"/>
          </w:tcPr>
          <w:p>
            <w:pPr>
              <w:jc w:val="right"/>
              <w:ind w:right="339"/>
              <w:spacing w:after="0"/>
              <w:rPr>
                <w:sz w:val="20"/>
                <w:szCs w:val="20"/>
                <w:color w:val="auto"/>
              </w:rPr>
            </w:pPr>
            <w:r>
              <w:rPr>
                <w:rFonts w:ascii="Arial" w:cs="Arial" w:eastAsia="Arial" w:hAnsi="Arial"/>
                <w:sz w:val="16"/>
                <w:szCs w:val="16"/>
                <w:color w:val="auto"/>
              </w:rPr>
              <w:t>(778)</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750</w:t>
            </w:r>
          </w:p>
        </w:tc>
        <w:tc>
          <w:tcPr>
            <w:tcW w:w="14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59"/>
              <w:spacing w:after="0"/>
              <w:rPr>
                <w:sz w:val="20"/>
                <w:szCs w:val="20"/>
                <w:color w:val="auto"/>
              </w:rPr>
            </w:pPr>
            <w:r>
              <w:rPr>
                <w:rFonts w:ascii="Arial" w:cs="Arial" w:eastAsia="Arial" w:hAnsi="Arial"/>
                <w:sz w:val="16"/>
                <w:szCs w:val="16"/>
                <w:color w:val="auto"/>
              </w:rPr>
              <w:t>39</w:t>
            </w: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w:t>
            </w:r>
          </w:p>
        </w:tc>
      </w:tr>
      <w:tr>
        <w:trPr>
          <w:trHeight w:val="459"/>
        </w:trPr>
        <w:tc>
          <w:tcPr>
            <w:tcW w:w="1420" w:type="dxa"/>
            <w:vAlign w:val="bottom"/>
          </w:tcPr>
          <w:p>
            <w:pPr>
              <w:jc w:val="right"/>
              <w:ind w:right="399"/>
              <w:spacing w:after="0"/>
              <w:rPr>
                <w:sz w:val="20"/>
                <w:szCs w:val="20"/>
                <w:color w:val="auto"/>
              </w:rPr>
            </w:pPr>
            <w:r>
              <w:rPr>
                <w:rFonts w:ascii="Arial" w:cs="Arial" w:eastAsia="Arial" w:hAnsi="Arial"/>
                <w:sz w:val="16"/>
                <w:szCs w:val="16"/>
                <w:color w:val="auto"/>
              </w:rPr>
              <w:t>4</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54</w:t>
            </w:r>
          </w:p>
        </w:tc>
        <w:tc>
          <w:tcPr>
            <w:tcW w:w="14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9"/>
              <w:spacing w:after="0"/>
              <w:rPr>
                <w:sz w:val="20"/>
                <w:szCs w:val="20"/>
                <w:color w:val="auto"/>
              </w:rPr>
            </w:pPr>
            <w:r>
              <w:rPr>
                <w:rFonts w:ascii="Arial" w:cs="Arial" w:eastAsia="Arial" w:hAnsi="Arial"/>
                <w:sz w:val="16"/>
                <w:szCs w:val="16"/>
                <w:color w:val="auto"/>
              </w:rPr>
              <w:t>(2)</w:t>
            </w: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56</w:t>
            </w:r>
          </w:p>
        </w:tc>
      </w:tr>
      <w:tr>
        <w:trPr>
          <w:trHeight w:val="459"/>
        </w:trPr>
        <w:tc>
          <w:tcPr>
            <w:tcW w:w="14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7</w:t>
            </w:r>
          </w:p>
        </w:tc>
        <w:tc>
          <w:tcPr>
            <w:tcW w:w="14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w:t>
            </w:r>
          </w:p>
        </w:tc>
      </w:tr>
      <w:tr>
        <w:trPr>
          <w:trHeight w:val="270"/>
        </w:trPr>
        <w:tc>
          <w:tcPr>
            <w:tcW w:w="14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1</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w:t>
            </w:r>
          </w:p>
        </w:tc>
      </w:tr>
      <w:tr>
        <w:trPr>
          <w:trHeight w:val="33"/>
        </w:trPr>
        <w:tc>
          <w:tcPr>
            <w:tcW w:w="1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1420" w:type="dxa"/>
            <w:vAlign w:val="bottom"/>
          </w:tcPr>
          <w:p>
            <w:pPr>
              <w:jc w:val="right"/>
              <w:ind w:right="399"/>
              <w:spacing w:after="0"/>
              <w:rPr>
                <w:sz w:val="20"/>
                <w:szCs w:val="20"/>
                <w:color w:val="auto"/>
              </w:rPr>
            </w:pPr>
            <w:r>
              <w:rPr>
                <w:rFonts w:ascii="Arial" w:cs="Arial" w:eastAsia="Arial" w:hAnsi="Arial"/>
                <w:sz w:val="16"/>
                <w:szCs w:val="16"/>
                <w:color w:val="auto"/>
              </w:rPr>
              <w:t>1</w:t>
            </w:r>
          </w:p>
        </w:tc>
        <w:tc>
          <w:tcPr>
            <w:tcW w:w="1200" w:type="dxa"/>
            <w:vAlign w:val="bottom"/>
          </w:tcPr>
          <w:p>
            <w:pPr>
              <w:jc w:val="right"/>
              <w:ind w:right="319"/>
              <w:spacing w:after="0"/>
              <w:rPr>
                <w:sz w:val="20"/>
                <w:szCs w:val="20"/>
                <w:color w:val="auto"/>
              </w:rPr>
            </w:pPr>
            <w:r>
              <w:rPr>
                <w:rFonts w:ascii="Arial" w:cs="Arial" w:eastAsia="Arial" w:hAnsi="Arial"/>
                <w:sz w:val="16"/>
                <w:szCs w:val="16"/>
                <w:color w:val="auto"/>
              </w:rPr>
              <w:t>5,411</w:t>
            </w:r>
          </w:p>
        </w:tc>
        <w:tc>
          <w:tcPr>
            <w:tcW w:w="1440" w:type="dxa"/>
            <w:vAlign w:val="bottom"/>
          </w:tcPr>
          <w:p>
            <w:pPr>
              <w:jc w:val="right"/>
              <w:ind w:right="579"/>
              <w:spacing w:after="0"/>
              <w:rPr>
                <w:sz w:val="20"/>
                <w:szCs w:val="20"/>
                <w:color w:val="auto"/>
              </w:rPr>
            </w:pPr>
            <w:r>
              <w:rPr>
                <w:rFonts w:ascii="Arial" w:cs="Arial" w:eastAsia="Arial" w:hAnsi="Arial"/>
                <w:sz w:val="16"/>
                <w:szCs w:val="16"/>
                <w:color w:val="auto"/>
              </w:rPr>
              <w:t>2,427</w:t>
            </w:r>
          </w:p>
        </w:tc>
        <w:tc>
          <w:tcPr>
            <w:tcW w:w="1360" w:type="dxa"/>
            <w:vAlign w:val="bottom"/>
          </w:tcPr>
          <w:p>
            <w:pPr>
              <w:jc w:val="right"/>
              <w:ind w:right="299"/>
              <w:spacing w:after="0"/>
              <w:rPr>
                <w:sz w:val="20"/>
                <w:szCs w:val="20"/>
                <w:color w:val="auto"/>
              </w:rPr>
            </w:pPr>
            <w:r>
              <w:rPr>
                <w:rFonts w:ascii="Arial" w:cs="Arial" w:eastAsia="Arial" w:hAnsi="Arial"/>
                <w:sz w:val="16"/>
                <w:szCs w:val="16"/>
                <w:color w:val="auto"/>
              </w:rPr>
              <w:t>(881)</w:t>
            </w:r>
          </w:p>
        </w:tc>
        <w:tc>
          <w:tcPr>
            <w:tcW w:w="11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99"/>
              <w:spacing w:after="0"/>
              <w:rPr>
                <w:sz w:val="20"/>
                <w:szCs w:val="20"/>
                <w:color w:val="auto"/>
              </w:rPr>
            </w:pPr>
            <w:r>
              <w:rPr>
                <w:rFonts w:ascii="Arial" w:cs="Arial" w:eastAsia="Arial" w:hAnsi="Arial"/>
                <w:sz w:val="16"/>
                <w:szCs w:val="16"/>
                <w:color w:val="auto"/>
              </w:rPr>
              <w:t>75</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7,033</w:t>
            </w:r>
          </w:p>
        </w:tc>
      </w:tr>
      <w:tr>
        <w:trPr>
          <w:trHeight w:val="33"/>
        </w:trPr>
        <w:tc>
          <w:tcPr>
            <w:tcW w:w="14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-1826260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-1362710</wp:posOffset>
            </wp:positionV>
            <wp:extent cx="7229475"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42037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-650875</wp:posOffset>
            </wp:positionV>
            <wp:extent cx="7229475"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291465"/>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-187960</wp:posOffset>
            </wp:positionV>
            <wp:extent cx="7229475"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120"/>
            <w:col w:w="8780"/>
          </w:cols>
          <w:pgMar w:left="240" w:top="395" w:right="259" w:bottom="1440" w:gutter="0" w:footer="0" w:header="0"/>
          <w:type w:val="continuous"/>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(1,985)</w:t>
            </w: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(1,951)</w:t>
            </w:r>
          </w:p>
        </w:tc>
      </w:tr>
      <w:tr>
        <w:trPr>
          <w:trHeight w:val="237"/>
        </w:trPr>
        <w:tc>
          <w:tcPr>
            <w:tcW w:w="262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44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(760)</w:t>
            </w:r>
          </w:p>
        </w:tc>
        <w:tc>
          <w:tcPr>
            <w:tcW w:w="440" w:type="dxa"/>
            <w:vAlign w:val="bottom"/>
          </w:tcPr>
          <w:p>
            <w:pPr>
              <w:spacing w:after="0"/>
              <w:rPr>
                <w:sz w:val="20"/>
                <w:szCs w:val="20"/>
                <w:color w:val="auto"/>
              </w:rPr>
            </w:pPr>
          </w:p>
        </w:tc>
        <w:tc>
          <w:tcPr>
            <w:tcW w:w="108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(760)</w:t>
            </w:r>
          </w:p>
        </w:tc>
      </w:tr>
      <w:tr>
        <w:trPr>
          <w:trHeight w:val="33"/>
        </w:trPr>
        <w:tc>
          <w:tcPr>
            <w:tcW w:w="2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2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Dividends Paid to Noncontrolling</w:t>
            </w: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Interests</w:t>
            </w:r>
          </w:p>
        </w:tc>
        <w:tc>
          <w:tcPr>
            <w:tcW w:w="4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5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20"/>
        </w:trPr>
        <w:tc>
          <w:tcPr>
            <w:tcW w:w="2620" w:type="dxa"/>
            <w:vAlign w:val="bottom"/>
          </w:tcPr>
          <w:p>
            <w:pPr>
              <w:ind w:left="40"/>
              <w:spacing w:after="0"/>
              <w:rPr>
                <w:sz w:val="20"/>
                <w:szCs w:val="20"/>
                <w:color w:val="auto"/>
              </w:rPr>
            </w:pPr>
            <w:r>
              <w:rPr>
                <w:rFonts w:ascii="Arial" w:cs="Arial" w:eastAsia="Arial" w:hAnsi="Arial"/>
                <w:sz w:val="16"/>
                <w:szCs w:val="16"/>
                <w:color w:val="auto"/>
              </w:rPr>
              <w:t>Equity Awards Granted, Vested and</w:t>
            </w: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2620" w:type="dxa"/>
            <w:vAlign w:val="bottom"/>
          </w:tcPr>
          <w:p>
            <w:pPr>
              <w:ind w:left="40"/>
              <w:spacing w:after="0"/>
              <w:rPr>
                <w:sz w:val="20"/>
                <w:szCs w:val="20"/>
                <w:color w:val="auto"/>
              </w:rPr>
            </w:pPr>
            <w:r>
              <w:rPr>
                <w:rFonts w:ascii="Arial" w:cs="Arial" w:eastAsia="Arial" w:hAnsi="Arial"/>
                <w:sz w:val="16"/>
                <w:szCs w:val="16"/>
                <w:color w:val="auto"/>
              </w:rPr>
              <w:t>Exercised</w:t>
            </w:r>
          </w:p>
        </w:tc>
        <w:tc>
          <w:tcPr>
            <w:tcW w:w="440" w:type="dxa"/>
            <w:vAlign w:val="bottom"/>
          </w:tcPr>
          <w:p>
            <w:pPr>
              <w:spacing w:after="0"/>
              <w:rPr>
                <w:sz w:val="17"/>
                <w:szCs w:val="17"/>
                <w:color w:val="auto"/>
              </w:rPr>
            </w:pPr>
          </w:p>
        </w:tc>
        <w:tc>
          <w:tcPr>
            <w:tcW w:w="6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91</w:t>
            </w:r>
          </w:p>
        </w:tc>
        <w:tc>
          <w:tcPr>
            <w:tcW w:w="42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7"/>
                <w:szCs w:val="17"/>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91</w:t>
            </w:r>
          </w:p>
        </w:tc>
      </w:tr>
      <w:tr>
        <w:trPr>
          <w:trHeight w:val="33"/>
        </w:trPr>
        <w:tc>
          <w:tcPr>
            <w:tcW w:w="2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2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5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5,502</w:t>
            </w:r>
          </w:p>
        </w:tc>
        <w:tc>
          <w:tcPr>
            <w:tcW w:w="4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442</w:t>
            </w:r>
          </w:p>
        </w:tc>
        <w:tc>
          <w:tcPr>
            <w:tcW w:w="58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   $</w:t>
            </w:r>
          </w:p>
        </w:tc>
        <w:tc>
          <w:tcPr>
            <w:tcW w:w="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w:t>
            </w:r>
          </w:p>
        </w:tc>
        <w:tc>
          <w:tcPr>
            <w:tcW w:w="5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4,365</w:t>
            </w:r>
          </w:p>
        </w:tc>
      </w:tr>
      <w:tr>
        <w:trPr>
          <w:trHeight w:val="20"/>
        </w:trPr>
        <w:tc>
          <w:tcPr>
            <w:tcW w:w="2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395" w:right="259" w:bottom="1440" w:gutter="0" w:footer="0" w:header="0"/>
          <w:type w:val="continuous"/>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18"/>
                <w:szCs w:val="18"/>
                <w:color w:val="auto"/>
              </w:rPr>
            </w:pPr>
          </w:p>
        </w:tc>
      </w:tr>
      <w:tr>
        <w:trPr>
          <w:trHeight w:val="33"/>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7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60" w:type="dxa"/>
            <w:vAlign w:val="bottom"/>
          </w:tcPr>
          <w:p>
            <w:pPr>
              <w:spacing w:after="0"/>
              <w:rPr>
                <w:sz w:val="20"/>
                <w:szCs w:val="20"/>
                <w:color w:val="auto"/>
              </w:rPr>
            </w:pPr>
          </w:p>
        </w:tc>
        <w:tc>
          <w:tcPr>
            <w:tcW w:w="940" w:type="dxa"/>
            <w:vAlign w:val="bottom"/>
          </w:tcPr>
          <w:p>
            <w:pPr>
              <w:jc w:val="right"/>
              <w:ind w:right="378"/>
              <w:spacing w:after="0"/>
              <w:rPr>
                <w:sz w:val="20"/>
                <w:szCs w:val="20"/>
                <w:color w:val="auto"/>
              </w:rPr>
            </w:pPr>
            <w:r>
              <w:rPr>
                <w:rFonts w:ascii="Arial" w:cs="Arial" w:eastAsia="Arial" w:hAnsi="Arial"/>
                <w:sz w:val="16"/>
                <w:szCs w:val="16"/>
                <w:b w:val="1"/>
                <w:bCs w:val="1"/>
                <w:color w:val="auto"/>
              </w:rPr>
              <w:t>2015</w:t>
            </w:r>
          </w:p>
        </w:tc>
        <w:tc>
          <w:tcPr>
            <w:tcW w:w="34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38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2013</w:t>
            </w:r>
          </w:p>
        </w:tc>
      </w:tr>
      <w:tr>
        <w:trPr>
          <w:trHeight w:val="33"/>
        </w:trPr>
        <w:tc>
          <w:tcPr>
            <w:tcW w:w="7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760" w:type="dxa"/>
            <w:vAlign w:val="bottom"/>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(1,951)</w:t>
            </w:r>
          </w:p>
        </w:tc>
        <w:tc>
          <w:tcPr>
            <w:tcW w:w="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b w:val="1"/>
                <w:bCs w:val="1"/>
                <w:color w:val="auto"/>
              </w:rPr>
              <w:t>Adjustments to Reconcile Net Loss to Net Cash Provided by Operating Activities: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1,200</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1,371</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1,402</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Long-Lived Asset Impairments</w:t>
            </w:r>
          </w:p>
        </w:tc>
        <w:tc>
          <w:tcPr>
            <w:tcW w:w="26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638</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495</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and Equity Investment Impairment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25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161</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Restructuring and Other Asset Related Charges</w:t>
            </w:r>
          </w:p>
        </w:tc>
        <w:tc>
          <w:tcPr>
            <w:tcW w:w="26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396</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135</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Divestiture Related and Other Charges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112</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7760" w:type="dxa"/>
            <w:vAlign w:val="bottom"/>
          </w:tcPr>
          <w:p>
            <w:pPr>
              <w:ind w:left="40"/>
              <w:spacing w:after="0"/>
              <w:rPr>
                <w:sz w:val="20"/>
                <w:szCs w:val="20"/>
                <w:color w:val="auto"/>
              </w:rPr>
            </w:pPr>
            <w:r>
              <w:rPr>
                <w:rFonts w:ascii="Arial" w:cs="Arial" w:eastAsia="Arial" w:hAnsi="Arial"/>
                <w:sz w:val="16"/>
                <w:szCs w:val="16"/>
                <w:color w:val="auto"/>
              </w:rPr>
              <w:t>Currency Devaluation and Related Charges</w:t>
            </w:r>
          </w:p>
        </w:tc>
        <w:tc>
          <w:tcPr>
            <w:tcW w:w="260" w:type="dxa"/>
            <w:vAlign w:val="bottom"/>
          </w:tcPr>
          <w:p>
            <w:pPr>
              <w:spacing w:after="0"/>
              <w:rPr>
                <w:sz w:val="21"/>
                <w:szCs w:val="21"/>
                <w:color w:val="auto"/>
              </w:rPr>
            </w:pPr>
          </w:p>
        </w:tc>
        <w:tc>
          <w:tcPr>
            <w:tcW w:w="940" w:type="dxa"/>
            <w:vAlign w:val="bottom"/>
          </w:tcPr>
          <w:p>
            <w:pPr>
              <w:jc w:val="right"/>
              <w:ind w:right="78"/>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21"/>
                <w:szCs w:val="21"/>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245</w:t>
            </w:r>
          </w:p>
        </w:tc>
        <w:tc>
          <w:tcPr>
            <w:tcW w:w="380" w:type="dxa"/>
            <w:vAlign w:val="bottom"/>
          </w:tcPr>
          <w:p>
            <w:pPr>
              <w:spacing w:after="0"/>
              <w:rPr>
                <w:sz w:val="21"/>
                <w:szCs w:val="21"/>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100</w:t>
            </w:r>
          </w:p>
        </w:tc>
      </w:tr>
      <w:tr>
        <w:trPr>
          <w:trHeight w:val="27"/>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Investigation Loss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Employee Share-Based Compensation Expense</w:t>
            </w:r>
          </w:p>
        </w:tc>
        <w:tc>
          <w:tcPr>
            <w:tcW w:w="26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73</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56</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66</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Bad Debt Expense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48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Loss (Gain) on Sale of Businesses, Net</w:t>
            </w:r>
          </w:p>
        </w:tc>
        <w:tc>
          <w:tcPr>
            <w:tcW w:w="26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(349)</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Benefit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(448)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Excess Tax Benefits from Share-Based Compensation</w:t>
            </w:r>
          </w:p>
        </w:tc>
        <w:tc>
          <w:tcPr>
            <w:tcW w:w="26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74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b w:val="1"/>
                <w:bCs w:val="1"/>
                <w:color w:val="auto"/>
              </w:rPr>
              <w:t>Change in Operating Assets and Liabilities, Net of Effect of Businesses Acquired:</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1,031</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349</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129</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128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(813)</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69</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Billings in Excess of Costs and Estimated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(65)</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(219)</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(69)</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31"/>
        </w:trPr>
        <w:tc>
          <w:tcPr>
            <w:tcW w:w="776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rPr>
              <w:t>706</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963</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1,229</w:t>
            </w: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7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 for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(682)</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(1,575)</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26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(8)</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Acquisition of Equity Investments in Unconsolidated Affiliates</w:t>
            </w:r>
          </w:p>
        </w:tc>
        <w:tc>
          <w:tcPr>
            <w:tcW w:w="26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 Businesses, Net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45</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1,770</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488</w:t>
            </w:r>
          </w:p>
        </w:tc>
      </w:tr>
      <w:tr>
        <w:trPr>
          <w:trHeight w:val="231"/>
        </w:trPr>
        <w:tc>
          <w:tcPr>
            <w:tcW w:w="7760" w:type="dxa"/>
            <w:vAlign w:val="bottom"/>
          </w:tcPr>
          <w:p>
            <w:pPr>
              <w:ind w:left="40"/>
              <w:spacing w:after="0"/>
              <w:rPr>
                <w:sz w:val="20"/>
                <w:szCs w:val="20"/>
                <w:color w:val="auto"/>
              </w:rPr>
            </w:pPr>
            <w:r>
              <w:rPr>
                <w:rFonts w:ascii="Arial" w:cs="Arial" w:eastAsia="Arial" w:hAnsi="Arial"/>
                <w:sz w:val="16"/>
                <w:szCs w:val="16"/>
                <w:color w:val="auto"/>
              </w:rPr>
              <w:t>Net Cash Provided by (Used in) Investing Activities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(659)</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330</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(1,104)</w:t>
            </w: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77"/>
        </w:trPr>
        <w:tc>
          <w:tcPr>
            <w:tcW w:w="7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Repayments of Long-term Debt</w:t>
            </w:r>
          </w:p>
        </w:tc>
        <w:tc>
          <w:tcPr>
            <w:tcW w:w="26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(474)</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(259)</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(603)</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Borrowings (Repayments) of Short-term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505</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(924)</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Excess Tax Benefits from Share-Based Compensation</w:t>
            </w:r>
          </w:p>
        </w:tc>
        <w:tc>
          <w:tcPr>
            <w:tcW w:w="26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Sale of Executive Deferred Compensation Plan Treasury Shares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Other Financing Activities, Net</w:t>
            </w:r>
          </w:p>
        </w:tc>
        <w:tc>
          <w:tcPr>
            <w:tcW w:w="26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(23)</w:t>
            </w: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12</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(1,180)</w:t>
            </w: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1"/>
        </w:trPr>
        <w:tc>
          <w:tcPr>
            <w:tcW w:w="776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(66)</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w:t>
            </w:r>
          </w:p>
        </w:tc>
        <w:tc>
          <w:tcPr>
            <w:tcW w:w="3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84"/>
        </w:trPr>
        <w:tc>
          <w:tcPr>
            <w:tcW w:w="7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Pr>
          <w:p>
            <w:pPr>
              <w:spacing w:after="0"/>
              <w:rPr>
                <w:sz w:val="20"/>
                <w:szCs w:val="20"/>
                <w:color w:val="auto"/>
              </w:rPr>
            </w:pPr>
          </w:p>
        </w:tc>
        <w:tc>
          <w:tcPr>
            <w:tcW w:w="940" w:type="dxa"/>
            <w:vAlign w:val="bottom"/>
          </w:tcPr>
          <w:p>
            <w:pPr>
              <w:jc w:val="right"/>
              <w:ind w:right="18"/>
              <w:spacing w:after="0"/>
              <w:rPr>
                <w:sz w:val="20"/>
                <w:szCs w:val="20"/>
                <w:color w:val="auto"/>
              </w:rPr>
            </w:pPr>
            <w:r>
              <w:rPr>
                <w:rFonts w:ascii="Arial" w:cs="Arial" w:eastAsia="Arial" w:hAnsi="Arial"/>
                <w:sz w:val="16"/>
                <w:szCs w:val="16"/>
                <w:color w:val="auto"/>
              </w:rPr>
              <w:t>(7)</w:t>
            </w:r>
          </w:p>
        </w:tc>
        <w:tc>
          <w:tcPr>
            <w:tcW w:w="34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38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135</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474</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435</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57"/>
        </w:trPr>
        <w:tc>
          <w:tcPr>
            <w:tcW w:w="7760" w:type="dxa"/>
            <w:vAlign w:val="bottom"/>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6"/>
                <w:szCs w:val="16"/>
                <w:color w:val="auto"/>
              </w:rPr>
              <w:t>467</w:t>
            </w:r>
          </w:p>
        </w:tc>
        <w:tc>
          <w:tcPr>
            <w:tcW w:w="3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474</w:t>
            </w:r>
          </w:p>
        </w:tc>
        <w:tc>
          <w:tcPr>
            <w:tcW w:w="38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435</w:t>
            </w: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395" w:right="259" w:bottom="339" w:gutter="0" w:footer="0" w:header="0"/>
        </w:sectPr>
      </w:pP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00"/>
          </w:cols>
          <w:pgMar w:left="240" w:top="395" w:right="259" w:bottom="339"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800"/>
        <w:spacing w:after="0"/>
        <w:rPr>
          <w:sz w:val="20"/>
          <w:szCs w:val="20"/>
          <w:color w:val="auto"/>
        </w:rPr>
      </w:pPr>
      <w:r>
        <w:rPr>
          <w:rFonts w:ascii="Arial" w:cs="Arial" w:eastAsia="Arial" w:hAnsi="Arial"/>
          <w:sz w:val="16"/>
          <w:szCs w:val="16"/>
          <w:b w:val="1"/>
          <w:bCs w:val="1"/>
          <w:color w:val="auto"/>
        </w:rPr>
        <w:t>1. Summary of Significant Accounting Policies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 and Nature of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Weatherford International plc (“Weatherford Ireland”), an Irish public limited company, together with its subsidiaries (“Weatherford,” the “Company,” “we,” “us” and “our”), is a multinational oilfield service company. Weatherford is one of the world’s leading providers of equipment and services used in the drilling, evaluation, completion, production and intervention of oil and natural gas wells. We operate in over 100 countries, which are located in nearly all of the oil and natural gas producing regions in the world. Many of our businesses, including those of our predecessor companies, have been operating for more than 50 years.</w:t>
      </w:r>
    </w:p>
    <w:p>
      <w:pPr>
        <w:spacing w:after="0" w:line="188"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color w:val="auto"/>
        </w:rPr>
        <w:t>On June 17, 2014, we completed the change in our place of incorporation from Switzerland to Ireland, whereby Weatherford Ireland became the new public holding company and the parent of the Weatherford group of companies (the “Merger”). The Merger was effected through an agreement between Weatherford International Ltd. (“Weatherford Switzerland”) and Weatherford Ireland pursuant to which each registered share of Weatherford Switzerland was exchanged for the allotment of one ordinary share of Weatherford Ireland. The authorized share capital of Weatherford Ireland includes 1.356 billion ordinary shares with a par value of $0.001 per share. Our ordinary shares are listed on the New York Stock Exchange (the “NYSE”) under the symbol “WFT,” the same symbol under which Weatherford Switzerland registered shares were previously listed.</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2009, we completed a share exchange transaction in which Weatherford International Ltd., a Bermuda exempted company (“Weatherford Bermuda”), and our then parent company, became a wholly-owned subsidiary of Weatherford Switzerland, for purposes of changing the Company’s place of incorporation from Bermuda to Switzerland. Prior to 2002, our parent company was Weatherford International, Inc., a Delaware corporation (“Weatherford Delaware”), until we moved our incorporation to Bermuda in 2002. Weatherford Bermuda and Weatherford Delaware continue to be wholly-owned subsidiaries of Weatherford Ireland. In 2013, Weatherford Delaware converted its corporate form and now exists as Weatherford International, LLC, a Delaware limited liability company.</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consolidate all wholly-owned subsidiaries, controlled joint ventures and variable interest entities where the Company has determined it is the primary beneficiary. All material intercompany accounts and transactions have been eliminated in consolidation.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Investments in affiliates in which we exercise significant influence over operating and financial policies are accounted for using the equity method. We recognize equity in earnings of unconsolidated affiliates in Selling, General and Administration attributable to segments in our Consolidated Statements of Operations (see “Note 11 – Equity Investments”).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and disclosure of contingent liabilities. On an on-going basis, we evaluate our estimates, including those related to uncollectible accounts receivable, lower of cost or market value of inventories, equity investments, intangible assets and goodwill, property, plant and equipment, income taxes, percentage-of-completion accounting for long-term contracts, self-insurance, pension and post-retirement benefit plans, contingencies and share based payments. We base our estimates on historical experience and on various other assumptions that are believed to be reasonable under the circumstances, the results of which form the basis for making judgments about the carrying values of assets and liabilities not readily apparent from other sources. Actual results could differ from those estimates.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Reportable Segments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first quarter of 2015, we changed our business structure to better align with management’s current view and future growth objectives. This change involved separating our Land Drilling Rigs business into a reportable segment resulting in a total of five reportable segments. We have recast prior periods to conform to the current business segment presentation. See “Note 23 – Segment Information” for additional information.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75" w:right="239" w:bottom="1440" w:gutter="0" w:footer="0" w:header="0"/>
        </w:sectPr>
      </w:pPr>
    </w:p>
    <w:bookmarkStart w:id="55" w:name="page56"/>
    <w:bookmarkEnd w:id="55"/>
    <w:p>
      <w:pPr>
        <w:ind w:left="340"/>
        <w:spacing w:after="0"/>
        <w:rPr>
          <w:sz w:val="20"/>
          <w:szCs w:val="20"/>
          <w:color w:val="auto"/>
        </w:rPr>
      </w:pPr>
      <w:r>
        <w:rPr>
          <w:rFonts w:ascii="Arial" w:cs="Arial" w:eastAsia="Arial" w:hAnsi="Arial"/>
          <w:sz w:val="18"/>
          <w:szCs w:val="18"/>
          <w:b w:val="1"/>
          <w:bCs w:val="1"/>
          <w:i w:val="1"/>
          <w:iCs w:val="1"/>
          <w:color w:val="auto"/>
        </w:rPr>
        <w:t>Disputes, Litigation and Contingencies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accrue an estimate of the probable and estimable cost to resolve certain legal and investigation matters. For matters not deemed probable and reasonably estimable, we have not accrued any amounts in accordance with U.S. GAAP. Our contingent loss estimates are based upon an analysis of potential results, assuming a combination of probable litigation and settlement strategies. The accuracy of these estimates is impacted by the complexity of the associated issues.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consider all highly liquid investments with original maturities of three months or less to be cash equivalents.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establish an allowance for doubtful accounts based on various factors including historical experience, the current aging status of our customer accounts, the financial condition of our customers and the business and political environment in which our customers operate. Provisions for doubtful accounts are recorded when it becomes probable that customer accounts are uncollectible.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Major Customers and Credit Risk</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Substantially all of our customers are engaged in the energy industry. This concentration of customers may impact our overall exposure to credit risk, either positively or negatively, in that customers may be similarly affected by changes in economic and industry conditions. We perform on-going credit evaluations of our customers and do not generally require collateral in support of our trade receivables. We maintain allowances for potential credit losses, and actual losses have historically been within our expectations. International sales also present various risks, including risks of war, civil disturbances and governmental activities that may limit or disrupt markets, restrict the movement of funds, or result in the deprivation of contract rights or the taking of property without fair consideration. Most of our international sales are to large international or national oil companies and these sales have resulted in a concentration of receivables from certain national oil companies in Latin America. As of December 31, 2015, our receivables from Latin America customers accounted for 38% of our net outstanding accounts receivable balance with $205 million due from Petroleos de Venezuela, S.A. (“PDVSA”) and $47 million due from Petroleos Mexicanos (“Pemex”). In 2013, we accepted bonds with a face value of $127 million from PDVSA in full settlement of $127 million in trade receivables. Upon receipt, we immediately sold, in a series of transactions, these bonds for a loss of $58 million. During 2015, 2014 and 2013, no individual customer accounted for more than 10% of our consolidated revenues.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value our inventories at lower of cost or market using either the first-in, first-out (“FIFO”) or average cost methods. Cost represents third-party invoice or production cost. Production cost includes material, labor and manufacturing overhead. Work in process and finished goods inventories include the cost of materials, labor and manufacturing overhead. To maintain a book value that is the lower of cost or market, we maintain reserves for excess, slow moving and obsolete inventory. We regularly review inventory quantities on hand and record provisions for excess, slow moving and obsolete inventory.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carry our property, plant and equipment, both owned and under capital lease, at cost less accumulated depreciation. The carrying values are based on our estimates and judgments relative to capitalized costs, useful lives and salvage value, where applicable. We expense maintenance and repairs as incurred. We capitalize expenditures for improvements as well as renewals and replacements that extend the useful life of the asset. We depreciate our fixed assets on a straight-line basis over their estimated useful lives, allowing for salvage value where applicable.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depreciation expense was $1.1 billion, $1.3 billion and $1.3 billion for the years ended December 31, 2015, 2014 and 2013, respectively. We classify our rig assets as “Rental and Service Equipment” on the Consolidated Balance Sheets.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tbl>
      <w:tblPr>
        <w:tblLayout w:type="fixed"/>
        <w:tblInd w:w="340" w:type="dxa"/>
        <w:tblCellMar>
          <w:top w:w="0" w:type="dxa"/>
          <w:left w:w="0" w:type="dxa"/>
          <w:bottom w:w="0" w:type="dxa"/>
          <w:right w:w="0" w:type="dxa"/>
        </w:tblCellMar>
      </w:tblP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w w:val="95"/>
              </w:rPr>
              <w:t>The estimated useful lives of our major classes of property, plant and equipment are as follows:</w:t>
            </w:r>
          </w:p>
        </w:tc>
        <w:tc>
          <w:tcPr>
            <w:tcW w:w="3360" w:type="dxa"/>
            <w:vAlign w:val="bottom"/>
          </w:tcPr>
          <w:p>
            <w:pPr>
              <w:spacing w:after="0"/>
              <w:rPr>
                <w:sz w:val="20"/>
                <w:szCs w:val="20"/>
                <w:color w:val="auto"/>
              </w:rPr>
            </w:pPr>
          </w:p>
        </w:tc>
      </w:tr>
      <w:tr>
        <w:trPr>
          <w:trHeight w:val="360"/>
        </w:trPr>
        <w:tc>
          <w:tcPr>
            <w:tcW w:w="14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3360" w:type="dxa"/>
            <w:vAlign w:val="bottom"/>
          </w:tcPr>
          <w:p>
            <w:pPr>
              <w:ind w:left="36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140" w:type="dxa"/>
            <w:vAlign w:val="bottom"/>
          </w:tcPr>
          <w:p>
            <w:pPr>
              <w:spacing w:after="0"/>
              <w:rPr>
                <w:sz w:val="20"/>
                <w:szCs w:val="20"/>
                <w:color w:val="auto"/>
              </w:rPr>
            </w:pPr>
          </w:p>
        </w:tc>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Major Classes of Property, Plant and Equipment</w:t>
            </w:r>
          </w:p>
        </w:tc>
        <w:tc>
          <w:tcPr>
            <w:tcW w:w="3360" w:type="dxa"/>
            <w:vAlign w:val="bottom"/>
          </w:tcPr>
          <w:p>
            <w:pPr>
              <w:ind w:left="360"/>
              <w:spacing w:after="0"/>
              <w:rPr>
                <w:sz w:val="20"/>
                <w:szCs w:val="20"/>
                <w:color w:val="auto"/>
              </w:rPr>
            </w:pPr>
            <w:r>
              <w:rPr>
                <w:rFonts w:ascii="Arial" w:cs="Arial" w:eastAsia="Arial" w:hAnsi="Arial"/>
                <w:sz w:val="18"/>
                <w:szCs w:val="18"/>
                <w:b w:val="1"/>
                <w:bCs w:val="1"/>
                <w:color w:val="auto"/>
              </w:rPr>
              <w:t>Useful Lives</w:t>
            </w:r>
          </w:p>
        </w:tc>
      </w:tr>
      <w:tr>
        <w:trPr>
          <w:trHeight w:val="27"/>
        </w:trPr>
        <w:tc>
          <w:tcPr>
            <w:tcW w:w="140" w:type="dxa"/>
            <w:vAlign w:val="bottom"/>
          </w:tcPr>
          <w:p>
            <w:pPr>
              <w:spacing w:after="0"/>
              <w:rPr>
                <w:sz w:val="2"/>
                <w:szCs w:val="2"/>
                <w:color w:val="auto"/>
              </w:rPr>
            </w:pPr>
          </w:p>
        </w:tc>
        <w:tc>
          <w:tcPr>
            <w:tcW w:w="71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44"/>
        </w:trPr>
        <w:tc>
          <w:tcPr>
            <w:tcW w:w="140" w:type="dxa"/>
            <w:vAlign w:val="bottom"/>
          </w:tcPr>
          <w:p>
            <w:pPr>
              <w:spacing w:after="0"/>
              <w:rPr>
                <w:sz w:val="21"/>
                <w:szCs w:val="21"/>
                <w:color w:val="auto"/>
              </w:rPr>
            </w:pPr>
          </w:p>
        </w:tc>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leasehold improvements</w:t>
            </w:r>
          </w:p>
        </w:tc>
        <w:tc>
          <w:tcPr>
            <w:tcW w:w="3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10 – 40 years or lease term</w:t>
            </w:r>
          </w:p>
        </w:tc>
      </w:tr>
      <w:tr>
        <w:trPr>
          <w:trHeight w:val="243"/>
        </w:trPr>
        <w:tc>
          <w:tcPr>
            <w:tcW w:w="140" w:type="dxa"/>
            <w:vAlign w:val="bottom"/>
          </w:tcPr>
          <w:p>
            <w:pPr>
              <w:spacing w:after="0"/>
              <w:rPr>
                <w:sz w:val="21"/>
                <w:szCs w:val="21"/>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Rental and service equipment</w:t>
            </w:r>
          </w:p>
        </w:tc>
        <w:tc>
          <w:tcPr>
            <w:tcW w:w="3360" w:type="dxa"/>
            <w:vAlign w:val="bottom"/>
          </w:tcPr>
          <w:p>
            <w:pPr>
              <w:ind w:left="360"/>
              <w:spacing w:after="0"/>
              <w:rPr>
                <w:sz w:val="20"/>
                <w:szCs w:val="20"/>
                <w:color w:val="auto"/>
              </w:rPr>
            </w:pPr>
            <w:r>
              <w:rPr>
                <w:rFonts w:ascii="Arial" w:cs="Arial" w:eastAsia="Arial" w:hAnsi="Arial"/>
                <w:sz w:val="18"/>
                <w:szCs w:val="18"/>
                <w:color w:val="auto"/>
              </w:rPr>
              <w:t>2 – 20 years</w:t>
            </w:r>
          </w:p>
        </w:tc>
      </w:tr>
      <w:tr>
        <w:trPr>
          <w:trHeight w:val="27"/>
        </w:trPr>
        <w:tc>
          <w:tcPr>
            <w:tcW w:w="14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360" w:type="dxa"/>
            <w:vAlign w:val="bottom"/>
          </w:tcPr>
          <w:p>
            <w:pPr>
              <w:spacing w:after="0"/>
              <w:rPr>
                <w:sz w:val="2"/>
                <w:szCs w:val="2"/>
                <w:color w:val="auto"/>
              </w:rPr>
            </w:pPr>
          </w:p>
        </w:tc>
      </w:tr>
      <w:tr>
        <w:trPr>
          <w:trHeight w:val="243"/>
        </w:trPr>
        <w:tc>
          <w:tcPr>
            <w:tcW w:w="140" w:type="dxa"/>
            <w:vAlign w:val="bottom"/>
          </w:tcPr>
          <w:p>
            <w:pPr>
              <w:spacing w:after="0"/>
              <w:rPr>
                <w:sz w:val="21"/>
                <w:szCs w:val="21"/>
                <w:color w:val="auto"/>
              </w:rPr>
            </w:pPr>
          </w:p>
        </w:tc>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other</w:t>
            </w:r>
          </w:p>
        </w:tc>
        <w:tc>
          <w:tcPr>
            <w:tcW w:w="3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 – 12 years</w:t>
            </w:r>
          </w:p>
        </w:tc>
      </w:tr>
      <w:tr>
        <w:trPr>
          <w:trHeight w:val="27"/>
        </w:trPr>
        <w:tc>
          <w:tcPr>
            <w:tcW w:w="140" w:type="dxa"/>
            <w:vAlign w:val="bottom"/>
          </w:tcPr>
          <w:p>
            <w:pPr>
              <w:spacing w:after="0"/>
              <w:rPr>
                <w:sz w:val="2"/>
                <w:szCs w:val="2"/>
                <w:color w:val="auto"/>
              </w:rPr>
            </w:pPr>
          </w:p>
        </w:tc>
        <w:tc>
          <w:tcPr>
            <w:tcW w:w="7100" w:type="dxa"/>
            <w:vAlign w:val="bottom"/>
            <w:shd w:val="clear" w:color="auto" w:fill="CCEEFF"/>
          </w:tcPr>
          <w:p>
            <w:pPr>
              <w:spacing w:after="0"/>
              <w:rPr>
                <w:sz w:val="2"/>
                <w:szCs w:val="2"/>
                <w:color w:val="auto"/>
              </w:rPr>
            </w:pPr>
          </w:p>
        </w:tc>
        <w:tc>
          <w:tcPr>
            <w:tcW w:w="3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Goodwill represents the excess of consideration paid over the fair value of net tangible and identifiable intangible assets acquired in a business combination. Goodwill is not amortized but is evaluated for impairment. We perform an impairment test for goodwill annually as of October 1 or more frequently if indicators of potential impairment exist that would more-likely-than-not reduce the fair value of the reporting unit below its carrying value. Goodwill impairment is evaluated using a two-step process. The first step of the goodwill impairment test involves a comparison of the fair value of each of our reporting units with their carrying values. We have the option to assess qualitative factors to determine if it is necessary to perform the first step of the impairment test. If it is not more-likely-than-not that the fair value of a reporting unit is less than its carrying value, further testing is not required. We also have the option to bypass the qualitative assessment at any time and perform the first step.</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the fair value of a reporting unit is less than the recorded book value of the reporting unit’s net assets (including goodwill), then a hypothetical purchase price allocation is performed on the reporting unit’s assets and liabilities using the fair value of the reporting unit as the purchase price in the calculation. If the implied fair value of goodwill is less than the recorded amount of goodwill, the recorded goodwill is written down to the new amount.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intangible assets, excluding goodwill, are acquired technology, licenses, patents, customer relationships and other identifiable intangible assets. Intangible assets are amortized on a straight-line basis over their estimated economic lives generally ranging from two to 20 years, except for intangible assets with indefinite lives, which are not amortized. As many areas of our business rely on patents and proprietary technology, we seek patent protection both inside and outside the U.S. for products and methods that appear to have commercial significance. We capitalize patent defense costs when we determine that a successful defense is probable.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initially record our long-lived assets at cost, and review on a regular basis to determine whether any events or changes in circumstances indicate the carrying amount of the assets may not be recoverable. Factors that might indicate a potential impairment may include, but are not limited to, significant decreases in the market value of the long-lived asset, a significant change in the long-lived asset’s physical condition, the introduction of competing technologies, legal challenges, a reduction in the utilization rate of the assets, a change in industry conditions or a reduction in cash flows associated with the use of the long-lived asset. If these or other factors indicate the carrying amount of the asset may not be recoverable, we determine whether an impairment has occurred through analysis of undiscounted cash flow of the asset at the lowest level that has an identifiable cash flow. If an impairment has occurred, we recognize a loss for the difference between the carrying amount and the fair value of the asset. We estimate the fair value of the asset using market prices when available or, in the absence of market prices, based on an estimate of discounted cash flows or replacement cost. Cash flows are generally discounted using an interest rate commensurate with a weighted average cost of capital for a similar asset.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Research and development expenditures are expensed as incurred.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Expenditures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Environmental expenditures that relate to the remediation of an existing condition caused by past operations and that do not contribute to future revenues are expensed. Liabilities for these expenditures are recorded when it is probable that obligations have been incurred and costs can be reasonably estimated. Estimates are based on available facts and technology, enacted laws and regulations and our prior experience in remediation of contaminated sites.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record derivative instruments on the balance sheet at their fair value as either an asset or a liability. Changes in the fair value of derivatives are recorded each period in current earnings or other comprehensive income (loss), depending on whether the derivative is designated as part of a hedge relationship, and if so, the type of hedge.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Results of operations for our foreign subsidiaries with functional currencies other than the U.S. dollar are translated using average exchange rates during the period. Assets and liabilities of these foreign subsidiaries are translated using the exchange rates in effect at the balance sheet dates, and the resulting translation adjustments are included as Accumulated Other Comprehensive Income (Loss), a component of shareholders’ equity.</w:t>
      </w:r>
    </w:p>
    <w:p>
      <w:pPr>
        <w:spacing w:after="0" w:line="16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For our subsidiaries that have a functional currency that differs from the currency of their balances and transactions, inventories, property, plant and equipment and other non-monetary assets and liabilities, together with their related elements of expense or income, are remeasured using historical exchange rates. All monetary assets and liabilities are remeasured at current exchange rates. All revenues and expenses are translated at average exchange rates. Remeasurement gains and losses for these subsidiaries are recognized in our results of operations during the period incurred. We had foreign currency losses, net of gains and losses on foreign currency derivatives (See “Note 15 – Derivative Instruments”), but excluding currency devaluations and other related charges of the Venezuelan </w:t>
      </w:r>
      <w:r>
        <w:rPr>
          <w:rFonts w:ascii="Arial" w:cs="Arial" w:eastAsia="Arial" w:hAnsi="Arial"/>
          <w:sz w:val="16"/>
          <w:szCs w:val="16"/>
          <w:i w:val="1"/>
          <w:iCs w:val="1"/>
          <w:color w:val="auto"/>
        </w:rPr>
        <w:t>bolivar fuertes</w:t>
      </w:r>
      <w:r>
        <w:rPr>
          <w:rFonts w:ascii="Arial" w:cs="Arial" w:eastAsia="Arial" w:hAnsi="Arial"/>
          <w:sz w:val="16"/>
          <w:szCs w:val="16"/>
          <w:color w:val="auto"/>
        </w:rPr>
        <w:t xml:space="preserve"> (“bolivar”), the Angolan kwanza, Argentinian peso and Kazakhstani tenge, of $53 million, $18 million and $66 million in 2015, 2014 and 2013, respectively. The gain or loss related to individual foreign currency transactions and gains and losses on foreign currency derivatives, excluding the currency devaluations and other related charges, is included in “Other, Net” on our Consolidated Statements of Operations.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and Related Charges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2015, currency devaluations and related charges resulting from certain devaluations and depreciation were $85 million and are included in the line captioned “Currency Devaluation and Related Charges” on the accompanying Consolidated Statements of Operations. These charges reflect the impacts of the continued devaluation of the Angolan kwanza of $39 million, the recognized remeasurement charges of $26 million related to the Venezuelan bolivar, $11 million related to the devaluation of the Argentina peso and $9 million related to the depreciated Kazakhstani tenge.</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2015 our net monetary asset position denominated in Angolan kwanza and Argentine peso was approximately $144 million and $42 million, respectively. The net monetary positions denominated in Venezuelan bolivar and Kazakhstani tenge were not material.</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2014 and 2013, we recognized charges of $245 million and $100 million, respectively, on the devaluation of the Venezuelan bolivar. The loss related to the devaluation of foreign currency transactions is included in “Currency Devaluation and Related Charges” in our Consolidated Statements of Operations. Our 2014 charges of $245 million were related to our adoption of the SICAD II exchange rate provided by Venezuela’s Supplementary Foreign Currency Administration System approximately of 50 Venezuelan bolivars per U.S. dollar, and our 2013 charges of $100 million were related to the devaluation of the official Venezuelan exchange rate of the bolivar from 4.3 per dollar to 6.3 per dollar for all goods and services.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account for all share-based payment awards, including shares issued under employee stock purchase plans, stock options, restricted shares, restricted share units and performance units by measuring these awards at the date of grant and recognizing the grant date fair value as an expense, net of expected forfeitures, over the service period, which is usually the vesting period.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taxes have been provided based upon the tax laws and rates in the countries in which our operations are conducted and income is earned. Deferred tax assets and liabilities are recognized for the future tax consequences attributable to differences between the financial statement carrying amounts of existing assets and liabilities and their respective tax bases. A valuation allowance for deferred tax assets is recorded when it is more likely than not that some or all of the benefit from the deferred tax asset will not be realized. The impact of an uncertain tax position taken or expected to be taken on an income tax return is recognized in the financial statements at the largest amount that is more likely than not to be sustained upon examination by the relevant taxing authority.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 is recognized when all of the following criteria have been met: (1) evidence of an arrangement exists; (2) delivery to and acceptance by the customer has occurred; (3) the price to the customer is fixed or determinable; and (4) collectability is reasonably assured.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services and products are generally sold based upon purchase orders, contracts or other persuasive evidence of an arrangement with our customers that include fixed or determinable prices but do not generally include right of return provisions or other significant post-delivery obligations. Our products are produced in a standard manufacturing operation, even if produced to our customer’s specifications. Revenue is recognized for products upon delivery and when the customers assume the risks and rewards of ownership. Revenue is recognized for services when they are rendered. Both contract drilling and pipeline service revenue is contractual by nature and generally governed by day-rate based contracts. We recognize revenue for day-rate contracts as the services are rendered.</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receive up-front payments for preparation and mobilization of equipment and personnel in connection with new drilling contracts, which are deferred along with any directly related incremental costs incurred directly related to preparation and mobilization. The deferred revenue and costs are recognized over the primary contract term using the straight-line method. Costs of relocating equipment without contracts are expensed as incurred. Demobilization fees received are recognized, along with any related expenses, upon completion of contracts.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incur rebillable expenses including shipping and handling, third-party inspection and repairs, and customs costs and duties. We recognize the revenue associated with these rebillable expenses when reimbursed by customers as Product Revenues and all related costs as Cost of Products in the accompanying Consolidated Statements of Operations.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Percentage-of-Completion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from certain long-term construction type contracts is reported based on the percentage-of-completion method of accounting. This method of accounting requires us to calculate contract profit to be recognized in each reporting period for each contract based upon our projections of future outcomes, which include:</w:t>
      </w:r>
    </w:p>
    <w:p>
      <w:pPr>
        <w:spacing w:after="0" w:line="208" w:lineRule="exact"/>
        <w:rPr>
          <w:sz w:val="20"/>
          <w:szCs w:val="20"/>
          <w:color w:val="auto"/>
        </w:rPr>
      </w:pPr>
    </w:p>
    <w:p>
      <w:pPr>
        <w:ind w:left="1360" w:hanging="380"/>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estimates of the available revenue under the contracts;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estimates of the total cost to complete the project;</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estimates of project schedule and completion date;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estimates of the extent of progress toward completion; and</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amount of any change orders or claims included in revenue.</w:t>
      </w:r>
    </w:p>
    <w:p>
      <w:pPr>
        <w:spacing w:after="0" w:line="23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Measurements of progress are based on costs incurred to date as a percentage of total estimated costs or output related to physical progress. At the outset of each contract, we prepare a detailed analysis of our estimated cost to complete the project. Risks related to service delivery, usage, productivity and other factors are considered in the estimation process. We periodically evaluate the estimated costs, claims, change orders and percentage-of-completion at the contract level. The recording of profits and losses on long-term contracts requires an estimate of the total profit or loss over the life of each contract. This estimate requires consideration of total contract value, change orders and claims, less costs incurred and estimated costs to complete. Anticipated losses on contracts are recorded in full in the period in which they become evident. Profits are recorded based upon the total estimated contract profit multiplied by the current estimated percentage complete for the contract. There are many factors that impact future costs, including but not limited to weather, inflation, customer activity levels and budgeting constraints, labor and community disruptions, timely availability of materials, productivity and other factors.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Basic earnings per share for all periods presented equals net income divided by the weighted average number of our shares outstanding during the period including participating securities. Diluted earnings per share is computed by dividing net income by the weighted average number of our shares outstanding during the period including participating securities, adjusted for the dilutive effect of our stock options, restricted shares and performance units.</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Unvested share-based payment awards that contain non-forfeitable rights to dividends or dividend equivalents, whether paid or unpaid, are participating securities and are included in the computation of earnings per share following the two-class method.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41" w:right="239" w:bottom="1440" w:gutter="0" w:footer="0" w:header="0"/>
        </w:sectPr>
      </w:pPr>
    </w:p>
    <w:bookmarkStart w:id="59" w:name="page60"/>
    <w:bookmarkEnd w:id="59"/>
    <w:p>
      <w:pPr>
        <w:jc w:val="both"/>
        <w:spacing w:after="0" w:line="277" w:lineRule="auto"/>
        <w:rPr>
          <w:sz w:val="20"/>
          <w:szCs w:val="20"/>
          <w:color w:val="auto"/>
        </w:rPr>
      </w:pPr>
      <w:r>
        <w:rPr>
          <w:rFonts w:ascii="Arial" w:cs="Arial" w:eastAsia="Arial" w:hAnsi="Arial"/>
          <w:sz w:val="18"/>
          <w:szCs w:val="18"/>
          <w:color w:val="auto"/>
        </w:rPr>
        <w:t>Accordingly, we include our restricted share awards (“RSA”), which contain the right to vote and receive dividends, in the computation of both basic and diluted earnings per share.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November 2015, the Financial Accounting Standards Board (“FASB”) issued ASU 2015-17</w:t>
      </w:r>
      <w:r>
        <w:rPr>
          <w:rFonts w:ascii="Arial" w:cs="Arial" w:eastAsia="Arial" w:hAnsi="Arial"/>
          <w:sz w:val="16"/>
          <w:szCs w:val="16"/>
          <w:i w:val="1"/>
          <w:iCs w:val="1"/>
          <w:color w:val="auto"/>
        </w:rPr>
        <w:t>, Income Taxes (Topic 740): Balance Sheet Classification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Deferred Taxes, </w:t>
      </w:r>
      <w:r>
        <w:rPr>
          <w:rFonts w:ascii="Arial" w:cs="Arial" w:eastAsia="Arial" w:hAnsi="Arial"/>
          <w:sz w:val="16"/>
          <w:szCs w:val="16"/>
          <w:color w:val="auto"/>
        </w:rPr>
        <w:t>which eliminates the current requirement to present deferred tax liabilities and assets as current and noncurrent in a classified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 Instead, all deferred tax assets and liabilities will be required to be classified as noncurrent. The new standard will be effective for us beginning with the first quarter of 2017. Early adoption is permitted. We are evaluating the impact that this new standard will have on our Consolidated Financial Statements.</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which requires inventory not measured using either the last in, first out (LIFO) or the retail inventory method to be measured at the lower of cost and net realizable value. Net realizable value is the estimated selling price in the ordinary course of business, less reasonably predictable cost of completion, disposal, and transportation. The new standard will be effective for us beginning with the first quarter of 2017, and will be applied prospectively. Early adoption is permitted. We are evaluating the impact that this new standard will have on our Consolidated Financial Statements.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April 2015, the FASB issued ASU 2015-03, </w:t>
      </w:r>
      <w:r>
        <w:rPr>
          <w:rFonts w:ascii="Arial" w:cs="Arial" w:eastAsia="Arial" w:hAnsi="Arial"/>
          <w:sz w:val="18"/>
          <w:szCs w:val="18"/>
          <w:i w:val="1"/>
          <w:iCs w:val="1"/>
          <w:color w:val="auto"/>
        </w:rPr>
        <w:t>Interest, Imputation of Interest (Subtopic 835-30): Simplifying the Presentation of Debt Issuance Costs</w:t>
      </w:r>
      <w:r>
        <w:rPr>
          <w:rFonts w:ascii="Arial" w:cs="Arial" w:eastAsia="Arial" w:hAnsi="Arial"/>
          <w:sz w:val="18"/>
          <w:szCs w:val="18"/>
          <w:color w:val="auto"/>
        </w:rPr>
        <w:t>, which requires that debt issuance costs related to a recognized debt liability be presented in the balance sheet as a direct deduction from the carrying amount of that debt liability. The new standard is effective for us beginning with the first quarter of 2016. We do not expect the impact of our pending adoption to have a material effect on our Consolidated Financial Statements.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February 2015, the FASB issued ASU 2015-02, </w:t>
      </w:r>
      <w:r>
        <w:rPr>
          <w:rFonts w:ascii="Arial" w:cs="Arial" w:eastAsia="Arial" w:hAnsi="Arial"/>
          <w:sz w:val="18"/>
          <w:szCs w:val="18"/>
          <w:i w:val="1"/>
          <w:iCs w:val="1"/>
          <w:color w:val="auto"/>
        </w:rPr>
        <w:t>Consolidation (Topic 810): Amendments to the Consolidation Analysis</w:t>
      </w:r>
      <w:r>
        <w:rPr>
          <w:rFonts w:ascii="Arial" w:cs="Arial" w:eastAsia="Arial" w:hAnsi="Arial"/>
          <w:sz w:val="18"/>
          <w:szCs w:val="18"/>
          <w:color w:val="auto"/>
        </w:rPr>
        <w:t>, which amends the guidelines for determining whether certain legal entities should be consolidated and reduces the number of consolidation models. The new standard is effective for annual and interim periods in fiscal years beginning after December 15, 2015. Early adoption is permitted. We are currently evaluating the impact this standard will have on our Consolidated Financial Statements.</w:t>
      </w:r>
    </w:p>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which will require an entity to recognize revenue to depict the transfer of promised goods or services to customers in an amount that reflects the consideration to which the entity expects to be entitled in exchange for those goods or services. ASU 2014-09 will replace most existing revenue recognition guidance in GAAP when it becomes effective. ASU 2015-14, </w:t>
      </w:r>
      <w:r>
        <w:rPr>
          <w:rFonts w:ascii="Arial" w:cs="Arial" w:eastAsia="Arial" w:hAnsi="Arial"/>
          <w:sz w:val="18"/>
          <w:szCs w:val="18"/>
          <w:i w:val="1"/>
          <w:iCs w:val="1"/>
          <w:color w:val="auto"/>
        </w:rPr>
        <w:t>Revenue from Contracts with Customers (Topic 606): Deferral of the Effective Date</w:t>
      </w:r>
      <w:r>
        <w:rPr>
          <w:rFonts w:ascii="Arial" w:cs="Arial" w:eastAsia="Arial" w:hAnsi="Arial"/>
          <w:sz w:val="18"/>
          <w:szCs w:val="18"/>
          <w:color w:val="auto"/>
        </w:rPr>
        <w:t>, deferred the effective date of ASU 2014-09 to annual and interim periods in fiscal years beginning after December 15, 2017. Earlier application is permitted only as of annual and interim reporting periods in fiscal years beginning after December 15, 2016. ASU 2014-09 permits either a retrospective application or a cumulative effect transition method. We have not yet selected the application date or a transition method, and we are currently evaluating the impact our adoption of this standard would have on our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right="8100" w:hanging="332"/>
        <w:spacing w:after="0" w:line="503" w:lineRule="auto"/>
        <w:tabs>
          <w:tab w:leader="none" w:pos="241"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and Divestitures </w:t>
      </w:r>
      <w:r>
        <w:rPr>
          <w:rFonts w:ascii="Arial" w:cs="Arial" w:eastAsia="Arial" w:hAnsi="Arial"/>
          <w:sz w:val="18"/>
          <w:szCs w:val="18"/>
          <w:b w:val="1"/>
          <w:bCs w:val="1"/>
          <w:i w:val="1"/>
          <w:iCs w:val="1"/>
          <w:color w:val="auto"/>
        </w:rPr>
        <w:t>Acquisitions</w:t>
      </w:r>
    </w:p>
    <w:p>
      <w:pPr>
        <w:spacing w:after="0" w:line="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From time to time, we acquire businesses we believe are important to our long-term strategy. Results of operations for acquisitions are included in the accompanying Consolidated Statements of Operations from the date of acquisition. The balances included in the Consolidated Balance Sheets related to current year acquisitions are based on preliminary information and are subject to change when final asset valuations are obtained and the potential for liabilities has been evaluated. The purchase price for the acquisitions is allocated to the net assets acquired based upon their estimated fair values at the date of acquisition. We did not complete any material acquisitions or divestitures during the year ended December 31, 2015.</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April 2014, we acquired an additional 30% ownership interest in a joint venture in China. We paid $13 million for the incremental interest, thereby increasing our ownership interest from 45% to 75% and gaining control of the joint venture. As a result of this transaction, we adjusted our previously held equity investment to fair value, recognizing a $16 million gain, and we applied the consolidation method of accounting, recognizing $6 million of goodwill and $30 million of cash. During the year ended December 31, 2013, we acquired businesses for cash consideration of $8 million, net of cash acquired.</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May 2012, we acquired a company that designs and produces well completion tools. Our purchase consideration included a contingent consideration arrangement valued at approximately $15 million at December 31, 2015 that is expected to be settled in early 2016. This contingent consideration arrangement is dependent on the acquired company’s revenue and is marked to market through current earnings in each reporting period prior to settlement. The liability is valued using Level 3 inputs.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December 31, 2014, we completed the sale of our engineered chemistry and Integrity drilling fluids businesses for proceeds totaling $750 million less estimated working capital adjustments of $16 million and transaction fees of $12 million and recognized a gain of $250 million. In addition, we disposed of all of our shares in Proserv Group Inc. (“Proserv”) and recognized a gain of $65 million resulting from this transaction.</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amounts related to our engineered chemistry and Integrity drilling fluids businesses have been segregated from our Consolidated Statements of Operations and Consolidated Statement of Cash Flows:</w:t>
      </w:r>
    </w:p>
    <w:p>
      <w:pPr>
        <w:spacing w:after="0" w:line="112" w:lineRule="exact"/>
        <w:rPr>
          <w:sz w:val="20"/>
          <w:szCs w:val="20"/>
          <w:color w:val="auto"/>
        </w:rPr>
      </w:pPr>
    </w:p>
    <w:p>
      <w:pPr>
        <w:ind w:left="83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4739005</wp:posOffset>
            </wp:positionH>
            <wp:positionV relativeFrom="paragraph">
              <wp:posOffset>34290</wp:posOffset>
            </wp:positionV>
            <wp:extent cx="23837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8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38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2014</w:t>
            </w:r>
          </w:p>
        </w:tc>
        <w:tc>
          <w:tcPr>
            <w:tcW w:w="48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2013</w:t>
            </w:r>
          </w:p>
        </w:tc>
      </w:tr>
      <w:tr>
        <w:trPr>
          <w:trHeight w:val="27"/>
        </w:trPr>
        <w:tc>
          <w:tcPr>
            <w:tcW w:w="38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3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38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r>
      <w:tr>
        <w:trPr>
          <w:trHeight w:val="459"/>
        </w:trPr>
        <w:tc>
          <w:tcPr>
            <w:tcW w:w="3860" w:type="dxa"/>
            <w:vAlign w:val="bottom"/>
          </w:tcPr>
          <w:p>
            <w:pPr>
              <w:spacing w:after="0"/>
              <w:rPr>
                <w:sz w:val="24"/>
                <w:szCs w:val="24"/>
                <w:color w:val="auto"/>
              </w:rPr>
            </w:pPr>
          </w:p>
        </w:tc>
        <w:tc>
          <w:tcPr>
            <w:tcW w:w="3820" w:type="dxa"/>
            <w:vAlign w:val="bottom"/>
          </w:tcPr>
          <w:p>
            <w:pPr>
              <w:jc w:val="right"/>
              <w:ind w:right="2010"/>
              <w:spacing w:after="0"/>
              <w:rPr>
                <w:sz w:val="20"/>
                <w:szCs w:val="20"/>
                <w:color w:val="auto"/>
              </w:rPr>
            </w:pPr>
            <w:r>
              <w:rPr>
                <w:rFonts w:ascii="Arial" w:cs="Arial" w:eastAsia="Arial" w:hAnsi="Arial"/>
                <w:sz w:val="18"/>
                <w:szCs w:val="18"/>
                <w:color w:val="auto"/>
              </w:rPr>
              <w:t>60</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amounts of the major classes of assets and liabilities of our engineered chemistry and Integrity drilling fluids businesses divested are as follows:</w:t>
      </w:r>
    </w:p>
    <w:p>
      <w:pPr>
        <w:spacing w:after="0" w:line="11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9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2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9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37"/>
        </w:trPr>
        <w:tc>
          <w:tcPr>
            <w:tcW w:w="91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260" w:type="dxa"/>
            <w:vAlign w:val="bottom"/>
          </w:tcPr>
          <w:p>
            <w:pPr>
              <w:spacing w:after="0"/>
              <w:rPr>
                <w:sz w:val="20"/>
                <w:szCs w:val="20"/>
                <w:color w:val="auto"/>
              </w:rPr>
            </w:pPr>
          </w:p>
        </w:tc>
        <w:tc>
          <w:tcPr>
            <w:tcW w:w="16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2014</w:t>
            </w:r>
          </w:p>
        </w:tc>
      </w:tr>
      <w:tr>
        <w:trPr>
          <w:trHeight w:val="27"/>
        </w:trPr>
        <w:tc>
          <w:tcPr>
            <w:tcW w:w="9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12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48</w:t>
            </w:r>
          </w:p>
        </w:tc>
      </w:tr>
      <w:tr>
        <w:trPr>
          <w:trHeight w:val="27"/>
        </w:trPr>
        <w:tc>
          <w:tcPr>
            <w:tcW w:w="9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Net</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r>
      <w:tr>
        <w:trPr>
          <w:trHeight w:val="243"/>
        </w:trPr>
        <w:tc>
          <w:tcPr>
            <w:tcW w:w="912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55</w:t>
            </w:r>
          </w:p>
        </w:tc>
      </w:tr>
      <w:tr>
        <w:trPr>
          <w:trHeight w:val="27"/>
        </w:trPr>
        <w:tc>
          <w:tcPr>
            <w:tcW w:w="9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w:t>
            </w:r>
          </w:p>
        </w:tc>
      </w:tr>
      <w:tr>
        <w:trPr>
          <w:trHeight w:val="243"/>
        </w:trPr>
        <w:tc>
          <w:tcPr>
            <w:tcW w:w="9120" w:type="dxa"/>
            <w:vAlign w:val="bottom"/>
          </w:tcPr>
          <w:p>
            <w:pPr>
              <w:ind w:left="180"/>
              <w:spacing w:after="0"/>
              <w:rPr>
                <w:sz w:val="20"/>
                <w:szCs w:val="20"/>
                <w:color w:val="auto"/>
              </w:rPr>
            </w:pPr>
            <w:r>
              <w:rPr>
                <w:rFonts w:ascii="Arial" w:cs="Arial" w:eastAsia="Arial" w:hAnsi="Arial"/>
                <w:sz w:val="18"/>
                <w:szCs w:val="18"/>
                <w:color w:val="auto"/>
              </w:rPr>
              <w:t>Other Intangible Assets, Net</w:t>
            </w:r>
          </w:p>
        </w:tc>
        <w:tc>
          <w:tcPr>
            <w:tcW w:w="2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43</w:t>
            </w:r>
          </w:p>
        </w:tc>
      </w:tr>
      <w:tr>
        <w:trPr>
          <w:trHeight w:val="27"/>
        </w:trPr>
        <w:tc>
          <w:tcPr>
            <w:tcW w:w="9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97"/>
        </w:trPr>
        <w:tc>
          <w:tcPr>
            <w:tcW w:w="9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516</w:t>
            </w:r>
          </w:p>
        </w:tc>
      </w:tr>
      <w:tr>
        <w:trPr>
          <w:trHeight w:val="311"/>
        </w:trPr>
        <w:tc>
          <w:tcPr>
            <w:tcW w:w="9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43"/>
        </w:trPr>
        <w:tc>
          <w:tcPr>
            <w:tcW w:w="91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7"/>
        </w:trPr>
        <w:tc>
          <w:tcPr>
            <w:tcW w:w="9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r>
      <w:tr>
        <w:trPr>
          <w:trHeight w:val="243"/>
        </w:trPr>
        <w:tc>
          <w:tcPr>
            <w:tcW w:w="912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26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9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57"/>
        </w:trPr>
        <w:tc>
          <w:tcPr>
            <w:tcW w:w="912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r>
      <w:tr>
        <w:trPr>
          <w:trHeight w:val="20"/>
        </w:trPr>
        <w:tc>
          <w:tcPr>
            <w:tcW w:w="9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September 2014, we completed the sale of our pipeline and specialty services business. We received cash consideration of $246 million ($245 million, net of cash disposed) and recognized a gain of approximately $49 million resulting from this transaction.</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July 2014, we completed the sale of our land drilling and workover rig operations in Russia and Venezuela. We received cash consideration upon closing of $499 million ($486 million, net of cash disposed). As a result of our commitment to sell, we recorded a $143 million long-lived assets impairment loss and a $121 million goodwill impairment loss in the second quarter of 2014. Of the $121 million goodwill impairment loss, $95 million pertained to goodwill attributable to our divested land drilling and workover rig operations in Russia. See “Note 9 – Goodwill” for additional information regarding the goodwill impairment.</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October 7, 2013, we completed the sale of our 38.5% equity interest in Borets International Limited (“Borets”) for $400 million, net of settlement items. Borets is an electric submersible pump manufacturer that operates in Russia. The consideration consisted of $359 million in cash and a three-year $30 million promissory note. As part of the sale, it was agreed that any payables or receivables between the parties would be net settled and, as a result, $11 million that we owed to Borets was deducted from the total consideration. We recorded a gain on sale of $18 million.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2013, we also completed the sale of our industrial screen business for proceeds totaling $137 million. Through our industrial screen operations, we delivered screen technologies used in numerous industries and, as a result, the screen business was not closely aligned with our goals as a leading provider of equipment and services used in the drilling, evaluation, completion, production and intervention of oil and natural gas wells. During the year ended December 31, 2013, we recognized gains totaling $6 million resulting from these industrial screen transactions. The major classes of assets sold in these transactions included $54 million in cash, $36 million of accounts receivable, $37 million of inventory and $93 million of other assets primarily comprised of property, plant and equipment, other intangible assets and goodwill. Liabilities of $69 million were also transferred in the sale, of which $60 million were current liabilities.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9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Restructuring Charges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2015, due to the significant decline in the price of crude oil and our anticipation of a lower level of exploration and production spending in 2015, we initiated a plan to reduce our overall costs and workforce to better align with anticipated activity levels. This cost reduction plan (the “2015 Plan”) includes a workforce reduction and other cost reduction measures initiated across our geographic regions. During 2015, we increased the expected workforce reduction by 75% from the originally planned workforce reduction due to the continued weakness in the price and demand of crude oil, as well as lower than expected exploration and production spending in 2015.</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connection with the 2015 Plan, we recognized restructuring charges of $232 million in 2015 and $58 million in 2014. Our restructuring charges during 2015 in connection with the 2015 Plan include termination (severance) benefits of $149 million, restructuring related asset charges of $64 million and other restructuring charges of $19 million. Restructuring related asset charges include asset write-offs of $26 million related to Yemen due to the political disruption and $38 million in other regions. Other restructuring charges include exit costs, contract termination costs, relocation costs and other associated costs. Our restructuring charges during 2014 in connection with the 2015 Plan include termination (severance) benefits of $58 million.</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first quarter of 2014, we announced a cost reduction plan (the “2014 Plan”), which included a worldwide workforce reduction and other cost reduction measures. In connection with the 2014 Plan, we recognized restructuring charges of $273 million in 2014. Our restructuring charges during 2014 in connection with the 2014 Plan include restructuring related asset charges of $135 million, termination (severance) benefits of $114 million, and other restructuring charges of $24 million, for a total of $273 million. Other restructuring charges include contract termination costs, relocation and other associated costs.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impairments recognized in connection with the 2014 Plan primarily pertain to operations in our Middle East/North Africa (“MENA”) region, where geopolitical issues and recent disruptions in North Africa, primarily Libya, resulted in the decisions in the third quarter of 2014 to exit product lines in selected markets. The 2014 Plan activities resulted in $106 million of cash payments in 2014.</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2015, we completed our planned headcount reductions and closures of underperforming operating locations in connection with the 2014 and 2015 Plans. The following tables present the components of the restructuring charges by segment and plan for the years ended December 31, 2015 and 2014.</w:t>
      </w:r>
    </w:p>
    <w:p>
      <w:pPr>
        <w:spacing w:after="0" w:line="33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740" w:type="dxa"/>
            <w:vAlign w:val="bottom"/>
            <w:gridSpan w:val="4"/>
          </w:tcPr>
          <w:p>
            <w:pPr>
              <w:jc w:val="center"/>
              <w:ind w:left="1170"/>
              <w:spacing w:after="0"/>
              <w:rPr>
                <w:sz w:val="20"/>
                <w:szCs w:val="20"/>
                <w:color w:val="auto"/>
              </w:rPr>
            </w:pPr>
            <w:r>
              <w:rPr>
                <w:rFonts w:ascii="Arial" w:cs="Arial" w:eastAsia="Arial" w:hAnsi="Arial"/>
                <w:sz w:val="18"/>
                <w:szCs w:val="18"/>
                <w:b w:val="1"/>
                <w:bCs w:val="1"/>
                <w:color w:val="auto"/>
                <w:w w:val="90"/>
              </w:rPr>
              <w:t>Year Ended December 31, 2015</w:t>
            </w:r>
          </w:p>
        </w:tc>
        <w:tc>
          <w:tcPr>
            <w:tcW w:w="156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Severance</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2015 Plan</w:t>
            </w:r>
          </w:p>
        </w:tc>
        <w:tc>
          <w:tcPr>
            <w:tcW w:w="340" w:type="dxa"/>
            <w:vAlign w:val="bottom"/>
          </w:tcPr>
          <w:p>
            <w:pPr>
              <w:spacing w:after="0"/>
              <w:rPr>
                <w:sz w:val="23"/>
                <w:szCs w:val="23"/>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Charges</w:t>
            </w: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56</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7"/>
        </w:trPr>
        <w:tc>
          <w:tcPr>
            <w:tcW w:w="5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3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7"/>
        </w:trPr>
        <w:tc>
          <w:tcPr>
            <w:tcW w:w="5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57"/>
        </w:trPr>
        <w:tc>
          <w:tcPr>
            <w:tcW w:w="5360" w:type="dxa"/>
            <w:vAlign w:val="bottom"/>
          </w:tcPr>
          <w:p>
            <w:pPr>
              <w:ind w:left="16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3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232</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95"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2"/>
        </w:trPr>
        <w:tc>
          <w:tcPr>
            <w:tcW w:w="2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6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90"/>
              </w:rPr>
              <w:t>Year Ended December 31, 2014</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360" w:type="dxa"/>
            <w:vAlign w:val="bottom"/>
          </w:tcPr>
          <w:p>
            <w:pPr>
              <w:spacing w:after="0"/>
              <w:rPr>
                <w:sz w:val="20"/>
                <w:szCs w:val="20"/>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Severance</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Restructuring</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Severance and</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Charges</w:t>
            </w: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Charges</w:t>
            </w:r>
          </w:p>
        </w:tc>
        <w:tc>
          <w:tcPr>
            <w:tcW w:w="360" w:type="dxa"/>
            <w:vAlign w:val="bottom"/>
          </w:tcPr>
          <w:p>
            <w:pPr>
              <w:spacing w:after="0"/>
              <w:rPr>
                <w:sz w:val="23"/>
                <w:szCs w:val="23"/>
                <w:color w:val="auto"/>
              </w:rPr>
            </w:pPr>
          </w:p>
        </w:tc>
        <w:tc>
          <w:tcPr>
            <w:tcW w:w="1560" w:type="dxa"/>
            <w:vAlign w:val="bottom"/>
          </w:tcPr>
          <w:p>
            <w:pPr>
              <w:jc w:val="center"/>
              <w:ind w:right="230"/>
              <w:spacing w:after="0"/>
              <w:rPr>
                <w:sz w:val="20"/>
                <w:szCs w:val="20"/>
                <w:color w:val="auto"/>
              </w:rPr>
            </w:pPr>
            <w:r>
              <w:rPr>
                <w:rFonts w:ascii="Arial" w:cs="Arial" w:eastAsia="Arial" w:hAnsi="Arial"/>
                <w:sz w:val="18"/>
                <w:szCs w:val="18"/>
                <w:b w:val="1"/>
                <w:bCs w:val="1"/>
                <w:color w:val="auto"/>
                <w:w w:val="92"/>
              </w:rPr>
              <w:t>Other Charges</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2014 Plan:</w:t>
            </w:r>
          </w:p>
        </w:tc>
        <w:tc>
          <w:tcPr>
            <w:tcW w:w="14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North America</w:t>
            </w: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MENA/Asia Pacific</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Europe/SSA/Russia</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Latin America</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Subtotal</w:t>
            </w:r>
          </w:p>
        </w:tc>
        <w:tc>
          <w:tcPr>
            <w:tcW w:w="14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Land Drilling Rigs</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2014 Plan Total</w:t>
            </w: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360" w:type="dxa"/>
            <w:vAlign w:val="bottom"/>
            <w:gridSpan w:val="2"/>
            <w:vMerge w:val="restart"/>
          </w:tcPr>
          <w:p>
            <w:pPr>
              <w:ind w:left="20"/>
              <w:spacing w:after="0"/>
              <w:rPr>
                <w:sz w:val="20"/>
                <w:szCs w:val="20"/>
                <w:color w:val="auto"/>
              </w:rPr>
            </w:pPr>
            <w:r>
              <w:rPr>
                <w:rFonts w:ascii="Arial" w:cs="Arial" w:eastAsia="Arial" w:hAnsi="Arial"/>
                <w:sz w:val="18"/>
                <w:szCs w:val="18"/>
                <w:b w:val="1"/>
                <w:bCs w:val="1"/>
                <w:i w:val="1"/>
                <w:iCs w:val="1"/>
                <w:color w:val="auto"/>
              </w:rPr>
              <w:t>2015 Plan:</w:t>
            </w: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5360" w:type="dxa"/>
            <w:vAlign w:val="bottom"/>
            <w:gridSpan w:val="2"/>
            <w:vMerge w:val="continue"/>
          </w:tcPr>
          <w:p>
            <w:pPr>
              <w:spacing w:after="0"/>
              <w:rPr>
                <w:sz w:val="17"/>
                <w:szCs w:val="17"/>
                <w:color w:val="auto"/>
              </w:rPr>
            </w:pPr>
          </w:p>
        </w:tc>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420" w:type="dxa"/>
            <w:vAlign w:val="bottom"/>
            <w:tcBorders>
              <w:bottom w:val="single" w:sz="8" w:color="CCEEFF"/>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MENA/Asia Pacific</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Latin America</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5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14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5360" w:type="dxa"/>
            <w:vAlign w:val="bottom"/>
            <w:gridSpan w:val="2"/>
          </w:tcPr>
          <w:p>
            <w:pPr>
              <w:ind w:left="20"/>
              <w:spacing w:after="0"/>
              <w:rPr>
                <w:sz w:val="20"/>
                <w:szCs w:val="20"/>
                <w:color w:val="auto"/>
              </w:rPr>
            </w:pPr>
            <w:r>
              <w:rPr>
                <w:rFonts w:ascii="Arial" w:cs="Arial" w:eastAsia="Arial" w:hAnsi="Arial"/>
                <w:sz w:val="18"/>
                <w:szCs w:val="18"/>
                <w:color w:val="auto"/>
              </w:rPr>
              <w:t>Land Drilling Rigs</w:t>
            </w:r>
          </w:p>
        </w:tc>
        <w:tc>
          <w:tcPr>
            <w:tcW w:w="14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Pr>
          <w:p>
            <w:pPr>
              <w:spacing w:after="0"/>
              <w:rPr>
                <w:sz w:val="23"/>
                <w:szCs w:val="23"/>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Corporate and Research and Development</w:t>
            </w:r>
          </w:p>
        </w:tc>
        <w:tc>
          <w:tcPr>
            <w:tcW w:w="14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2015 Plan Total</w:t>
            </w:r>
          </w:p>
        </w:tc>
        <w:tc>
          <w:tcPr>
            <w:tcW w:w="1420" w:type="dxa"/>
            <w:vAlign w:val="bottom"/>
            <w:tcBorders>
              <w:top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5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severance and other restructuring charges gave rise to certain liabilities, the components of which are summarized below, and largely relate to the severance accrued as part of the 2014 Plan and 2015 Plan that will be paid pursuant to the respective arrangements and statutory requirements.</w:t>
      </w: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960" w:type="dxa"/>
            <w:vAlign w:val="bottom"/>
            <w:gridSpan w:val="6"/>
          </w:tcPr>
          <w:p>
            <w:pPr>
              <w:ind w:left="60"/>
              <w:spacing w:after="0"/>
              <w:rPr>
                <w:sz w:val="20"/>
                <w:szCs w:val="20"/>
                <w:color w:val="auto"/>
              </w:rPr>
            </w:pPr>
            <w:r>
              <w:rPr>
                <w:rFonts w:ascii="Arial" w:cs="Arial" w:eastAsia="Arial" w:hAnsi="Arial"/>
                <w:sz w:val="18"/>
                <w:szCs w:val="18"/>
                <w:b w:val="1"/>
                <w:bCs w:val="1"/>
                <w:color w:val="auto"/>
              </w:rPr>
              <w:t>At December 31, 2015</w:t>
            </w:r>
          </w:p>
        </w:tc>
        <w:tc>
          <w:tcPr>
            <w:tcW w:w="2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3"/>
          </w:tcPr>
          <w:p>
            <w:pPr>
              <w:jc w:val="right"/>
              <w:ind w:right="1010"/>
              <w:spacing w:after="0"/>
              <w:rPr>
                <w:sz w:val="20"/>
                <w:szCs w:val="20"/>
                <w:color w:val="auto"/>
              </w:rPr>
            </w:pPr>
            <w:r>
              <w:rPr>
                <w:rFonts w:ascii="Arial" w:cs="Arial" w:eastAsia="Arial" w:hAnsi="Arial"/>
                <w:sz w:val="18"/>
                <w:szCs w:val="18"/>
                <w:b w:val="1"/>
                <w:bCs w:val="1"/>
                <w:color w:val="auto"/>
              </w:rPr>
              <w:t>2015 Plan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2014 Plan</w:t>
            </w:r>
          </w:p>
        </w:tc>
        <w:tc>
          <w:tcPr>
            <w:tcW w:w="20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Total Severance</w:t>
            </w:r>
          </w:p>
        </w:tc>
      </w:tr>
      <w:tr>
        <w:trPr>
          <w:trHeight w:val="27"/>
        </w:trPr>
        <w:tc>
          <w:tcPr>
            <w:tcW w:w="3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20"/>
                <w:szCs w:val="20"/>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and Other</w:t>
            </w:r>
          </w:p>
        </w:tc>
      </w:tr>
      <w:tr>
        <w:trPr>
          <w:trHeight w:val="270"/>
        </w:trPr>
        <w:tc>
          <w:tcPr>
            <w:tcW w:w="3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Severance</w:t>
            </w:r>
          </w:p>
        </w:tc>
        <w:tc>
          <w:tcPr>
            <w:tcW w:w="240" w:type="dxa"/>
            <w:vAlign w:val="bottom"/>
          </w:tcPr>
          <w:p>
            <w:pPr>
              <w:spacing w:after="0"/>
              <w:rPr>
                <w:sz w:val="23"/>
                <w:szCs w:val="23"/>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Restructuring</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Severance</w:t>
            </w:r>
          </w:p>
        </w:tc>
        <w:tc>
          <w:tcPr>
            <w:tcW w:w="200" w:type="dxa"/>
            <w:vAlign w:val="bottom"/>
          </w:tcPr>
          <w:p>
            <w:pPr>
              <w:spacing w:after="0"/>
              <w:rPr>
                <w:sz w:val="23"/>
                <w:szCs w:val="23"/>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Restructuring</w:t>
            </w:r>
          </w:p>
        </w:tc>
        <w:tc>
          <w:tcPr>
            <w:tcW w:w="200" w:type="dxa"/>
            <w:vAlign w:val="bottom"/>
          </w:tcPr>
          <w:p>
            <w:pPr>
              <w:spacing w:after="0"/>
              <w:rPr>
                <w:sz w:val="23"/>
                <w:szCs w:val="23"/>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Restructuring</w:t>
            </w:r>
          </w:p>
        </w:tc>
      </w:tr>
      <w:tr>
        <w:trPr>
          <w:trHeight w:val="270"/>
        </w:trPr>
        <w:tc>
          <w:tcPr>
            <w:tcW w:w="32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3"/>
                <w:szCs w:val="23"/>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Liability</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Liability</w:t>
            </w:r>
          </w:p>
        </w:tc>
        <w:tc>
          <w:tcPr>
            <w:tcW w:w="200" w:type="dxa"/>
            <w:vAlign w:val="bottom"/>
          </w:tcPr>
          <w:p>
            <w:pPr>
              <w:spacing w:after="0"/>
              <w:rPr>
                <w:sz w:val="23"/>
                <w:szCs w:val="2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Liability</w:t>
            </w:r>
          </w:p>
        </w:tc>
        <w:tc>
          <w:tcPr>
            <w:tcW w:w="200" w:type="dxa"/>
            <w:vAlign w:val="bottom"/>
          </w:tcPr>
          <w:p>
            <w:pPr>
              <w:spacing w:after="0"/>
              <w:rPr>
                <w:sz w:val="23"/>
                <w:szCs w:val="23"/>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Liability</w:t>
            </w:r>
          </w:p>
        </w:tc>
      </w:tr>
      <w:tr>
        <w:trPr>
          <w:trHeight w:val="27"/>
        </w:trPr>
        <w:tc>
          <w:tcPr>
            <w:tcW w:w="3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7"/>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Subtotal</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Land Drilling Rigs</w:t>
            </w: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Corporate and Research and Development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57"/>
        </w:trPr>
        <w:tc>
          <w:tcPr>
            <w:tcW w:w="3280" w:type="dxa"/>
            <w:vAlign w:val="bottom"/>
          </w:tcPr>
          <w:p>
            <w:pPr>
              <w:ind w:left="1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w:t>
            </w:r>
          </w:p>
        </w:tc>
      </w:tr>
      <w:tr>
        <w:trPr>
          <w:trHeight w:val="20"/>
        </w:trPr>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851"/>
        </w:trPr>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59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378" w:right="239"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86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20" w:type="dxa"/>
            <w:vAlign w:val="bottom"/>
          </w:tcPr>
          <w:p>
            <w:pPr>
              <w:spacing w:after="0"/>
              <w:rPr>
                <w:sz w:val="24"/>
                <w:szCs w:val="24"/>
                <w:color w:val="auto"/>
              </w:rPr>
            </w:pPr>
          </w:p>
        </w:tc>
        <w:tc>
          <w:tcPr>
            <w:tcW w:w="7920" w:type="dxa"/>
            <w:vAlign w:val="bottom"/>
            <w:gridSpan w:val="11"/>
          </w:tcPr>
          <w:p>
            <w:pPr>
              <w:jc w:val="center"/>
              <w:ind w:right="400"/>
              <w:spacing w:after="0"/>
              <w:rPr>
                <w:sz w:val="20"/>
                <w:szCs w:val="20"/>
                <w:color w:val="auto"/>
              </w:rPr>
            </w:pPr>
            <w:r>
              <w:rPr>
                <w:rFonts w:ascii="Arial" w:cs="Arial" w:eastAsia="Arial" w:hAnsi="Arial"/>
                <w:sz w:val="18"/>
                <w:szCs w:val="18"/>
                <w:color w:val="auto"/>
                <w:w w:val="90"/>
              </w:rPr>
              <w:t>The following table presents the restructuring accrual activity for the year ended December 31, 2015.</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Year Ended December 31, 2015</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32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Other</w:t>
            </w:r>
          </w:p>
        </w:tc>
        <w:tc>
          <w:tcPr>
            <w:tcW w:w="16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4"/>
              </w:rPr>
              <w:t>December 31, 2015</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2015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2014 Plan:</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2980" w:type="dxa"/>
            <w:vAlign w:val="bottom"/>
            <w:gridSpan w:val="2"/>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20" w:type="dxa"/>
            <w:vAlign w:val="bottom"/>
          </w:tcPr>
          <w:p>
            <w:pPr>
              <w:spacing w:after="0"/>
              <w:rPr>
                <w:sz w:val="18"/>
                <w:szCs w:val="18"/>
                <w:color w:val="auto"/>
              </w:rPr>
            </w:pPr>
          </w:p>
        </w:tc>
        <w:tc>
          <w:tcPr>
            <w:tcW w:w="2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Total severance and other restructuring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40" w:type="dxa"/>
            <w:vAlign w:val="bottom"/>
            <w:vMerge w:val="restart"/>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2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Supplementary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paid for interest and income taxes was as follows:</w:t>
      </w:r>
    </w:p>
    <w:p>
      <w:pPr>
        <w:spacing w:after="0" w:line="167"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4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498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 net of capitalized interest</w:t>
            </w:r>
          </w:p>
        </w:tc>
        <w:tc>
          <w:tcPr>
            <w:tcW w:w="2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477</w:t>
            </w:r>
          </w:p>
        </w:tc>
        <w:tc>
          <w:tcPr>
            <w:tcW w:w="4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Income taxes paid, net of refunds</w:t>
            </w:r>
          </w:p>
        </w:tc>
        <w:tc>
          <w:tcPr>
            <w:tcW w:w="24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331</w:t>
            </w:r>
          </w:p>
        </w:tc>
        <w:tc>
          <w:tcPr>
            <w:tcW w:w="4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386</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442</w:t>
            </w:r>
          </w:p>
        </w:tc>
      </w:tr>
    </w:tbl>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2015, currency devaluation and related charges reflect the impacts of the continued devaluation of the Angolan kwanza and Argentine peso and the recognized remeasurement charges related to the Venezuelan bolivar and the Kazakhstani tenge resulting in a $85 million pre-tax charge of which $43 million negatively impacted cash. The Angolan kwanza charges reflect currency devaluations in 2015 and the Kazakhstan tenge depreciated after the National Bank of Kazakhstan abandoned its peg of the tenge to the U.S. dollar. The devaluation of the Argentine peso was due to the modifying of currency control restrictions on purchasing foreign currencies by the Argentine Central Bank. The Venezuelan bolivar charge reflects remeasurement charges when we began using the latest Venezuelan currency exchange system known as the “Marginal Currency System” or SIMADI. The SIMADI opened for trading February 12, 2015, replacing the Venezuela Supplementary Foreign Currency Administration System auction rate (“SICAD II”) mechanism. The SIMADI is intended to provide limited access to a free market rate of exchange.</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December 2014, we remeasured our Venezuelan bolivar denominated monetary assets and liabilities (primarily cash, accounts receivables, trade payables and other current liabilities) to the SICAD II exchange rate of 50 Venezuelan bolivars per U.S. dollar resulting in a $245 million pre-tax charge of which $92 million was related to the remeasurement of cash held in Venezuelan bolivar.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378"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Percentage-of-Completion Contracts</w:t>
      </w:r>
    </w:p>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During 2015, we recognized an estimated project loss of $153 million related to our long-term early production facility construction contracts in Iraq accounted for under the percentage-of-completion method. The total estimated loss on these projects was $532 million at December 31, 2015.</w:t>
      </w:r>
    </w:p>
    <w:p>
      <w:pPr>
        <w:spacing w:after="0" w:line="14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of December 31, 2015, our percentage-of-completion project estimate includes $116 million of claims revenue and $28 million of back charges. During 2015, an additional $32 million of claims revenue was included in our project estimates. Our costs in excess of billings as of December 31, 2015 were $6 million and are shown in the “Other Current Assets” line on our Consolidated Balance Sheets. We also have a variety of unapproved contract change orders or claims that are not included in our revenues as of December 31, 2015. The amounts associated with these contract change orders or claims are included in revenue only when they can be reliably estimated and their realization is reasonably assured.</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2014, we recognized estimated project losses of $72 million related to our long-term early production facility construction contracts in Iraq accounted for under the percentage-of-completion method. Total estimated losses on these projects were $379 million at December 31, 2014. As of December 31, 2014, our percentage-of-completion project estimates include $90 million of claims revenue and $24 million of back charges. Our costs in excess of billings as of December 31, 2014 were $128 million and are shown in the “Other Current Assets” line on the balance sheet. We had a variety of unapproved contract change orders or claims that were not included in our revenues as of December 31, 2014. During 2014, an additional $80 million of claims revenue was included in our project estimates and $26 million of our prior claims were approved.</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2013, we recognized estimated project losses of $232 million related to our long-term early production facility construction contracts in Iraq accounted for under the percentage-of-completion method. The total estimated losses on these projects were $307 million at December 31, 2013. As of December 31, 2013, our percentage-of-completion project estimates include $36 million of claims revenue and $82 million for liquidated damages that we are contractually obligated to pay as a result of delays in the expected completion of the project. We had a variety of unapproved contract change orders or claims that were not included in our revenues as of December 31, 2013.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 Factoring</w:t>
      </w:r>
    </w:p>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participate in factoring arrangements to sell accounts receivable to third party financial institutions. In 2015, under these arrangements we sold $78 million, received cash totaling $77 million and recognized a loss of $0.2 million. We did not sell any accounts receivable during 2014. In 2013, under these arrangements we sold $215 million, received cash totaling $204 million and recognized a loss of $3 million. Our factoring transactions in 2015 and 2013 qualified for sale accounting and all related proceeds are included as operating cash flows in our Consolidated Statements of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 Net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net of reserves, by category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116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400" w:type="dxa"/>
            <w:vAlign w:val="bottom"/>
          </w:tcPr>
          <w:p>
            <w:pPr>
              <w:spacing w:after="0"/>
              <w:rPr>
                <w:sz w:val="20"/>
                <w:szCs w:val="20"/>
                <w:color w:val="auto"/>
              </w:rPr>
            </w:pPr>
          </w:p>
        </w:tc>
        <w:tc>
          <w:tcPr>
            <w:tcW w:w="13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2015</w:t>
            </w:r>
          </w:p>
        </w:tc>
        <w:tc>
          <w:tcPr>
            <w:tcW w:w="700" w:type="dxa"/>
            <w:vAlign w:val="bottom"/>
          </w:tcPr>
          <w:p>
            <w:pPr>
              <w:spacing w:after="0"/>
              <w:rPr>
                <w:sz w:val="20"/>
                <w:szCs w:val="20"/>
                <w:color w:val="auto"/>
              </w:rPr>
            </w:pPr>
          </w:p>
        </w:tc>
        <w:tc>
          <w:tcPr>
            <w:tcW w:w="11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2014</w:t>
            </w:r>
          </w:p>
        </w:tc>
      </w:tr>
      <w:tr>
        <w:trPr>
          <w:trHeight w:val="27"/>
        </w:trPr>
        <w:tc>
          <w:tcPr>
            <w:tcW w:w="7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w:t>
            </w:r>
          </w:p>
        </w:tc>
        <w:tc>
          <w:tcPr>
            <w:tcW w:w="7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00" w:type="dxa"/>
            <w:vAlign w:val="bottom"/>
          </w:tcPr>
          <w:p>
            <w:pPr>
              <w:spacing w:after="0"/>
              <w:rPr>
                <w:sz w:val="21"/>
                <w:szCs w:val="21"/>
                <w:color w:val="auto"/>
              </w:rPr>
            </w:pPr>
          </w:p>
        </w:tc>
        <w:tc>
          <w:tcPr>
            <w:tcW w:w="1380" w:type="dxa"/>
            <w:vAlign w:val="bottom"/>
          </w:tcPr>
          <w:p>
            <w:pPr>
              <w:jc w:val="right"/>
              <w:ind w:right="70"/>
              <w:spacing w:after="0"/>
              <w:rPr>
                <w:sz w:val="20"/>
                <w:szCs w:val="20"/>
                <w:color w:val="auto"/>
              </w:rPr>
            </w:pPr>
            <w:r>
              <w:rPr>
                <w:rFonts w:ascii="Arial" w:cs="Arial" w:eastAsia="Arial" w:hAnsi="Arial"/>
                <w:sz w:val="18"/>
                <w:szCs w:val="18"/>
                <w:color w:val="auto"/>
              </w:rPr>
              <w:t>61</w:t>
            </w:r>
          </w:p>
        </w:tc>
        <w:tc>
          <w:tcPr>
            <w:tcW w:w="7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135</w:t>
            </w:r>
          </w:p>
        </w:tc>
      </w:tr>
      <w:tr>
        <w:trPr>
          <w:trHeight w:val="27"/>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2,111</w:t>
            </w:r>
          </w:p>
        </w:tc>
        <w:tc>
          <w:tcPr>
            <w:tcW w:w="7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2,758</w:t>
            </w:r>
          </w:p>
        </w:tc>
      </w:tr>
      <w:tr>
        <w:trPr>
          <w:trHeight w:val="237"/>
        </w:trPr>
        <w:tc>
          <w:tcPr>
            <w:tcW w:w="77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2,344</w:t>
            </w:r>
          </w:p>
        </w:tc>
        <w:tc>
          <w:tcPr>
            <w:tcW w:w="7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3,087</w:t>
            </w:r>
          </w:p>
        </w:tc>
      </w:tr>
      <w:tr>
        <w:trPr>
          <w:trHeight w:val="27"/>
        </w:trPr>
        <w:tc>
          <w:tcPr>
            <w:tcW w:w="7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Work in process and finished goods inventories include cost of materials, labor and manufacturing overhead. During 2015, 2014, and 2013, we recognized charges for excess and obsolete inventory totaling $186 million, $113 million and $62 million,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9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Long-Lived Asset Impairments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recognized total long-lived impairment charges of $638 million in 2015 due to the continued weakness in crude oil prices contributing to lower exploration and production spending and a decline in the utilization of our assets. The decline in oil prices and its impact on demand represented a significant adverse change in the business climate and an indication that these long-lived assets may not be recoverable. Based on the presence of impairment indicators, we performed an analysis of these asset groups and recorded long-lived asset impairment charges to adjust the assets to fair value.</w:t>
      </w:r>
    </w:p>
    <w:p>
      <w:pPr>
        <w:spacing w:after="0" w:line="15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During the second quarter of 2015, we recognized long-lived asset impairment charges of $124 million in our pressure pumping assets of our North America segment. In the fourth quarter of 2015 we recorded impairment charges of $126 million, $72 million and $61 million, respectively, to our drilling tools, pressure pumping and wireline assets in our North America segment and $255 million in our Land Drilling Rigs segment. The fair value of our drilling tools, pressure pumping, and wireline assets were estimated using a combination of the income approach, the cost approach, and the market approach. See “Note 14 – Fair Value of Financial Instruments, Assets and Equity Investments” for additional information regarding the fair value determination.</w:t>
      </w:r>
    </w:p>
    <w:p>
      <w:pPr>
        <w:spacing w:after="0" w:line="15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the fourth quarter of 2014, a significant decline in crude oil prices contributed to lower anticipated exploration and production spending and a decline in the anticipated utilization of our drilling rig fleet. Based on the impairment indicators noted we performed an analysis of our drilling rig fleet and recorded long-lived asset impairment charges of $352 million to adjust the assets of our Land Drilling Rig business to fair value. The impairment charges included the impairment of our drilling rigs and certain related intangible assets. To determine the fair value of these assets we utilized an income approach.</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July 2014, we completed the sale of our rig operations in Russia and Venezuela. We expected the sale would significantly impact the revenues and results of operations of our Russia reporting unit. As a result of our commitment to sell, we recorded a $143 million long-lived assets impairment charge during the second quarter of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2015, our annual goodwill impairment test indicated that goodwill was not impaired. In 2014, our annual goodwill impairment test indicated that the goodwill of the Land Drilling Rigs reporting units in Latin America, Europe and Asia Pacific was impaired. The results of our “step-one” analysis were accompanied by other indicators in the form of a decline in the anticipated utilization rates for our drilling rig fleet. Responsive to the impairment indicators noted, we performed a “step two” analysis, comparing the implied fair value of reporting unit goodwill with the carrying amount of that goodwill. The “step two” analysis indicated that the goodwill for these reporting units was fully impaired and we recognized an impairment loss of $40 million related to Land Drilling Rigs segment in Latin America, Europe and Asia Pacific.</w:t>
      </w:r>
    </w:p>
    <w:p>
      <w:pPr>
        <w:spacing w:after="0" w:line="19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during the second quarter of 2014, we engaged in negotiations to sell our land drilling and workover operations in Russia and Venezuela, and we subsequently entered into an agreement to sell the business in July 2014. During this time frame we expected the sale would significantly impact the revenues and results of operations of our Russia reporting unit, and consequently, we considered the associated circumstances to assess whether an event or change had occurred that, more likely than not, reduced the fair value of our reporting units below their carrying amount. We concluded that the planned sale represented an indicator of impairment, and we prepared the analysis necessary to identify the potential impairment and recognize any necessary impairment loss. The analysis indicated that the goodwill for the Russia reporting unit was impaired, and we recognized a goodwill impairment loss of $121 million, $95 million of which pertained to goodwill that had been reclassified during 2014 into current assets held for sale. See “Note 2 – Business Combinations and Divestitures” for additional information regarding the non-cash impairment charges to our assets held for sale.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39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changes in the carrying amount of goodwill by reportable segment for the two years ended December 31, 2015 and 2014,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center"/>
              <w:ind w:right="157"/>
              <w:spacing w:after="0"/>
              <w:rPr>
                <w:sz w:val="20"/>
                <w:szCs w:val="20"/>
                <w:color w:val="auto"/>
              </w:rPr>
            </w:pPr>
            <w:r>
              <w:rPr>
                <w:rFonts w:ascii="Arial" w:cs="Arial" w:eastAsia="Arial" w:hAnsi="Arial"/>
                <w:sz w:val="18"/>
                <w:szCs w:val="18"/>
                <w:b w:val="1"/>
                <w:bCs w:val="1"/>
                <w:color w:val="auto"/>
                <w:w w:val="92"/>
              </w:rPr>
              <w:t>Europe/</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center"/>
              <w:ind w:right="157"/>
              <w:spacing w:after="0"/>
              <w:rPr>
                <w:sz w:val="20"/>
                <w:szCs w:val="20"/>
                <w:color w:val="auto"/>
              </w:rPr>
            </w:pPr>
            <w:r>
              <w:rPr>
                <w:rFonts w:ascii="Arial" w:cs="Arial" w:eastAsia="Arial" w:hAnsi="Arial"/>
                <w:sz w:val="18"/>
                <w:szCs w:val="18"/>
                <w:b w:val="1"/>
                <w:bCs w:val="1"/>
                <w:color w:val="auto"/>
                <w:w w:val="97"/>
              </w:rPr>
              <w:t>Land</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57"/>
              <w:spacing w:after="0"/>
              <w:rPr>
                <w:sz w:val="20"/>
                <w:szCs w:val="20"/>
                <w:color w:val="auto"/>
              </w:rPr>
            </w:pPr>
            <w:r>
              <w:rPr>
                <w:rFonts w:ascii="Arial" w:cs="Arial" w:eastAsia="Arial" w:hAnsi="Arial"/>
                <w:sz w:val="18"/>
                <w:szCs w:val="18"/>
                <w:b w:val="1"/>
                <w:bCs w:val="1"/>
                <w:color w:val="auto"/>
              </w:rPr>
              <w:t>North</w:t>
            </w:r>
          </w:p>
        </w:tc>
        <w:tc>
          <w:tcPr>
            <w:tcW w:w="220" w:type="dxa"/>
            <w:vAlign w:val="bottom"/>
          </w:tcPr>
          <w:p>
            <w:pPr>
              <w:spacing w:after="0"/>
              <w:rPr>
                <w:sz w:val="18"/>
                <w:szCs w:val="18"/>
                <w:color w:val="auto"/>
              </w:rPr>
            </w:pPr>
          </w:p>
        </w:tc>
        <w:tc>
          <w:tcPr>
            <w:tcW w:w="1160" w:type="dxa"/>
            <w:vAlign w:val="bottom"/>
          </w:tcPr>
          <w:p>
            <w:pPr>
              <w:jc w:val="right"/>
              <w:ind w:right="297"/>
              <w:spacing w:after="0"/>
              <w:rPr>
                <w:sz w:val="20"/>
                <w:szCs w:val="20"/>
                <w:color w:val="auto"/>
              </w:rPr>
            </w:pPr>
            <w:r>
              <w:rPr>
                <w:rFonts w:ascii="Arial" w:cs="Arial" w:eastAsia="Arial" w:hAnsi="Arial"/>
                <w:sz w:val="18"/>
                <w:szCs w:val="18"/>
                <w:b w:val="1"/>
                <w:bCs w:val="1"/>
                <w:color w:val="auto"/>
              </w:rPr>
              <w:t>MENA/</w:t>
            </w:r>
          </w:p>
        </w:tc>
        <w:tc>
          <w:tcPr>
            <w:tcW w:w="280" w:type="dxa"/>
            <w:vAlign w:val="bottom"/>
          </w:tcPr>
          <w:p>
            <w:pPr>
              <w:spacing w:after="0"/>
              <w:rPr>
                <w:sz w:val="18"/>
                <w:szCs w:val="18"/>
                <w:color w:val="auto"/>
              </w:rPr>
            </w:pPr>
          </w:p>
        </w:tc>
        <w:tc>
          <w:tcPr>
            <w:tcW w:w="1060" w:type="dxa"/>
            <w:vAlign w:val="bottom"/>
          </w:tcPr>
          <w:p>
            <w:pPr>
              <w:jc w:val="center"/>
              <w:ind w:right="157"/>
              <w:spacing w:after="0"/>
              <w:rPr>
                <w:sz w:val="20"/>
                <w:szCs w:val="20"/>
                <w:color w:val="auto"/>
              </w:rPr>
            </w:pPr>
            <w:r>
              <w:rPr>
                <w:rFonts w:ascii="Arial" w:cs="Arial" w:eastAsia="Arial" w:hAnsi="Arial"/>
                <w:sz w:val="18"/>
                <w:szCs w:val="18"/>
                <w:b w:val="1"/>
                <w:bCs w:val="1"/>
                <w:color w:val="auto"/>
                <w:w w:val="90"/>
              </w:rPr>
              <w:t>SSA/</w:t>
            </w:r>
          </w:p>
        </w:tc>
        <w:tc>
          <w:tcPr>
            <w:tcW w:w="260" w:type="dxa"/>
            <w:vAlign w:val="bottom"/>
          </w:tcPr>
          <w:p>
            <w:pPr>
              <w:spacing w:after="0"/>
              <w:rPr>
                <w:sz w:val="18"/>
                <w:szCs w:val="18"/>
                <w:color w:val="auto"/>
              </w:rPr>
            </w:pPr>
          </w:p>
        </w:tc>
        <w:tc>
          <w:tcPr>
            <w:tcW w:w="1080" w:type="dxa"/>
            <w:vAlign w:val="bottom"/>
          </w:tcPr>
          <w:p>
            <w:pPr>
              <w:jc w:val="right"/>
              <w:ind w:right="357"/>
              <w:spacing w:after="0"/>
              <w:rPr>
                <w:sz w:val="20"/>
                <w:szCs w:val="20"/>
                <w:color w:val="auto"/>
              </w:rPr>
            </w:pPr>
            <w:r>
              <w:rPr>
                <w:rFonts w:ascii="Arial" w:cs="Arial" w:eastAsia="Arial" w:hAnsi="Arial"/>
                <w:sz w:val="18"/>
                <w:szCs w:val="18"/>
                <w:b w:val="1"/>
                <w:bCs w:val="1"/>
                <w:color w:val="auto"/>
              </w:rPr>
              <w:t>Latin</w:t>
            </w:r>
          </w:p>
        </w:tc>
        <w:tc>
          <w:tcPr>
            <w:tcW w:w="260" w:type="dxa"/>
            <w:vAlign w:val="bottom"/>
          </w:tcPr>
          <w:p>
            <w:pPr>
              <w:spacing w:after="0"/>
              <w:rPr>
                <w:sz w:val="18"/>
                <w:szCs w:val="18"/>
                <w:color w:val="auto"/>
              </w:rPr>
            </w:pPr>
          </w:p>
        </w:tc>
        <w:tc>
          <w:tcPr>
            <w:tcW w:w="1060" w:type="dxa"/>
            <w:vAlign w:val="bottom"/>
          </w:tcPr>
          <w:p>
            <w:pPr>
              <w:jc w:val="center"/>
              <w:ind w:right="177"/>
              <w:spacing w:after="0"/>
              <w:rPr>
                <w:sz w:val="20"/>
                <w:szCs w:val="20"/>
                <w:color w:val="auto"/>
              </w:rPr>
            </w:pPr>
            <w:r>
              <w:rPr>
                <w:rFonts w:ascii="Arial" w:cs="Arial" w:eastAsia="Arial" w:hAnsi="Arial"/>
                <w:sz w:val="18"/>
                <w:szCs w:val="18"/>
                <w:b w:val="1"/>
                <w:bCs w:val="1"/>
                <w:color w:val="auto"/>
                <w:w w:val="96"/>
              </w:rPr>
              <w:t>Drilling</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32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00" w:type="dxa"/>
            <w:vAlign w:val="bottom"/>
          </w:tcPr>
          <w:p>
            <w:pPr>
              <w:spacing w:after="0"/>
              <w:rPr>
                <w:sz w:val="20"/>
                <w:szCs w:val="20"/>
                <w:color w:val="auto"/>
              </w:rPr>
            </w:pPr>
          </w:p>
        </w:tc>
        <w:tc>
          <w:tcPr>
            <w:tcW w:w="1100" w:type="dxa"/>
            <w:vAlign w:val="bottom"/>
          </w:tcPr>
          <w:p>
            <w:pPr>
              <w:jc w:val="right"/>
              <w:ind w:right="257"/>
              <w:spacing w:after="0"/>
              <w:rPr>
                <w:sz w:val="20"/>
                <w:szCs w:val="20"/>
                <w:color w:val="auto"/>
              </w:rPr>
            </w:pPr>
            <w:r>
              <w:rPr>
                <w:rFonts w:ascii="Arial" w:cs="Arial" w:eastAsia="Arial" w:hAnsi="Arial"/>
                <w:sz w:val="18"/>
                <w:szCs w:val="18"/>
                <w:b w:val="1"/>
                <w:bCs w:val="1"/>
                <w:color w:val="auto"/>
              </w:rPr>
              <w:t>America</w:t>
            </w:r>
          </w:p>
        </w:tc>
        <w:tc>
          <w:tcPr>
            <w:tcW w:w="220" w:type="dxa"/>
            <w:vAlign w:val="bottom"/>
          </w:tcPr>
          <w:p>
            <w:pPr>
              <w:spacing w:after="0"/>
              <w:rPr>
                <w:sz w:val="20"/>
                <w:szCs w:val="20"/>
                <w:color w:val="auto"/>
              </w:rPr>
            </w:pPr>
          </w:p>
        </w:tc>
        <w:tc>
          <w:tcPr>
            <w:tcW w:w="1160" w:type="dxa"/>
            <w:vAlign w:val="bottom"/>
          </w:tcPr>
          <w:p>
            <w:pPr>
              <w:jc w:val="right"/>
              <w:ind w:right="137"/>
              <w:spacing w:after="0"/>
              <w:rPr>
                <w:sz w:val="20"/>
                <w:szCs w:val="20"/>
                <w:color w:val="auto"/>
              </w:rPr>
            </w:pPr>
            <w:r>
              <w:rPr>
                <w:rFonts w:ascii="Arial" w:cs="Arial" w:eastAsia="Arial" w:hAnsi="Arial"/>
                <w:sz w:val="18"/>
                <w:szCs w:val="18"/>
                <w:b w:val="1"/>
                <w:bCs w:val="1"/>
                <w:color w:val="auto"/>
                <w:w w:val="90"/>
              </w:rPr>
              <w:t>Asia Pacific</w:t>
            </w:r>
          </w:p>
        </w:tc>
        <w:tc>
          <w:tcPr>
            <w:tcW w:w="280" w:type="dxa"/>
            <w:vAlign w:val="bottom"/>
          </w:tcPr>
          <w:p>
            <w:pPr>
              <w:spacing w:after="0"/>
              <w:rPr>
                <w:sz w:val="20"/>
                <w:szCs w:val="20"/>
                <w:color w:val="auto"/>
              </w:rPr>
            </w:pPr>
          </w:p>
        </w:tc>
        <w:tc>
          <w:tcPr>
            <w:tcW w:w="1060" w:type="dxa"/>
            <w:vAlign w:val="bottom"/>
          </w:tcPr>
          <w:p>
            <w:pPr>
              <w:jc w:val="center"/>
              <w:ind w:right="157"/>
              <w:spacing w:after="0"/>
              <w:rPr>
                <w:sz w:val="20"/>
                <w:szCs w:val="20"/>
                <w:color w:val="auto"/>
              </w:rPr>
            </w:pPr>
            <w:r>
              <w:rPr>
                <w:rFonts w:ascii="Arial" w:cs="Arial" w:eastAsia="Arial" w:hAnsi="Arial"/>
                <w:sz w:val="18"/>
                <w:szCs w:val="18"/>
                <w:b w:val="1"/>
                <w:bCs w:val="1"/>
                <w:color w:val="auto"/>
                <w:w w:val="84"/>
              </w:rPr>
              <w:t>Russia</w:t>
            </w:r>
          </w:p>
        </w:tc>
        <w:tc>
          <w:tcPr>
            <w:tcW w:w="260" w:type="dxa"/>
            <w:vAlign w:val="bottom"/>
          </w:tcPr>
          <w:p>
            <w:pPr>
              <w:spacing w:after="0"/>
              <w:rPr>
                <w:sz w:val="20"/>
                <w:szCs w:val="20"/>
                <w:color w:val="auto"/>
              </w:rPr>
            </w:pPr>
          </w:p>
        </w:tc>
        <w:tc>
          <w:tcPr>
            <w:tcW w:w="1080" w:type="dxa"/>
            <w:vAlign w:val="bottom"/>
          </w:tcPr>
          <w:p>
            <w:pPr>
              <w:jc w:val="right"/>
              <w:ind w:right="237"/>
              <w:spacing w:after="0"/>
              <w:rPr>
                <w:sz w:val="20"/>
                <w:szCs w:val="20"/>
                <w:color w:val="auto"/>
              </w:rPr>
            </w:pPr>
            <w:r>
              <w:rPr>
                <w:rFonts w:ascii="Arial" w:cs="Arial" w:eastAsia="Arial" w:hAnsi="Arial"/>
                <w:sz w:val="18"/>
                <w:szCs w:val="18"/>
                <w:b w:val="1"/>
                <w:bCs w:val="1"/>
                <w:color w:val="auto"/>
              </w:rPr>
              <w:t>America</w:t>
            </w:r>
          </w:p>
        </w:tc>
        <w:tc>
          <w:tcPr>
            <w:tcW w:w="260" w:type="dxa"/>
            <w:vAlign w:val="bottom"/>
          </w:tcPr>
          <w:p>
            <w:pPr>
              <w:spacing w:after="0"/>
              <w:rPr>
                <w:sz w:val="20"/>
                <w:szCs w:val="20"/>
                <w:color w:val="auto"/>
              </w:rPr>
            </w:pPr>
          </w:p>
        </w:tc>
        <w:tc>
          <w:tcPr>
            <w:tcW w:w="1060" w:type="dxa"/>
            <w:vAlign w:val="bottom"/>
          </w:tcPr>
          <w:p>
            <w:pPr>
              <w:jc w:val="center"/>
              <w:ind w:right="157"/>
              <w:spacing w:after="0"/>
              <w:rPr>
                <w:sz w:val="20"/>
                <w:szCs w:val="20"/>
                <w:color w:val="auto"/>
              </w:rPr>
            </w:pPr>
            <w:r>
              <w:rPr>
                <w:rFonts w:ascii="Arial" w:cs="Arial" w:eastAsia="Arial" w:hAnsi="Arial"/>
                <w:sz w:val="18"/>
                <w:szCs w:val="18"/>
                <w:b w:val="1"/>
                <w:bCs w:val="1"/>
                <w:color w:val="auto"/>
                <w:w w:val="87"/>
              </w:rPr>
              <w:t>Rigs</w:t>
            </w:r>
          </w:p>
        </w:tc>
        <w:tc>
          <w:tcPr>
            <w:tcW w:w="320" w:type="dxa"/>
            <w:vAlign w:val="bottom"/>
          </w:tcPr>
          <w:p>
            <w:pPr>
              <w:spacing w:after="0"/>
              <w:rPr>
                <w:sz w:val="20"/>
                <w:szCs w:val="20"/>
                <w:color w:val="auto"/>
              </w:rPr>
            </w:pPr>
          </w:p>
        </w:tc>
        <w:tc>
          <w:tcPr>
            <w:tcW w:w="960" w:type="dxa"/>
            <w:vAlign w:val="bottom"/>
          </w:tcPr>
          <w:p>
            <w:pPr>
              <w:jc w:val="right"/>
              <w:ind w:right="338"/>
              <w:spacing w:after="0"/>
              <w:rPr>
                <w:sz w:val="20"/>
                <w:szCs w:val="20"/>
                <w:color w:val="auto"/>
              </w:rPr>
            </w:pPr>
            <w:r>
              <w:rPr>
                <w:rFonts w:ascii="Arial" w:cs="Arial" w:eastAsia="Arial" w:hAnsi="Arial"/>
                <w:sz w:val="18"/>
                <w:szCs w:val="18"/>
                <w:b w:val="1"/>
                <w:bCs w:val="1"/>
                <w:color w:val="auto"/>
              </w:rPr>
              <w:t>Total</w:t>
            </w:r>
          </w:p>
        </w:tc>
      </w:tr>
      <w:tr>
        <w:trPr>
          <w:trHeight w:val="27"/>
        </w:trPr>
        <w:tc>
          <w:tcPr>
            <w:tcW w:w="3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1,981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196</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753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304</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56</w:t>
            </w:r>
          </w:p>
        </w:tc>
        <w:tc>
          <w:tcPr>
            <w:tcW w:w="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3,290</w:t>
            </w:r>
          </w:p>
        </w:tc>
      </w:tr>
      <w:tr>
        <w:trPr>
          <w:trHeight w:val="237"/>
        </w:trPr>
        <w:tc>
          <w:tcPr>
            <w:tcW w:w="3260" w:type="dxa"/>
            <w:vAlign w:val="bottom"/>
          </w:tcPr>
          <w:p>
            <w:pPr>
              <w:ind w:left="180"/>
              <w:spacing w:after="0"/>
              <w:rPr>
                <w:sz w:val="20"/>
                <w:szCs w:val="20"/>
                <w:color w:val="auto"/>
              </w:rPr>
            </w:pPr>
            <w:r>
              <w:rPr>
                <w:rFonts w:ascii="Arial" w:cs="Arial" w:eastAsia="Arial" w:hAnsi="Arial"/>
                <w:sz w:val="16"/>
                <w:szCs w:val="16"/>
                <w:color w:val="auto"/>
              </w:rPr>
              <w:t>Impairment</w:t>
            </w:r>
          </w:p>
        </w:tc>
        <w:tc>
          <w:tcPr>
            <w:tcW w:w="200" w:type="dxa"/>
            <w:vAlign w:val="bottom"/>
          </w:tcPr>
          <w:p>
            <w:pPr>
              <w:spacing w:after="0"/>
              <w:rPr>
                <w:sz w:val="20"/>
                <w:szCs w:val="20"/>
                <w:color w:val="auto"/>
              </w:rPr>
            </w:pPr>
          </w:p>
        </w:tc>
        <w:tc>
          <w:tcPr>
            <w:tcW w:w="1100" w:type="dxa"/>
            <w:vAlign w:val="bottom"/>
          </w:tcPr>
          <w:p>
            <w:pPr>
              <w:jc w:val="right"/>
              <w:ind w:right="77"/>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60" w:type="dxa"/>
            <w:vAlign w:val="bottom"/>
          </w:tcPr>
          <w:p>
            <w:pPr>
              <w:jc w:val="right"/>
              <w:ind w:right="77"/>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20"/>
                <w:szCs w:val="20"/>
                <w:color w:val="auto"/>
              </w:rPr>
            </w:pPr>
          </w:p>
        </w:tc>
        <w:tc>
          <w:tcPr>
            <w:tcW w:w="1080" w:type="dxa"/>
            <w:vAlign w:val="bottom"/>
          </w:tcPr>
          <w:p>
            <w:pPr>
              <w:jc w:val="right"/>
              <w:ind w:right="77"/>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60" w:type="dxa"/>
            <w:vAlign w:val="bottom"/>
          </w:tcPr>
          <w:p>
            <w:pPr>
              <w:jc w:val="right"/>
              <w:ind w:right="17"/>
              <w:spacing w:after="0"/>
              <w:rPr>
                <w:sz w:val="20"/>
                <w:szCs w:val="20"/>
                <w:color w:val="auto"/>
              </w:rPr>
            </w:pPr>
            <w:r>
              <w:rPr>
                <w:rFonts w:ascii="Arial" w:cs="Arial" w:eastAsia="Arial" w:hAnsi="Arial"/>
                <w:sz w:val="16"/>
                <w:szCs w:val="16"/>
                <w:color w:val="auto"/>
              </w:rPr>
              <w:t>(40)</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Acquisitions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w:t>
            </w:r>
          </w:p>
        </w:tc>
      </w:tr>
      <w:tr>
        <w:trPr>
          <w:trHeight w:val="237"/>
        </w:trPr>
        <w:tc>
          <w:tcPr>
            <w:tcW w:w="3260" w:type="dxa"/>
            <w:vAlign w:val="bottom"/>
          </w:tcPr>
          <w:p>
            <w:pPr>
              <w:ind w:left="180"/>
              <w:spacing w:after="0"/>
              <w:rPr>
                <w:sz w:val="20"/>
                <w:szCs w:val="20"/>
                <w:color w:val="auto"/>
              </w:rPr>
            </w:pPr>
            <w:r>
              <w:rPr>
                <w:rFonts w:ascii="Arial" w:cs="Arial" w:eastAsia="Arial" w:hAnsi="Arial"/>
                <w:sz w:val="16"/>
                <w:szCs w:val="16"/>
                <w:color w:val="auto"/>
              </w:rPr>
              <w:t>Purchase price and other adjustments</w:t>
            </w:r>
          </w:p>
        </w:tc>
        <w:tc>
          <w:tcPr>
            <w:tcW w:w="200" w:type="dxa"/>
            <w:vAlign w:val="bottom"/>
          </w:tcPr>
          <w:p>
            <w:pPr>
              <w:spacing w:after="0"/>
              <w:rPr>
                <w:sz w:val="20"/>
                <w:szCs w:val="20"/>
                <w:color w:val="auto"/>
              </w:rPr>
            </w:pPr>
          </w:p>
        </w:tc>
        <w:tc>
          <w:tcPr>
            <w:tcW w:w="1100" w:type="dxa"/>
            <w:vAlign w:val="bottom"/>
          </w:tcPr>
          <w:p>
            <w:pPr>
              <w:jc w:val="right"/>
              <w:ind w:right="77"/>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c>
          <w:tcPr>
            <w:tcW w:w="1160" w:type="dxa"/>
            <w:vAlign w:val="bottom"/>
          </w:tcPr>
          <w:p>
            <w:pPr>
              <w:jc w:val="right"/>
              <w:ind w:right="77"/>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ind w:right="57"/>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20"/>
                <w:szCs w:val="20"/>
                <w:color w:val="auto"/>
              </w:rPr>
            </w:pPr>
          </w:p>
        </w:tc>
        <w:tc>
          <w:tcPr>
            <w:tcW w:w="1080" w:type="dxa"/>
            <w:vAlign w:val="bottom"/>
          </w:tcPr>
          <w:p>
            <w:pPr>
              <w:jc w:val="right"/>
              <w:ind w:right="77"/>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60" w:type="dxa"/>
            <w:vAlign w:val="bottom"/>
          </w:tcPr>
          <w:p>
            <w:pPr>
              <w:jc w:val="right"/>
              <w:ind w:right="17"/>
              <w:spacing w:after="0"/>
              <w:rPr>
                <w:sz w:val="20"/>
                <w:szCs w:val="20"/>
                <w:color w:val="auto"/>
              </w:rPr>
            </w:pPr>
            <w:r>
              <w:rPr>
                <w:rFonts w:ascii="Arial" w:cs="Arial" w:eastAsia="Arial" w:hAnsi="Arial"/>
                <w:sz w:val="16"/>
                <w:szCs w:val="16"/>
                <w:color w:val="auto"/>
              </w:rPr>
              <w:t>(14)</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(86)</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w:t>
            </w:r>
          </w:p>
        </w:tc>
      </w:tr>
      <w:tr>
        <w:trPr>
          <w:trHeight w:val="297"/>
        </w:trPr>
        <w:tc>
          <w:tcPr>
            <w:tcW w:w="3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at December 31, 2014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6"/>
                <w:szCs w:val="16"/>
                <w:color w:val="auto"/>
              </w:rPr>
              <w:t>1,896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6"/>
                <w:szCs w:val="16"/>
                <w:color w:val="auto"/>
              </w:rPr>
              <w:t>195</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6"/>
                <w:szCs w:val="16"/>
                <w:color w:val="auto"/>
              </w:rPr>
              <w:t>623</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6"/>
                <w:szCs w:val="16"/>
                <w:color w:val="auto"/>
              </w:rPr>
              <w:t>297</w:t>
            </w:r>
          </w:p>
        </w:tc>
        <w:tc>
          <w:tcPr>
            <w:tcW w:w="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6"/>
                <w:szCs w:val="16"/>
                <w:color w:val="auto"/>
              </w:rPr>
              <w:t>—</w:t>
            </w:r>
          </w:p>
        </w:tc>
        <w:tc>
          <w:tcPr>
            <w:tcW w:w="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3,011</w:t>
            </w:r>
          </w:p>
        </w:tc>
      </w:tr>
      <w:tr>
        <w:trPr>
          <w:trHeight w:val="284"/>
        </w:trPr>
        <w:tc>
          <w:tcPr>
            <w:tcW w:w="3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37"/>
        </w:trPr>
        <w:tc>
          <w:tcPr>
            <w:tcW w:w="326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20"/>
                <w:szCs w:val="20"/>
                <w:color w:val="auto"/>
              </w:rPr>
            </w:pPr>
          </w:p>
        </w:tc>
        <w:tc>
          <w:tcPr>
            <w:tcW w:w="1100" w:type="dxa"/>
            <w:vAlign w:val="bottom"/>
          </w:tcPr>
          <w:p>
            <w:pPr>
              <w:jc w:val="right"/>
              <w:ind w:right="77"/>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20"/>
                <w:szCs w:val="20"/>
                <w:color w:val="auto"/>
              </w:rPr>
            </w:pPr>
          </w:p>
        </w:tc>
        <w:tc>
          <w:tcPr>
            <w:tcW w:w="1160" w:type="dxa"/>
            <w:vAlign w:val="bottom"/>
          </w:tcPr>
          <w:p>
            <w:pPr>
              <w:jc w:val="right"/>
              <w:ind w:right="77"/>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ind w:right="57"/>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80" w:type="dxa"/>
            <w:vAlign w:val="bottom"/>
          </w:tcPr>
          <w:p>
            <w:pPr>
              <w:jc w:val="right"/>
              <w:ind w:right="77"/>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060" w:type="dxa"/>
            <w:vAlign w:val="bottom"/>
          </w:tcPr>
          <w:p>
            <w:pPr>
              <w:jc w:val="right"/>
              <w:ind w:right="77"/>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3</w:t>
            </w:r>
          </w:p>
        </w:tc>
      </w:tr>
      <w:tr>
        <w:trPr>
          <w:trHeight w:val="33"/>
        </w:trPr>
        <w:tc>
          <w:tcPr>
            <w:tcW w:w="3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 price and other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w:t>
            </w:r>
          </w:p>
        </w:tc>
      </w:tr>
      <w:tr>
        <w:trPr>
          <w:trHeight w:val="237"/>
        </w:trPr>
        <w:tc>
          <w:tcPr>
            <w:tcW w:w="3260" w:type="dxa"/>
            <w:vAlign w:val="bottom"/>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0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6"/>
                <w:szCs w:val="16"/>
                <w:color w:val="auto"/>
              </w:rPr>
              <w:t>(143)</w:t>
            </w:r>
          </w:p>
        </w:tc>
        <w:tc>
          <w:tcPr>
            <w:tcW w:w="220" w:type="dxa"/>
            <w:vAlign w:val="bottom"/>
          </w:tcPr>
          <w:p>
            <w:pPr>
              <w:spacing w:after="0"/>
              <w:rPr>
                <w:sz w:val="20"/>
                <w:szCs w:val="20"/>
                <w:color w:val="auto"/>
              </w:rPr>
            </w:pPr>
          </w:p>
        </w:tc>
        <w:tc>
          <w:tcPr>
            <w:tcW w:w="1160" w:type="dxa"/>
            <w:vAlign w:val="bottom"/>
          </w:tcPr>
          <w:p>
            <w:pPr>
              <w:jc w:val="right"/>
              <w:ind w:right="37"/>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20"/>
                <w:szCs w:val="20"/>
                <w:color w:val="auto"/>
              </w:rPr>
            </w:pPr>
          </w:p>
        </w:tc>
        <w:tc>
          <w:tcPr>
            <w:tcW w:w="1060" w:type="dxa"/>
            <w:vAlign w:val="bottom"/>
          </w:tcPr>
          <w:p>
            <w:pPr>
              <w:jc w:val="right"/>
              <w:ind w:right="77"/>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(212)</w:t>
            </w:r>
          </w:p>
        </w:tc>
      </w:tr>
      <w:tr>
        <w:trPr>
          <w:trHeight w:val="33"/>
        </w:trPr>
        <w:tc>
          <w:tcPr>
            <w:tcW w:w="3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6"/>
                <w:szCs w:val="16"/>
                <w:color w:val="auto"/>
              </w:rPr>
              <w:t>1,756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6"/>
                <w:szCs w:val="16"/>
                <w:color w:val="auto"/>
              </w:rPr>
              <w:t>190</w:t>
            </w: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6"/>
                <w:szCs w:val="16"/>
                <w:color w:val="auto"/>
              </w:rPr>
              <w:t>573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6"/>
                <w:szCs w:val="16"/>
                <w:color w:val="auto"/>
              </w:rPr>
              <w:t>284</w:t>
            </w:r>
          </w:p>
        </w:tc>
        <w:tc>
          <w:tcPr>
            <w:tcW w:w="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2,803</w:t>
            </w:r>
          </w:p>
        </w:tc>
      </w:tr>
      <w:tr>
        <w:trPr>
          <w:trHeight w:val="20"/>
        </w:trPr>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Other 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intangible assets were as follows:</w:t>
      </w:r>
    </w:p>
    <w:p>
      <w:pPr>
        <w:spacing w:after="0" w:line="185" w:lineRule="exact"/>
        <w:rPr>
          <w:sz w:val="20"/>
          <w:szCs w:val="20"/>
          <w:color w:val="auto"/>
        </w:rPr>
      </w:pPr>
    </w:p>
    <w:tbl>
      <w:tblPr>
        <w:tblLayout w:type="fixed"/>
        <w:tblInd w:w="740" w:type="dxa"/>
        <w:tblCellMar>
          <w:top w:w="0" w:type="dxa"/>
          <w:left w:w="0" w:type="dxa"/>
          <w:bottom w:w="0" w:type="dxa"/>
          <w:right w:w="0" w:type="dxa"/>
        </w:tblCellMar>
      </w:tblPr>
      <w:tr>
        <w:trPr>
          <w:trHeight w:val="210"/>
        </w:trPr>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w w:val="92"/>
              </w:rPr>
              <w:t>December 31, 2015</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3"/>
          </w:tcPr>
          <w:p>
            <w:pPr>
              <w:jc w:val="right"/>
              <w:ind w:right="560"/>
              <w:spacing w:after="0"/>
              <w:rPr>
                <w:sz w:val="20"/>
                <w:szCs w:val="20"/>
                <w:color w:val="auto"/>
              </w:rPr>
            </w:pPr>
            <w:r>
              <w:rPr>
                <w:rFonts w:ascii="Arial" w:cs="Arial" w:eastAsia="Arial" w:hAnsi="Arial"/>
                <w:sz w:val="16"/>
                <w:szCs w:val="16"/>
                <w:b w:val="1"/>
                <w:bCs w:val="1"/>
                <w:color w:val="auto"/>
              </w:rPr>
              <w:t>December 31, 2014</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1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549"/>
        </w:trPr>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center"/>
              <w:ind w:right="82"/>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160" w:type="dxa"/>
            <w:vAlign w:val="bottom"/>
          </w:tcPr>
          <w:p>
            <w:pPr>
              <w:spacing w:after="0"/>
              <w:rPr>
                <w:sz w:val="24"/>
                <w:szCs w:val="24"/>
                <w:color w:val="auto"/>
              </w:rPr>
            </w:pPr>
          </w:p>
        </w:tc>
        <w:tc>
          <w:tcPr>
            <w:tcW w:w="840" w:type="dxa"/>
            <w:vAlign w:val="bottom"/>
          </w:tcPr>
          <w:p>
            <w:pPr>
              <w:jc w:val="center"/>
              <w:ind w:right="122"/>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62"/>
              <w:spacing w:after="0"/>
              <w:rPr>
                <w:sz w:val="20"/>
                <w:szCs w:val="20"/>
                <w:color w:val="auto"/>
              </w:rPr>
            </w:pPr>
            <w:r>
              <w:rPr>
                <w:rFonts w:ascii="Arial" w:cs="Arial" w:eastAsia="Arial" w:hAnsi="Arial"/>
                <w:sz w:val="14"/>
                <w:szCs w:val="14"/>
                <w:b w:val="1"/>
                <w:bCs w:val="1"/>
                <w:color w:val="auto"/>
                <w:w w:val="88"/>
              </w:rPr>
              <w:t>Net</w:t>
            </w:r>
          </w:p>
        </w:tc>
      </w:tr>
      <w:tr>
        <w:trPr>
          <w:trHeight w:val="270"/>
        </w:trPr>
        <w:tc>
          <w:tcPr>
            <w:tcW w:w="1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center"/>
              <w:ind w:right="102"/>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23"/>
                <w:szCs w:val="23"/>
                <w:color w:val="auto"/>
              </w:rPr>
            </w:pPr>
          </w:p>
        </w:tc>
        <w:tc>
          <w:tcPr>
            <w:tcW w:w="1200" w:type="dxa"/>
            <w:vAlign w:val="bottom"/>
          </w:tcPr>
          <w:p>
            <w:pPr>
              <w:jc w:val="right"/>
              <w:ind w:right="221"/>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3"/>
                <w:szCs w:val="2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Intangible</w:t>
            </w:r>
          </w:p>
        </w:tc>
        <w:tc>
          <w:tcPr>
            <w:tcW w:w="160" w:type="dxa"/>
            <w:vAlign w:val="bottom"/>
          </w:tcPr>
          <w:p>
            <w:pPr>
              <w:spacing w:after="0"/>
              <w:rPr>
                <w:sz w:val="23"/>
                <w:szCs w:val="23"/>
                <w:color w:val="auto"/>
              </w:rPr>
            </w:pPr>
          </w:p>
        </w:tc>
        <w:tc>
          <w:tcPr>
            <w:tcW w:w="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23"/>
                <w:szCs w:val="23"/>
                <w:color w:val="auto"/>
              </w:rPr>
            </w:pPr>
          </w:p>
        </w:tc>
        <w:tc>
          <w:tcPr>
            <w:tcW w:w="1180" w:type="dxa"/>
            <w:vAlign w:val="bottom"/>
          </w:tcPr>
          <w:p>
            <w:pPr>
              <w:jc w:val="right"/>
              <w:ind w:right="221"/>
              <w:spacing w:after="0"/>
              <w:rPr>
                <w:sz w:val="20"/>
                <w:szCs w:val="20"/>
                <w:color w:val="auto"/>
              </w:rPr>
            </w:pPr>
            <w:r>
              <w:rPr>
                <w:rFonts w:ascii="Arial" w:cs="Arial" w:eastAsia="Arial" w:hAnsi="Arial"/>
                <w:sz w:val="14"/>
                <w:szCs w:val="14"/>
                <w:b w:val="1"/>
                <w:bCs w:val="1"/>
                <w:color w:val="auto"/>
                <w:w w:val="97"/>
              </w:rPr>
              <w:t>Accumulated</w:t>
            </w: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Intangible</w:t>
            </w:r>
          </w:p>
        </w:tc>
      </w:tr>
      <w:tr>
        <w:trPr>
          <w:trHeight w:val="276"/>
        </w:trPr>
        <w:tc>
          <w:tcPr>
            <w:tcW w:w="1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8"/>
              </w:rPr>
              <w:t>Impairment</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2"/>
              </w:rPr>
              <w:t>Assets</w:t>
            </w: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Acquired technology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386</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420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(287)</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133</w:t>
            </w:r>
          </w:p>
        </w:tc>
      </w:tr>
      <w:tr>
        <w:trPr>
          <w:trHeight w:val="237"/>
        </w:trPr>
        <w:tc>
          <w:tcPr>
            <w:tcW w:w="1780" w:type="dxa"/>
            <w:vAlign w:val="bottom"/>
          </w:tcPr>
          <w:p>
            <w:pPr>
              <w:ind w:left="20"/>
              <w:spacing w:after="0"/>
              <w:rPr>
                <w:sz w:val="20"/>
                <w:szCs w:val="20"/>
                <w:color w:val="auto"/>
              </w:rPr>
            </w:pPr>
            <w:r>
              <w:rPr>
                <w:rFonts w:ascii="Arial" w:cs="Arial" w:eastAsia="Arial" w:hAnsi="Arial"/>
                <w:sz w:val="16"/>
                <w:szCs w:val="16"/>
                <w:color w:val="auto"/>
              </w:rPr>
              <w:t>Licenses</w:t>
            </w:r>
          </w:p>
        </w:tc>
        <w:tc>
          <w:tcPr>
            <w:tcW w:w="16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234</w:t>
            </w:r>
          </w:p>
        </w:tc>
        <w:tc>
          <w:tcPr>
            <w:tcW w:w="260" w:type="dxa"/>
            <w:vAlign w:val="bottom"/>
          </w:tcPr>
          <w:p>
            <w:pPr>
              <w:spacing w:after="0"/>
              <w:rPr>
                <w:sz w:val="20"/>
                <w:szCs w:val="20"/>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(176)</w:t>
            </w:r>
          </w:p>
        </w:tc>
        <w:tc>
          <w:tcPr>
            <w:tcW w:w="18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242</w:t>
            </w:r>
          </w:p>
        </w:tc>
        <w:tc>
          <w:tcPr>
            <w:tcW w:w="26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(169)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73</w:t>
            </w:r>
          </w:p>
        </w:tc>
      </w:tr>
      <w:tr>
        <w:trPr>
          <w:trHeight w:val="33"/>
        </w:trPr>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233</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232</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(117)</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115</w:t>
            </w:r>
          </w:p>
        </w:tc>
      </w:tr>
      <w:tr>
        <w:trPr>
          <w:trHeight w:val="220"/>
        </w:trPr>
        <w:tc>
          <w:tcPr>
            <w:tcW w:w="178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6"/>
        </w:trPr>
        <w:tc>
          <w:tcPr>
            <w:tcW w:w="1780" w:type="dxa"/>
            <w:vAlign w:val="bottom"/>
          </w:tcPr>
          <w:p>
            <w:pPr>
              <w:ind w:left="20"/>
              <w:spacing w:after="0"/>
              <w:rPr>
                <w:sz w:val="20"/>
                <w:szCs w:val="20"/>
                <w:color w:val="auto"/>
              </w:rPr>
            </w:pPr>
            <w:r>
              <w:rPr>
                <w:rFonts w:ascii="Arial" w:cs="Arial" w:eastAsia="Arial" w:hAnsi="Arial"/>
                <w:sz w:val="16"/>
                <w:szCs w:val="16"/>
                <w:color w:val="auto"/>
              </w:rPr>
              <w:t>and contracts</w:t>
            </w:r>
          </w:p>
        </w:tc>
        <w:tc>
          <w:tcPr>
            <w:tcW w:w="16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198</w:t>
            </w:r>
          </w:p>
        </w:tc>
        <w:tc>
          <w:tcPr>
            <w:tcW w:w="260" w:type="dxa"/>
            <w:vAlign w:val="bottom"/>
          </w:tcPr>
          <w:p>
            <w:pPr>
              <w:spacing w:after="0"/>
              <w:rPr>
                <w:sz w:val="17"/>
                <w:szCs w:val="17"/>
                <w:color w:val="auto"/>
              </w:rPr>
            </w:pPr>
          </w:p>
        </w:tc>
        <w:tc>
          <w:tcPr>
            <w:tcW w:w="1200" w:type="dxa"/>
            <w:vAlign w:val="bottom"/>
          </w:tcPr>
          <w:p>
            <w:pPr>
              <w:jc w:val="right"/>
              <w:ind w:right="41"/>
              <w:spacing w:after="0"/>
              <w:rPr>
                <w:sz w:val="20"/>
                <w:szCs w:val="20"/>
                <w:color w:val="auto"/>
              </w:rPr>
            </w:pPr>
            <w:r>
              <w:rPr>
                <w:rFonts w:ascii="Arial" w:cs="Arial" w:eastAsia="Arial" w:hAnsi="Arial"/>
                <w:sz w:val="16"/>
                <w:szCs w:val="16"/>
                <w:color w:val="auto"/>
              </w:rPr>
              <w:t>(139)</w:t>
            </w:r>
          </w:p>
        </w:tc>
        <w:tc>
          <w:tcPr>
            <w:tcW w:w="18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205</w:t>
            </w:r>
          </w:p>
        </w:tc>
        <w:tc>
          <w:tcPr>
            <w:tcW w:w="260" w:type="dxa"/>
            <w:vAlign w:val="bottom"/>
          </w:tcPr>
          <w:p>
            <w:pPr>
              <w:spacing w:after="0"/>
              <w:rPr>
                <w:sz w:val="17"/>
                <w:szCs w:val="17"/>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(122)</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78</w:t>
            </w:r>
          </w:p>
        </w:tc>
      </w:tr>
      <w:tr>
        <w:trPr>
          <w:trHeight w:val="33"/>
        </w:trPr>
        <w:tc>
          <w:tcPr>
            <w:tcW w:w="1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88</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85</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(38)</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w:t>
            </w:r>
          </w:p>
        </w:tc>
      </w:tr>
      <w:tr>
        <w:trPr>
          <w:trHeight w:val="231"/>
        </w:trPr>
        <w:tc>
          <w:tcPr>
            <w:tcW w:w="17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1,139</w:t>
            </w:r>
          </w:p>
        </w:tc>
        <w:tc>
          <w:tcPr>
            <w:tcW w:w="26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(783)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356</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1,184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(733)</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440</w:t>
            </w:r>
          </w:p>
        </w:tc>
      </w:tr>
      <w:tr>
        <w:trPr>
          <w:trHeight w:val="33"/>
        </w:trPr>
        <w:tc>
          <w:tcPr>
            <w:tcW w:w="17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1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Additions to intangible assets were $26 million and $5 million for the years ended December 31, 2015 and 2014, respectively. During 2014 we recognized impairment charges to indefinite lived trademarks, as well as other intangible asset impairments primarily related to our Land Drilling Rigs business.</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Amortization expense was $88 million, $108 million and $120 million for the years ended December 31, 2015, 2014 and 2013, respectively. Future estimated amortization expense for the carrying amount of intangible assets as of December 31, 2015 is expected to be as follows (dollars in millions):</w:t>
      </w:r>
    </w:p>
    <w:p>
      <w:pPr>
        <w:spacing w:after="0" w:line="89" w:lineRule="exact"/>
        <w:rPr>
          <w:sz w:val="20"/>
          <w:szCs w:val="20"/>
          <w:color w:val="auto"/>
        </w:rPr>
      </w:pPr>
    </w:p>
    <w:tbl>
      <w:tblPr>
        <w:tblLayout w:type="fixed"/>
        <w:tblInd w:w="2660" w:type="dxa"/>
        <w:tblCellMar>
          <w:top w:w="0" w:type="dxa"/>
          <w:left w:w="0" w:type="dxa"/>
          <w:bottom w:w="0" w:type="dxa"/>
          <w:right w:w="0" w:type="dxa"/>
        </w:tblCellMar>
      </w:tblPr>
      <w:tr>
        <w:trPr>
          <w:trHeight w:val="234"/>
        </w:trPr>
        <w:tc>
          <w:tcPr>
            <w:tcW w:w="176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3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r>
      <w:tr>
        <w:trPr>
          <w:trHeight w:val="27"/>
        </w:trPr>
        <w:tc>
          <w:tcPr>
            <w:tcW w:w="17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31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1760" w:type="dxa"/>
            <w:vAlign w:val="bottom"/>
          </w:tcPr>
          <w:p>
            <w:pPr>
              <w:ind w:left="20"/>
              <w:spacing w:after="0"/>
              <w:rPr>
                <w:sz w:val="20"/>
                <w:szCs w:val="20"/>
                <w:color w:val="auto"/>
              </w:rPr>
            </w:pPr>
            <w:r>
              <w:rPr>
                <w:rFonts w:ascii="Arial" w:cs="Arial" w:eastAsia="Arial" w:hAnsi="Arial"/>
                <w:sz w:val="18"/>
                <w:szCs w:val="18"/>
                <w:color w:val="auto"/>
              </w:rPr>
              <w:t>2017</w:t>
            </w:r>
          </w:p>
        </w:tc>
        <w:tc>
          <w:tcPr>
            <w:tcW w:w="3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17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1760" w:type="dxa"/>
            <w:vAlign w:val="bottom"/>
          </w:tcPr>
          <w:p>
            <w:pPr>
              <w:ind w:left="20"/>
              <w:spacing w:after="0"/>
              <w:rPr>
                <w:sz w:val="20"/>
                <w:szCs w:val="20"/>
                <w:color w:val="auto"/>
              </w:rPr>
            </w:pPr>
            <w:r>
              <w:rPr>
                <w:rFonts w:ascii="Arial" w:cs="Arial" w:eastAsia="Arial" w:hAnsi="Arial"/>
                <w:sz w:val="18"/>
                <w:szCs w:val="18"/>
                <w:color w:val="auto"/>
              </w:rPr>
              <w:t>2019</w:t>
            </w:r>
          </w:p>
        </w:tc>
        <w:tc>
          <w:tcPr>
            <w:tcW w:w="3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176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675"/>
        </w:trPr>
        <w:tc>
          <w:tcPr>
            <w:tcW w:w="1760" w:type="dxa"/>
            <w:vAlign w:val="bottom"/>
          </w:tcPr>
          <w:p>
            <w:pPr>
              <w:spacing w:after="0"/>
              <w:rPr>
                <w:sz w:val="24"/>
                <w:szCs w:val="24"/>
                <w:color w:val="auto"/>
              </w:rPr>
            </w:pPr>
          </w:p>
        </w:tc>
        <w:tc>
          <w:tcPr>
            <w:tcW w:w="3160" w:type="dxa"/>
            <w:vAlign w:val="bottom"/>
          </w:tcPr>
          <w:p>
            <w:pPr>
              <w:jc w:val="right"/>
              <w:ind w:right="1690"/>
              <w:spacing w:after="0"/>
              <w:rPr>
                <w:sz w:val="20"/>
                <w:szCs w:val="20"/>
                <w:color w:val="auto"/>
              </w:rPr>
            </w:pPr>
            <w:r>
              <w:rPr>
                <w:rFonts w:ascii="Arial" w:cs="Arial" w:eastAsia="Arial" w:hAnsi="Arial"/>
                <w:sz w:val="18"/>
                <w:szCs w:val="18"/>
                <w:color w:val="auto"/>
              </w:rPr>
              <w:t>67</w:t>
            </w:r>
          </w:p>
        </w:tc>
        <w:tc>
          <w:tcPr>
            <w:tcW w:w="120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Investments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equity investments in unconsolidated affiliates were $76 million and $106 million for the years ended December 31, 2015 and 2014, respectively. Equity in earnings of unconsolidated affiliates for the years ended December 31, 2015, 2014 and 2013 totaled $3 million, $9 million and $37 million, respectively.</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2015, we prepared analyses to determine the fair value of our equity investments in less than majority owned entities. Upon completion of these valuations, we determined that the fair value attributable to certain equity investments were significantly below its carrying value. We assessed this decline in value as other than temporary and recognized an impairment loss of $25 million. See “Note 14 – Fair Value of Financial Instruments, Assets and Equity Investments” for additional information regarding the fair value determination.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2014, we sold our interests in Proserv, resulting in a gain on the sale of $65 million. In 2013, we sold our interest in Borets resulting in a gain on the sale of $18 million (see “Note 2 – Business Combinations and Divestitures”).</w:t>
      </w:r>
    </w:p>
    <w:p>
      <w:pPr>
        <w:spacing w:after="0" w:line="166"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 and Current Portion of Long-term Debt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Our short-term borrowings and current portion of long-term debt consists of the followings:</w:t>
      </w:r>
    </w:p>
    <w:p>
      <w:pPr>
        <w:spacing w:after="0" w:line="167" w:lineRule="exact"/>
        <w:rPr>
          <w:sz w:val="20"/>
          <w:szCs w:val="20"/>
          <w:color w:val="auto"/>
        </w:rPr>
      </w:pPr>
    </w:p>
    <w:p>
      <w:pPr>
        <w:ind w:left="95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34290</wp:posOffset>
            </wp:positionV>
            <wp:extent cx="17665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0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r>
      <w:tr>
        <w:trPr>
          <w:trHeight w:val="27"/>
        </w:trPr>
        <w:tc>
          <w:tcPr>
            <w:tcW w:w="8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 program</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245</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30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967</w:t>
            </w:r>
          </w:p>
        </w:tc>
        <w:tc>
          <w:tcPr>
            <w:tcW w:w="3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364-day term loan facility</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175</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Other short-term bank loans</w:t>
            </w:r>
          </w:p>
        </w:tc>
        <w:tc>
          <w:tcPr>
            <w:tcW w:w="30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214</w:t>
            </w:r>
          </w:p>
        </w:tc>
        <w:tc>
          <w:tcPr>
            <w:tcW w:w="3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257</w:t>
            </w:r>
          </w:p>
        </w:tc>
      </w:tr>
      <w:tr>
        <w:trPr>
          <w:trHeight w:val="27"/>
        </w:trPr>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short-term borrowings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1,181</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677</w:t>
            </w:r>
          </w:p>
        </w:tc>
      </w:tr>
      <w:tr>
        <w:trPr>
          <w:trHeight w:val="243"/>
        </w:trPr>
        <w:tc>
          <w:tcPr>
            <w:tcW w:w="8640" w:type="dxa"/>
            <w:vAlign w:val="bottom"/>
          </w:tcPr>
          <w:p>
            <w:pPr>
              <w:ind w:left="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401</w:t>
            </w:r>
          </w:p>
        </w:tc>
        <w:tc>
          <w:tcPr>
            <w:tcW w:w="3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50</w:t>
            </w:r>
          </w:p>
        </w:tc>
      </w:tr>
      <w:tr>
        <w:trPr>
          <w:trHeight w:val="27"/>
        </w:trPr>
        <w:tc>
          <w:tcPr>
            <w:tcW w:w="8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1,582</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727</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8640" w:type="dxa"/>
            <w:vAlign w:val="bottom"/>
          </w:tcPr>
          <w:p>
            <w:pPr>
              <w:ind w:left="40"/>
              <w:spacing w:after="0"/>
              <w:rPr>
                <w:sz w:val="20"/>
                <w:szCs w:val="20"/>
                <w:color w:val="auto"/>
              </w:rPr>
            </w:pPr>
            <w:r>
              <w:rPr>
                <w:rFonts w:ascii="Arial" w:cs="Arial" w:eastAsia="Arial" w:hAnsi="Arial"/>
                <w:sz w:val="18"/>
                <w:szCs w:val="18"/>
                <w:color w:val="auto"/>
              </w:rPr>
              <w:t>Weighted average interest rate on short-term borrowings outstanding at end of year</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At December 31, 2015, we had a $2.25 billion unsecured, revolving credit agreement (the “Credit Agreement”) that matures on July 13, 2017. The Credit Agreement can be used for a combination of borrowings, including support for our former commercial paper program and issuances of letters of credit. This agreement required that we maintain a debt-to-total capitalization ratio of less than 60%, and we were in compliance with this covenant at December 31, 2015. On February 1, 2016, we amended our Credit Agreement and reduced borrowing limit to $2 billion. The amended Credit Agreement requires that we maintain a debt-to-total capitalization ratio of less than 70% for the quarters ending March 31 and June 30, 2016, and 60% thereafter.</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2015, we had $1.3 billion available under the Credit Agreement. There were $16 million in outstanding letters of credit in addition to borrowings under the Credit Agreement.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364-Day Term Loan Facility</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9, 2015, we repaid the remaining $175 million balance of our $400 million, 364-day term loan facility with a syndicate of banks. Previously in 2014, proceeds from this 364-day term loan facility were used to refinance our prior 364-day term loan facility and had substantially similar terms and conditions to our prior 364-day term loan facility.</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December 31, 2015, we had $214 million in short-term borrowings under these arrangements, including $180 million borrowed under a credit agreement entered into in March 2014 that matures on March 20, 2016 (with respect to $150 million) and June 20, 2016 (with respect to the remaining $30 million), with a LIBOR-based weighted average interest rate of 1.95% as of December 31,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39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2015. In addition, at December 31, 2015, we had $626 million of letters of credit under various uncommitted facilities and $149 million of surety bonds, primarily performance bonds, issued by financial sureties against an indemnification from us.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 of our short-term borrowings approximates their fair value as of December 31, 2015. The current portion of long-term debt at December 31, 2015, is primarily related to our 5.5% senior notes maturing February 2016 and our capital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Long-term Debt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issued various senior notes, all of which rank equally with our existing and future senior unsecured indebtedness, which have semi-annual interest payments and no sinking fund requirements. Our Long-term Debt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80" w:type="dxa"/>
            <w:vAlign w:val="bottom"/>
            <w:gridSpan w:val="3"/>
          </w:tcPr>
          <w:p>
            <w:pPr>
              <w:ind w:left="94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spacing w:after="0"/>
              <w:rPr>
                <w:sz w:val="20"/>
                <w:szCs w:val="20"/>
                <w:color w:val="auto"/>
              </w:rPr>
            </w:pPr>
          </w:p>
        </w:tc>
      </w:tr>
      <w:tr>
        <w:trPr>
          <w:trHeight w:val="27"/>
        </w:trPr>
        <w:tc>
          <w:tcPr>
            <w:tcW w:w="18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2014</w:t>
            </w:r>
          </w:p>
        </w:tc>
      </w:tr>
      <w:tr>
        <w:trPr>
          <w:trHeight w:val="27"/>
        </w:trPr>
        <w:tc>
          <w:tcPr>
            <w:tcW w:w="188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5.50% Senior Notes due 2016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6.35% Senior Notes due 2017</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604</w:t>
            </w: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607</w:t>
            </w:r>
          </w:p>
        </w:tc>
      </w:tr>
      <w:tr>
        <w:trPr>
          <w:trHeight w:val="27"/>
        </w:trPr>
        <w:tc>
          <w:tcPr>
            <w:tcW w:w="18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6.00% Senior Notes due 2018</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9.625% Senior Notes due 2019</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1,014</w:t>
            </w: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1,018</w:t>
            </w:r>
          </w:p>
        </w:tc>
      </w:tr>
      <w:tr>
        <w:trPr>
          <w:trHeight w:val="27"/>
        </w:trPr>
        <w:tc>
          <w:tcPr>
            <w:tcW w:w="18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5.125% Senior Notes due 2020</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4.50% Senior Notes due 2022</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644</w:t>
            </w: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715</w:t>
            </w:r>
          </w:p>
        </w:tc>
      </w:tr>
      <w:tr>
        <w:trPr>
          <w:trHeight w:val="27"/>
        </w:trPr>
        <w:tc>
          <w:tcPr>
            <w:tcW w:w="18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6.50% Senior Notes due 2036</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6.80% Senior Notes due 2037</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w:t>
            </w: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298</w:t>
            </w:r>
          </w:p>
        </w:tc>
      </w:tr>
      <w:tr>
        <w:trPr>
          <w:trHeight w:val="27"/>
        </w:trPr>
        <w:tc>
          <w:tcPr>
            <w:tcW w:w="18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7.00% Senior Notes due 2038</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9.875% Senior Notes due 2039</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247</w:t>
            </w:r>
          </w:p>
        </w:tc>
      </w:tr>
      <w:tr>
        <w:trPr>
          <w:trHeight w:val="27"/>
        </w:trPr>
        <w:tc>
          <w:tcPr>
            <w:tcW w:w="18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6.75% Senior Notes due 2040</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596</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5.95% Senior Notes due 2042</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372</w:t>
            </w: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478</w:t>
            </w:r>
          </w:p>
        </w:tc>
      </w:tr>
      <w:tr>
        <w:trPr>
          <w:trHeight w:val="27"/>
        </w:trPr>
        <w:tc>
          <w:tcPr>
            <w:tcW w:w="18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4.82% secured borrowing</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Capital and other lease obligations</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w:t>
            </w: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18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Total Senior Notes and other debt</w:t>
            </w:r>
          </w:p>
        </w:tc>
        <w:tc>
          <w:tcPr>
            <w:tcW w:w="3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6,280</w:t>
            </w:r>
          </w:p>
        </w:tc>
        <w:tc>
          <w:tcPr>
            <w:tcW w:w="3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6,848</w:t>
            </w:r>
          </w:p>
        </w:tc>
      </w:tr>
      <w:tr>
        <w:trPr>
          <w:trHeight w:val="27"/>
        </w:trPr>
        <w:tc>
          <w:tcPr>
            <w:tcW w:w="18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amounts due in one year</w:t>
            </w:r>
          </w:p>
        </w:tc>
        <w:tc>
          <w:tcPr>
            <w:tcW w:w="3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3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57"/>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5,879</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6,798</w:t>
            </w:r>
          </w:p>
        </w:tc>
      </w:tr>
      <w:tr>
        <w:trPr>
          <w:trHeight w:val="20"/>
        </w:trPr>
        <w:tc>
          <w:tcPr>
            <w:tcW w:w="188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19"/>
        </w:trPr>
        <w:tc>
          <w:tcPr>
            <w:tcW w:w="7860" w:type="dxa"/>
            <w:vAlign w:val="bottom"/>
            <w:gridSpan w:val="4"/>
          </w:tcPr>
          <w:p>
            <w:pPr>
              <w:ind w:left="340"/>
              <w:spacing w:after="0"/>
              <w:rPr>
                <w:sz w:val="20"/>
                <w:szCs w:val="20"/>
                <w:color w:val="auto"/>
              </w:rPr>
            </w:pPr>
            <w:r>
              <w:rPr>
                <w:rFonts w:ascii="Arial" w:cs="Arial" w:eastAsia="Arial" w:hAnsi="Arial"/>
                <w:sz w:val="18"/>
                <w:szCs w:val="18"/>
                <w:color w:val="auto"/>
                <w:w w:val="98"/>
              </w:rPr>
              <w:t>The following is a summary of scheduled Long-term Debt maturities by year (dollars in millions):</w:t>
            </w: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89"/>
        </w:trPr>
        <w:tc>
          <w:tcPr>
            <w:tcW w:w="720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188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401</w:t>
            </w: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7200" w:type="dxa"/>
            <w:vAlign w:val="bottom"/>
            <w:gridSpan w:val="2"/>
          </w:tcPr>
          <w:p>
            <w:pPr>
              <w:ind w:left="1900"/>
              <w:spacing w:after="0"/>
              <w:rPr>
                <w:sz w:val="20"/>
                <w:szCs w:val="20"/>
                <w:color w:val="auto"/>
              </w:rPr>
            </w:pPr>
            <w:r>
              <w:rPr>
                <w:rFonts w:ascii="Arial" w:cs="Arial" w:eastAsia="Arial" w:hAnsi="Arial"/>
                <w:sz w:val="18"/>
                <w:szCs w:val="18"/>
                <w:color w:val="auto"/>
              </w:rPr>
              <w:t>2017</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630</w:t>
            </w: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88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514</w:t>
            </w: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7200" w:type="dxa"/>
            <w:vAlign w:val="bottom"/>
            <w:gridSpan w:val="2"/>
          </w:tcPr>
          <w:p>
            <w:pPr>
              <w:ind w:left="190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1,005</w:t>
            </w: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88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812</w:t>
            </w: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188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2,918</w:t>
            </w:r>
          </w:p>
        </w:tc>
        <w:tc>
          <w:tcPr>
            <w:tcW w:w="4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188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69"/>
        </w:trPr>
        <w:tc>
          <w:tcPr>
            <w:tcW w:w="1880" w:type="dxa"/>
            <w:vAlign w:val="bottom"/>
          </w:tcPr>
          <w:p>
            <w:pPr>
              <w:spacing w:after="0"/>
              <w:rPr>
                <w:sz w:val="22"/>
                <w:szCs w:val="22"/>
                <w:color w:val="auto"/>
              </w:rPr>
            </w:pPr>
          </w:p>
        </w:tc>
        <w:tc>
          <w:tcPr>
            <w:tcW w:w="53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48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0"/>
        </w:trPr>
        <w:tc>
          <w:tcPr>
            <w:tcW w:w="188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2015, through a series of open market transactions, we repurchased certain of our 4.5% senior notes, 5.125% senior notes, 5.95% senior notes, 6.5% senior notes, 6.75% senior notes, 6.80% senior notes and 7.00% senior notes with a total book value of $527 million. We recognized a cumulative gain of approximately $84 million on these transactions in the line captioned “Other, Net” on the accompanying Consolidated Statements of Operations.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December 2014, through a series of open market transactions, we repurchased certain of our 4.5% senior notes, 5.95% senior notes and 6.5% senior notes with an aggregate book value of $138 million and recognized a gain of approximately $11 million in the line captioned “Other, Net” on the accompanying Consolidated Statements of Operations.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39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right="5900" w:hanging="332"/>
        <w:spacing w:after="0" w:line="566" w:lineRule="auto"/>
        <w:tabs>
          <w:tab w:leader="none" w:pos="331"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Fair Value of Financial Instruments, Assets and Equity Investments </w:t>
      </w:r>
      <w:r>
        <w:rPr>
          <w:rFonts w:ascii="Arial" w:cs="Arial" w:eastAsia="Arial" w:hAnsi="Arial"/>
          <w:sz w:val="16"/>
          <w:szCs w:val="16"/>
          <w:b w:val="1"/>
          <w:bCs w:val="1"/>
          <w:i w:val="1"/>
          <w:iCs w:val="1"/>
          <w:color w:val="auto"/>
        </w:rPr>
        <w:t>Financial Instruments Measured and Recognized at Fair Value</w:t>
      </w:r>
    </w:p>
    <w:p>
      <w:pPr>
        <w:spacing w:after="0" w:line="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contingent consideration discussed in “Note 2 – Business Combinations and Divestitures” and our derivative instruments discussed in “Note 15 – Derivative Instruments,” we had no assets or liabilities measured and recognized at fair value on a recurring basis at December 31, 2015 and 2014.</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cash and cash equivalents, accounts receivable, accounts payable, short-term borrowings and long-term debt. The carrying value of our cash and cash equivalents, accounts receivable, accounts payable, short-term borrowings approximates their fair value due to their short maturities. These short-term borrowings are classified as Level 2 in the fair value hierarchy.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 of our long-term debt fluctuates with changes in applicable interest rates among other factors. Fair value will generally exceed carrying value when the current market interest rate is lower than the interest rate at which the debt was originally issued and will generally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and carrying value of our senior notes were as follows:</w:t>
      </w:r>
    </w:p>
    <w:p>
      <w:pPr>
        <w:spacing w:after="0" w:line="167" w:lineRule="exact"/>
        <w:rPr>
          <w:sz w:val="20"/>
          <w:szCs w:val="20"/>
          <w:color w:val="auto"/>
        </w:rPr>
      </w:pPr>
    </w:p>
    <w:p>
      <w:pPr>
        <w:ind w:left="92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34290</wp:posOffset>
            </wp:positionV>
            <wp:extent cx="2101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72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476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37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5,095</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6,733</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37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6,126</w:t>
            </w:r>
          </w:p>
        </w:tc>
        <w:tc>
          <w:tcPr>
            <w:tcW w:w="4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6,660</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 on Impairments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2015, long-lived assets related to pressure pumping, drilling tools, wireline, and land drilling rigs were impaired and written down to their estimated fair values. The level 3 fair values of the long-lived assets were determined using a combination of the income approach, the cost approach and the market approach, which used inputs that included replacement costs (unobservable), physical deterioration estimates (unobservable), projections of estimated future operating cash flows (unobservable), discount rates for the applicable assets and market sales data for comparable assets. Also during 2015, an equity method investment was impaired and written down to its fair value. The equity investment level 3 fair value was determined using an income based approach utilizing estimates of future cash flow, discount rate, long-term growth rate, and marketability discount, all of which were unobservable.</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second quarter of 2014, long-lived assets in the rig operations in Russia and Venezuela and goodwill for the Russia reporting unit were impaired and written down to their estimated fair values. The level 3 fair value of the long-lived assets in the rig operations was determined using the market approach that considered the estimated sales price of those businesses. The goodwill level 3 fair value was determined using a combination of the income and market approaches with observable inputs that consisted of earnings multiples and unobservable inputs that included estimates of future cash flows, discount rate, long-term growth rate, and control premiums. During the fourth quarter of 2015, we impaired to the fair values of certain land drilling rigs and related intangible assets, The level 3 fair values were determined using an income approach that considered the remaining estimated cash flows of the associated assets, which were unobservable.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39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interest rate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light of events in the global credit markets and the potential impact of these events on the liquidity of the banking industry, we continue to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 Level 2 values for financial assets and liabilities are based on quoted prices in inactive markets, or whose values are based on models. Level 2 inputs to those models are observable either directly or indirectly for substantially the full term of the asset or liability.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the fixed-rate debt. The interest rate swap is recorded at fair value with changes in fair value recorded in earnings. The carrying value of fixed-rate debt is also adjusted for changes in interest rates, with the changes in value recorded in earnings. After termination of the hedge, any discount or premium on the fixed-rate debt is amortized to interest expense over the remaining term of the debt.</w:t>
      </w:r>
    </w:p>
    <w:p>
      <w:pPr>
        <w:spacing w:after="0" w:line="187"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7"/>
          <w:szCs w:val="17"/>
          <w:color w:val="auto"/>
        </w:rPr>
        <w:t>As of December 31, 2015 and 2014, we had net unamortized premiums on fixed-rate debt of $23 million and $33 million, respectively, associated with fair value hedge swap terminations. These premiums are being amortized over the remaining term of the originally hedged debt as a reduction of interest expense which are included in the line captioned “Interest Expense, Net” on the accompanying Consolidated Statements of Operations.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Income (Loss) to interest expense over the remaining term of the debt. As of December 31, 2015 and 2014, we had net unamortized losses of $10 million and $11 million, respectively, associated with our cash flow hedge terminations.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Derivative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December 31, 2015 and 2014, we had outstanding foreign currency forward contracts with total notional amounts aggregating $1.7 billion and $1.6 billion,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are calculated by reference to the notional amounts and by other terms of the derivative contracts, such as exchange rates.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foreign currency forward contracts and cross-currency swaps are not designated as hedges, and the changes in fair value of the contracts are recorded in current earnings each period in the line captioned “Other, Net” on the accompanying Consolidated Statements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39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estimated fair values of these foreign currency forward contracts and amounts receivable or owed associated with closed foreign currency contracts and the total estimated fair value of our cross-currency contracts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22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December 31,</w:t>
            </w:r>
          </w:p>
        </w:tc>
        <w:tc>
          <w:tcPr>
            <w:tcW w:w="4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2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2015</w:t>
            </w: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3060" w:type="dxa"/>
            <w:vAlign w:val="bottom"/>
          </w:tcPr>
          <w:p>
            <w:pPr>
              <w:ind w:left="1020"/>
              <w:spacing w:after="0"/>
              <w:rPr>
                <w:sz w:val="20"/>
                <w:szCs w:val="20"/>
                <w:color w:val="auto"/>
              </w:rPr>
            </w:pPr>
            <w:r>
              <w:rPr>
                <w:rFonts w:ascii="Arial" w:cs="Arial" w:eastAsia="Arial" w:hAnsi="Arial"/>
                <w:sz w:val="18"/>
                <w:szCs w:val="18"/>
                <w:b w:val="1"/>
                <w:bCs w:val="1"/>
                <w:color w:val="auto"/>
              </w:rPr>
              <w:t>Classifications</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Foreign currency forward contracts</w:t>
            </w:r>
          </w:p>
        </w:tc>
        <w:tc>
          <w:tcPr>
            <w:tcW w:w="860" w:type="dxa"/>
            <w:vAlign w:val="bottom"/>
          </w:tcPr>
          <w:p>
            <w:pPr>
              <w:jc w:val="right"/>
              <w:ind w:right="65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9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3060" w:type="dxa"/>
            <w:vAlign w:val="bottom"/>
          </w:tcPr>
          <w:p>
            <w:pPr>
              <w:ind w:left="120"/>
              <w:spacing w:after="0"/>
              <w:rPr>
                <w:sz w:val="20"/>
                <w:szCs w:val="20"/>
                <w:color w:val="auto"/>
              </w:rPr>
            </w:pPr>
            <w:r>
              <w:rPr>
                <w:rFonts w:ascii="Arial" w:cs="Arial" w:eastAsia="Arial" w:hAnsi="Arial"/>
                <w:sz w:val="18"/>
                <w:szCs w:val="18"/>
                <w:i w:val="1"/>
                <w:iCs w:val="1"/>
                <w:color w:val="auto"/>
              </w:rPr>
              <w:t>Other Current Assets</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7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3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i w:val="1"/>
                <w:iCs w:val="1"/>
                <w:color w:val="auto"/>
              </w:rPr>
              <w:t>Other Current Liabilities</w:t>
            </w:r>
          </w:p>
        </w:tc>
        <w:tc>
          <w:tcPr>
            <w:tcW w:w="0" w:type="dxa"/>
            <w:vAlign w:val="bottom"/>
          </w:tcPr>
          <w:p>
            <w:pPr>
              <w:spacing w:after="0"/>
              <w:rPr>
                <w:sz w:val="1"/>
                <w:szCs w:val="1"/>
                <w:color w:val="auto"/>
              </w:rPr>
            </w:pPr>
          </w:p>
        </w:tc>
      </w:tr>
      <w:tr>
        <w:trPr>
          <w:trHeight w:val="243"/>
        </w:trPr>
        <w:tc>
          <w:tcPr>
            <w:tcW w:w="5720" w:type="dxa"/>
            <w:vAlign w:val="bottom"/>
          </w:tcPr>
          <w:p>
            <w:pPr>
              <w:ind w:left="180"/>
              <w:spacing w:after="0"/>
              <w:rPr>
                <w:sz w:val="20"/>
                <w:szCs w:val="20"/>
                <w:color w:val="auto"/>
              </w:rPr>
            </w:pPr>
            <w:r>
              <w:rPr>
                <w:rFonts w:ascii="Arial" w:cs="Arial" w:eastAsia="Arial" w:hAnsi="Arial"/>
                <w:sz w:val="18"/>
                <w:szCs w:val="18"/>
                <w:color w:val="auto"/>
              </w:rPr>
              <w:t>Cross-currency swap contracts</w:t>
            </w:r>
          </w:p>
        </w:tc>
        <w:tc>
          <w:tcPr>
            <w:tcW w:w="860" w:type="dxa"/>
            <w:vAlign w:val="bottom"/>
          </w:tcPr>
          <w:p>
            <w:pPr>
              <w:spacing w:after="0"/>
              <w:rPr>
                <w:sz w:val="21"/>
                <w:szCs w:val="21"/>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3060" w:type="dxa"/>
            <w:vAlign w:val="bottom"/>
          </w:tcPr>
          <w:p>
            <w:pPr>
              <w:ind w:left="120"/>
              <w:spacing w:after="0"/>
              <w:rPr>
                <w:sz w:val="20"/>
                <w:szCs w:val="20"/>
                <w:color w:val="auto"/>
              </w:rPr>
            </w:pPr>
            <w:r>
              <w:rPr>
                <w:rFonts w:ascii="Arial" w:cs="Arial" w:eastAsia="Arial" w:hAnsi="Arial"/>
                <w:sz w:val="18"/>
                <w:szCs w:val="18"/>
                <w:i w:val="1"/>
                <w:iCs w:val="1"/>
                <w:color w:val="auto"/>
              </w:rPr>
              <w:t>Other Liabilities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of derivative instruments’ gain or (loss) on the Consolidated Statements of Operations is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349250</wp:posOffset>
            </wp:positionV>
            <wp:extent cx="25298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700" w:type="dxa"/>
            <w:vAlign w:val="bottom"/>
          </w:tcPr>
          <w:p>
            <w:pPr>
              <w:ind w:left="38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5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i w:val="1"/>
                <w:iCs w:val="1"/>
                <w:color w:val="auto"/>
              </w:rPr>
              <w:t>Other, Net</w:t>
            </w: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Cross-currency swap contracts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700" w:type="dxa"/>
            <w:vAlign w:val="bottom"/>
          </w:tcPr>
          <w:p>
            <w:pPr>
              <w:ind w:left="140"/>
              <w:spacing w:after="0"/>
              <w:rPr>
                <w:sz w:val="20"/>
                <w:szCs w:val="20"/>
                <w:color w:val="auto"/>
              </w:rPr>
            </w:pPr>
            <w:r>
              <w:rPr>
                <w:rFonts w:ascii="Arial" w:cs="Arial" w:eastAsia="Arial" w:hAnsi="Arial"/>
                <w:sz w:val="18"/>
                <w:szCs w:val="18"/>
                <w:i w:val="1"/>
                <w:iCs w:val="1"/>
                <w:color w:val="auto"/>
              </w:rPr>
              <w:t>Other, Net</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Shareholders’ Equity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our Issued and Treasury shares during the years ended December 31, 2015, 2014 and 2013,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(Shares in millions)</w:t>
            </w:r>
          </w:p>
        </w:tc>
        <w:tc>
          <w:tcPr>
            <w:tcW w:w="1600" w:type="dxa"/>
            <w:vAlign w:val="bottom"/>
            <w:gridSpan w:val="2"/>
          </w:tcPr>
          <w:p>
            <w:pPr>
              <w:ind w:left="500"/>
              <w:spacing w:after="0"/>
              <w:rPr>
                <w:sz w:val="20"/>
                <w:szCs w:val="20"/>
                <w:color w:val="auto"/>
              </w:rPr>
            </w:pPr>
            <w:r>
              <w:rPr>
                <w:rFonts w:ascii="Arial" w:cs="Arial" w:eastAsia="Arial" w:hAnsi="Arial"/>
                <w:sz w:val="18"/>
                <w:szCs w:val="18"/>
                <w:b w:val="1"/>
                <w:bCs w:val="1"/>
                <w:color w:val="auto"/>
              </w:rPr>
              <w:t>Issued</w:t>
            </w:r>
          </w:p>
        </w:tc>
        <w:tc>
          <w:tcPr>
            <w:tcW w:w="1480" w:type="dxa"/>
            <w:vAlign w:val="bottom"/>
          </w:tcPr>
          <w:p>
            <w:pPr>
              <w:jc w:val="right"/>
              <w:ind w:right="290"/>
              <w:spacing w:after="0"/>
              <w:rPr>
                <w:sz w:val="20"/>
                <w:szCs w:val="20"/>
                <w:color w:val="auto"/>
              </w:rPr>
            </w:pPr>
            <w:r>
              <w:rPr>
                <w:rFonts w:ascii="Arial" w:cs="Arial" w:eastAsia="Arial" w:hAnsi="Arial"/>
                <w:sz w:val="18"/>
                <w:szCs w:val="18"/>
                <w:b w:val="1"/>
                <w:bCs w:val="1"/>
                <w:color w:val="auto"/>
              </w:rPr>
              <w:t>Treasury</w:t>
            </w:r>
          </w:p>
        </w:tc>
      </w:tr>
      <w:tr>
        <w:trPr>
          <w:trHeight w:val="27"/>
        </w:trPr>
        <w:tc>
          <w:tcPr>
            <w:tcW w:w="8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awards granted, vested and exercised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2013</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Change in Shares Associated with Redomestication</w:t>
            </w:r>
          </w:p>
        </w:tc>
        <w:tc>
          <w:tcPr>
            <w:tcW w:w="1500" w:type="dxa"/>
            <w:vAlign w:val="bottom"/>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Weatherford Ireland Shares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awards granted, vested and exercised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2014</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Equity awards granted, vested and exercised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On June 17, 2014, we completed the change in our place of incorporation from Switzerland to Ireland, whereby Weatherford Ireland became the new public holding company and the parent of the Weatherford group of companies, pursuant to which each registered share of Weatherford Switzerland was exchanged as consideration for the allotment of one ordinary share of Weatherford Ireland (excluding shares held by, or for the benefit of, Weatherford Switzerland or any of its subsidiaries). The Weatherford Switzerland shares were then cancelled. Weatherford Ireland issued ordinary shares with a par value of $0.001 per share. In conjunction with the redomestication, the shares held by our executive deferred compensation plan were sold and the remaining treasury shares were cancelled.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9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changes in our accumulated other comprehensive loss by component for the year ended December 31, 2015 and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Currency</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Translation</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Defined Benefit</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Deferred Loss on</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8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Adjustment</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Pension</w:t>
            </w:r>
          </w:p>
        </w:tc>
        <w:tc>
          <w:tcPr>
            <w:tcW w:w="14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Derivatives</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(784)</w:t>
            </w: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r>
      <w:tr>
        <w:trPr>
          <w:trHeight w:val="27"/>
        </w:trPr>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57"/>
        </w:trPr>
        <w:tc>
          <w:tcPr>
            <w:tcW w:w="4800" w:type="dxa"/>
            <w:vAlign w:val="bottom"/>
          </w:tcPr>
          <w:p>
            <w:pPr>
              <w:ind w:left="40"/>
              <w:spacing w:after="0"/>
              <w:rPr>
                <w:sz w:val="20"/>
                <w:szCs w:val="20"/>
                <w:color w:val="auto"/>
              </w:rPr>
            </w:pPr>
            <w:r>
              <w:rPr>
                <w:rFonts w:ascii="Arial" w:cs="Arial" w:eastAsia="Arial" w:hAnsi="Arial"/>
                <w:sz w:val="18"/>
                <w:szCs w:val="18"/>
                <w:color w:val="auto"/>
              </w:rPr>
              <w:t>Balance at December 31, 2015</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w:t>
            </w: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other comprehensive income before reclassifications from the defined benefit pension component of other comprehensive income for the year ended December 31, 2015 relates primarily to the conversion of one of our international pension plans from a defined benefit plan to a defined contribution plan. In addition, other comprehensive income reflects the reclassification of our deferred loss on derivatives related to the early redemption of our senior notes.</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reclassification from the currency translation adjustment component of other comprehensive income includes $90 million from the sale of our land drilling and workover rig operations in Russia and Venezuela and pipeline and specialty service businesses. This amount was recognized in the “Gain on Sale of Businesses and Investments, Net” line in our Consolidated Statements of Operations for the year ended December, 31 2014.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Basic earnings per share for all periods presented equals net income divided by the weighted average number of our shares outstanding during the period including participating securities. Diluted earnings per share is computed by dividing net income by the weighted average number of our shares outstanding during the period including participating securities, adjusted for the dilutive effect of our stock options, restricted shares and performance units.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discloses basic and diluted weighted average shares outstanding:</w:t>
      </w:r>
    </w:p>
    <w:p>
      <w:pPr>
        <w:spacing w:after="0" w:line="16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34290</wp:posOffset>
            </wp:positionV>
            <wp:extent cx="2023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1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(Shares in millions)</w:t>
            </w:r>
          </w:p>
        </w:tc>
        <w:tc>
          <w:tcPr>
            <w:tcW w:w="2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2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779</w:t>
            </w:r>
          </w:p>
        </w:tc>
        <w:tc>
          <w:tcPr>
            <w:tcW w:w="10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777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7"/>
        </w:trPr>
        <w:tc>
          <w:tcPr>
            <w:tcW w:w="516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basic and diluted weighted average shares outstanding for the years ended December 31, 2015, 2014 and 2013, are equivalent due to the net loss attributable to shareholders. Diluted weighted average shares outstanding for the years ended December 31, 2015, 2014 and 2013, exclude potential shares for stock options, restricted shares and performance units outstanding as we have net losses for those periods and their inclusion would be anti-dilutive. The following table discloses the number of anti-dilutive shares excluded:</w:t>
      </w:r>
    </w:p>
    <w:p>
      <w:pPr>
        <w:spacing w:after="0" w:line="129"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34290</wp:posOffset>
            </wp:positionV>
            <wp:extent cx="20237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5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3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(Shares in millions)</w:t>
            </w:r>
          </w:p>
        </w:tc>
        <w:tc>
          <w:tcPr>
            <w:tcW w:w="39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r>
      <w:tr>
        <w:trPr>
          <w:trHeight w:val="27"/>
        </w:trPr>
        <w:tc>
          <w:tcPr>
            <w:tcW w:w="33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Anti-dilutive potential shares</w:t>
            </w:r>
          </w:p>
        </w:tc>
        <w:tc>
          <w:tcPr>
            <w:tcW w:w="39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10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675"/>
        </w:trPr>
        <w:tc>
          <w:tcPr>
            <w:tcW w:w="3300" w:type="dxa"/>
            <w:vAlign w:val="bottom"/>
          </w:tcPr>
          <w:p>
            <w:pPr>
              <w:spacing w:after="0"/>
              <w:rPr>
                <w:sz w:val="24"/>
                <w:szCs w:val="24"/>
                <w:color w:val="auto"/>
              </w:rPr>
            </w:pPr>
          </w:p>
        </w:tc>
        <w:tc>
          <w:tcPr>
            <w:tcW w:w="3900" w:type="dxa"/>
            <w:vAlign w:val="bottom"/>
          </w:tcPr>
          <w:p>
            <w:pPr>
              <w:jc w:val="right"/>
              <w:ind w:right="2430"/>
              <w:spacing w:after="0"/>
              <w:rPr>
                <w:sz w:val="20"/>
                <w:szCs w:val="20"/>
                <w:color w:val="auto"/>
              </w:rPr>
            </w:pPr>
            <w:r>
              <w:rPr>
                <w:rFonts w:ascii="Arial" w:cs="Arial" w:eastAsia="Arial" w:hAnsi="Arial"/>
                <w:sz w:val="18"/>
                <w:szCs w:val="18"/>
                <w:color w:val="auto"/>
              </w:rPr>
              <w:t>73</w:t>
            </w: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Share-Based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Incentive Plans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incentive plans permit the grant of options, stock appreciation rights, RSAs, restricted share units (“RSUs”), performance share awards, performance unit awards (“PUs”), other share-based awards and cash-based awards to any employee, non-employee directors and other individual service providers or any affiliate. Compensation expense is recognized on a straight-line basis over the requisite service period for the separately vesting portion of each award.</w:t>
      </w:r>
    </w:p>
    <w:p>
      <w:pPr>
        <w:spacing w:after="0" w:line="14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provisions of each award vary based on the type of award granted and are determined by the Compensation Committee of our Board of Directors. Those awards, such as stock options that are based on a specific contractual term, will be granted with a term not to exceed 10 years. Upon grant of an RSA, the recipient has the rights of a shareholder, including but not limited to the right to vote such shares and the right to receive any dividends paid on such shares, but not the right to disposition prior to vesting. Recipients of RSU awards do not have the rights of a shareholder until such date as the shares are issued or transferred to the recipient. As of December 31, 2015, approximately 17 million shares were available for grant under our incentive plans.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recognized the following share-based compensation expense during each of the years ended December 31, 2015, 2014 and 2013:</w:t>
      </w:r>
    </w:p>
    <w:p>
      <w:pPr>
        <w:spacing w:after="0" w:line="22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0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3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47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3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r>
      <w:tr>
        <w:trPr>
          <w:trHeight w:val="243"/>
        </w:trPr>
        <w:tc>
          <w:tcPr>
            <w:tcW w:w="4720" w:type="dxa"/>
            <w:vAlign w:val="bottom"/>
          </w:tcPr>
          <w:p>
            <w:pPr>
              <w:ind w:left="40"/>
              <w:spacing w:after="0"/>
              <w:rPr>
                <w:sz w:val="20"/>
                <w:szCs w:val="20"/>
                <w:color w:val="auto"/>
              </w:rPr>
            </w:pPr>
            <w:r>
              <w:rPr>
                <w:rFonts w:ascii="Arial" w:cs="Arial" w:eastAsia="Arial" w:hAnsi="Arial"/>
                <w:sz w:val="18"/>
                <w:szCs w:val="18"/>
                <w:color w:val="auto"/>
              </w:rPr>
              <w:t>Related tax benefit</w:t>
            </w:r>
          </w:p>
        </w:tc>
        <w:tc>
          <w:tcPr>
            <w:tcW w:w="30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Stock options were granted with an exercise price equal to or greater than the fair market value of our shares as of the date of grant. We used the Black-Scholes option pricing model to determine the fair value of stock options awarded. The estimated fair value of our stock options was expensed over their vesting period, which was generally one to four years. There were no stock options granted during 2015, 2014 or 2013. The intrinsic value of stock options exercised during 2015, 2014 and 2013 was $15 million, $13 million and $12 million, respectively. We received cash proceeds of $26 million from the exercise of stock options during the year ended December 31, 2015. All options were fully vested.</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option activity for the year ended December 31, 2015, is presented below:</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w w:val="91"/>
              </w:rPr>
              <w:t>Weighted</w:t>
            </w: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Weighted</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Average</w:t>
            </w: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91"/>
              </w:rPr>
              <w:t>Average</w:t>
            </w:r>
          </w:p>
        </w:tc>
        <w:tc>
          <w:tcPr>
            <w:tcW w:w="32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Exercise</w:t>
            </w: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Remaining</w:t>
            </w:r>
          </w:p>
        </w:tc>
        <w:tc>
          <w:tcPr>
            <w:tcW w:w="320" w:type="dxa"/>
            <w:vAlign w:val="bottom"/>
          </w:tcPr>
          <w:p>
            <w:pPr>
              <w:spacing w:after="0"/>
              <w:rPr>
                <w:sz w:val="17"/>
                <w:szCs w:val="17"/>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380" w:type="dxa"/>
            <w:vAlign w:val="bottom"/>
          </w:tcPr>
          <w:p>
            <w:pPr>
              <w:spacing w:after="0"/>
              <w:rPr>
                <w:sz w:val="18"/>
                <w:szCs w:val="18"/>
                <w:color w:val="auto"/>
              </w:rPr>
            </w:pP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Options</w:t>
            </w:r>
          </w:p>
        </w:tc>
        <w:tc>
          <w:tcPr>
            <w:tcW w:w="500" w:type="dxa"/>
            <w:vAlign w:val="bottom"/>
          </w:tcPr>
          <w:p>
            <w:pPr>
              <w:spacing w:after="0"/>
              <w:rPr>
                <w:sz w:val="18"/>
                <w:szCs w:val="18"/>
                <w:color w:val="auto"/>
              </w:rPr>
            </w:pPr>
          </w:p>
        </w:tc>
        <w:tc>
          <w:tcPr>
            <w:tcW w:w="1040" w:type="dxa"/>
            <w:vAlign w:val="bottom"/>
          </w:tcPr>
          <w:p>
            <w:pPr>
              <w:jc w:val="center"/>
              <w:ind w:right="239"/>
              <w:spacing w:after="0"/>
              <w:rPr>
                <w:sz w:val="20"/>
                <w:szCs w:val="20"/>
                <w:color w:val="auto"/>
              </w:rPr>
            </w:pPr>
            <w:r>
              <w:rPr>
                <w:rFonts w:ascii="Arial" w:cs="Arial" w:eastAsia="Arial" w:hAnsi="Arial"/>
                <w:sz w:val="16"/>
                <w:szCs w:val="16"/>
                <w:b w:val="1"/>
                <w:bCs w:val="1"/>
                <w:color w:val="auto"/>
                <w:w w:val="91"/>
              </w:rPr>
              <w:t>Price</w:t>
            </w: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w w:val="97"/>
              </w:rPr>
              <w:t>Term</w:t>
            </w:r>
          </w:p>
        </w:tc>
        <w:tc>
          <w:tcPr>
            <w:tcW w:w="32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3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1500" w:type="dxa"/>
            <w:vAlign w:val="bottom"/>
          </w:tcPr>
          <w:p>
            <w:pPr>
              <w:jc w:val="right"/>
              <w:ind w:right="179"/>
              <w:spacing w:after="0"/>
              <w:rPr>
                <w:sz w:val="20"/>
                <w:szCs w:val="20"/>
                <w:color w:val="auto"/>
              </w:rPr>
            </w:pPr>
            <w:r>
              <w:rPr>
                <w:rFonts w:ascii="Arial" w:cs="Arial" w:eastAsia="Arial" w:hAnsi="Arial"/>
                <w:sz w:val="16"/>
                <w:szCs w:val="16"/>
                <w:b w:val="1"/>
                <w:bCs w:val="1"/>
                <w:i w:val="1"/>
                <w:iCs w:val="1"/>
                <w:color w:val="auto"/>
              </w:rPr>
              <w:t>(In thousands)</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i w:val="1"/>
                <w:iCs w:val="1"/>
                <w:color w:val="auto"/>
                <w:w w:val="88"/>
              </w:rPr>
              <w:t>(In thousands)</w:t>
            </w:r>
          </w:p>
        </w:tc>
      </w:tr>
      <w:tr>
        <w:trPr>
          <w:trHeight w:val="33"/>
        </w:trPr>
        <w:tc>
          <w:tcPr>
            <w:tcW w:w="5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at December 31, 2014</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6,643</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9.52</w:t>
            </w:r>
          </w:p>
        </w:tc>
        <w:tc>
          <w:tcPr>
            <w:tcW w:w="148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1.18 years</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23,500</w:t>
            </w: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spacing w:after="0"/>
              <w:rPr>
                <w:sz w:val="20"/>
                <w:szCs w:val="20"/>
                <w:color w:val="auto"/>
              </w:rPr>
            </w:pPr>
            <w:r>
              <w:rPr>
                <w:rFonts w:ascii="Arial" w:cs="Arial" w:eastAsia="Arial" w:hAnsi="Arial"/>
                <w:sz w:val="16"/>
                <w:szCs w:val="16"/>
                <w:color w:val="auto"/>
              </w:rPr>
              <w:t>(4,066)</w:t>
            </w:r>
          </w:p>
        </w:tc>
        <w:tc>
          <w:tcPr>
            <w:tcW w:w="50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6.35</w:t>
            </w: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Expired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9.56</w:t>
            </w:r>
          </w:p>
        </w:tc>
        <w:tc>
          <w:tcPr>
            <w:tcW w:w="14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r>
      <w:tr>
        <w:trPr>
          <w:trHeight w:val="28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Outstanding and Vested at December 31, 2015</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2,503</w:t>
            </w:r>
          </w:p>
        </w:tc>
        <w:tc>
          <w:tcPr>
            <w:tcW w:w="5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jc w:val="right"/>
              <w:ind w:right="179"/>
              <w:spacing w:after="0"/>
              <w:rPr>
                <w:sz w:val="20"/>
                <w:szCs w:val="20"/>
                <w:color w:val="auto"/>
              </w:rPr>
            </w:pPr>
            <w:r>
              <w:rPr>
                <w:rFonts w:ascii="Arial" w:cs="Arial" w:eastAsia="Arial" w:hAnsi="Arial"/>
                <w:sz w:val="16"/>
                <w:szCs w:val="16"/>
                <w:color w:val="auto"/>
              </w:rPr>
              <w:t>14.67</w:t>
            </w:r>
          </w:p>
        </w:tc>
        <w:tc>
          <w:tcPr>
            <w:tcW w:w="148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0.93 years</w:t>
            </w:r>
          </w:p>
        </w:tc>
        <w:tc>
          <w:tcPr>
            <w:tcW w:w="3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36</w:t>
            </w:r>
          </w:p>
        </w:tc>
      </w:tr>
      <w:tr>
        <w:trPr>
          <w:trHeight w:val="271"/>
        </w:trPr>
        <w:tc>
          <w:tcPr>
            <w:tcW w:w="53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Exercisable at December 31, 2015</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50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5.94</w:t>
            </w:r>
          </w:p>
        </w:tc>
        <w:tc>
          <w:tcPr>
            <w:tcW w:w="1480" w:type="dxa"/>
            <w:vAlign w:val="bottom"/>
          </w:tcPr>
          <w:p>
            <w:pPr>
              <w:ind w:left="620"/>
              <w:spacing w:after="0"/>
              <w:rPr>
                <w:sz w:val="20"/>
                <w:szCs w:val="20"/>
                <w:color w:val="auto"/>
              </w:rPr>
            </w:pPr>
            <w:r>
              <w:rPr>
                <w:rFonts w:ascii="Arial" w:cs="Arial" w:eastAsia="Arial" w:hAnsi="Arial"/>
                <w:sz w:val="16"/>
                <w:szCs w:val="16"/>
                <w:color w:val="auto"/>
              </w:rPr>
              <w:t>0.74 years</w:t>
            </w:r>
          </w:p>
        </w:tc>
        <w:tc>
          <w:tcPr>
            <w:tcW w:w="32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w:t>
            </w:r>
          </w:p>
        </w:tc>
      </w:tr>
    </w:tbl>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39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Share Awards and Restricted Share Units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RSAs and RSUs vest based on continued employment, generally over a two to five-year period. The fair value of RSAs and RSUs is determined based on the closing price of our shares on the date of grant. The total fair value, less assumed forfeitures, is expensed over the vesting period. The weighted-average grant date fair value of RSAs and RSUs granted during the years ended December 31, 2015, 2014 and 2013 was $11.94, $18.98 and $13.49, respectively. The total fair value of RSAs and RSUs vested during the years ended December 31, 2015, 2014 and 2013 was $37 million, $52 million and $61 million, respectively. As of December 31, 2015, there was $120 million of unrecognized compensation expense related to unvested RSAs and RSUs, which is expected to be recognized over a weighted average period of two years. A summary of RSA and RSU activity for the year ended December 31, 2015 is presented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center"/>
              <w:ind w:right="299"/>
              <w:spacing w:after="0"/>
              <w:rPr>
                <w:sz w:val="20"/>
                <w:szCs w:val="20"/>
                <w:color w:val="auto"/>
              </w:rPr>
            </w:pPr>
            <w:r>
              <w:rPr>
                <w:rFonts w:ascii="Arial" w:cs="Arial" w:eastAsia="Arial" w:hAnsi="Arial"/>
                <w:sz w:val="16"/>
                <w:szCs w:val="16"/>
                <w:b w:val="1"/>
                <w:bCs w:val="1"/>
                <w:color w:val="auto"/>
                <w:w w:val="91"/>
              </w:rPr>
              <w:t>Weighted</w:t>
            </w: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5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Average Grant</w:t>
            </w: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5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center"/>
              <w:ind w:right="319"/>
              <w:spacing w:after="0"/>
              <w:rPr>
                <w:sz w:val="20"/>
                <w:szCs w:val="20"/>
                <w:color w:val="auto"/>
              </w:rPr>
            </w:pPr>
            <w:r>
              <w:rPr>
                <w:rFonts w:ascii="Arial" w:cs="Arial" w:eastAsia="Arial" w:hAnsi="Arial"/>
                <w:sz w:val="16"/>
                <w:szCs w:val="16"/>
                <w:b w:val="1"/>
                <w:bCs w:val="1"/>
                <w:color w:val="auto"/>
                <w:w w:val="92"/>
              </w:rPr>
              <w:t>Date</w:t>
            </w: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5740" w:type="dxa"/>
            <w:vAlign w:val="bottom"/>
          </w:tcPr>
          <w:p>
            <w:pPr>
              <w:spacing w:after="0"/>
              <w:rPr>
                <w:sz w:val="18"/>
                <w:szCs w:val="18"/>
                <w:color w:val="auto"/>
              </w:rPr>
            </w:pPr>
          </w:p>
        </w:tc>
        <w:tc>
          <w:tcPr>
            <w:tcW w:w="1380" w:type="dxa"/>
            <w:vAlign w:val="bottom"/>
          </w:tcPr>
          <w:p>
            <w:pPr>
              <w:jc w:val="right"/>
              <w:ind w:right="459"/>
              <w:spacing w:after="0"/>
              <w:rPr>
                <w:sz w:val="20"/>
                <w:szCs w:val="20"/>
                <w:color w:val="auto"/>
              </w:rPr>
            </w:pPr>
            <w:r>
              <w:rPr>
                <w:rFonts w:ascii="Arial" w:cs="Arial" w:eastAsia="Arial" w:hAnsi="Arial"/>
                <w:sz w:val="16"/>
                <w:szCs w:val="16"/>
                <w:b w:val="1"/>
                <w:bCs w:val="1"/>
                <w:color w:val="auto"/>
              </w:rPr>
              <w:t>RSA</w:t>
            </w:r>
          </w:p>
        </w:tc>
        <w:tc>
          <w:tcPr>
            <w:tcW w:w="380" w:type="dxa"/>
            <w:vAlign w:val="bottom"/>
          </w:tcPr>
          <w:p>
            <w:pPr>
              <w:spacing w:after="0"/>
              <w:rPr>
                <w:sz w:val="18"/>
                <w:szCs w:val="18"/>
                <w:color w:val="auto"/>
              </w:rPr>
            </w:pPr>
          </w:p>
        </w:tc>
        <w:tc>
          <w:tcPr>
            <w:tcW w:w="1240" w:type="dxa"/>
            <w:vAlign w:val="bottom"/>
          </w:tcPr>
          <w:p>
            <w:pPr>
              <w:jc w:val="center"/>
              <w:ind w:right="319"/>
              <w:spacing w:after="0"/>
              <w:rPr>
                <w:sz w:val="20"/>
                <w:szCs w:val="20"/>
                <w:color w:val="auto"/>
              </w:rPr>
            </w:pPr>
            <w:r>
              <w:rPr>
                <w:rFonts w:ascii="Arial" w:cs="Arial" w:eastAsia="Arial" w:hAnsi="Arial"/>
                <w:sz w:val="16"/>
                <w:szCs w:val="16"/>
                <w:b w:val="1"/>
                <w:bCs w:val="1"/>
                <w:color w:val="auto"/>
                <w:w w:val="94"/>
              </w:rPr>
              <w:t>Fair Value</w:t>
            </w: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RSU</w:t>
            </w:r>
          </w:p>
        </w:tc>
        <w:tc>
          <w:tcPr>
            <w:tcW w:w="36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57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5740" w:type="dxa"/>
            <w:vAlign w:val="bottom"/>
          </w:tcPr>
          <w:p>
            <w:pPr>
              <w:spacing w:after="0"/>
              <w:rPr>
                <w:sz w:val="20"/>
                <w:szCs w:val="20"/>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(In thousands)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b w:val="1"/>
                <w:bCs w:val="1"/>
                <w:i w:val="1"/>
                <w:iCs w:val="1"/>
                <w:color w:val="auto"/>
              </w:rPr>
              <w:t>(In thousands)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5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December 31, 2014</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2,254</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15.31</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17.21</w:t>
            </w:r>
          </w:p>
        </w:tc>
      </w:tr>
      <w:tr>
        <w:trPr>
          <w:trHeight w:val="237"/>
        </w:trPr>
        <w:tc>
          <w:tcPr>
            <w:tcW w:w="5740" w:type="dxa"/>
            <w:vAlign w:val="bottom"/>
          </w:tcPr>
          <w:p>
            <w:pPr>
              <w:ind w:left="1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10,492</w:t>
            </w:r>
          </w:p>
        </w:tc>
        <w:tc>
          <w:tcPr>
            <w:tcW w:w="3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11.94</w:t>
            </w:r>
          </w:p>
        </w:tc>
      </w:tr>
      <w:tr>
        <w:trPr>
          <w:trHeight w:val="33"/>
        </w:trPr>
        <w:tc>
          <w:tcPr>
            <w:tcW w:w="5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15.12</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(1,981)</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16.53</w:t>
            </w:r>
          </w:p>
        </w:tc>
      </w:tr>
      <w:tr>
        <w:trPr>
          <w:trHeight w:val="237"/>
        </w:trPr>
        <w:tc>
          <w:tcPr>
            <w:tcW w:w="574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spacing w:after="0"/>
              <w:rPr>
                <w:sz w:val="20"/>
                <w:szCs w:val="20"/>
                <w:color w:val="auto"/>
              </w:rPr>
            </w:pPr>
            <w:r>
              <w:rPr>
                <w:rFonts w:ascii="Arial" w:cs="Arial" w:eastAsia="Arial" w:hAnsi="Arial"/>
                <w:sz w:val="16"/>
                <w:szCs w:val="16"/>
                <w:color w:val="auto"/>
              </w:rPr>
              <w:t>(272)</w:t>
            </w:r>
          </w:p>
        </w:tc>
        <w:tc>
          <w:tcPr>
            <w:tcW w:w="380" w:type="dxa"/>
            <w:vAlign w:val="bottom"/>
          </w:tcPr>
          <w:p>
            <w:pPr>
              <w:spacing w:after="0"/>
              <w:rPr>
                <w:sz w:val="20"/>
                <w:szCs w:val="20"/>
                <w:color w:val="auto"/>
              </w:rPr>
            </w:pPr>
          </w:p>
        </w:tc>
        <w:tc>
          <w:tcPr>
            <w:tcW w:w="1240" w:type="dxa"/>
            <w:vAlign w:val="bottom"/>
          </w:tcPr>
          <w:p>
            <w:pPr>
              <w:jc w:val="right"/>
              <w:ind w:right="279"/>
              <w:spacing w:after="0"/>
              <w:rPr>
                <w:sz w:val="20"/>
                <w:szCs w:val="20"/>
                <w:color w:val="auto"/>
              </w:rPr>
            </w:pPr>
            <w:r>
              <w:rPr>
                <w:rFonts w:ascii="Arial" w:cs="Arial" w:eastAsia="Arial" w:hAnsi="Arial"/>
                <w:sz w:val="16"/>
                <w:szCs w:val="16"/>
                <w:color w:val="auto"/>
              </w:rPr>
              <w:t>17.55</w:t>
            </w:r>
          </w:p>
        </w:tc>
        <w:tc>
          <w:tcPr>
            <w:tcW w:w="1340" w:type="dxa"/>
            <w:vAlign w:val="bottom"/>
          </w:tcPr>
          <w:p>
            <w:pPr>
              <w:jc w:val="right"/>
              <w:spacing w:after="0"/>
              <w:rPr>
                <w:sz w:val="20"/>
                <w:szCs w:val="20"/>
                <w:color w:val="auto"/>
              </w:rPr>
            </w:pPr>
            <w:r>
              <w:rPr>
                <w:rFonts w:ascii="Arial" w:cs="Arial" w:eastAsia="Arial" w:hAnsi="Arial"/>
                <w:sz w:val="16"/>
                <w:szCs w:val="16"/>
                <w:color w:val="auto"/>
              </w:rPr>
              <w:t>(847)</w:t>
            </w:r>
          </w:p>
        </w:tc>
        <w:tc>
          <w:tcPr>
            <w:tcW w:w="3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13.71</w:t>
            </w:r>
          </w:p>
        </w:tc>
      </w:tr>
      <w:tr>
        <w:trPr>
          <w:trHeight w:val="33"/>
        </w:trPr>
        <w:tc>
          <w:tcPr>
            <w:tcW w:w="57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Non-Vested at December 31, 2015</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871</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14.85</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11,964</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12.94</w:t>
            </w:r>
          </w:p>
        </w:tc>
      </w:tr>
      <w:tr>
        <w:trPr>
          <w:trHeight w:val="20"/>
        </w:trPr>
        <w:tc>
          <w:tcPr>
            <w:tcW w:w="5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performance units we granted in 2015 and 2014 vest over three years and the performance units we granted prior to 2014 vest at the end of a three-year period assuming continued employment and the Company’s achievement of certain market-based performance goals. Depending on the performance levels achieved in relation to the predefined targets, shares may be issued for up to 225% of the units awarded. If the established performance goals are not met, the performance units will expire unvested and no shares will be issued. The grant date fair value of the performance units we have granted was determined through use of the Monte Carlo simulation method. The assumptions used in the Monte Carlo simulation during the year ended December 31, 2015, included a risk-free rate of 0.51%, volatility of 46.1% and a zero dividend yield. The weighted-average grant date fair value of the performance units we granted during the years ended December 31, 2015, 2014 and 2013 was $10.45, $14.31 and $10.81, respectively. For the year ended December 31, 2015, we did not issue any shares. The total fair value of shares issued in connection with performance units during the years ended December 31, 2014 and 2013 was $11 million and $8 million, respectively. For the year ended December 31, 2014 and 2013, 541 thousand and 1.3 million shares of stock were issued, respectively, for the performance units related to the departure of certain former executive officers. As of December 31, 2015, there was $13 million of unrecognized compensation expense related to performance units, which is expected to be recognized over a weighted average period of one year.</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performance unit activity for the year ended December 31, 2015, is presented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9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Performance Units</w:t>
            </w:r>
          </w:p>
        </w:tc>
        <w:tc>
          <w:tcPr>
            <w:tcW w:w="340" w:type="dxa"/>
            <w:vAlign w:val="bottom"/>
          </w:tcPr>
          <w:p>
            <w:pPr>
              <w:spacing w:after="0"/>
              <w:rPr>
                <w:sz w:val="17"/>
                <w:szCs w:val="17"/>
                <w:color w:val="auto"/>
              </w:rPr>
            </w:pPr>
          </w:p>
        </w:tc>
        <w:tc>
          <w:tcPr>
            <w:tcW w:w="1920" w:type="dxa"/>
            <w:vAlign w:val="bottom"/>
          </w:tcPr>
          <w:p>
            <w:pPr>
              <w:jc w:val="right"/>
              <w:ind w:right="73"/>
              <w:spacing w:after="0"/>
              <w:rPr>
                <w:sz w:val="20"/>
                <w:szCs w:val="20"/>
                <w:color w:val="auto"/>
              </w:rPr>
            </w:pPr>
            <w:r>
              <w:rPr>
                <w:rFonts w:ascii="Arial" w:cs="Arial" w:eastAsia="Arial" w:hAnsi="Arial"/>
                <w:sz w:val="16"/>
                <w:szCs w:val="16"/>
                <w:b w:val="1"/>
                <w:bCs w:val="1"/>
                <w:color w:val="auto"/>
                <w:w w:val="93"/>
              </w:rPr>
              <w:t>Weighted Average Grant</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Pr>
          <w:p>
            <w:pPr>
              <w:jc w:val="right"/>
              <w:ind w:right="393"/>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960" w:type="dxa"/>
            <w:vAlign w:val="bottom"/>
          </w:tcPr>
          <w:p>
            <w:pPr>
              <w:jc w:val="right"/>
              <w:ind w:right="350"/>
              <w:spacing w:after="0"/>
              <w:rPr>
                <w:sz w:val="20"/>
                <w:szCs w:val="20"/>
                <w:color w:val="auto"/>
              </w:rPr>
            </w:pPr>
            <w:r>
              <w:rPr>
                <w:rFonts w:ascii="Arial" w:cs="Arial" w:eastAsia="Arial" w:hAnsi="Arial"/>
                <w:sz w:val="18"/>
                <w:szCs w:val="18"/>
                <w:b w:val="1"/>
                <w:bCs w:val="1"/>
                <w:i w:val="1"/>
                <w:iCs w:val="1"/>
                <w:color w:val="auto"/>
              </w:rPr>
              <w:t>(In thousands)</w:t>
            </w: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2014</w:t>
            </w:r>
          </w:p>
        </w:tc>
        <w:tc>
          <w:tcPr>
            <w:tcW w:w="51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1,948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Granted</w:t>
            </w:r>
          </w:p>
        </w:tc>
        <w:tc>
          <w:tcPr>
            <w:tcW w:w="5100" w:type="dxa"/>
            <w:vAlign w:val="bottom"/>
            <w:gridSpan w:val="2"/>
          </w:tcPr>
          <w:p>
            <w:pPr>
              <w:jc w:val="right"/>
              <w:ind w:right="30"/>
              <w:spacing w:after="0"/>
              <w:rPr>
                <w:sz w:val="20"/>
                <w:szCs w:val="20"/>
                <w:color w:val="auto"/>
              </w:rPr>
            </w:pPr>
            <w:r>
              <w:rPr>
                <w:rFonts w:ascii="Arial" w:cs="Arial" w:eastAsia="Arial" w:hAnsi="Arial"/>
                <w:sz w:val="18"/>
                <w:szCs w:val="18"/>
                <w:color w:val="auto"/>
              </w:rPr>
              <w:t>1,561</w:t>
            </w:r>
          </w:p>
        </w:tc>
        <w:tc>
          <w:tcPr>
            <w:tcW w:w="34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3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340" w:type="dxa"/>
            <w:vAlign w:val="bottom"/>
          </w:tcPr>
          <w:p>
            <w:pPr>
              <w:spacing w:after="0"/>
              <w:rPr>
                <w:sz w:val="21"/>
                <w:szCs w:val="21"/>
                <w:color w:val="auto"/>
              </w:rPr>
            </w:pPr>
          </w:p>
        </w:tc>
        <w:tc>
          <w:tcPr>
            <w:tcW w:w="1920" w:type="dxa"/>
            <w:vAlign w:val="bottom"/>
          </w:tcPr>
          <w:p>
            <w:pPr>
              <w:jc w:val="right"/>
              <w:ind w:right="13"/>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at December 31, 2015</w:t>
            </w:r>
          </w:p>
        </w:tc>
        <w:tc>
          <w:tcPr>
            <w:tcW w:w="5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2,857</w:t>
            </w:r>
          </w:p>
        </w:tc>
        <w:tc>
          <w:tcPr>
            <w:tcW w:w="34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jc w:val="right"/>
              <w:ind w:right="1310"/>
              <w:spacing w:after="0"/>
              <w:rPr>
                <w:sz w:val="20"/>
                <w:szCs w:val="20"/>
                <w:color w:val="auto"/>
              </w:rPr>
            </w:pPr>
            <w:r>
              <w:rPr>
                <w:rFonts w:ascii="Arial" w:cs="Arial" w:eastAsia="Arial" w:hAnsi="Arial"/>
                <w:sz w:val="18"/>
                <w:szCs w:val="18"/>
                <w:color w:val="auto"/>
              </w:rPr>
              <w:t>75</w:t>
            </w:r>
          </w:p>
        </w:tc>
        <w:tc>
          <w:tcPr>
            <w:tcW w:w="1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Retirement and Employee Benefit Plans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defined contribution plans covering certain employees. Contribution expenses related to these plans totaled $66 million, $79 million and $73 million in 2015, 2014 and 2013, respectively. The decrease in employer contributions in 2015 compared to 2014 relates to the reduction in force initiative implemented during the year.</w:t>
      </w:r>
    </w:p>
    <w:p>
      <w:pPr>
        <w:spacing w:after="0" w:line="18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defined benefit pension and other post-retirement benefit plans covering certain U.S. and international employees. Plan benefits are generally based on factors such as age, compensation levels and years of service. Early in 2015, we converted one of our larger defined benefit plans to a defined contribution plan. As a result, amounts shown for 2015 are significantly lower than previous years. Net periodic benefit cost related to these plans totaled $9 million, $18 million and $20 million in 2015, 2014 and 2013, respectively. The projected benefit obligations on a consolidated basis were $245 million and $325 million as of December 31, 2015 and 2014, respectively. Curtailments and settlements totaling $63 million and currency fluctuations of $17 million were the main components reducing the obligation during the year. The fair values of plan assets on a consolidated basis (determined primarily using Level 2 inputs) were $121 million and $161 million as of December 31, 2015 and 2014, respectively. Settlements were the primary factor contributing to the decrease in assets this year. The net underfunded obligation was substantially all recorded within Other Noncurrent Liabilities at each balance sheet date. Additionally, consolidated amounts in accumulated other comprehensive loss that have not yet been recognized as components of net periodic benefit cost were $38 million and $75 million as of December 31, 2015 and 2014, respectively. The decrease in other comprehensive loss year over year is due primarily to pre-tax curtailment and settlement gains of $30 million resulting from the conversion of our defined benefit plan to a defined contribution plan, as mentioned above, and also our reduction in force initiatives.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340"/>
              <w:spacing w:after="0"/>
              <w:rPr>
                <w:sz w:val="20"/>
                <w:szCs w:val="20"/>
                <w:color w:val="auto"/>
              </w:rPr>
            </w:pPr>
            <w:r>
              <w:rPr>
                <w:rFonts w:ascii="Arial" w:cs="Arial" w:eastAsia="Arial" w:hAnsi="Arial"/>
                <w:sz w:val="18"/>
                <w:szCs w:val="18"/>
                <w:color w:val="auto"/>
              </w:rPr>
              <w:t>The weighted average assumption rates used for benefit obligations were as follows:</w:t>
            </w:r>
          </w:p>
        </w:tc>
        <w:tc>
          <w:tcPr>
            <w:tcW w:w="24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78"/>
        </w:trPr>
        <w:tc>
          <w:tcPr>
            <w:tcW w:w="7200" w:type="dxa"/>
            <w:vAlign w:val="bottom"/>
          </w:tcPr>
          <w:p>
            <w:pPr>
              <w:spacing w:after="0"/>
              <w:rPr>
                <w:sz w:val="24"/>
                <w:szCs w:val="24"/>
                <w:color w:val="auto"/>
              </w:rPr>
            </w:pPr>
          </w:p>
        </w:tc>
        <w:tc>
          <w:tcPr>
            <w:tcW w:w="4220" w:type="dxa"/>
            <w:vAlign w:val="bottom"/>
            <w:gridSpan w:val="2"/>
          </w:tcPr>
          <w:p>
            <w:pPr>
              <w:jc w:val="right"/>
              <w:ind w:right="101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72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480" w:type="dxa"/>
            <w:vAlign w:val="bottom"/>
          </w:tcPr>
          <w:p>
            <w:pPr>
              <w:jc w:val="right"/>
              <w:ind w:right="1170"/>
              <w:spacing w:after="0"/>
              <w:rPr>
                <w:sz w:val="20"/>
                <w:szCs w:val="20"/>
                <w:color w:val="auto"/>
              </w:rPr>
            </w:pPr>
            <w:r>
              <w:rPr>
                <w:rFonts w:ascii="Arial" w:cs="Arial" w:eastAsia="Arial" w:hAnsi="Arial"/>
                <w:sz w:val="18"/>
                <w:szCs w:val="18"/>
                <w:b w:val="1"/>
                <w:bCs w:val="1"/>
                <w:color w:val="auto"/>
              </w:rPr>
              <w:t>2015</w:t>
            </w:r>
          </w:p>
        </w:tc>
        <w:tc>
          <w:tcPr>
            <w:tcW w:w="1740" w:type="dxa"/>
            <w:vAlign w:val="bottom"/>
          </w:tcPr>
          <w:p>
            <w:pPr>
              <w:jc w:val="right"/>
              <w:ind w:right="750"/>
              <w:spacing w:after="0"/>
              <w:rPr>
                <w:sz w:val="20"/>
                <w:szCs w:val="20"/>
                <w:color w:val="auto"/>
              </w:rPr>
            </w:pPr>
            <w:r>
              <w:rPr>
                <w:rFonts w:ascii="Arial" w:cs="Arial" w:eastAsia="Arial" w:hAnsi="Arial"/>
                <w:sz w:val="18"/>
                <w:szCs w:val="18"/>
                <w:b w:val="1"/>
                <w:bCs w:val="1"/>
                <w:color w:val="auto"/>
              </w:rPr>
              <w:t>2014</w:t>
            </w:r>
          </w:p>
        </w:tc>
      </w:tr>
      <w:tr>
        <w:trPr>
          <w:trHeight w:val="27"/>
        </w:trPr>
        <w:tc>
          <w:tcPr>
            <w:tcW w:w="7200" w:type="dxa"/>
            <w:vAlign w:val="bottom"/>
            <w:tcBorders>
              <w:bottom w:val="single" w:sz="8" w:color="CCEEFF"/>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4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United States plans</w:t>
            </w:r>
          </w:p>
        </w:tc>
        <w:tc>
          <w:tcPr>
            <w:tcW w:w="2480" w:type="dxa"/>
            <w:vAlign w:val="bottom"/>
          </w:tcPr>
          <w:p>
            <w:pPr>
              <w:jc w:val="right"/>
              <w:ind w:right="430"/>
              <w:spacing w:after="0"/>
              <w:rPr>
                <w:sz w:val="20"/>
                <w:szCs w:val="20"/>
                <w:color w:val="auto"/>
              </w:rPr>
            </w:pPr>
            <w:r>
              <w:rPr>
                <w:rFonts w:ascii="Arial" w:cs="Arial" w:eastAsia="Arial" w:hAnsi="Arial"/>
                <w:sz w:val="18"/>
                <w:szCs w:val="18"/>
                <w:color w:val="auto"/>
              </w:rPr>
              <w:t>1.00% - 4.25%</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1.00% - 4.00%</w:t>
            </w:r>
          </w:p>
        </w:tc>
      </w:tr>
      <w:tr>
        <w:trPr>
          <w:trHeight w:val="27"/>
        </w:trPr>
        <w:tc>
          <w:tcPr>
            <w:tcW w:w="7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plans</w:t>
            </w:r>
          </w:p>
        </w:tc>
        <w:tc>
          <w:tcPr>
            <w:tcW w:w="2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2.30% - 8.00%</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 - 7.00%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Rate of compensation increase:</w:t>
            </w:r>
          </w:p>
        </w:tc>
        <w:tc>
          <w:tcPr>
            <w:tcW w:w="248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 plans</w:t>
            </w:r>
          </w:p>
        </w:tc>
        <w:tc>
          <w:tcPr>
            <w:tcW w:w="248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International plans</w:t>
            </w:r>
          </w:p>
        </w:tc>
        <w:tc>
          <w:tcPr>
            <w:tcW w:w="2480" w:type="dxa"/>
            <w:vAlign w:val="bottom"/>
          </w:tcPr>
          <w:p>
            <w:pPr>
              <w:jc w:val="right"/>
              <w:ind w:right="430"/>
              <w:spacing w:after="0"/>
              <w:rPr>
                <w:sz w:val="20"/>
                <w:szCs w:val="20"/>
                <w:color w:val="auto"/>
              </w:rPr>
            </w:pPr>
            <w:r>
              <w:rPr>
                <w:rFonts w:ascii="Arial" w:cs="Arial" w:eastAsia="Arial" w:hAnsi="Arial"/>
                <w:sz w:val="18"/>
                <w:szCs w:val="18"/>
                <w:color w:val="auto"/>
              </w:rPr>
              <w:t>2.00% - 3.20%</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2.00% - 3.30%</w:t>
            </w: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2015 and 2014, we contributed $6 million and $14 million, respectively, to our defined benefit pension and other post-retirement benefit plans. In 2016, we expect to contribute approximately $5 million to those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Income Taxes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exempt from Swiss cantonal and communal tax on income derived outside Switzerland, and we are also granted participation relief from Swiss federal tax for qualifying dividend income and capital gains related to the sale of qualifying investments in subsidiaries. We expect that the participation relief will result in a full exemption of participation income from Swiss federal income tax.</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for income taxes based on the laws and rates in effect in the countries in which operations are conducted, or in which we or our subsidiaries are considered resident for income tax purposes. The relationship between our pre-tax income or loss and our income tax provision or benefit varies from period to period as a result of various factors which include changes in total pre-tax income or loss, the jurisdictions in which our income is earned, the tax laws in those jurisdictions and in our operating structure.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income tax (provision) benefit from continuing operations consisted of the following:</w:t>
      </w:r>
    </w:p>
    <w:p>
      <w:pPr>
        <w:spacing w:after="0" w:line="221" w:lineRule="exact"/>
        <w:rPr>
          <w:sz w:val="20"/>
          <w:szCs w:val="20"/>
          <w:color w:val="auto"/>
        </w:rPr>
      </w:pPr>
    </w:p>
    <w:p>
      <w:pPr>
        <w:ind w:left="82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1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provision</w:t>
            </w:r>
          </w:p>
        </w:tc>
        <w:tc>
          <w:tcPr>
            <w:tcW w:w="3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color w:val="auto"/>
              </w:rPr>
              <w:t>Total deferred benefit</w:t>
            </w:r>
          </w:p>
        </w:tc>
        <w:tc>
          <w:tcPr>
            <w:tcW w:w="2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448</w:t>
            </w:r>
          </w:p>
        </w:tc>
        <w:tc>
          <w:tcPr>
            <w:tcW w:w="380" w:type="dxa"/>
            <w:vAlign w:val="bottom"/>
          </w:tcPr>
          <w:p>
            <w:pPr>
              <w:spacing w:after="0"/>
              <w:rPr>
                <w:sz w:val="21"/>
                <w:szCs w:val="21"/>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418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145</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76</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80" w:type="dxa"/>
            <w:vAlign w:val="bottom"/>
          </w:tcPr>
          <w:p>
            <w:pPr>
              <w:spacing w:after="0"/>
              <w:rPr>
                <w:sz w:val="24"/>
                <w:szCs w:val="24"/>
                <w:color w:val="auto"/>
              </w:rPr>
            </w:pPr>
          </w:p>
        </w:tc>
        <w:tc>
          <w:tcPr>
            <w:tcW w:w="2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difference between the income tax (provision) benefit at the Swiss federal income tax rate and the income tax (provision) benefit attributable to “Loss Before Income Taxes” for each of the three years ended December 31, 2015, 2014 and 2013 is analyzed below:</w:t>
      </w:r>
    </w:p>
    <w:p>
      <w:pPr>
        <w:spacing w:after="0" w:line="112"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4670425</wp:posOffset>
            </wp:positionH>
            <wp:positionV relativeFrom="paragraph">
              <wp:posOffset>34290</wp:posOffset>
            </wp:positionV>
            <wp:extent cx="2504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7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Swiss federal income tax rate at 7.83%</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Tax on operating earnings subject to rates different than the Swiss federal income tax rate</w:t>
            </w:r>
          </w:p>
        </w:tc>
        <w:tc>
          <w:tcPr>
            <w:tcW w:w="2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on divestitures gains subject to different tax rate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Non-cash tax expense on distribution of subsidiary earnings</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(265)</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Change in uncertain tax positions</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97</w:t>
            </w:r>
          </w:p>
        </w:tc>
        <w:tc>
          <w:tcPr>
            <w:tcW w:w="34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7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145</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7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color w:val="auto"/>
        </w:rPr>
        <w:t>Our income tax benefit in 2015 was $145 million on a loss before income taxes of $2.1 billion. The tax benefit was favorably impacted by a U.S. loss, which included restructuring, impairment charges and a worthless stock deduction. Our results for 2015 include $255 million of Land Drilling Rig impairment charges, $232 million of restructuring charges, $116 million of litigation settlements, $153 million of legacy project losses, $85 million of currency devaluation and related losses and $25 million of equity investment impairment, all with no significant tax benefit. In addition, we recorded a tax charge of $265 million for a non-cash tax expense on distribution of subsidiary earnings.</w:t>
      </w:r>
    </w:p>
    <w:p>
      <w:pPr>
        <w:spacing w:after="0" w:line="202" w:lineRule="exact"/>
        <w:rPr>
          <w:sz w:val="20"/>
          <w:szCs w:val="20"/>
          <w:color w:val="auto"/>
        </w:rPr>
      </w:pPr>
    </w:p>
    <w:p>
      <w:pPr>
        <w:jc w:val="both"/>
        <w:ind w:firstLine="338"/>
        <w:spacing w:after="0" w:line="292" w:lineRule="auto"/>
        <w:rPr>
          <w:sz w:val="20"/>
          <w:szCs w:val="20"/>
          <w:color w:val="auto"/>
        </w:rPr>
      </w:pPr>
      <w:r>
        <w:rPr>
          <w:rFonts w:ascii="Arial" w:cs="Arial" w:eastAsia="Arial" w:hAnsi="Arial"/>
          <w:sz w:val="17"/>
          <w:szCs w:val="17"/>
          <w:color w:val="auto"/>
        </w:rPr>
        <w:t>In 2014, we had a tax provision of $284 million on a loss before income taxes of $255 million. Our results for 2014 include a $161 million goodwill impairment charge, a $245 million loss due to the devaluation of Venezuela bolivar and $72 million of project losses related to our early production facility contracts in Iraq, all of which provided no tax benefit. In addition, we incurred a $495 million long-lived assets impairments charge, with limited tax benefit. During 2014, we also sold our land drilling and workover rig operations in Russia and Venezuela, pipeline and specialty services business, engineered chemistry, Integrity drilling fluids business and our equity investment in Proserv for a total gain of approximately $349 million.</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2013, our income before tax included a $153 million charge for the settlement of the United Nations oil-for-food program governing sales of goods into Iraq and Foreign Corrupt Practices Act (“FCPA”) matters, a $299 million loss on certain legacy projects in Iraq, $98 million of bad debt expense, which included an increase to the allowance for doubtful accounts in Venezuela, and a $100 million loss due to the devaluation of the Venezuelan bolivar, all with no or little tax benefit. Our 2013 tax provision included certain discrete tax benefits primarily due to tax planning activities, decreases in reserves for uncertain tax positions due to statute of limitation expiration and audit closures and the enactment of the American Taxpayer Relief Act, which decreased our effective tax rate for the period.</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Deferred tax assets and liabilities are recognized for the estimated future tax effects of temporary differences between the tax basis of an asset or liability and its reported amount in the Consolidated Financial Statements. The measurement of deferred tax assets and liabilities is based on enacted tax laws and rates currently in effect in each of the jurisdictions in which we have operations. Deferred tax assets and liabilities are classified as current or non-current according to the classification of the related asset or liability for financial reporting.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39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net deferred tax asset (liability) attributable to continuing operations were as follows:</w:t>
      </w:r>
    </w:p>
    <w:p>
      <w:pPr>
        <w:spacing w:after="0" w:line="221"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34290</wp:posOffset>
            </wp:positionV>
            <wp:extent cx="1663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8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operating losses carryforwards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Accrued liabilities and reserves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190</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235</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carryforwards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differences between financial and tax basis</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267</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w:t>
            </w:r>
          </w:p>
        </w:tc>
      </w:tr>
      <w:tr>
        <w:trPr>
          <w:trHeight w:val="237"/>
        </w:trPr>
        <w:tc>
          <w:tcPr>
            <w:tcW w:w="8800" w:type="dxa"/>
            <w:vAlign w:val="bottom"/>
          </w:tcPr>
          <w:p>
            <w:pPr>
              <w:ind w:left="80"/>
              <w:spacing w:after="0"/>
              <w:rPr>
                <w:sz w:val="20"/>
                <w:szCs w:val="20"/>
                <w:color w:val="auto"/>
              </w:rPr>
            </w:pPr>
            <w:r>
              <w:rPr>
                <w:rFonts w:ascii="Arial" w:cs="Arial" w:eastAsia="Arial" w:hAnsi="Arial"/>
                <w:sz w:val="18"/>
                <w:szCs w:val="18"/>
                <w:color w:val="auto"/>
              </w:rPr>
              <w:t>Total deferred tax assets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779</w:t>
            </w:r>
          </w:p>
        </w:tc>
        <w:tc>
          <w:tcPr>
            <w:tcW w:w="3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454</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Deferred Income</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Undistributed Subsidiary Earnings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180"/>
              <w:spacing w:after="0"/>
              <w:rPr>
                <w:sz w:val="20"/>
                <w:szCs w:val="20"/>
                <w:color w:val="auto"/>
              </w:rPr>
            </w:pPr>
            <w:r>
              <w:rPr>
                <w:rFonts w:ascii="Arial" w:cs="Arial" w:eastAsia="Arial" w:hAnsi="Arial"/>
                <w:sz w:val="18"/>
                <w:szCs w:val="18"/>
                <w:color w:val="auto"/>
              </w:rPr>
              <w:t>Other differences between financial and tax basis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88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Net deferred tax asset (liability)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305</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8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overall increase in the valuation allowance in both 2015 and 2014 is primarily attributable to the establishment of a valuation allowance against current year net operating losses ("NOLs") and tax credits in various jurisdictions. Our results in 2015 and 2014 include significant tax losses in Mexico, Venezuela, and Iraq.</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Deferred income taxes generally have not been recognized on the cumulative undistributed earnings of our non-Swiss subsidiaries because they are considered to be indefinitely reinvested or they can be distributed on a tax free basis. Distribution of these earnings in the form of dividends or otherwise may result in a combination of income and withholding taxes payable in various countries. In 2015 the company reversed its indefinitely reinvested assertion on a portion of those earnings and recorded a non-cash tax charge of $265 million. This charge covers the tax expense on 2015 distributions and planned distributions of earnings from subsidiaries to the U.S. As of December 31, 2015, the cumulative undistributed earnings of our non-Swiss subsidiaries that are considered indefinitely reinvested and may be subject to tax if distributed amount to approximately $103 million. Due to complexities in the tax laws and the manner of repatriation, it is not practicable to estimate the unrecognized amount of deferred income taxes and the related dividend withholding taxes associated with these undistributed earnings.</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December 31, 2015, we had approximately $3.5 billion of NOLs in various jurisdictions, $867 million of which were generated by certain U.S. subsidiaries. Loss carryforwards, if not utilized, will mostly expire for U.S. subsidiaries in 2033 and 2035 and at various dates from 2016 through 2035 for non-U.S. subsidiaries. At December 31, 2015, we had $102 million of tax credit carryovers, of which $82 million is for U.S. subsidiaries. The U.S. credits primarily consists of $30 million of research and development tax credit carryforwards which expire from 2018 through 2035, and $52 million of foreign tax credit carryforwards which expire from 2016 through 2023.</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9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tabular reconciliation of the total amounts of uncertain tax positions at the beginning and end of the period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100330</wp:posOffset>
            </wp:positionV>
            <wp:extent cx="25298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r>
      <w:tr>
        <w:trPr>
          <w:trHeight w:val="27"/>
        </w:trPr>
        <w:tc>
          <w:tcPr>
            <w:tcW w:w="7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Additions as a result of tax positions taken during a prior period</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as a result of tax positions taken during a prior period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Additions as a result of tax positions taken during the current period</w:t>
            </w:r>
          </w:p>
        </w:tc>
        <w:tc>
          <w:tcPr>
            <w:tcW w:w="2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Reductions relating to settlements with taxing authorities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Reductions as a result of a lapse of the applicable statute of limitations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effects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Balance at 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195</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235</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289</w:t>
            </w: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Substantially all of the uncertain tax positions, if recognized in future periods, would impact our effective tax rate. To the extent penalties and interest would be assessed on any underpayment of income tax, such amounts have been accrued and classified as a component of income tax expense and other non-current liabilities in the Consolidated Financial Statements in accordance with our accounting policy. We recorded benefits of $4 million, $53 million and $21 million of interest and penalty for the years ended December 31, 2015, 2014 and 2013, respectively. The amounts in the table above exclude cumulative accrued interest and penalties of $50 million, $58 million and $121 million at December 31, 2015, 2014 and 2013, respectively, which are included in other liabilities.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subject to income tax in many of the over 100 countries where we operate. As of December 31, 2015, the following table summarizes the tax years that remain subject to examination for the major jurisdictions in which we operate: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5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2008 - 2015</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Mexico</w:t>
            </w:r>
          </w:p>
        </w:tc>
        <w:tc>
          <w:tcPr>
            <w:tcW w:w="5660" w:type="dxa"/>
            <w:vAlign w:val="bottom"/>
          </w:tcPr>
          <w:p>
            <w:pPr>
              <w:jc w:val="right"/>
              <w:spacing w:after="0"/>
              <w:rPr>
                <w:sz w:val="20"/>
                <w:szCs w:val="20"/>
                <w:color w:val="auto"/>
              </w:rPr>
            </w:pPr>
            <w:r>
              <w:rPr>
                <w:rFonts w:ascii="Arial" w:cs="Arial" w:eastAsia="Arial" w:hAnsi="Arial"/>
                <w:sz w:val="18"/>
                <w:szCs w:val="18"/>
                <w:color w:val="auto"/>
              </w:rPr>
              <w:t>2007 - 2015</w:t>
            </w:r>
          </w:p>
        </w:tc>
      </w:tr>
      <w:tr>
        <w:trPr>
          <w:trHeight w:val="27"/>
        </w:trPr>
        <w:tc>
          <w:tcPr>
            <w:tcW w:w="576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Russia</w:t>
            </w:r>
          </w:p>
        </w:tc>
        <w:tc>
          <w:tcPr>
            <w:tcW w:w="5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2013 - 2015</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Switzerland</w:t>
            </w:r>
          </w:p>
        </w:tc>
        <w:tc>
          <w:tcPr>
            <w:tcW w:w="5660" w:type="dxa"/>
            <w:vAlign w:val="bottom"/>
          </w:tcPr>
          <w:p>
            <w:pPr>
              <w:jc w:val="right"/>
              <w:spacing w:after="0"/>
              <w:rPr>
                <w:sz w:val="20"/>
                <w:szCs w:val="20"/>
                <w:color w:val="auto"/>
              </w:rPr>
            </w:pPr>
            <w:r>
              <w:rPr>
                <w:rFonts w:ascii="Arial" w:cs="Arial" w:eastAsia="Arial" w:hAnsi="Arial"/>
                <w:sz w:val="18"/>
                <w:szCs w:val="18"/>
                <w:color w:val="auto"/>
              </w:rPr>
              <w:t>2010 - 2015</w:t>
            </w:r>
          </w:p>
        </w:tc>
      </w:tr>
      <w:tr>
        <w:trPr>
          <w:trHeight w:val="27"/>
        </w:trPr>
        <w:tc>
          <w:tcPr>
            <w:tcW w:w="5760" w:type="dxa"/>
            <w:vAlign w:val="bottom"/>
          </w:tcPr>
          <w:p>
            <w:pPr>
              <w:spacing w:after="0"/>
              <w:rPr>
                <w:sz w:val="2"/>
                <w:szCs w:val="2"/>
                <w:color w:val="auto"/>
              </w:rPr>
            </w:pPr>
          </w:p>
        </w:tc>
        <w:tc>
          <w:tcPr>
            <w:tcW w:w="566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2010 - 2015</w:t>
            </w:r>
          </w:p>
        </w:tc>
      </w:tr>
      <w:tr>
        <w:trPr>
          <w:trHeight w:val="243"/>
        </w:trPr>
        <w:tc>
          <w:tcPr>
            <w:tcW w:w="5760" w:type="dxa"/>
            <w:vAlign w:val="bottom"/>
          </w:tcPr>
          <w:p>
            <w:pPr>
              <w:ind w:left="40"/>
              <w:spacing w:after="0"/>
              <w:rPr>
                <w:sz w:val="20"/>
                <w:szCs w:val="20"/>
                <w:color w:val="auto"/>
              </w:rPr>
            </w:pPr>
            <w:r>
              <w:rPr>
                <w:rFonts w:ascii="Arial" w:cs="Arial" w:eastAsia="Arial" w:hAnsi="Arial"/>
                <w:sz w:val="18"/>
                <w:szCs w:val="18"/>
                <w:color w:val="auto"/>
              </w:rPr>
              <w:t>Venezuela</w:t>
            </w:r>
          </w:p>
        </w:tc>
        <w:tc>
          <w:tcPr>
            <w:tcW w:w="5660" w:type="dxa"/>
            <w:vAlign w:val="bottom"/>
          </w:tcPr>
          <w:p>
            <w:pPr>
              <w:jc w:val="right"/>
              <w:spacing w:after="0"/>
              <w:rPr>
                <w:sz w:val="20"/>
                <w:szCs w:val="20"/>
                <w:color w:val="auto"/>
              </w:rPr>
            </w:pPr>
            <w:r>
              <w:rPr>
                <w:rFonts w:ascii="Arial" w:cs="Arial" w:eastAsia="Arial" w:hAnsi="Arial"/>
                <w:sz w:val="18"/>
                <w:szCs w:val="18"/>
                <w:color w:val="auto"/>
              </w:rPr>
              <w:t>2010 - 2015</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anticipate that it is reasonably possible that the amount of uncertain tax positions may decrease by up to $10 million in the next twelve months due to expiration of statutes of limitations, settlements and/or conclusions of tax examinations.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39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right="8120" w:hanging="332"/>
        <w:spacing w:after="0" w:line="566" w:lineRule="auto"/>
        <w:tabs>
          <w:tab w:leader="none" w:pos="331"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Disputes, Litigation and Contingencies </w:t>
      </w:r>
      <w:r>
        <w:rPr>
          <w:rFonts w:ascii="Arial" w:cs="Arial" w:eastAsia="Arial" w:hAnsi="Arial"/>
          <w:sz w:val="16"/>
          <w:szCs w:val="16"/>
          <w:b w:val="1"/>
          <w:bCs w:val="1"/>
          <w:i w:val="1"/>
          <w:iCs w:val="1"/>
          <w:color w:val="auto"/>
        </w:rPr>
        <w:t>Shareholder Litigation</w:t>
      </w:r>
    </w:p>
    <w:p>
      <w:pPr>
        <w:spacing w:after="0" w:line="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the FCPA and trade sanctions related to the U.S. government investigations disclosed in our U.S. Securities and Exchange Commission (the “SEC”) filings since 2007. Those shareholder derivative cases were filed in Harris County, Texas state court and consolidated under the caption </w:t>
      </w:r>
      <w:r>
        <w:rPr>
          <w:rFonts w:ascii="Arial" w:cs="Arial" w:eastAsia="Arial" w:hAnsi="Arial"/>
          <w:sz w:val="17"/>
          <w:szCs w:val="17"/>
          <w:i w:val="1"/>
          <w:iCs w:val="1"/>
          <w:color w:val="auto"/>
        </w:rPr>
        <w:t>Neff v. Brady, et al.</w:t>
      </w:r>
      <w:r>
        <w:rPr>
          <w:rFonts w:ascii="Arial" w:cs="Arial" w:eastAsia="Arial" w:hAnsi="Arial"/>
          <w:sz w:val="17"/>
          <w:szCs w:val="17"/>
          <w:color w:val="auto"/>
        </w:rPr>
        <w:t>, No. 2010040764 (collectively referred to as the “</w:t>
      </w:r>
      <w:r>
        <w:rPr>
          <w:rFonts w:ascii="Arial" w:cs="Arial" w:eastAsia="Arial" w:hAnsi="Arial"/>
          <w:sz w:val="17"/>
          <w:szCs w:val="17"/>
          <w:i w:val="1"/>
          <w:iCs w:val="1"/>
          <w:color w:val="auto"/>
        </w:rPr>
        <w:t>Neff</w:t>
      </w:r>
      <w:r>
        <w:rPr>
          <w:rFonts w:ascii="Arial" w:cs="Arial" w:eastAsia="Arial" w:hAnsi="Arial"/>
          <w:sz w:val="17"/>
          <w:szCs w:val="17"/>
          <w:color w:val="auto"/>
        </w:rPr>
        <w:t xml:space="preserve"> Case”). Other shareholder demand letters covering the same subject 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Neff Case. That case, captioned </w:t>
      </w:r>
      <w:r>
        <w:rPr>
          <w:rFonts w:ascii="Arial" w:cs="Arial" w:eastAsia="Arial" w:hAnsi="Arial"/>
          <w:sz w:val="17"/>
          <w:szCs w:val="17"/>
          <w:i w:val="1"/>
          <w:iCs w:val="1"/>
          <w:color w:val="auto"/>
        </w:rPr>
        <w:t>Erste-Sparinvest KAG v.</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Duroc-Danner, et al., </w:t>
      </w:r>
      <w:r>
        <w:rPr>
          <w:rFonts w:ascii="Arial" w:cs="Arial" w:eastAsia="Arial" w:hAnsi="Arial"/>
          <w:sz w:val="17"/>
          <w:szCs w:val="17"/>
          <w:color w:val="auto"/>
        </w:rPr>
        <w:t>No. 201420933 (Harris County, Texas) was consolidated into the Neff Case in September 2014. A motion to dismiss was granted May</w:t>
      </w:r>
      <w:r>
        <w:rPr>
          <w:rFonts w:ascii="Arial" w:cs="Arial" w:eastAsia="Arial" w:hAnsi="Arial"/>
          <w:sz w:val="17"/>
          <w:szCs w:val="17"/>
          <w:i w:val="1"/>
          <w:iCs w:val="1"/>
          <w:color w:val="auto"/>
        </w:rPr>
        <w:t xml:space="preserve"> </w:t>
      </w:r>
      <w:r>
        <w:rPr>
          <w:rFonts w:ascii="Arial" w:cs="Arial" w:eastAsia="Arial" w:hAnsi="Arial"/>
          <w:sz w:val="17"/>
          <w:szCs w:val="17"/>
          <w:color w:val="auto"/>
        </w:rPr>
        <w:t>15, 2015 and an appeal, which remains pending, was filed on June 15, 2015.</w:t>
      </w:r>
    </w:p>
    <w:p>
      <w:pPr>
        <w:spacing w:after="0" w:line="18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We cannot reliably predict the outcome of the appeal including the amount of any possible loss. If one or more negative outcomes were to occur relative to the </w:t>
      </w:r>
      <w:r>
        <w:rPr>
          <w:rFonts w:ascii="Arial" w:cs="Arial" w:eastAsia="Arial" w:hAnsi="Arial"/>
          <w:sz w:val="18"/>
          <w:szCs w:val="18"/>
          <w:i w:val="1"/>
          <w:iCs w:val="1"/>
          <w:color w:val="auto"/>
        </w:rPr>
        <w:t>Neff</w:t>
      </w:r>
      <w:r>
        <w:rPr>
          <w:rFonts w:ascii="Arial" w:cs="Arial" w:eastAsia="Arial" w:hAnsi="Arial"/>
          <w:sz w:val="18"/>
          <w:szCs w:val="18"/>
          <w:color w:val="auto"/>
        </w:rPr>
        <w:t xml:space="preserve"> Case, the aggregate impact to our financial condition could be material.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On June 30, 2015, we signed a stipulation to settle a shareholder securities class action captioned </w:t>
      </w:r>
      <w:r>
        <w:rPr>
          <w:rFonts w:ascii="Arial" w:cs="Arial" w:eastAsia="Arial" w:hAnsi="Arial"/>
          <w:sz w:val="16"/>
          <w:szCs w:val="16"/>
          <w:i w:val="1"/>
          <w:iCs w:val="1"/>
          <w:color w:val="auto"/>
        </w:rPr>
        <w:t>Freedman v. Weatherford International Ltd., et al.</w:t>
      </w:r>
      <w:r>
        <w:rPr>
          <w:rFonts w:ascii="Arial" w:cs="Arial" w:eastAsia="Arial" w:hAnsi="Arial"/>
          <w:sz w:val="16"/>
          <w:szCs w:val="16"/>
          <w:color w:val="auto"/>
        </w:rPr>
        <w:t>, No.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1:12-cv-02121-LAK (S.D.N.Y.) for $120 million subject to notice to the class and court approval. The </w:t>
      </w:r>
      <w:r>
        <w:rPr>
          <w:rFonts w:ascii="Arial" w:cs="Arial" w:eastAsia="Arial" w:hAnsi="Arial"/>
          <w:sz w:val="16"/>
          <w:szCs w:val="16"/>
          <w:i w:val="1"/>
          <w:iCs w:val="1"/>
          <w:color w:val="auto"/>
        </w:rPr>
        <w:t>Freedman</w:t>
      </w:r>
      <w:r>
        <w:rPr>
          <w:rFonts w:ascii="Arial" w:cs="Arial" w:eastAsia="Arial" w:hAnsi="Arial"/>
          <w:sz w:val="16"/>
          <w:szCs w:val="16"/>
          <w:color w:val="auto"/>
        </w:rPr>
        <w:t xml:space="preserve"> lawsuit had been filed in the U.S. District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Court for the Southern District of New York in March 2012, and alleged that we and certain current and former officers of Weatherford violated the federal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laws in connection with the restatements of the Company’s historical financial statements announced on February 21, 2012 and July 24, 2012.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4, 2015, the U.S. District Court for the Southern District of New York entered a final judgment and an order approving the settlement.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settlement, we were required to pay $120 million, which was partially funded by insurance proceeds. There was no admission of liability or fault by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party in connection with the settlement. We are pursuing reimbursement from our insurance carriers and recovered $15 million of the settlement amount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of 2015.</w:t>
      </w:r>
    </w:p>
    <w:p>
      <w:pPr>
        <w:spacing w:after="0" w:line="2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We signed an amended stipulation of settlement in November 2014 to resolve two shareholder derivative actions related to the Company’s restatement of its financial statements and material weakness in internal controls over financial reporting for income taxes. On June 24, 2015, the U.S. District Court for the Southern District of New York approved the settlement and entered final judgment in one of the two cases, </w:t>
      </w:r>
      <w:r>
        <w:rPr>
          <w:rFonts w:ascii="Arial" w:cs="Arial" w:eastAsia="Arial" w:hAnsi="Arial"/>
          <w:sz w:val="17"/>
          <w:szCs w:val="17"/>
          <w:i w:val="1"/>
          <w:iCs w:val="1"/>
          <w:color w:val="auto"/>
        </w:rPr>
        <w:t>Wandel v. Duroc-Danner, et al.</w:t>
      </w:r>
      <w:r>
        <w:rPr>
          <w:rFonts w:ascii="Arial" w:cs="Arial" w:eastAsia="Arial" w:hAnsi="Arial"/>
          <w:sz w:val="17"/>
          <w:szCs w:val="17"/>
          <w:color w:val="auto"/>
        </w:rPr>
        <w:t xml:space="preserve">, No. 1:12-cv-01305-LAK. By agreement with the plaintiffs, a substantially identical shareholder derivative case, </w:t>
      </w:r>
      <w:r>
        <w:rPr>
          <w:rFonts w:ascii="Arial" w:cs="Arial" w:eastAsia="Arial" w:hAnsi="Arial"/>
          <w:sz w:val="17"/>
          <w:szCs w:val="17"/>
          <w:i w:val="1"/>
          <w:iCs w:val="1"/>
          <w:color w:val="auto"/>
        </w:rPr>
        <w:t>Iron Workers Mid-South Pension Fund v. Duroc-Danner,</w:t>
      </w:r>
      <w:r>
        <w:rPr>
          <w:rFonts w:ascii="Arial" w:cs="Arial" w:eastAsia="Arial" w:hAnsi="Arial"/>
          <w:sz w:val="17"/>
          <w:szCs w:val="17"/>
          <w:color w:val="auto"/>
        </w:rPr>
        <w:t xml:space="preserve"> </w:t>
      </w:r>
      <w:r>
        <w:rPr>
          <w:rFonts w:ascii="Arial" w:cs="Arial" w:eastAsia="Arial" w:hAnsi="Arial"/>
          <w:sz w:val="17"/>
          <w:szCs w:val="17"/>
          <w:i w:val="1"/>
          <w:iCs w:val="1"/>
          <w:color w:val="auto"/>
        </w:rPr>
        <w:t>et al.</w:t>
      </w:r>
      <w:r>
        <w:rPr>
          <w:rFonts w:ascii="Arial" w:cs="Arial" w:eastAsia="Arial" w:hAnsi="Arial"/>
          <w:sz w:val="17"/>
          <w:szCs w:val="17"/>
          <w:color w:val="auto"/>
        </w:rPr>
        <w:t>, No. 201119822, pending in Harris County, Texas, state court was voluntarily dismissed with prejudice. The two cases, purportedly brought on behalf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against certain current and former officers and directors, alleged breaches of duty related to our material weakness and restatements. The settlement included an agreed upon set of revised corporate procedures, no monetary payment by the defendants and an award of attorney’s fees and reimbursement of expenses for a total amount of $0.6 million for the plaintiff’s counsel, which we paid in July 2015. There was no admission of liability or fault by any party in connection with the settlement.</w:t>
      </w:r>
    </w:p>
    <w:p>
      <w:pPr>
        <w:spacing w:after="0" w:line="18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On January 30, 2015, the U.S. District Court for the Southern District of New York approved the settlement of a purported shareholder securities class action captioned </w:t>
      </w:r>
      <w:r>
        <w:rPr>
          <w:rFonts w:ascii="Arial" w:cs="Arial" w:eastAsia="Arial" w:hAnsi="Arial"/>
          <w:sz w:val="17"/>
          <w:szCs w:val="17"/>
          <w:i w:val="1"/>
          <w:iCs w:val="1"/>
          <w:color w:val="auto"/>
        </w:rPr>
        <w:t>Dobina v. Weatherford International Ltd.</w:t>
      </w:r>
      <w:r>
        <w:rPr>
          <w:rFonts w:ascii="Arial" w:cs="Arial" w:eastAsia="Arial" w:hAnsi="Arial"/>
          <w:sz w:val="17"/>
          <w:szCs w:val="17"/>
          <w:color w:val="auto"/>
        </w:rPr>
        <w:t xml:space="preserve">, </w:t>
      </w:r>
      <w:r>
        <w:rPr>
          <w:rFonts w:ascii="Arial" w:cs="Arial" w:eastAsia="Arial" w:hAnsi="Arial"/>
          <w:sz w:val="17"/>
          <w:szCs w:val="17"/>
          <w:i w:val="1"/>
          <w:iCs w:val="1"/>
          <w:color w:val="auto"/>
        </w:rPr>
        <w:t>et al.</w:t>
      </w:r>
      <w:r>
        <w:rPr>
          <w:rFonts w:ascii="Arial" w:cs="Arial" w:eastAsia="Arial" w:hAnsi="Arial"/>
          <w:sz w:val="17"/>
          <w:szCs w:val="17"/>
          <w:color w:val="auto"/>
        </w:rPr>
        <w:t>, No. 1:11-cv-01646-LAK (S.D.N.Y.) for $53 million. The action named Weatherford and certain current and former officers as defendants. It alleged violation of the federal securities laws in connection with the material weakness in our internal controls over financial reporting for income taxes, and restatement of our historical financial statements announced in March 2011. The settlement was entirely funded by our insurers. There was no admission of liability or fault by any party in connection with the settlement.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and Internal Investigations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January 17, 2014, the U.S. District Court for the Southern District of Texas approved the settlement agreements between us and certain of our subsidiaries and the U.S. Department of Justice (“DOJ”). On November 26, 2013, we announced that we and our subsidiaries, also entered into settlement agreements with the U.S. Departments of Treasury and Commerce and with the SEC, which the U.S. District Court for the Southern District of Texas entered on December 20, 2013. These agreements collectively resolved investigations of prior alleged violations by us and certain of our subsidiaries relating to certain trade sanctions laws, participation in the United Nations oil-for-food program governing sales of goods into Iraq and non-compliance with FCPA matters.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39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$253 million payable by us and our subsidiaries was paid in January and February 2014 pursuant to the terms of the settlement agreements. These agreements include a requirement to retain, for a period of at least 18 months, an independent monitor responsible for assessing our compliance with the terms of the agreement so as to address and reduce the risk of recurrence of alleged misconduct, after which we would continue to evaluate our own compliance program and make periodic reports to the DOJ and SEC and maintain agreed upon compliance monitoring and reporting systems. In April 2014, the independent monitor was retained and the compliance assessment period began. In October 2015, the independent monitor submitted a report to the DOJ and SEC with his assessment that we had satisfied the relevant terms of the settlement agreements and recommending that the monitorship be terminated, after which our self-reporting period has begun. These agreements also required us to retain an independent third party to retroactively audit our compliance with U.S. export control laws for the years 2012, 2013 and 2014. We retained an independent third party, who has completed these audits.</w:t>
      </w:r>
    </w:p>
    <w:p>
      <w:pPr>
        <w:spacing w:after="0" w:line="16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SEC and DOJ are also investigating the circumstances surrounding the material weakness in our internal controls over financial reporting for income taxes that was disclosed in a notification of late filing on Form 12b-25 filed on March 1, 2011 and in current reports on Form 8-K filed on February 21, 2012 and on July 24, 2012 and the subsequent restatements of our historical financial statements. We are cooperating fully with these investigations. We are unable to predict the outcome of these matters due to the inherent uncertainties presented by such investigations, and we are unable to predict potential outcomes or estimate the range of potential loss contingencies, if any. The government, generally, has a broad range of civil and criminal penalties available for these types of matters under applicable law and regulation, including injunctive relief, fines, penalties and modifications to business practices, some of which, if imposed on us, could be material to our business, financial condition or results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Additionally, we are aware of various disputes and potential claims and are a party in various litigation involving claims against us, including as a defendant in various employment claims alleging our failure to pay certain classes of workers overtime in compliance with the Fair Labor Standards Act. Some of these disputes and claims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 In addition we have certain claims, disputes and pending litigation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Commitments and Other Contingencies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committed under various operating lease agreements primarily related to office space and equipment. Generally, these leases include renewal provisions and rental payments, which may be adjusted for taxes, insurance and maintenance related to the property. Future minimum commitments under noncancellable operating leases are as follows (dollars in millions):</w:t>
      </w:r>
    </w:p>
    <w:p>
      <w:pPr>
        <w:spacing w:after="0" w:line="115" w:lineRule="exact"/>
        <w:rPr>
          <w:sz w:val="20"/>
          <w:szCs w:val="20"/>
          <w:color w:val="auto"/>
        </w:rPr>
      </w:pPr>
    </w:p>
    <w:tbl>
      <w:tblPr>
        <w:tblLayout w:type="fixed"/>
        <w:tblInd w:w="1540" w:type="dxa"/>
        <w:tblCellMar>
          <w:top w:w="0" w:type="dxa"/>
          <w:left w:w="0" w:type="dxa"/>
          <w:bottom w:w="0" w:type="dxa"/>
          <w:right w:w="0" w:type="dxa"/>
        </w:tblCellMar>
      </w:tblPr>
      <w:tr>
        <w:trPr>
          <w:trHeight w:val="270"/>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88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2017</w:t>
            </w:r>
          </w:p>
        </w:tc>
        <w:tc>
          <w:tcPr>
            <w:tcW w:w="8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7"/>
        </w:trPr>
        <w:tc>
          <w:tcPr>
            <w:tcW w:w="6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2019</w:t>
            </w:r>
          </w:p>
        </w:tc>
        <w:tc>
          <w:tcPr>
            <w:tcW w:w="8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6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1240" w:type="dxa"/>
            <w:vAlign w:val="bottom"/>
          </w:tcPr>
          <w:p>
            <w:pPr>
              <w:jc w:val="right"/>
              <w:spacing w:after="0"/>
              <w:rPr>
                <w:sz w:val="20"/>
                <w:szCs w:val="20"/>
                <w:color w:val="auto"/>
              </w:rPr>
            </w:pPr>
            <w:r>
              <w:rPr>
                <w:rFonts w:ascii="Arial" w:cs="Arial" w:eastAsia="Arial" w:hAnsi="Arial"/>
                <w:sz w:val="18"/>
                <w:szCs w:val="18"/>
                <w:color w:val="auto"/>
              </w:rPr>
              <w:t>277</w:t>
            </w:r>
          </w:p>
        </w:tc>
      </w:tr>
      <w:tr>
        <w:trPr>
          <w:trHeight w:val="27"/>
        </w:trPr>
        <w:tc>
          <w:tcPr>
            <w:tcW w:w="62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7120" w:type="dxa"/>
            <w:vAlign w:val="bottom"/>
            <w:tcBorders>
              <w:bottom w:val="single" w:sz="8" w:color="CCEEFF"/>
            </w:tcBorders>
            <w:gridSpan w:val="2"/>
            <w:shd w:val="clear" w:color="auto" w:fill="CCEEFF"/>
          </w:tcPr>
          <w:p>
            <w:pPr>
              <w:ind w:left="6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Total rent expense incurred under operating leases was approximately $426 million, $536 million and $581 million for the years ended December 31, 2015, 2014 and 2013, respectively. The future rental commitment table above does not include leases that are short-term in nature or can be cancelled with notice of less than three months. We maintain a contractual residual value guarantee at December 31, 2015 of $68 million in “Other Current Liabilities” and $28 million in “Other Non-Current Liabilities” related to certain lease equipment in our North America pressure pumping business and our Land Drilling Rigs segment on our Consolidated Balance Sheets.</w:t>
      </w:r>
    </w:p>
    <w:p>
      <w:pPr>
        <w:spacing w:after="0" w:line="188" w:lineRule="exact"/>
        <w:rPr>
          <w:sz w:val="20"/>
          <w:szCs w:val="20"/>
          <w:color w:val="auto"/>
        </w:rPr>
      </w:pPr>
    </w:p>
    <w:p>
      <w:pPr>
        <w:ind w:left="60" w:right="20" w:firstLine="324"/>
        <w:spacing w:after="0" w:line="308" w:lineRule="auto"/>
        <w:rPr>
          <w:sz w:val="20"/>
          <w:szCs w:val="20"/>
          <w:color w:val="auto"/>
        </w:rPr>
      </w:pPr>
      <w:r>
        <w:rPr>
          <w:rFonts w:ascii="Arial" w:cs="Arial" w:eastAsia="Arial" w:hAnsi="Arial"/>
          <w:sz w:val="17"/>
          <w:szCs w:val="17"/>
          <w:color w:val="auto"/>
        </w:rPr>
        <w:t>We have supply contract related minimum purchase commitments and maintain a liability at December 31, 2015 of $124 million, of which $47 million is recorded in “Other Current Liabilities” and $77 million is recorded in “Other Non-Current Liabilities” on our Consolidated Balance Sheets.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39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right="9500" w:hanging="332"/>
        <w:spacing w:after="0" w:line="566" w:lineRule="auto"/>
        <w:tabs>
          <w:tab w:leader="none" w:pos="286"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Segment Information </w:t>
      </w:r>
      <w:r>
        <w:rPr>
          <w:rFonts w:ascii="Arial" w:cs="Arial" w:eastAsia="Arial" w:hAnsi="Arial"/>
          <w:sz w:val="16"/>
          <w:szCs w:val="16"/>
          <w:b w:val="1"/>
          <w:bCs w:val="1"/>
          <w:i w:val="1"/>
          <w:iCs w:val="1"/>
          <w:color w:val="auto"/>
        </w:rPr>
        <w:t>Reporting Segments</w:t>
      </w:r>
    </w:p>
    <w:p>
      <w:pPr>
        <w:spacing w:after="0" w:line="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first quarter of 2015, we changed our business structure to better align with management’s current view and future growth objectives. This involved separating our Land Drilling Rigs business into a reportable segment resulting in a total of five reportable segments which are North America, MENA/Asia Pacific, Europe/SSA/Russia, Latin America and Land Drilling Rigs. The operational performance of our segments is reviewed and managed primarily on a geographic basis, and we report the regional segments as separate, distinct reporting segments. In addition, our Land Drilling Rigs business, which we intend to divest, is reviewed and managed apart from our regional segments. Our corporate and other expenses that do not individually meet the criteria for segment reporting continue to be reported separately as Corporate and Research and Development. Each business reflects a reportable segment led by separate business segment management that reports directly or indirectly to our chief operating decision maker (“CODM”). Our CODM assesses performance and allocates resources on the basis of the five reportable segments. We have revised our business segment reporting to reflect our current management approach and recast prior periods to conform to the current business segment presentation.</w:t>
      </w:r>
    </w:p>
    <w:p>
      <w:pPr>
        <w:spacing w:after="0" w:line="18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Financial information by segment is summarized below. Revenues are attributable to countries based on the ultimate destination of the sale of products or performance of services. The accounting policies of the segments are the same as those described in “Note 1 – Summary of Significant Accounting Policies”. Included in the income (loss) from operations in MENA/Asia Pacific are losses related to our long-term early production facility construction contracts in Iraq accounted for under the percentage-of-completion method as described in “Note 5 – Percentage of Completion Contracts”.</w:t>
      </w:r>
    </w:p>
    <w:p>
      <w:pPr>
        <w:spacing w:after="0" w:line="96" w:lineRule="exact"/>
        <w:rPr>
          <w:sz w:val="20"/>
          <w:szCs w:val="20"/>
          <w:color w:val="auto"/>
        </w:rPr>
      </w:pPr>
    </w:p>
    <w:p>
      <w:pPr>
        <w:ind w:left="7160"/>
        <w:spacing w:after="0"/>
        <w:rPr>
          <w:sz w:val="20"/>
          <w:szCs w:val="20"/>
          <w:color w:val="auto"/>
        </w:rPr>
      </w:pPr>
      <w:r>
        <w:rPr>
          <w:rFonts w:ascii="Arial" w:cs="Arial" w:eastAsia="Arial" w:hAnsi="Arial"/>
          <w:sz w:val="18"/>
          <w:szCs w:val="18"/>
          <w:b w:val="1"/>
          <w:bCs w:val="1"/>
          <w:color w:val="auto"/>
        </w:rPr>
        <w:t>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34290</wp:posOffset>
            </wp:positionV>
            <wp:extent cx="39103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Net</w:t>
            </w: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Income (Loss)</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Depreciation</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Operating</w:t>
            </w:r>
          </w:p>
        </w:tc>
        <w:tc>
          <w:tcPr>
            <w:tcW w:w="18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from</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and</w:t>
            </w:r>
          </w:p>
        </w:tc>
        <w:tc>
          <w:tcPr>
            <w:tcW w:w="200" w:type="dxa"/>
            <w:vAlign w:val="bottom"/>
          </w:tcPr>
          <w:p>
            <w:pPr>
              <w:spacing w:after="0"/>
              <w:rPr>
                <w:sz w:val="17"/>
                <w:szCs w:val="17"/>
                <w:color w:val="auto"/>
              </w:rPr>
            </w:pPr>
          </w:p>
        </w:tc>
        <w:tc>
          <w:tcPr>
            <w:tcW w:w="1280" w:type="dxa"/>
            <w:vAlign w:val="bottom"/>
          </w:tcPr>
          <w:p>
            <w:pPr>
              <w:jc w:val="right"/>
              <w:ind w:right="392"/>
              <w:spacing w:after="0"/>
              <w:rPr>
                <w:sz w:val="20"/>
                <w:szCs w:val="20"/>
                <w:color w:val="auto"/>
              </w:rPr>
            </w:pPr>
            <w:r>
              <w:rPr>
                <w:rFonts w:ascii="Arial" w:cs="Arial" w:eastAsia="Arial" w:hAnsi="Arial"/>
                <w:sz w:val="16"/>
                <w:szCs w:val="16"/>
                <w:b w:val="1"/>
                <w:bCs w:val="1"/>
                <w:color w:val="auto"/>
              </w:rPr>
              <w:t>Capital</w:t>
            </w:r>
          </w:p>
        </w:tc>
      </w:tr>
      <w:tr>
        <w:trPr>
          <w:trHeight w:val="243"/>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87"/>
              </w:rPr>
              <w:t>Revenues</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8"/>
              </w:rPr>
              <w:t xml:space="preserve">Operations </w:t>
            </w:r>
            <w:r>
              <w:rPr>
                <w:rFonts w:ascii="Arial" w:cs="Arial" w:eastAsia="Arial" w:hAnsi="Arial"/>
                <w:sz w:val="21"/>
                <w:szCs w:val="21"/>
                <w:b w:val="1"/>
                <w:bCs w:val="1"/>
                <w:color w:val="auto"/>
                <w:w w:val="88"/>
                <w:vertAlign w:val="superscript"/>
              </w:rPr>
              <w:t>(a)</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6"/>
              </w:rPr>
              <w:t>Expenditures</w:t>
            </w: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MENA/Asia Pacific</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75</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Latin America</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1,746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227</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68</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Corporate and Research and Development</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19</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Long-Lived Asset Impairment and Other Related Charges </w:t>
            </w:r>
            <w:r>
              <w:rPr>
                <w:rFonts w:ascii="Arial" w:cs="Arial" w:eastAsia="Arial" w:hAnsi="Arial"/>
                <w:sz w:val="25"/>
                <w:szCs w:val="25"/>
                <w:color w:val="auto"/>
                <w:vertAlign w:val="superscript"/>
              </w:rPr>
              <w:t>(b)</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Equity Investment Impairment</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Severance and Restructuring Charges </w:t>
            </w:r>
            <w:r>
              <w:rPr>
                <w:rFonts w:ascii="Arial" w:cs="Arial" w:eastAsia="Arial" w:hAnsi="Arial"/>
                <w:sz w:val="25"/>
                <w:szCs w:val="25"/>
                <w:color w:val="auto"/>
                <w:vertAlign w:val="superscript"/>
              </w:rPr>
              <w:t>(c)</w:t>
            </w: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Litigation Charges</w:t>
            </w: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Sale of Businesses and Investments, Net</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70"/>
        </w:trPr>
        <w:tc>
          <w:tcPr>
            <w:tcW w:w="5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(d)</w:t>
            </w:r>
          </w:p>
        </w:tc>
        <w:tc>
          <w:tcPr>
            <w:tcW w:w="2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9,433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682</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jc w:val="both"/>
        <w:ind w:left="500" w:hanging="330"/>
        <w:spacing w:after="0" w:line="247"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During 2015, we recognized inventory write-downs of $223 million attributable to each reporting segment as follows: $73 million in North America, $54 million in Latin America, $38 million in MENA/Asia Pacific, $32 million in Europe/SSA/Russia, and $26 million for Land Drilling Rigs. We recognized a charge for bad debt expense of $48 million of which $31 million was taken in the fourth quarter. The charges attributable to our reporting segments are as follows: $20 million in North America, $12 million for Europe/SSA/Russia, $9 million in Latin America, and $7 million in MENA/Asia Pacific.</w:t>
      </w:r>
    </w:p>
    <w:p>
      <w:pPr>
        <w:spacing w:after="0" w:line="3" w:lineRule="exact"/>
        <w:rPr>
          <w:rFonts w:ascii="Arial" w:cs="Arial" w:eastAsia="Arial" w:hAnsi="Arial"/>
          <w:sz w:val="16"/>
          <w:szCs w:val="16"/>
          <w:color w:val="auto"/>
        </w:rPr>
      </w:pPr>
    </w:p>
    <w:p>
      <w:pPr>
        <w:ind w:left="500" w:hanging="330"/>
        <w:spacing w:after="0" w:line="246"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asset impairment charges of $638 million, supply agreement charges related to a non-core business divestiture of $67 million, and pressure pumping business related charges of $63 million.</w:t>
      </w:r>
    </w:p>
    <w:p>
      <w:pPr>
        <w:ind w:left="500" w:right="20" w:hanging="330"/>
        <w:spacing w:after="0" w:line="246"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recognized 2015 Plan severance and restructuring charges of $232 million: $52 million in North America, $56 million in MENA/Asia Pacific, $56 million in Europe/SSA/Russia, $40 million in Latin America, $12 million in Land Drilling Rigs and $16 million in Corporate and Research and Development.</w:t>
      </w:r>
    </w:p>
    <w:p>
      <w:pPr>
        <w:ind w:left="500" w:hanging="330"/>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Includes $17 million in professional and other fees, $11 million in divestiture related charges and facility closures and $24 million in other charges.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395"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526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5"/>
          </w:tcPr>
          <w:p>
            <w:pPr>
              <w:ind w:left="220"/>
              <w:spacing w:after="0"/>
              <w:rPr>
                <w:sz w:val="20"/>
                <w:szCs w:val="20"/>
                <w:color w:val="auto"/>
              </w:rPr>
            </w:pPr>
            <w:r>
              <w:rPr>
                <w:rFonts w:ascii="Arial" w:cs="Arial" w:eastAsia="Arial" w:hAnsi="Arial"/>
                <w:sz w:val="18"/>
                <w:szCs w:val="18"/>
                <w:b w:val="1"/>
                <w:bCs w:val="1"/>
                <w:color w:val="auto"/>
              </w:rPr>
              <w:t>Year Ended December 31, 2014</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1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Depreciation</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Operating</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and</w:t>
            </w:r>
          </w:p>
        </w:tc>
        <w:tc>
          <w:tcPr>
            <w:tcW w:w="180" w:type="dxa"/>
            <w:vAlign w:val="bottom"/>
          </w:tcPr>
          <w:p>
            <w:pPr>
              <w:spacing w:after="0"/>
              <w:rPr>
                <w:sz w:val="18"/>
                <w:szCs w:val="18"/>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Capital</w:t>
            </w:r>
          </w:p>
        </w:tc>
      </w:tr>
      <w:tr>
        <w:trPr>
          <w:trHeight w:val="234"/>
        </w:trPr>
        <w:tc>
          <w:tcPr>
            <w:tcW w:w="526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2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Expenditures</w:t>
            </w:r>
          </w:p>
        </w:tc>
      </w:tr>
      <w:tr>
        <w:trPr>
          <w:trHeight w:val="27"/>
        </w:trPr>
        <w:tc>
          <w:tcPr>
            <w:tcW w:w="128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MENA/Asia Pacific</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183</w:t>
            </w:r>
          </w:p>
        </w:tc>
      </w:tr>
      <w:tr>
        <w:trPr>
          <w:trHeight w:val="27"/>
        </w:trPr>
        <w:tc>
          <w:tcPr>
            <w:tcW w:w="1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Latin America</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311</w:t>
            </w:r>
          </w:p>
        </w:tc>
      </w:tr>
      <w:tr>
        <w:trPr>
          <w:trHeight w:val="27"/>
        </w:trPr>
        <w:tc>
          <w:tcPr>
            <w:tcW w:w="128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Land Drilling Rigs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1,242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158</w:t>
            </w:r>
          </w:p>
        </w:tc>
      </w:tr>
      <w:tr>
        <w:trPr>
          <w:trHeight w:val="27"/>
        </w:trPr>
        <w:tc>
          <w:tcPr>
            <w:tcW w:w="128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128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Corporate and Research and Development</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1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Long-Lived Asset Impairments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Severance and Restructuring Charges </w:t>
            </w:r>
            <w:r>
              <w:rPr>
                <w:rFonts w:ascii="Arial" w:cs="Arial" w:eastAsia="Arial" w:hAnsi="Arial"/>
                <w:sz w:val="25"/>
                <w:szCs w:val="25"/>
                <w:color w:val="auto"/>
                <w:vertAlign w:val="superscript"/>
              </w:rPr>
              <w:t>(e)</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Gain on Sale of Businesses and Investments, Net</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(f)</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r>
      <w:tr>
        <w:trPr>
          <w:trHeight w:val="257"/>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14,911</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1,450</w:t>
            </w:r>
          </w:p>
        </w:tc>
      </w:tr>
      <w:tr>
        <w:trPr>
          <w:trHeight w:val="20"/>
        </w:trPr>
        <w:tc>
          <w:tcPr>
            <w:tcW w:w="12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line="300" w:lineRule="auto"/>
        <w:tabs>
          <w:tab w:leader="none" w:pos="5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recognized 2014 and 2015 Plan severance and restructuring charges of $331 million: $76 million in North America, $133 million in MENA/Asia Pacific, $35 million in Europe/SSA/Russia, $48 million in Latin America, $9 million in Land Drilling Rigs and $30 million in Corporate and Research and Development.</w:t>
      </w:r>
    </w:p>
    <w:p>
      <w:pPr>
        <w:ind w:left="500" w:hanging="330"/>
        <w:spacing w:after="0" w:line="275"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Includes professional fees of $107 million related to the divestiture of our non-core businesses, restatement related litigation, the settlement of the U.S. government investigations, and our 2014 redomestication from Switzerland to Ireland and other charges of $5 million.</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5"/>
          </w:tcPr>
          <w:p>
            <w:pPr>
              <w:ind w:left="220"/>
              <w:spacing w:after="0"/>
              <w:rPr>
                <w:sz w:val="20"/>
                <w:szCs w:val="20"/>
                <w:color w:val="auto"/>
              </w:rPr>
            </w:pPr>
            <w:r>
              <w:rPr>
                <w:rFonts w:ascii="Arial" w:cs="Arial" w:eastAsia="Arial" w:hAnsi="Arial"/>
                <w:sz w:val="18"/>
                <w:szCs w:val="18"/>
                <w:b w:val="1"/>
                <w:bCs w:val="1"/>
                <w:color w:val="auto"/>
              </w:rPr>
              <w:t>Year Ended December 31, 2013</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Net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Depreciation</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Operating</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from</w:t>
            </w:r>
          </w:p>
        </w:tc>
        <w:tc>
          <w:tcPr>
            <w:tcW w:w="1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and</w:t>
            </w:r>
          </w:p>
        </w:tc>
        <w:tc>
          <w:tcPr>
            <w:tcW w:w="180" w:type="dxa"/>
            <w:vAlign w:val="bottom"/>
          </w:tcPr>
          <w:p>
            <w:pPr>
              <w:spacing w:after="0"/>
              <w:rPr>
                <w:sz w:val="18"/>
                <w:szCs w:val="18"/>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Capital</w:t>
            </w:r>
          </w:p>
        </w:tc>
      </w:tr>
      <w:tr>
        <w:trPr>
          <w:trHeight w:val="261"/>
        </w:trPr>
        <w:tc>
          <w:tcPr>
            <w:tcW w:w="5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w:t>
            </w:r>
          </w:p>
        </w:tc>
        <w:tc>
          <w:tcPr>
            <w:tcW w:w="220" w:type="dxa"/>
            <w:vAlign w:val="bottom"/>
          </w:tcPr>
          <w:p>
            <w:pPr>
              <w:spacing w:after="0"/>
              <w:rPr>
                <w:sz w:val="22"/>
                <w:szCs w:val="22"/>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2"/>
                <w:szCs w:val="22"/>
                <w:color w:val="auto"/>
              </w:rPr>
            </w:pPr>
          </w:p>
        </w:tc>
        <w:tc>
          <w:tcPr>
            <w:tcW w:w="1420" w:type="dxa"/>
            <w:vAlign w:val="bottom"/>
            <w:gridSpan w:val="2"/>
          </w:tcPr>
          <w:p>
            <w:pPr>
              <w:jc w:val="center"/>
              <w:ind w:right="260"/>
              <w:spacing w:after="0" w:line="262" w:lineRule="exact"/>
              <w:rPr>
                <w:sz w:val="20"/>
                <w:szCs w:val="20"/>
                <w:color w:val="auto"/>
              </w:rPr>
            </w:pPr>
            <w:r>
              <w:rPr>
                <w:rFonts w:ascii="Arial" w:cs="Arial" w:eastAsia="Arial" w:hAnsi="Arial"/>
                <w:sz w:val="18"/>
                <w:szCs w:val="18"/>
                <w:b w:val="1"/>
                <w:bCs w:val="1"/>
                <w:color w:val="auto"/>
                <w:w w:val="85"/>
              </w:rPr>
              <w:t xml:space="preserve">Operations </w:t>
            </w:r>
            <w:r>
              <w:rPr>
                <w:rFonts w:ascii="Arial" w:cs="Arial" w:eastAsia="Arial" w:hAnsi="Arial"/>
                <w:sz w:val="25"/>
                <w:szCs w:val="25"/>
                <w:b w:val="1"/>
                <w:bCs w:val="1"/>
                <w:color w:val="auto"/>
                <w:w w:val="85"/>
                <w:vertAlign w:val="superscript"/>
              </w:rPr>
              <w:t>(g)</w:t>
            </w:r>
          </w:p>
        </w:tc>
        <w:tc>
          <w:tcPr>
            <w:tcW w:w="180" w:type="dxa"/>
            <w:vAlign w:val="bottom"/>
          </w:tcPr>
          <w:p>
            <w:pPr>
              <w:spacing w:after="0"/>
              <w:rPr>
                <w:sz w:val="22"/>
                <w:szCs w:val="2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Amortization</w:t>
            </w:r>
          </w:p>
        </w:tc>
        <w:tc>
          <w:tcPr>
            <w:tcW w:w="180" w:type="dxa"/>
            <w:vAlign w:val="bottom"/>
          </w:tcPr>
          <w:p>
            <w:pPr>
              <w:spacing w:after="0"/>
              <w:rPr>
                <w:sz w:val="22"/>
                <w:szCs w:val="22"/>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Expenditures</w:t>
            </w:r>
          </w:p>
        </w:tc>
      </w:tr>
      <w:tr>
        <w:trPr>
          <w:trHeight w:val="244"/>
        </w:trPr>
        <w:tc>
          <w:tcPr>
            <w:tcW w:w="52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MENA/Asia Pacific</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2,746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Europe/SSA/Russia</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70"/>
        </w:trPr>
        <w:tc>
          <w:tcPr>
            <w:tcW w:w="52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Latin America </w:t>
            </w:r>
            <w:r>
              <w:rPr>
                <w:rFonts w:ascii="Arial" w:cs="Arial" w:eastAsia="Arial" w:hAnsi="Arial"/>
                <w:sz w:val="25"/>
                <w:szCs w:val="25"/>
                <w:color w:val="auto"/>
                <w:vertAlign w:val="superscript"/>
              </w:rPr>
              <w:t>(h)</w:t>
            </w: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2,635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r>
      <w:tr>
        <w:trPr>
          <w:trHeight w:val="244"/>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Subtotal</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1,185</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Land Drilling Rigs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327</w:t>
            </w:r>
          </w:p>
        </w:tc>
      </w:tr>
      <w:tr>
        <w:trPr>
          <w:trHeight w:val="27"/>
        </w:trPr>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1,512</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Corporate and Research and Development</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Charges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Gain on Sale of Businesses and Investments, Net</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2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Items </w:t>
            </w:r>
            <w:r>
              <w:rPr>
                <w:rFonts w:ascii="Arial" w:cs="Arial" w:eastAsia="Arial" w:hAnsi="Arial"/>
                <w:sz w:val="25"/>
                <w:szCs w:val="25"/>
                <w:color w:val="auto"/>
                <w:vertAlign w:val="superscript"/>
              </w:rPr>
              <w:t>(i)</w:t>
            </w: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spacing w:after="0"/>
              <w:rPr>
                <w:sz w:val="23"/>
                <w:szCs w:val="23"/>
                <w:color w:val="auto"/>
              </w:rPr>
            </w:pP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15,263</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1,575</w:t>
            </w: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jc w:val="both"/>
        <w:ind w:left="500" w:hanging="330"/>
        <w:spacing w:after="0" w:line="256"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recognized a charge for bad debt expense of $98 million attributable to our reporting segments as follows: $51 million in Latin America, $26 million in Land Drilling Rigs, $10 million for Europe/SSA/Russia, $9 million in MENA/Asia Pacific, and $2 million in North America. During 2013, we recognized a charge for excess and obsolete inventory of $62 million attributable to each reporting segment as follows: $35 million in North America, $13 million in Europe/SSA/Russia, $7 million in MENA/Asia Pacific, $6 million in Latin America and $1 million for Land Drilling Rigs.</w:t>
      </w:r>
    </w:p>
    <w:p>
      <w:pPr>
        <w:spacing w:after="0" w:line="25" w:lineRule="exact"/>
        <w:rPr>
          <w:rFonts w:ascii="Arial" w:cs="Arial" w:eastAsia="Arial" w:hAnsi="Arial"/>
          <w:sz w:val="16"/>
          <w:szCs w:val="16"/>
          <w:color w:val="auto"/>
        </w:rPr>
      </w:pPr>
    </w:p>
    <w:p>
      <w:pPr>
        <w:ind w:left="500" w:right="20" w:hanging="330"/>
        <w:spacing w:after="0" w:line="275"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December 17, 2013, we accepted bonds with a face value of $127 million from PDVSA in full settlement of $127 million in trade receivables. Upon receipt, we immediately sold these bonds in a series of transactions recognizing a loss of $58 million.</w:t>
      </w:r>
    </w:p>
    <w:p>
      <w:pPr>
        <w:spacing w:after="0" w:line="10" w:lineRule="exact"/>
        <w:rPr>
          <w:rFonts w:ascii="Arial" w:cs="Arial" w:eastAsia="Arial" w:hAnsi="Arial"/>
          <w:sz w:val="16"/>
          <w:szCs w:val="16"/>
          <w:color w:val="auto"/>
        </w:rPr>
      </w:pPr>
    </w:p>
    <w:p>
      <w:pPr>
        <w:ind w:left="500" w:hanging="330"/>
        <w:spacing w:after="0" w:line="275"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$67 million of professional fees and expenses for U.S. government investigations and the remediation of our material weakness related to income taxes, $94 million of severance and $39 million of other items.</w:t>
      </w:r>
    </w:p>
    <w:p>
      <w:pPr>
        <w:sectPr>
          <w:pgSz w:w="11900" w:h="16838" w:orient="portrait"/>
          <w:cols w:equalWidth="0" w:num="1">
            <w:col w:w="11420"/>
          </w:cols>
          <w:pgMar w:left="240" w:top="378"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378"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assets by segment at December 31:</w:t>
      </w:r>
    </w:p>
    <w:p>
      <w:pPr>
        <w:spacing w:after="0" w:line="16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0" w:type="dxa"/>
            <w:vAlign w:val="bottom"/>
            <w:gridSpan w:val="3"/>
          </w:tcPr>
          <w:p>
            <w:pPr>
              <w:jc w:val="right"/>
              <w:ind w:right="711"/>
              <w:spacing w:after="0"/>
              <w:rPr>
                <w:sz w:val="20"/>
                <w:szCs w:val="20"/>
                <w:color w:val="auto"/>
              </w:rPr>
            </w:pPr>
            <w:r>
              <w:rPr>
                <w:rFonts w:ascii="Arial" w:cs="Arial" w:eastAsia="Arial" w:hAnsi="Arial"/>
                <w:sz w:val="18"/>
                <w:szCs w:val="18"/>
                <w:b w:val="1"/>
                <w:bCs w:val="1"/>
                <w:color w:val="auto"/>
              </w:rPr>
              <w:t>Total Assets at</w:t>
            </w:r>
          </w:p>
        </w:tc>
      </w:tr>
      <w:tr>
        <w:trPr>
          <w:trHeight w:val="234"/>
        </w:trPr>
        <w:tc>
          <w:tcPr>
            <w:tcW w:w="8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3"/>
          </w:tcPr>
          <w:p>
            <w:pPr>
              <w:jc w:val="right"/>
              <w:ind w:right="731"/>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8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86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(Dollars in millions)</w:t>
            </w:r>
          </w:p>
        </w:tc>
        <w:tc>
          <w:tcPr>
            <w:tcW w:w="320" w:type="dxa"/>
            <w:vAlign w:val="bottom"/>
          </w:tcPr>
          <w:p>
            <w:pPr>
              <w:spacing w:after="0"/>
              <w:rPr>
                <w:sz w:val="18"/>
                <w:szCs w:val="18"/>
                <w:color w:val="auto"/>
              </w:rPr>
            </w:pPr>
          </w:p>
        </w:tc>
        <w:tc>
          <w:tcPr>
            <w:tcW w:w="1000" w:type="dxa"/>
            <w:vAlign w:val="bottom"/>
          </w:tcPr>
          <w:p>
            <w:pPr>
              <w:jc w:val="right"/>
              <w:ind w:right="391"/>
              <w:spacing w:after="0"/>
              <w:rPr>
                <w:sz w:val="20"/>
                <w:szCs w:val="20"/>
                <w:color w:val="auto"/>
              </w:rPr>
            </w:pPr>
            <w:r>
              <w:rPr>
                <w:rFonts w:ascii="Arial" w:cs="Arial" w:eastAsia="Arial" w:hAnsi="Arial"/>
                <w:sz w:val="16"/>
                <w:szCs w:val="16"/>
                <w:b w:val="1"/>
                <w:bCs w:val="1"/>
                <w:color w:val="auto"/>
              </w:rPr>
              <w:t>2015</w:t>
            </w:r>
          </w:p>
        </w:tc>
        <w:tc>
          <w:tcPr>
            <w:tcW w:w="360" w:type="dxa"/>
            <w:vAlign w:val="bottom"/>
          </w:tcPr>
          <w:p>
            <w:pPr>
              <w:spacing w:after="0"/>
              <w:rPr>
                <w:sz w:val="18"/>
                <w:szCs w:val="18"/>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2014</w:t>
            </w:r>
          </w:p>
        </w:tc>
      </w:tr>
      <w:tr>
        <w:trPr>
          <w:trHeight w:val="33"/>
        </w:trPr>
        <w:tc>
          <w:tcPr>
            <w:tcW w:w="8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7,297</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MENA/Asia Pacific</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2,536</w:t>
            </w:r>
          </w:p>
        </w:tc>
        <w:tc>
          <w:tcPr>
            <w:tcW w:w="3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3,022</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Europe/SSA/Russia</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3,106</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Latin America</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2,683</w:t>
            </w:r>
          </w:p>
        </w:tc>
        <w:tc>
          <w:tcPr>
            <w:tcW w:w="3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3,211</w:t>
            </w:r>
          </w:p>
        </w:tc>
      </w:tr>
      <w:tr>
        <w:trPr>
          <w:trHeight w:val="27"/>
        </w:trPr>
        <w:tc>
          <w:tcPr>
            <w:tcW w:w="8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Drilling Rigs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1,907</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Corporate and 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472</w:t>
            </w:r>
          </w:p>
        </w:tc>
        <w:tc>
          <w:tcPr>
            <w:tcW w:w="3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346</w:t>
            </w:r>
          </w:p>
        </w:tc>
      </w:tr>
      <w:tr>
        <w:trPr>
          <w:trHeight w:val="27"/>
        </w:trPr>
        <w:tc>
          <w:tcPr>
            <w:tcW w:w="8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14,787</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18,889</w:t>
            </w:r>
          </w:p>
        </w:tc>
      </w:tr>
      <w:tr>
        <w:trPr>
          <w:trHeight w:val="20"/>
        </w:trPr>
        <w:tc>
          <w:tcPr>
            <w:tcW w:w="8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60" w:firstLine="324"/>
        <w:spacing w:after="0" w:line="264" w:lineRule="auto"/>
        <w:rPr>
          <w:sz w:val="20"/>
          <w:szCs w:val="20"/>
          <w:color w:val="auto"/>
        </w:rPr>
      </w:pPr>
      <w:r>
        <w:rPr>
          <w:rFonts w:ascii="Arial" w:cs="Arial" w:eastAsia="Arial" w:hAnsi="Arial"/>
          <w:sz w:val="18"/>
          <w:szCs w:val="18"/>
          <w:color w:val="auto"/>
        </w:rPr>
        <w:t>Total assets in the United States, which is part of our North America segment, were $4.4 billion and $6.1 billion as of December 31, 2015 and 2014, respectively. The remaining North America total assets balance of $731 million and $1.2 billion, respectively as of December 31, 2015 and 2014, is related to our operations in Canada.</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Products and Services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one of the world’s leading providers of equipment and services used in the drilling, evaluation, completion, production and intervention of oil and natural gas wells. The composition of our consolidated revenues by product service line group is as follows:</w:t>
      </w:r>
    </w:p>
    <w:p>
      <w:pPr>
        <w:spacing w:after="0" w:line="117" w:lineRule="exact"/>
        <w:rPr>
          <w:sz w:val="20"/>
          <w:szCs w:val="20"/>
          <w:color w:val="auto"/>
        </w:rPr>
      </w:pPr>
    </w:p>
    <w:p>
      <w:pPr>
        <w:ind w:left="84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37465</wp:posOffset>
            </wp:positionV>
            <wp:extent cx="26327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00" w:type="dxa"/>
            <w:vAlign w:val="bottom"/>
            <w:gridSpan w:val="2"/>
          </w:tcPr>
          <w:p>
            <w:pPr>
              <w:ind w:left="7760"/>
              <w:spacing w:after="0"/>
              <w:rPr>
                <w:sz w:val="20"/>
                <w:szCs w:val="20"/>
                <w:color w:val="auto"/>
              </w:rPr>
            </w:pPr>
            <w:r>
              <w:rPr>
                <w:rFonts w:ascii="Arial" w:cs="Arial" w:eastAsia="Arial" w:hAnsi="Arial"/>
                <w:sz w:val="16"/>
                <w:szCs w:val="16"/>
                <w:b w:val="1"/>
                <w:bCs w:val="1"/>
                <w:color w:val="auto"/>
                <w:w w:val="89"/>
              </w:rPr>
              <w:t>2015</w:t>
            </w: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760" w:type="dxa"/>
            <w:vAlign w:val="bottom"/>
          </w:tcPr>
          <w:p>
            <w:pPr>
              <w:spacing w:after="0"/>
              <w:rPr>
                <w:sz w:val="18"/>
                <w:szCs w:val="18"/>
                <w:color w:val="auto"/>
              </w:rPr>
            </w:pPr>
          </w:p>
        </w:tc>
        <w:tc>
          <w:tcPr>
            <w:tcW w:w="1140" w:type="dxa"/>
            <w:vAlign w:val="bottom"/>
          </w:tcPr>
          <w:p>
            <w:pPr>
              <w:jc w:val="right"/>
              <w:ind w:right="412"/>
              <w:spacing w:after="0"/>
              <w:rPr>
                <w:sz w:val="20"/>
                <w:szCs w:val="20"/>
                <w:color w:val="auto"/>
              </w:rPr>
            </w:pPr>
            <w:r>
              <w:rPr>
                <w:rFonts w:ascii="Arial" w:cs="Arial" w:eastAsia="Arial" w:hAnsi="Arial"/>
                <w:sz w:val="16"/>
                <w:szCs w:val="16"/>
                <w:b w:val="1"/>
                <w:bCs w:val="1"/>
                <w:color w:val="auto"/>
              </w:rPr>
              <w:t>2013</w:t>
            </w:r>
          </w:p>
        </w:tc>
      </w:tr>
      <w:tr>
        <w:trPr>
          <w:trHeight w:val="33"/>
        </w:trPr>
        <w:tc>
          <w:tcPr>
            <w:tcW w:w="72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Formation Evaluation and Well Construction</w:t>
            </w:r>
          </w:p>
        </w:tc>
        <w:tc>
          <w:tcPr>
            <w:tcW w:w="142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8"/>
                <w:szCs w:val="18"/>
                <w:color w:val="auto"/>
              </w:rPr>
              <w:t>55%</w:t>
            </w:r>
          </w:p>
        </w:tc>
        <w:tc>
          <w:tcPr>
            <w:tcW w:w="7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8100" w:type="dxa"/>
            <w:vAlign w:val="bottom"/>
            <w:gridSpan w:val="2"/>
          </w:tcPr>
          <w:p>
            <w:pPr>
              <w:ind w:left="40"/>
              <w:spacing w:after="0"/>
              <w:rPr>
                <w:sz w:val="20"/>
                <w:szCs w:val="20"/>
                <w:color w:val="auto"/>
              </w:rPr>
            </w:pPr>
            <w:r>
              <w:rPr>
                <w:rFonts w:ascii="Arial" w:cs="Arial" w:eastAsia="Arial" w:hAnsi="Arial"/>
                <w:sz w:val="18"/>
                <w:szCs w:val="18"/>
                <w:color w:val="auto"/>
              </w:rPr>
              <w:t>Completion and Production</w:t>
            </w:r>
          </w:p>
        </w:tc>
        <w:tc>
          <w:tcPr>
            <w:tcW w:w="1420" w:type="dxa"/>
            <w:vAlign w:val="bottom"/>
          </w:tcPr>
          <w:p>
            <w:pPr>
              <w:jc w:val="right"/>
              <w:ind w:right="1032"/>
              <w:spacing w:after="0"/>
              <w:rPr>
                <w:sz w:val="20"/>
                <w:szCs w:val="20"/>
                <w:color w:val="auto"/>
              </w:rPr>
            </w:pPr>
            <w:r>
              <w:rPr>
                <w:rFonts w:ascii="Arial" w:cs="Arial" w:eastAsia="Arial" w:hAnsi="Arial"/>
                <w:sz w:val="18"/>
                <w:szCs w:val="18"/>
                <w:color w:val="auto"/>
              </w:rPr>
              <w:t>37</w:t>
            </w:r>
          </w:p>
        </w:tc>
        <w:tc>
          <w:tcPr>
            <w:tcW w:w="760" w:type="dxa"/>
            <w:vAlign w:val="bottom"/>
          </w:tcPr>
          <w:p>
            <w:pPr>
              <w:jc w:val="right"/>
              <w:ind w:right="370"/>
              <w:spacing w:after="0"/>
              <w:rPr>
                <w:sz w:val="20"/>
                <w:szCs w:val="20"/>
                <w:color w:val="auto"/>
              </w:rPr>
            </w:pPr>
            <w:r>
              <w:rPr>
                <w:rFonts w:ascii="Arial" w:cs="Arial" w:eastAsia="Arial" w:hAnsi="Arial"/>
                <w:sz w:val="18"/>
                <w:szCs w:val="18"/>
                <w:color w:val="auto"/>
              </w:rPr>
              <w:t>40</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38</w:t>
            </w:r>
          </w:p>
        </w:tc>
      </w:tr>
      <w:tr>
        <w:trPr>
          <w:trHeight w:val="27"/>
        </w:trPr>
        <w:tc>
          <w:tcPr>
            <w:tcW w:w="7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Drilling Rigs</w:t>
            </w:r>
          </w:p>
        </w:tc>
        <w:tc>
          <w:tcPr>
            <w:tcW w:w="8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32"/>
              <w:spacing w:after="0"/>
              <w:rPr>
                <w:sz w:val="20"/>
                <w:szCs w:val="20"/>
                <w:color w:val="auto"/>
              </w:rPr>
            </w:pPr>
            <w:r>
              <w:rPr>
                <w:rFonts w:ascii="Arial" w:cs="Arial" w:eastAsia="Arial" w:hAnsi="Arial"/>
                <w:sz w:val="18"/>
                <w:szCs w:val="18"/>
                <w:color w:val="auto"/>
              </w:rPr>
              <w:t>8</w:t>
            </w:r>
          </w:p>
        </w:tc>
        <w:tc>
          <w:tcPr>
            <w:tcW w:w="7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8</w:t>
            </w:r>
          </w:p>
        </w:tc>
        <w:tc>
          <w:tcPr>
            <w:tcW w:w="11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r>
      <w:tr>
        <w:trPr>
          <w:trHeight w:val="257"/>
        </w:trPr>
        <w:tc>
          <w:tcPr>
            <w:tcW w:w="7280" w:type="dxa"/>
            <w:vAlign w:val="bottom"/>
          </w:tcPr>
          <w:p>
            <w:pPr>
              <w:ind w:left="4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892"/>
              <w:spacing w:after="0"/>
              <w:rPr>
                <w:sz w:val="20"/>
                <w:szCs w:val="20"/>
                <w:color w:val="auto"/>
              </w:rPr>
            </w:pPr>
            <w:r>
              <w:rPr>
                <w:rFonts w:ascii="Arial" w:cs="Arial" w:eastAsia="Arial" w:hAnsi="Arial"/>
                <w:sz w:val="18"/>
                <w:szCs w:val="18"/>
                <w:color w:val="auto"/>
                <w:w w:val="91"/>
              </w:rPr>
              <w:t>100%</w:t>
            </w:r>
          </w:p>
        </w:tc>
        <w:tc>
          <w:tcPr>
            <w:tcW w:w="7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1"/>
              </w:rPr>
              <w:t>100%</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Geographic Areas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geographic area is summarized below. Revenues from customers and long-lived assets in Ireland were insignificant in each of the years presented. Long-lived assets exclude goodwill and intangible assets as well as deferred tax assets of $207 million and $129 million at December 31, 2015 and 2014, respectively.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w w:val="91"/>
              </w:rPr>
              <w:t>Revenues</w:t>
            </w: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Long-lived Assets</w:t>
            </w:r>
          </w:p>
        </w:tc>
      </w:tr>
      <w:tr>
        <w:trPr>
          <w:trHeight w:val="27"/>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36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4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r>
      <w:tr>
        <w:trPr>
          <w:trHeight w:val="27"/>
        </w:trPr>
        <w:tc>
          <w:tcPr>
            <w:tcW w:w="4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2,864</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5,567</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1,505</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2,114</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Middle East and North Africa</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1,843</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2,038</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1,686</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1,987</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2,381</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1,143</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Europe/SSA/Russia</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1,613</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2,584</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2,693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862</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1,158</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471</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Canada</w:t>
            </w:r>
          </w:p>
        </w:tc>
        <w:tc>
          <w:tcPr>
            <w:tcW w:w="3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630</w:t>
            </w:r>
          </w:p>
        </w:tc>
        <w:tc>
          <w:tcPr>
            <w:tcW w:w="3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1,284</w:t>
            </w:r>
          </w:p>
        </w:tc>
        <w:tc>
          <w:tcPr>
            <w:tcW w:w="4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191</w:t>
            </w:r>
          </w:p>
        </w:tc>
        <w:tc>
          <w:tcPr>
            <w:tcW w:w="4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264</w:t>
            </w: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9,433</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14,911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5,858</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7,365</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84</w:t>
            </w: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39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Consolidating Financial Statements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Weatherford Ireland, a public limited company organized under the laws of Ireland and the ultimate parent of the Weatherford group, guarantees the obligations of our subsidiaries – Weatherford Bermuda, a Bermuda exempted company, and Weatherford Delaware, a Delaware limited liability company, including the notes and credit facilities listed below.</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obligations of Weatherford Delaware were guaranteed by Weatherford Bermuda at December 31, 2015 and 2014: (1) 6.35% senior notes and (2) 6.80% senior notes.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obligations of Weatherford Bermuda were guaranteed by Weatherford Delaware at December 31, 2015 and 2014: (1) revolving credit facility, (2) 5.50% senior notes, (3) 6.50% senior notes, (4) 6.00% senior notes, (5) 7.00% senior notes, (6) 9.625% senior notes, (7) 9.875% senior notes, (8) 5.125% senior notes, (9) 6.75% senior notes, (10) 4.50% senior notes and (11) 5.95% senior notes. In 2014, we refinanced the 364-day term loan facility with a new 364-day term loan facility, which was an obligation of Weatherford Bermuda, was guaranteed by Weatherford Delaware as of December 31, 2014 and was repaid in 2015.</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a result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2015</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Ireland</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Delaware</w:t>
            </w:r>
          </w:p>
        </w:tc>
        <w:tc>
          <w:tcPr>
            <w:tcW w:w="2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Subsidiaries</w:t>
            </w:r>
          </w:p>
        </w:tc>
        <w:tc>
          <w:tcPr>
            <w:tcW w:w="20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Eliminations</w:t>
            </w:r>
          </w:p>
        </w:tc>
        <w:tc>
          <w:tcPr>
            <w:tcW w:w="2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9,433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(101)</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(10,873)</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(10,979)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(1,440)</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318"/>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(398)</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(403)</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878</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(1,801)</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(1,868)</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(492)</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4,161</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(1,985)</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(2,332)</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(818)</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(2,000)</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5,039</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(1,985)</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(2,332)</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(704)</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(1,969)</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5,039</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(1,985)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(2,332)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(704)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5,039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(2,745)</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(2,610)</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(754)</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(2,762)</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6,126</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39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Ireland</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Delaware</w:t>
            </w:r>
          </w:p>
        </w:tc>
        <w:tc>
          <w:tcPr>
            <w:tcW w:w="2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Subsidiaries</w:t>
            </w:r>
          </w:p>
        </w:tc>
        <w:tc>
          <w:tcPr>
            <w:tcW w:w="20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Eliminations</w:t>
            </w:r>
          </w:p>
        </w:tc>
        <w:tc>
          <w:tcPr>
            <w:tcW w:w="2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14,911</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(59)</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(14,332)</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(14,406)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579</w:t>
            </w: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(422)</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7,291</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(8,802)</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(424)</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(430)</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407</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449</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(582)</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6,441</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84</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(8,523)</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2,325</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(584)</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6,441</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215</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(8,936)</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2,325</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6,441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215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(8,981)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2,325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(1,278)</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5,811</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(9,674)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3,991</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Switzerland</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Delaware</w:t>
            </w:r>
          </w:p>
        </w:tc>
        <w:tc>
          <w:tcPr>
            <w:tcW w:w="2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Subsidiaries</w:t>
            </w:r>
          </w:p>
        </w:tc>
        <w:tc>
          <w:tcPr>
            <w:tcW w:w="20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15,263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15,263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(139)</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(14,548)</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(14,740)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715</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(430)</w:t>
            </w:r>
          </w:p>
        </w:tc>
        <w:tc>
          <w:tcPr>
            <w:tcW w:w="24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341</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(242)</w:t>
            </w:r>
          </w:p>
        </w:tc>
        <w:tc>
          <w:tcPr>
            <w:tcW w:w="2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461</w:t>
            </w:r>
          </w:p>
        </w:tc>
        <w:tc>
          <w:tcPr>
            <w:tcW w:w="2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(521)</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58</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887</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145</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(521)</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203</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598</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Attributable to</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567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(695)</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(788)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39</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214</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535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95"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00"/>
          </w:cols>
          <w:pgMar w:left="240" w:top="395" w:right="25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Weatherford</w:t>
            </w:r>
          </w:p>
        </w:tc>
        <w:tc>
          <w:tcPr>
            <w:tcW w:w="28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Weatherford</w:t>
            </w:r>
          </w:p>
        </w:tc>
        <w:tc>
          <w:tcPr>
            <w:tcW w:w="26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Ireland</w:t>
            </w:r>
          </w:p>
        </w:tc>
        <w:tc>
          <w:tcPr>
            <w:tcW w:w="28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18"/>
                <w:szCs w:val="18"/>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Subsidiaries</w:t>
            </w:r>
          </w:p>
        </w:tc>
        <w:tc>
          <w:tcPr>
            <w:tcW w:w="2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443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5,146</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5,097</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673</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5,589</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(704)</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5,564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5,693</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8,709</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9,187</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3,483</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(27,072)</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10,423</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9,175</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9,223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5,700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9,878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28,670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(38,199)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14,787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1,503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1,582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212</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2,922</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(704)</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2,449</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1,715</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2,995</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(704)</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4,031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4,910</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864</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105</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5,879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1,362</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6,147</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2,914</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77</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410</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1,396</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12,849</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3,794</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3,510</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(11,127)</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10,422</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4,304</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(4,111)</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6,084</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25,099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(27,072)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5,700</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8,738</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9,878</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28,670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(38,199)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14,787</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395"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2014</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b w:val="1"/>
                <w:bCs w:val="1"/>
                <w:color w:val="auto"/>
              </w:rPr>
              <w:t>Weatherford</w:t>
            </w:r>
          </w:p>
        </w:tc>
        <w:tc>
          <w:tcPr>
            <w:tcW w:w="28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Weatherford</w:t>
            </w:r>
          </w:p>
        </w:tc>
        <w:tc>
          <w:tcPr>
            <w:tcW w:w="260" w:type="dxa"/>
            <w:vAlign w:val="bottom"/>
          </w:tcPr>
          <w:p>
            <w:pPr>
              <w:spacing w:after="0"/>
              <w:rPr>
                <w:sz w:val="17"/>
                <w:szCs w:val="17"/>
                <w:color w:val="auto"/>
              </w:rPr>
            </w:pPr>
          </w:p>
        </w:tc>
        <w:tc>
          <w:tcPr>
            <w:tcW w:w="1200" w:type="dxa"/>
            <w:vAlign w:val="bottom"/>
          </w:tcPr>
          <w:p>
            <w:pPr>
              <w:jc w:val="right"/>
              <w:ind w:right="419"/>
              <w:spacing w:after="0"/>
              <w:rPr>
                <w:sz w:val="20"/>
                <w:szCs w:val="20"/>
                <w:color w:val="auto"/>
              </w:rPr>
            </w:pPr>
            <w:r>
              <w:rPr>
                <w:rFonts w:ascii="Arial" w:cs="Arial" w:eastAsia="Arial" w:hAnsi="Arial"/>
                <w:sz w:val="16"/>
                <w:szCs w:val="16"/>
                <w:b w:val="1"/>
                <w:bCs w:val="1"/>
                <w:color w:val="auto"/>
              </w:rPr>
              <w:t>Other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Ireland</w:t>
            </w:r>
          </w:p>
        </w:tc>
        <w:tc>
          <w:tcPr>
            <w:tcW w:w="28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18"/>
                <w:szCs w:val="18"/>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Subsidiaries</w:t>
            </w:r>
          </w:p>
        </w:tc>
        <w:tc>
          <w:tcPr>
            <w:tcW w:w="22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451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7,524</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7,470</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566</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7,975</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(614)</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7,944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8,662</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10,490</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9,730</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3,974</w:t>
            </w:r>
          </w:p>
        </w:tc>
        <w:tc>
          <w:tcPr>
            <w:tcW w:w="2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(32,856)</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10,490</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35</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10,889</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10,945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8,672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10,537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10,312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33,328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(43,960)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18,889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618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727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256</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3,615</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(614)</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43</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874</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3,718</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(614)</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4,027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5,749</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911</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137</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6,798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1,666</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6,202</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2,622</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(10,490)</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82</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939</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1,031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1,714</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12,907</w:t>
            </w: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3,544</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4,794</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(11,103)</w:t>
            </w: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11,856</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6,958</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(2,370)</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6,768</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28,459</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(32,857)</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75</w:t>
            </w:r>
          </w:p>
        </w:tc>
        <w:tc>
          <w:tcPr>
            <w:tcW w:w="22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8,672</w:t>
            </w:r>
          </w:p>
        </w:tc>
        <w:tc>
          <w:tcPr>
            <w:tcW w:w="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10,537</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10,312</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33,328</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(43,960)</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18,889</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39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2015</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2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Weatherford</w:t>
            </w:r>
          </w:p>
        </w:tc>
        <w:tc>
          <w:tcPr>
            <w:tcW w:w="280" w:type="dxa"/>
            <w:vAlign w:val="bottom"/>
          </w:tcPr>
          <w:p>
            <w:pPr>
              <w:spacing w:after="0"/>
              <w:rPr>
                <w:sz w:val="14"/>
                <w:szCs w:val="14"/>
                <w:color w:val="auto"/>
              </w:rPr>
            </w:pPr>
          </w:p>
        </w:tc>
        <w:tc>
          <w:tcPr>
            <w:tcW w:w="1240" w:type="dxa"/>
            <w:vAlign w:val="bottom"/>
          </w:tcPr>
          <w:p>
            <w:pPr>
              <w:jc w:val="right"/>
              <w:ind w:right="260"/>
              <w:spacing w:after="0"/>
              <w:rPr>
                <w:sz w:val="20"/>
                <w:szCs w:val="20"/>
                <w:color w:val="auto"/>
              </w:rPr>
            </w:pPr>
            <w:r>
              <w:rPr>
                <w:rFonts w:ascii="Arial" w:cs="Arial" w:eastAsia="Arial" w:hAnsi="Arial"/>
                <w:sz w:val="14"/>
                <w:szCs w:val="14"/>
                <w:b w:val="1"/>
                <w:bCs w:val="1"/>
                <w:color w:val="auto"/>
              </w:rPr>
              <w:t>Weatherford</w:t>
            </w:r>
          </w:p>
        </w:tc>
        <w:tc>
          <w:tcPr>
            <w:tcW w:w="280" w:type="dxa"/>
            <w:vAlign w:val="bottom"/>
          </w:tcPr>
          <w:p>
            <w:pPr>
              <w:spacing w:after="0"/>
              <w:rPr>
                <w:sz w:val="14"/>
                <w:szCs w:val="14"/>
                <w:color w:val="auto"/>
              </w:rPr>
            </w:pPr>
          </w:p>
        </w:tc>
        <w:tc>
          <w:tcPr>
            <w:tcW w:w="1200" w:type="dxa"/>
            <w:vAlign w:val="bottom"/>
          </w:tcPr>
          <w:p>
            <w:pPr>
              <w:jc w:val="right"/>
              <w:ind w:right="240"/>
              <w:spacing w:after="0"/>
              <w:rPr>
                <w:sz w:val="20"/>
                <w:szCs w:val="20"/>
                <w:color w:val="auto"/>
              </w:rPr>
            </w:pPr>
            <w:r>
              <w:rPr>
                <w:rFonts w:ascii="Arial" w:cs="Arial" w:eastAsia="Arial" w:hAnsi="Arial"/>
                <w:sz w:val="14"/>
                <w:szCs w:val="14"/>
                <w:b w:val="1"/>
                <w:bCs w:val="1"/>
                <w:color w:val="auto"/>
              </w:rPr>
              <w:t>Weatherford</w:t>
            </w:r>
          </w:p>
        </w:tc>
        <w:tc>
          <w:tcPr>
            <w:tcW w:w="280" w:type="dxa"/>
            <w:vAlign w:val="bottom"/>
          </w:tcPr>
          <w:p>
            <w:pPr>
              <w:spacing w:after="0"/>
              <w:rPr>
                <w:sz w:val="14"/>
                <w:szCs w:val="14"/>
                <w:color w:val="auto"/>
              </w:rPr>
            </w:pPr>
          </w:p>
        </w:tc>
        <w:tc>
          <w:tcPr>
            <w:tcW w:w="1180" w:type="dxa"/>
            <w:vAlign w:val="bottom"/>
          </w:tcPr>
          <w:p>
            <w:pPr>
              <w:jc w:val="right"/>
              <w:ind w:right="46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4"/>
                <w:szCs w:val="14"/>
                <w:color w:val="auto"/>
              </w:rPr>
            </w:pPr>
          </w:p>
        </w:tc>
        <w:tc>
          <w:tcPr>
            <w:tcW w:w="11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8"/>
              </w:rPr>
              <w:t>Eliminations</w:t>
            </w:r>
          </w:p>
        </w:tc>
        <w:tc>
          <w:tcPr>
            <w:tcW w:w="240" w:type="dxa"/>
            <w:vAlign w:val="bottom"/>
          </w:tcPr>
          <w:p>
            <w:pPr>
              <w:spacing w:after="0"/>
              <w:rPr>
                <w:sz w:val="14"/>
                <w:szCs w:val="14"/>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6"/>
              </w:rPr>
              <w:t>Consolidation</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Ireland</w:t>
            </w: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Bermuda</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Delaware</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w w:val="98"/>
              </w:rPr>
              <w:t>Subsidiaries</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(1,985)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(2,332)</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(704)</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(1,969)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5,039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(1,951)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22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83</w:t>
            </w:r>
          </w:p>
        </w:tc>
        <w:tc>
          <w:tcPr>
            <w:tcW w:w="28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110</w:t>
            </w:r>
          </w:p>
        </w:tc>
        <w:tc>
          <w:tcPr>
            <w:tcW w:w="2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282</w:t>
            </w:r>
          </w:p>
        </w:tc>
        <w:tc>
          <w:tcPr>
            <w:tcW w:w="280" w:type="dxa"/>
            <w:vAlign w:val="bottom"/>
          </w:tcPr>
          <w:p>
            <w:pPr>
              <w:spacing w:after="0"/>
              <w:rPr>
                <w:sz w:val="20"/>
                <w:szCs w:val="20"/>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403</w:t>
            </w:r>
          </w:p>
        </w:tc>
        <w:tc>
          <w:tcPr>
            <w:tcW w:w="2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(878)</w:t>
            </w:r>
          </w:p>
        </w:tc>
        <w:tc>
          <w:tcPr>
            <w:tcW w:w="2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1,801</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1,868</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492</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(4,161)</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22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(462)</w:t>
            </w:r>
          </w:p>
        </w:tc>
        <w:tc>
          <w:tcPr>
            <w:tcW w:w="2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210</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3,016</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220" w:type="dxa"/>
            <w:vAlign w:val="bottom"/>
          </w:tcPr>
          <w:p>
            <w:pPr>
              <w:spacing w:after="0"/>
              <w:rPr>
                <w:sz w:val="17"/>
                <w:szCs w:val="17"/>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(136)</w:t>
            </w:r>
          </w:p>
        </w:tc>
        <w:tc>
          <w:tcPr>
            <w:tcW w:w="280" w:type="dxa"/>
            <w:vAlign w:val="bottom"/>
          </w:tcPr>
          <w:p>
            <w:pPr>
              <w:spacing w:after="0"/>
              <w:rPr>
                <w:sz w:val="17"/>
                <w:szCs w:val="17"/>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(144)</w:t>
            </w:r>
          </w:p>
        </w:tc>
        <w:tc>
          <w:tcPr>
            <w:tcW w:w="280" w:type="dxa"/>
            <w:vAlign w:val="bottom"/>
          </w:tcPr>
          <w:p>
            <w:pPr>
              <w:spacing w:after="0"/>
              <w:rPr>
                <w:sz w:val="17"/>
                <w:szCs w:val="17"/>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7"/>
                <w:szCs w:val="17"/>
                <w:color w:val="auto"/>
              </w:rPr>
            </w:pPr>
          </w:p>
        </w:tc>
        <w:tc>
          <w:tcPr>
            <w:tcW w:w="1180" w:type="dxa"/>
            <w:vAlign w:val="bottom"/>
          </w:tcPr>
          <w:p>
            <w:pPr>
              <w:jc w:val="right"/>
              <w:ind w:right="80"/>
              <w:spacing w:after="0"/>
              <w:rPr>
                <w:sz w:val="20"/>
                <w:szCs w:val="20"/>
                <w:color w:val="auto"/>
              </w:rPr>
            </w:pPr>
            <w:r>
              <w:rPr>
                <w:rFonts w:ascii="Arial" w:cs="Arial" w:eastAsia="Arial" w:hAnsi="Arial"/>
                <w:sz w:val="16"/>
                <w:szCs w:val="16"/>
                <w:color w:val="auto"/>
              </w:rPr>
              <w:t>988</w:t>
            </w:r>
          </w:p>
        </w:tc>
        <w:tc>
          <w:tcPr>
            <w:tcW w:w="2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220" w:type="dxa"/>
            <w:vAlign w:val="bottom"/>
          </w:tcPr>
          <w:p>
            <w:pPr>
              <w:spacing w:after="0"/>
              <w:rPr>
                <w:sz w:val="17"/>
                <w:szCs w:val="17"/>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(682)</w:t>
            </w:r>
          </w:p>
        </w:tc>
        <w:tc>
          <w:tcPr>
            <w:tcW w:w="2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Acquisitions of Businesses, Net of Cash</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220" w:type="dxa"/>
            <w:vAlign w:val="bottom"/>
          </w:tcPr>
          <w:p>
            <w:pPr>
              <w:spacing w:after="0"/>
              <w:rPr>
                <w:sz w:val="20"/>
                <w:szCs w:val="20"/>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Businesses, Net</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220" w:type="dxa"/>
            <w:vAlign w:val="bottom"/>
          </w:tcPr>
          <w:p>
            <w:pPr>
              <w:spacing w:after="0"/>
              <w:rPr>
                <w:sz w:val="17"/>
                <w:szCs w:val="17"/>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(659)</w:t>
            </w:r>
          </w:p>
        </w:tc>
        <w:tc>
          <w:tcPr>
            <w:tcW w:w="2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220" w:type="dxa"/>
            <w:vAlign w:val="bottom"/>
          </w:tcPr>
          <w:p>
            <w:pPr>
              <w:spacing w:after="0"/>
              <w:rPr>
                <w:sz w:val="17"/>
                <w:szCs w:val="17"/>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535</w:t>
            </w:r>
          </w:p>
        </w:tc>
        <w:tc>
          <w:tcPr>
            <w:tcW w:w="2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(30)</w:t>
            </w:r>
          </w:p>
        </w:tc>
        <w:tc>
          <w:tcPr>
            <w:tcW w:w="2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(411)</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220" w:type="dxa"/>
            <w:vAlign w:val="bottom"/>
          </w:tcPr>
          <w:p>
            <w:pPr>
              <w:spacing w:after="0"/>
              <w:rPr>
                <w:sz w:val="17"/>
                <w:szCs w:val="17"/>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17"/>
                <w:szCs w:val="17"/>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22</w:t>
            </w:r>
          </w:p>
        </w:tc>
        <w:tc>
          <w:tcPr>
            <w:tcW w:w="2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33</w:t>
            </w:r>
          </w:p>
        </w:tc>
        <w:tc>
          <w:tcPr>
            <w:tcW w:w="28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(190)</w:t>
            </w:r>
          </w:p>
        </w:tc>
        <w:tc>
          <w:tcPr>
            <w:tcW w:w="2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2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220" w:type="dxa"/>
            <w:vAlign w:val="bottom"/>
          </w:tcPr>
          <w:p>
            <w:pPr>
              <w:spacing w:after="0"/>
              <w:rPr>
                <w:sz w:val="17"/>
                <w:szCs w:val="17"/>
                <w:color w:val="auto"/>
              </w:rPr>
            </w:pPr>
          </w:p>
        </w:tc>
        <w:tc>
          <w:tcPr>
            <w:tcW w:w="1220" w:type="dxa"/>
            <w:vAlign w:val="bottom"/>
          </w:tcPr>
          <w:p>
            <w:pPr>
              <w:jc w:val="right"/>
              <w:ind w:right="80"/>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17"/>
                <w:szCs w:val="17"/>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146</w:t>
            </w:r>
          </w:p>
        </w:tc>
        <w:tc>
          <w:tcPr>
            <w:tcW w:w="2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(271)</w:t>
            </w:r>
          </w:p>
        </w:tc>
        <w:tc>
          <w:tcPr>
            <w:tcW w:w="2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(decrease) in Cash and</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220" w:type="dxa"/>
            <w:vAlign w:val="bottom"/>
          </w:tcPr>
          <w:p>
            <w:pPr>
              <w:spacing w:after="0"/>
              <w:rPr>
                <w:sz w:val="17"/>
                <w:szCs w:val="17"/>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7"/>
                <w:szCs w:val="17"/>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17"/>
                <w:szCs w:val="17"/>
                <w:color w:val="auto"/>
              </w:rPr>
            </w:pPr>
          </w:p>
        </w:tc>
        <w:tc>
          <w:tcPr>
            <w:tcW w:w="12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7"/>
                <w:szCs w:val="17"/>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Year</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w:t>
            </w:r>
          </w:p>
        </w:tc>
        <w:tc>
          <w:tcPr>
            <w:tcW w:w="2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22</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451</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2</w:t>
            </w:r>
          </w:p>
        </w:tc>
        <w:tc>
          <w:tcPr>
            <w:tcW w:w="2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rPr>
              <w:t>22</w:t>
            </w:r>
          </w:p>
        </w:tc>
        <w:tc>
          <w:tcPr>
            <w:tcW w:w="2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80"/>
              <w:spacing w:after="0"/>
              <w:rPr>
                <w:sz w:val="20"/>
                <w:szCs w:val="20"/>
                <w:color w:val="auto"/>
              </w:rPr>
            </w:pPr>
            <w:r>
              <w:rPr>
                <w:rFonts w:ascii="Arial" w:cs="Arial" w:eastAsia="Arial" w:hAnsi="Arial"/>
                <w:sz w:val="16"/>
                <w:szCs w:val="16"/>
                <w:color w:val="auto"/>
              </w:rPr>
              <w:t>443</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Year</w:t>
            </w:r>
          </w:p>
        </w:tc>
        <w:tc>
          <w:tcPr>
            <w:tcW w:w="2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395" w:right="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2014</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Weatherford</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Weatherford</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Weatherford</w:t>
            </w: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6"/>
              </w:rPr>
              <w:t>Consolidation</w:t>
            </w:r>
          </w:p>
        </w:tc>
        <w:tc>
          <w:tcPr>
            <w:tcW w:w="0" w:type="dxa"/>
            <w:vAlign w:val="bottom"/>
          </w:tcPr>
          <w:p>
            <w:pPr>
              <w:spacing w:after="0"/>
              <w:rPr>
                <w:sz w:val="1"/>
                <w:szCs w:val="1"/>
                <w:color w:val="auto"/>
              </w:rPr>
            </w:pPr>
          </w:p>
        </w:tc>
      </w:tr>
      <w:tr>
        <w:trPr>
          <w:trHeight w:val="192"/>
        </w:trPr>
        <w:tc>
          <w:tcPr>
            <w:tcW w:w="2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Ireland</w:t>
            </w:r>
          </w:p>
        </w:tc>
        <w:tc>
          <w:tcPr>
            <w:tcW w:w="20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Bermuda</w:t>
            </w: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Delaware</w:t>
            </w: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(584)</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6,441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(8,936)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2,325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2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8,802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2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2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(1,450)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Acquisitions of Businesses, Net of Cash</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2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Purchase of Equity Investment in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Affiliates</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 and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Businesses, Net</w:t>
            </w:r>
          </w:p>
        </w:tc>
        <w:tc>
          <w:tcPr>
            <w:tcW w:w="2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1,770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1,770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31"/>
        </w:trPr>
        <w:tc>
          <w:tcPr>
            <w:tcW w:w="27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Short-term</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Long-term</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22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Between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 Net</w:t>
            </w:r>
          </w:p>
        </w:tc>
        <w:tc>
          <w:tcPr>
            <w:tcW w:w="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Capital Contributions</w:t>
            </w:r>
          </w:p>
        </w:tc>
        <w:tc>
          <w:tcPr>
            <w:tcW w:w="2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2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in Cash and Cash</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Equivalents</w:t>
            </w:r>
          </w:p>
        </w:tc>
        <w:tc>
          <w:tcPr>
            <w:tcW w:w="2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Year</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gridSpan w:val="2"/>
            <w:vMerge w:val="restart"/>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451</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19"/>
        </w:trPr>
        <w:tc>
          <w:tcPr>
            <w:tcW w:w="2740" w:type="dxa"/>
            <w:vAlign w:val="bottom"/>
          </w:tcPr>
          <w:p>
            <w:pPr>
              <w:ind w:left="40"/>
              <w:spacing w:after="0"/>
              <w:rPr>
                <w:sz w:val="20"/>
                <w:szCs w:val="20"/>
                <w:color w:val="auto"/>
              </w:rPr>
            </w:pPr>
            <w:r>
              <w:rPr>
                <w:rFonts w:ascii="Arial" w:cs="Arial" w:eastAsia="Arial" w:hAnsi="Arial"/>
                <w:sz w:val="16"/>
                <w:szCs w:val="16"/>
                <w:color w:val="auto"/>
              </w:rPr>
              <w:t>Year</w:t>
            </w:r>
          </w:p>
        </w:tc>
        <w:tc>
          <w:tcPr>
            <w:tcW w:w="22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gridSpan w:val="2"/>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395"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December 31, 2013</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b w:val="1"/>
                <w:bCs w:val="1"/>
                <w:color w:val="auto"/>
              </w:rPr>
              <w:t>Weatherford</w:t>
            </w:r>
          </w:p>
        </w:tc>
        <w:tc>
          <w:tcPr>
            <w:tcW w:w="260" w:type="dxa"/>
            <w:vAlign w:val="bottom"/>
          </w:tcPr>
          <w:p>
            <w:pPr>
              <w:spacing w:after="0"/>
              <w:rPr>
                <w:sz w:val="17"/>
                <w:szCs w:val="17"/>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Weatherford</w:t>
            </w:r>
          </w:p>
        </w:tc>
        <w:tc>
          <w:tcPr>
            <w:tcW w:w="240" w:type="dxa"/>
            <w:vAlign w:val="bottom"/>
          </w:tcPr>
          <w:p>
            <w:pPr>
              <w:spacing w:after="0"/>
              <w:rPr>
                <w:sz w:val="17"/>
                <w:szCs w:val="17"/>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 w:type="dxa"/>
            <w:vAlign w:val="bottom"/>
          </w:tcPr>
          <w:p>
            <w:pPr>
              <w:spacing w:after="0"/>
              <w:rPr>
                <w:sz w:val="18"/>
                <w:szCs w:val="18"/>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Switzerland</w:t>
            </w:r>
          </w:p>
        </w:tc>
        <w:tc>
          <w:tcPr>
            <w:tcW w:w="260" w:type="dxa"/>
            <w:vAlign w:val="bottom"/>
          </w:tcPr>
          <w:p>
            <w:pPr>
              <w:spacing w:after="0"/>
              <w:rPr>
                <w:sz w:val="18"/>
                <w:szCs w:val="18"/>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Bermuda</w:t>
            </w:r>
          </w:p>
        </w:tc>
        <w:tc>
          <w:tcPr>
            <w:tcW w:w="240" w:type="dxa"/>
            <w:vAlign w:val="bottom"/>
          </w:tcPr>
          <w:p>
            <w:pPr>
              <w:spacing w:after="0"/>
              <w:rPr>
                <w:sz w:val="18"/>
                <w:szCs w:val="18"/>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Delaware</w:t>
            </w:r>
          </w:p>
        </w:tc>
        <w:tc>
          <w:tcPr>
            <w:tcW w:w="240" w:type="dxa"/>
            <w:vAlign w:val="bottom"/>
          </w:tcPr>
          <w:p>
            <w:pPr>
              <w:spacing w:after="0"/>
              <w:rPr>
                <w:sz w:val="18"/>
                <w:szCs w:val="18"/>
                <w:color w:val="auto"/>
              </w:rPr>
            </w:pPr>
          </w:p>
        </w:tc>
        <w:tc>
          <w:tcPr>
            <w:tcW w:w="1220" w:type="dxa"/>
            <w:vAlign w:val="bottom"/>
          </w:tcPr>
          <w:p>
            <w:pPr>
              <w:jc w:val="right"/>
              <w:ind w:right="219"/>
              <w:spacing w:after="0"/>
              <w:rPr>
                <w:sz w:val="20"/>
                <w:szCs w:val="20"/>
                <w:color w:val="auto"/>
              </w:rPr>
            </w:pPr>
            <w:r>
              <w:rPr>
                <w:rFonts w:ascii="Arial" w:cs="Arial" w:eastAsia="Arial" w:hAnsi="Arial"/>
                <w:sz w:val="16"/>
                <w:szCs w:val="16"/>
                <w:b w:val="1"/>
                <w:bCs w:val="1"/>
                <w:color w:val="auto"/>
                <w:w w:val="94"/>
              </w:rPr>
              <w:t>Subsidiaries</w:t>
            </w:r>
          </w:p>
        </w:tc>
        <w:tc>
          <w:tcPr>
            <w:tcW w:w="20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Eliminations</w:t>
            </w:r>
          </w:p>
        </w:tc>
        <w:tc>
          <w:tcPr>
            <w:tcW w:w="22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598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26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337</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(341)</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242</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249</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28</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748</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470</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406</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1,576</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2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148</w:t>
            </w:r>
          </w:p>
        </w:tc>
        <w:tc>
          <w:tcPr>
            <w:tcW w:w="24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577</w:t>
            </w:r>
          </w:p>
        </w:tc>
        <w:tc>
          <w:tcPr>
            <w:tcW w:w="2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602</w:t>
            </w:r>
          </w:p>
        </w:tc>
        <w:tc>
          <w:tcPr>
            <w:tcW w:w="2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1,229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(1,575)</w:t>
            </w:r>
          </w:p>
        </w:tc>
        <w:tc>
          <w:tcPr>
            <w:tcW w:w="2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(1,575)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Acquisitions of Businesses, Net of Cash</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Acquired</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Acquisition of Equity Investments in</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Unconsolidated Affiliates</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488</w:t>
            </w:r>
          </w:p>
        </w:tc>
        <w:tc>
          <w:tcPr>
            <w:tcW w:w="2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Contribution to Subsidiary</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(1,181)</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1,181</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(1,181)</w:t>
            </w:r>
          </w:p>
        </w:tc>
        <w:tc>
          <w:tcPr>
            <w:tcW w:w="24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(1,104)</w:t>
            </w:r>
          </w:p>
        </w:tc>
        <w:tc>
          <w:tcPr>
            <w:tcW w:w="2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1,181</w:t>
            </w:r>
          </w:p>
        </w:tc>
        <w:tc>
          <w:tcPr>
            <w:tcW w:w="2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550</w:t>
            </w:r>
          </w:p>
        </w:tc>
        <w:tc>
          <w:tcPr>
            <w:tcW w:w="24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66</w:t>
            </w:r>
          </w:p>
        </w:tc>
        <w:tc>
          <w:tcPr>
            <w:tcW w:w="2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1,027</w:t>
            </w:r>
          </w:p>
        </w:tc>
        <w:tc>
          <w:tcPr>
            <w:tcW w:w="24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(565)</w:t>
            </w:r>
          </w:p>
        </w:tc>
        <w:tc>
          <w:tcPr>
            <w:tcW w:w="24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(562)</w:t>
            </w:r>
          </w:p>
        </w:tc>
        <w:tc>
          <w:tcPr>
            <w:tcW w:w="2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 from Capital Contribution</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1,181</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20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1,033</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633</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(1,181)</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in Cash and Cash</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300</w:t>
            </w:r>
          </w:p>
        </w:tc>
        <w:tc>
          <w:tcPr>
            <w:tcW w:w="200" w:type="dxa"/>
            <w:vAlign w:val="bottom"/>
          </w:tcPr>
          <w:p>
            <w:pPr>
              <w:spacing w:after="0"/>
              <w:rPr>
                <w:sz w:val="17"/>
                <w:szCs w:val="17"/>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435</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395" w:right="25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00"/>
          </w:cols>
          <w:pgMar w:left="240" w:top="395" w:right="25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Subsequent Events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response to the continued significant decline in the price of crude oil and the continued decline in the level of anticipated level of exploration and production spending in 2016, we initiated a reduction in force plan to reduce our overall costs and workforce to align with the anticipated activity levels and expect to complete a workforce reduction of 6,000 employees in the first half of 2016.</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February 1, 2016, we amended our Credit Agreement and reduced the limit of borrowings to $2 billion. The Credit Agreement was also amended to increase the consolidated indebtedness to total capitalization covenant from 60% to 70% for the fiscal quarters ending March 31, 2016 and June 30, 2016, and 60% thereafter, as well as other covenant changes.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Quarterly Financial Data (Unaudited)</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Summarized quarterly financial data for the years ended December 31, 2015 and 2014 are presented in the following tables. In the following tables, the sum of basic and diluted “Earnings (Loss) Per Share” for the four quarters may differ from the annual amounts due to the required method of computing weighted average number of shares in the respective periods. Additionally, due to the effect of rounding, the sum of the individual quarterly earnings per share amounts may not equal the calculated year earnings per share amount.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4"/>
          </w:tcPr>
          <w:p>
            <w:pPr>
              <w:jc w:val="right"/>
              <w:ind w:right="871"/>
              <w:spacing w:after="0"/>
              <w:rPr>
                <w:sz w:val="20"/>
                <w:szCs w:val="20"/>
                <w:color w:val="auto"/>
              </w:rPr>
            </w:pPr>
            <w:r>
              <w:rPr>
                <w:rFonts w:ascii="Arial" w:cs="Arial" w:eastAsia="Arial" w:hAnsi="Arial"/>
                <w:sz w:val="16"/>
                <w:szCs w:val="16"/>
                <w:b w:val="1"/>
                <w:bCs w:val="1"/>
                <w:color w:val="auto"/>
              </w:rPr>
              <w:t>2015 Quarters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First</w:t>
            </w:r>
          </w:p>
        </w:tc>
        <w:tc>
          <w:tcPr>
            <w:tcW w:w="2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w w:val="93"/>
              </w:rPr>
              <w:t>Second</w:t>
            </w:r>
          </w:p>
        </w:tc>
        <w:tc>
          <w:tcPr>
            <w:tcW w:w="2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Third</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Fourth</w:t>
            </w:r>
          </w:p>
        </w:tc>
        <w:tc>
          <w:tcPr>
            <w:tcW w:w="2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2,794</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2,390</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2,237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2,012</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9,433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592</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374</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291"/>
              <w:spacing w:after="0"/>
              <w:rPr>
                <w:sz w:val="20"/>
                <w:szCs w:val="20"/>
                <w:color w:val="auto"/>
              </w:rPr>
            </w:pPr>
            <w:r>
              <w:rPr>
                <w:rFonts w:ascii="Arial" w:cs="Arial" w:eastAsia="Arial" w:hAnsi="Arial"/>
                <w:sz w:val="18"/>
                <w:szCs w:val="18"/>
                <w:color w:val="auto"/>
              </w:rPr>
              <w:t>368</w:t>
            </w: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1,412</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Loss Attributable to Weatherford </w:t>
            </w:r>
            <w:r>
              <w:rPr>
                <w:rFonts w:ascii="Arial" w:cs="Arial" w:eastAsia="Arial" w:hAnsi="Arial"/>
                <w:sz w:val="25"/>
                <w:szCs w:val="25"/>
                <w:color w:val="auto"/>
                <w:vertAlign w:val="superscript"/>
              </w:rPr>
              <w:t>(e)</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(a)</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line="270" w:lineRule="exact"/>
              <w:rPr>
                <w:sz w:val="20"/>
                <w:szCs w:val="20"/>
                <w:color w:val="auto"/>
              </w:rPr>
            </w:pPr>
            <w:r>
              <w:rPr>
                <w:rFonts w:ascii="Arial" w:cs="Arial" w:eastAsia="Arial" w:hAnsi="Arial"/>
                <w:sz w:val="18"/>
                <w:szCs w:val="18"/>
                <w:color w:val="auto"/>
              </w:rPr>
              <w:t xml:space="preserve">(170) </w:t>
            </w:r>
            <w:r>
              <w:rPr>
                <w:rFonts w:ascii="Arial" w:cs="Arial" w:eastAsia="Arial" w:hAnsi="Arial"/>
                <w:sz w:val="25"/>
                <w:szCs w:val="25"/>
                <w:color w:val="auto"/>
                <w:vertAlign w:val="superscript"/>
              </w:rPr>
              <w:t>(c)</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(d)</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r>
      <w:tr>
        <w:trPr>
          <w:trHeight w:val="29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(0.22)</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Diluted Loss Per Share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(0.63)</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color w:val="auto"/>
              </w:rPr>
              <w:t>(0.22)</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w:t>
            </w:r>
          </w:p>
        </w:tc>
      </w:tr>
    </w:tbl>
    <w:p>
      <w:pPr>
        <w:spacing w:after="0" w:line="71" w:lineRule="exact"/>
        <w:rPr>
          <w:sz w:val="20"/>
          <w:szCs w:val="20"/>
          <w:color w:val="auto"/>
        </w:rPr>
      </w:pPr>
    </w:p>
    <w:p>
      <w:pPr>
        <w:ind w:left="500" w:hanging="330"/>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charges of $59 million primarily related to severance and restructuring charges.</w:t>
      </w:r>
    </w:p>
    <w:p>
      <w:pPr>
        <w:spacing w:after="0" w:line="19" w:lineRule="exact"/>
        <w:rPr>
          <w:rFonts w:ascii="Arial" w:cs="Arial" w:eastAsia="Arial" w:hAnsi="Arial"/>
          <w:sz w:val="16"/>
          <w:szCs w:val="16"/>
          <w:color w:val="auto"/>
        </w:rPr>
      </w:pPr>
    </w:p>
    <w:p>
      <w:pPr>
        <w:ind w:left="500" w:hanging="330"/>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charges of $395 million primarily related to long-lived asset impairments, litigation, and severance and restructuring.</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charges of $77 million primarily related to severance and restructuring and supply contracts.</w:t>
      </w:r>
    </w:p>
    <w:p>
      <w:pPr>
        <w:spacing w:after="0" w:line="5" w:lineRule="exact"/>
        <w:rPr>
          <w:rFonts w:ascii="Arial" w:cs="Arial" w:eastAsia="Arial" w:hAnsi="Arial"/>
          <w:sz w:val="16"/>
          <w:szCs w:val="16"/>
          <w:color w:val="auto"/>
        </w:rPr>
      </w:pPr>
    </w:p>
    <w:p>
      <w:pPr>
        <w:ind w:left="500" w:right="20" w:hanging="330"/>
        <w:spacing w:after="0" w:line="246"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$668 million primarily related to long-lived asset impairments, severance and restructuring and supply contracts, a $265 million charge for a non-cash tax expense on distribution of subsidiary earnings and $217 million of inventory write-downs.</w:t>
      </w:r>
    </w:p>
    <w:p>
      <w:pPr>
        <w:ind w:left="500" w:hanging="330"/>
        <w:spacing w:after="0" w:line="257"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estimated project income of $42 million, for the first quarter of 2015, estimated project loss of $69 million, $44 million and $82 million for the second, third and fourth quarter of 2015, respectively, from our long-term early production facility construction contracts.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gridSpan w:val="4"/>
          </w:tcPr>
          <w:p>
            <w:pPr>
              <w:jc w:val="right"/>
              <w:ind w:right="571"/>
              <w:spacing w:after="0"/>
              <w:rPr>
                <w:sz w:val="20"/>
                <w:szCs w:val="20"/>
                <w:color w:val="auto"/>
              </w:rPr>
            </w:pPr>
            <w:r>
              <w:rPr>
                <w:rFonts w:ascii="Arial" w:cs="Arial" w:eastAsia="Arial" w:hAnsi="Arial"/>
                <w:sz w:val="16"/>
                <w:szCs w:val="16"/>
                <w:b w:val="1"/>
                <w:bCs w:val="1"/>
                <w:color w:val="auto"/>
              </w:rPr>
              <w:t>2014 Quarters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8"/>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amounts)</w:t>
            </w: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First</w:t>
            </w:r>
          </w:p>
        </w:tc>
        <w:tc>
          <w:tcPr>
            <w:tcW w:w="2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6"/>
                <w:szCs w:val="16"/>
                <w:b w:val="1"/>
                <w:bCs w:val="1"/>
                <w:color w:val="auto"/>
                <w:w w:val="93"/>
              </w:rPr>
              <w:t>Second</w:t>
            </w:r>
          </w:p>
        </w:tc>
        <w:tc>
          <w:tcPr>
            <w:tcW w:w="2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Third</w:t>
            </w:r>
          </w:p>
        </w:tc>
        <w:tc>
          <w:tcPr>
            <w:tcW w:w="3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Fourth</w:t>
            </w:r>
          </w:p>
        </w:tc>
        <w:tc>
          <w:tcPr>
            <w:tcW w:w="2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3,596</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3,711</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3,727</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14,911</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757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882</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992</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819</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3,450</w:t>
            </w:r>
          </w:p>
        </w:tc>
      </w:tr>
      <w:tr>
        <w:trPr>
          <w:trHeight w:val="27"/>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49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Income (Loss) Attributable to Weatherford </w:t>
            </w:r>
            <w:r>
              <w:rPr>
                <w:rFonts w:ascii="Arial" w:cs="Arial" w:eastAsia="Arial" w:hAnsi="Arial"/>
                <w:sz w:val="25"/>
                <w:szCs w:val="25"/>
                <w:color w:val="auto"/>
                <w:vertAlign w:val="superscript"/>
              </w:rPr>
              <w:t>(j)</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ind w:left="40"/>
              <w:spacing w:after="0"/>
              <w:rPr>
                <w:sz w:val="20"/>
                <w:szCs w:val="20"/>
                <w:color w:val="auto"/>
              </w:rPr>
            </w:pPr>
            <w:r>
              <w:rPr>
                <w:rFonts w:ascii="Arial" w:cs="Arial" w:eastAsia="Arial" w:hAnsi="Arial"/>
                <w:sz w:val="13"/>
                <w:szCs w:val="13"/>
                <w:color w:val="auto"/>
              </w:rPr>
              <w:t>(f)</w:t>
            </w:r>
          </w:p>
        </w:tc>
        <w:tc>
          <w:tcPr>
            <w:tcW w:w="2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(g)</w:t>
            </w: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ind w:left="60"/>
              <w:spacing w:after="0"/>
              <w:rPr>
                <w:sz w:val="20"/>
                <w:szCs w:val="20"/>
                <w:color w:val="auto"/>
              </w:rPr>
            </w:pPr>
            <w:r>
              <w:rPr>
                <w:rFonts w:ascii="Arial" w:cs="Arial" w:eastAsia="Arial" w:hAnsi="Arial"/>
                <w:sz w:val="13"/>
                <w:szCs w:val="13"/>
                <w:color w:val="auto"/>
              </w:rPr>
              <w:t>(h)</w:t>
            </w: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w:t>
            </w:r>
          </w:p>
        </w:tc>
        <w:tc>
          <w:tcPr>
            <w:tcW w:w="30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r>
      <w:tr>
        <w:trPr>
          <w:trHeight w:val="297"/>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(Loss)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Diluted Earnings (Loss) Per Share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(0.19)</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0.10</w:t>
            </w: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(0.61)</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(0.75)</w:t>
            </w:r>
          </w:p>
        </w:tc>
      </w:tr>
    </w:tbl>
    <w:p>
      <w:pPr>
        <w:spacing w:after="0" w:line="71" w:lineRule="exact"/>
        <w:rPr>
          <w:sz w:val="20"/>
          <w:szCs w:val="20"/>
          <w:color w:val="auto"/>
        </w:rPr>
      </w:pPr>
    </w:p>
    <w:p>
      <w:pPr>
        <w:ind w:left="500" w:hanging="330"/>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charges of $96 million primarily related to severance and restructuring.</w:t>
      </w:r>
    </w:p>
    <w:p>
      <w:pPr>
        <w:spacing w:after="0" w:line="19" w:lineRule="exact"/>
        <w:rPr>
          <w:rFonts w:ascii="Arial" w:cs="Arial" w:eastAsia="Arial" w:hAnsi="Arial"/>
          <w:sz w:val="16"/>
          <w:szCs w:val="16"/>
          <w:color w:val="auto"/>
        </w:rPr>
      </w:pPr>
    </w:p>
    <w:p>
      <w:pPr>
        <w:ind w:left="500" w:hanging="330"/>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charges of $345 million primarily related to long-lived asset and goodwill impairments, and severance and restructuring.</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net charges of $140 million primarily related to severance and restructuring and gain on sale of business.</w:t>
      </w:r>
    </w:p>
    <w:p>
      <w:pPr>
        <w:spacing w:after="0" w:line="5" w:lineRule="exact"/>
        <w:rPr>
          <w:rFonts w:ascii="Arial" w:cs="Arial" w:eastAsia="Arial" w:hAnsi="Arial"/>
          <w:sz w:val="16"/>
          <w:szCs w:val="16"/>
          <w:color w:val="auto"/>
        </w:rPr>
      </w:pPr>
    </w:p>
    <w:p>
      <w:pPr>
        <w:ind w:left="500" w:hanging="330"/>
        <w:spacing w:after="0" w:line="246"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net charges of $169 million primarily related to long-lived asset impairments, severance and restructuring, gain on sale of business and equity investment of $311 million and $245 million of foreign currency related charges.</w:t>
      </w:r>
    </w:p>
    <w:p>
      <w:pPr>
        <w:ind w:left="500" w:hanging="330"/>
        <w:spacing w:after="0" w:line="257"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estimated project losses of $26 million, $2 million, $10 million and $34 million for the first, second, third and fourth quarter of 2014, respectively, from our long-term early production facility construction contracts.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39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Disclosure controls and procedures (as defined in Rules 13a-15(e) and 15d-15(e) under the Exchange 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the Chief Financial Officer (“CFO”), as appropriate, to allow timely decisions regarding required disclosures. Our management, under the supervision of and with the participation of our CEO and CFO, evaluated the effectiveness of the design and operation of our disclosure controls and procedures at December 31, 2015. Based on that evaluation, our CEO and CFO concluded that our disclosure controls and procedures were effective as of December 31, 2015.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Controls Over Financial Reporting</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Management of the Company is responsible for establishing and maintaining adequate internal control over financial reporting as such term is defined in Rules 13a-15(f) of the Exchange Act. The Company’s internal controls are designed to provide reasonable, but not absolute, assurance as to the reliability of its financial reporting and the preparation of financial statements for external purposes in accordance with U.S. GAAP.</w:t>
      </w:r>
    </w:p>
    <w:p>
      <w:pPr>
        <w:spacing w:after="0" w:line="16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management, including our CEO and CFO, does not expect that our internal controls over financial reporting will prevent all errors and all fraud. A control system, no matter how well conceived and operated, can provide only reasonable, not absolute, assurance that the objectives of the control system are met. Further, the benefits of controls must be considered relative to their costs. Because of the inherent limitations in a system of internal control over financial reporting, no evaluation of controls can provide absolute assurance that all control issues and instances of fraud, if 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control system is also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w:t>
      </w:r>
    </w:p>
    <w:p>
      <w:pPr>
        <w:spacing w:after="0" w:line="18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December 31, 2015 using the criteria set forth by the Committee of Sponsoring Organizations of the Treadway Commission in Internal Control – An Integrated Framework (2013). As a result of this assessment management concluded that as of December 31, 2015, our internal control over financial reporting was effective based on these criteria.</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KPMG LLP has issued an attestation report dated February 16, 2016, on our internal control over financial reporting, which is contained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At the end of the period covered by this Annual Report on Form 10-K, we carried out an evaluation, under the supervision of and with the participation of management, including the CEO and the CFO, of the effectiveness of our disclosure controls and procedures (as defined in Rules 13a-15(e) and 15d-15(e) under the Exchange Act). Based upon that evaluation, our CEO and CFO have concluded our disclosure controls and procedures were effective, as of December 31, 2015, to provide reasonable assurance that information required to be disclosed in the reports we file and submit under the Exchange Act is recorded, processed, summarized and reported within the time period specified in the SEC’s rules and forms.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management, identified no change in our internal control over financial reporting that occurred during the fourth quarter ended December 31, 2015,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9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Pursuant to General Instructions G(3), information on directors and executive officers of the Registrant and corporate governance matters is incorporated by reference from our Proxy Statement for the 2016 Annual General Meeting of Shareholders to be held on June 15, 2016.</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adopted a code of ethics entitled “Code of Business Conduct,” which applies to all our employees, officers and directors and our board of directors has also adopted a separate “Supplemental Code of Business Conduct” for our senior officers. Copies of these codes can also be found at www.weatherford.com.</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intend to satisfy the requirement under Item 5.05 of Form 8-K to disclose any amendments to our Code of Business Conduct and any waiver from any provision of our Code of Business Conduct by posting such information on our web site at www.weatherford.com.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General Instructions G(3), information on executive compensation is incorporated by reference from our Proxy Statement for the 2016 Annual General Meeting of Shareholders to be held on June 15,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General Instructions G(3), information on security ownership of certain beneficial owners is incorporated by reference from our Proxy Statement for the 2016 Annual General Meeting of Shareholders to be held on June 15,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12(b). </w:t>
      </w:r>
      <w:r>
        <w:rPr>
          <w:rFonts w:ascii="Arial" w:cs="Arial" w:eastAsia="Arial" w:hAnsi="Arial"/>
          <w:sz w:val="18"/>
          <w:szCs w:val="18"/>
          <w:b w:val="1"/>
          <w:bCs w:val="1"/>
          <w:i w:val="1"/>
          <w:iCs w:val="1"/>
          <w:color w:val="auto"/>
        </w:rPr>
        <w:t>Security Ownership of Management</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Pursuant to General Instructions G(3), information on security ownership of management is incorporated by reference from our Proxy Statement for the 2016 Annual General Meeting of Shareholders to be held on June 15,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12(c). </w:t>
      </w:r>
      <w:r>
        <w:rPr>
          <w:rFonts w:ascii="Arial" w:cs="Arial" w:eastAsia="Arial" w:hAnsi="Arial"/>
          <w:sz w:val="18"/>
          <w:szCs w:val="18"/>
          <w:b w:val="1"/>
          <w:bCs w:val="1"/>
          <w:i w:val="1"/>
          <w:iCs w:val="1"/>
          <w:color w:val="auto"/>
        </w:rPr>
        <w:t>Changes in Control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12(d). </w:t>
      </w:r>
      <w:r>
        <w:rPr>
          <w:rFonts w:ascii="Arial" w:cs="Arial" w:eastAsia="Arial" w:hAnsi="Arial"/>
          <w:sz w:val="18"/>
          <w:szCs w:val="18"/>
          <w:b w:val="1"/>
          <w:bCs w:val="1"/>
          <w:i w:val="1"/>
          <w:iCs w:val="1"/>
          <w:color w:val="auto"/>
        </w:rPr>
        <w:t>Securities Authorized for Issuance under Equity Compensation Plan</w:t>
      </w:r>
      <w:r>
        <w:rPr>
          <w:rFonts w:ascii="Arial" w:cs="Arial" w:eastAsia="Arial" w:hAnsi="Arial"/>
          <w:sz w:val="18"/>
          <w:szCs w:val="18"/>
          <w:b w:val="1"/>
          <w:bCs w:val="1"/>
          <w:color w:val="auto"/>
        </w:rPr>
        <w: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information as of December 31, 2015, about the number of shares to be issued upon vesting or exercise of equity awards as well as the number of shares remaining available for issuance under our equity compensation plans.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Numbers of</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90"/>
              </w:rPr>
              <w:t>Number of Securities</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6"/>
              </w:rPr>
              <w:t>Securities to be</w:t>
            </w:r>
          </w:p>
        </w:tc>
        <w:tc>
          <w:tcPr>
            <w:tcW w:w="120" w:type="dxa"/>
            <w:vAlign w:val="bottom"/>
          </w:tcPr>
          <w:p>
            <w:pPr>
              <w:spacing w:after="0"/>
              <w:rPr>
                <w:sz w:val="5"/>
                <w:szCs w:val="5"/>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Weighted Average</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92"/>
              </w:rPr>
              <w:t>Available for Future</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Issued Upon Exercise</w:t>
            </w:r>
          </w:p>
        </w:tc>
        <w:tc>
          <w:tcPr>
            <w:tcW w:w="120" w:type="dxa"/>
            <w:vAlign w:val="bottom"/>
          </w:tcPr>
          <w:p>
            <w:pPr>
              <w:spacing w:after="0"/>
              <w:rPr>
                <w:sz w:val="5"/>
                <w:szCs w:val="5"/>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8"/>
              </w:rPr>
              <w:t>Exercise Price of</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89"/>
              </w:rPr>
              <w:t>Issuance Under</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0"/>
              </w:rPr>
              <w:t>of Outstanding</w:t>
            </w:r>
          </w:p>
        </w:tc>
        <w:tc>
          <w:tcPr>
            <w:tcW w:w="120" w:type="dxa"/>
            <w:vAlign w:val="bottom"/>
          </w:tcPr>
          <w:p>
            <w:pPr>
              <w:spacing w:after="0"/>
              <w:rPr>
                <w:sz w:val="5"/>
                <w:szCs w:val="5"/>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0"/>
              </w:rPr>
              <w:t>Outstanding</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68"/>
        </w:trPr>
        <w:tc>
          <w:tcPr>
            <w:tcW w:w="6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Plan Category</w:t>
            </w: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2"/>
              </w:rPr>
              <w:t>Options, Warrants</w:t>
            </w:r>
          </w:p>
        </w:tc>
        <w:tc>
          <w:tcPr>
            <w:tcW w:w="120" w:type="dxa"/>
            <w:vAlign w:val="bottom"/>
          </w:tcPr>
          <w:p>
            <w:pPr>
              <w:spacing w:after="0"/>
              <w:rPr>
                <w:sz w:val="5"/>
                <w:szCs w:val="5"/>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2"/>
              </w:rPr>
              <w:t>Options, Warrants</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602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0" w:type="dxa"/>
            <w:vAlign w:val="bottom"/>
            <w:vMerge w:val="restart"/>
          </w:tcPr>
          <w:p>
            <w:pPr>
              <w:jc w:val="center"/>
              <w:ind w:left="35"/>
              <w:spacing w:after="0"/>
              <w:rPr>
                <w:sz w:val="20"/>
                <w:szCs w:val="20"/>
                <w:color w:val="auto"/>
              </w:rPr>
            </w:pPr>
            <w:r>
              <w:rPr>
                <w:rFonts w:ascii="Arial" w:cs="Arial" w:eastAsia="Arial" w:hAnsi="Arial"/>
                <w:sz w:val="18"/>
                <w:szCs w:val="18"/>
                <w:b w:val="1"/>
                <w:bCs w:val="1"/>
                <w:color w:val="auto"/>
                <w:w w:val="87"/>
              </w:rPr>
              <w:t>Compensation Plans</w:t>
            </w:r>
          </w:p>
        </w:tc>
        <w:tc>
          <w:tcPr>
            <w:tcW w:w="0" w:type="dxa"/>
            <w:vAlign w:val="bottom"/>
          </w:tcPr>
          <w:p>
            <w:pPr>
              <w:spacing w:after="0"/>
              <w:rPr>
                <w:sz w:val="1"/>
                <w:szCs w:val="1"/>
                <w:color w:val="auto"/>
              </w:rPr>
            </w:pPr>
          </w:p>
        </w:tc>
      </w:tr>
      <w:tr>
        <w:trPr>
          <w:trHeight w:val="68"/>
        </w:trPr>
        <w:tc>
          <w:tcPr>
            <w:tcW w:w="602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(Shares in thousands, except share prices)</w:t>
            </w:r>
          </w:p>
        </w:tc>
        <w:tc>
          <w:tcPr>
            <w:tcW w:w="182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0"/>
              </w:rPr>
              <w:t>and Rights</w:t>
            </w:r>
          </w:p>
        </w:tc>
        <w:tc>
          <w:tcPr>
            <w:tcW w:w="120" w:type="dxa"/>
            <w:vAlign w:val="bottom"/>
          </w:tcPr>
          <w:p>
            <w:pPr>
              <w:spacing w:after="0"/>
              <w:rPr>
                <w:sz w:val="5"/>
                <w:szCs w:val="5"/>
                <w:color w:val="auto"/>
              </w:rPr>
            </w:pPr>
          </w:p>
        </w:tc>
        <w:tc>
          <w:tcPr>
            <w:tcW w:w="1560" w:type="dxa"/>
            <w:vAlign w:val="bottom"/>
            <w:vMerge w:val="restart"/>
          </w:tcPr>
          <w:p>
            <w:pPr>
              <w:jc w:val="center"/>
              <w:ind w:right="10"/>
              <w:spacing w:after="0" w:line="262" w:lineRule="exact"/>
              <w:rPr>
                <w:sz w:val="20"/>
                <w:szCs w:val="20"/>
                <w:color w:val="auto"/>
              </w:rPr>
            </w:pPr>
            <w:r>
              <w:rPr>
                <w:rFonts w:ascii="Arial" w:cs="Arial" w:eastAsia="Arial" w:hAnsi="Arial"/>
                <w:sz w:val="18"/>
                <w:szCs w:val="18"/>
                <w:b w:val="1"/>
                <w:bCs w:val="1"/>
                <w:color w:val="auto"/>
                <w:w w:val="86"/>
              </w:rPr>
              <w:t xml:space="preserve">and Rights </w:t>
            </w:r>
            <w:r>
              <w:rPr>
                <w:rFonts w:ascii="Arial" w:cs="Arial" w:eastAsia="Arial" w:hAnsi="Arial"/>
                <w:sz w:val="25"/>
                <w:szCs w:val="25"/>
                <w:b w:val="1"/>
                <w:bCs w:val="1"/>
                <w:color w:val="auto"/>
                <w:w w:val="86"/>
                <w:vertAlign w:val="superscript"/>
              </w:rPr>
              <w:t>(a)</w:t>
            </w: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6020" w:type="dxa"/>
            <w:vAlign w:val="bottom"/>
            <w:tcBorders>
              <w:bottom w:val="single" w:sz="8" w:color="auto"/>
            </w:tcBorders>
            <w:vMerge w:val="continue"/>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center"/>
              <w:ind w:left="35"/>
              <w:spacing w:after="0"/>
              <w:rPr>
                <w:sz w:val="20"/>
                <w:szCs w:val="20"/>
                <w:color w:val="auto"/>
              </w:rPr>
            </w:pPr>
            <w:r>
              <w:rPr>
                <w:rFonts w:ascii="Arial" w:cs="Arial" w:eastAsia="Arial" w:hAnsi="Arial"/>
                <w:sz w:val="13"/>
                <w:szCs w:val="13"/>
                <w:b w:val="1"/>
                <w:bCs w:val="1"/>
                <w:color w:val="auto"/>
                <w:w w:val="96"/>
              </w:rPr>
              <w:t>(b)</w:t>
            </w:r>
          </w:p>
        </w:tc>
        <w:tc>
          <w:tcPr>
            <w:tcW w:w="0" w:type="dxa"/>
            <w:vAlign w:val="bottom"/>
          </w:tcPr>
          <w:p>
            <w:pPr>
              <w:spacing w:after="0"/>
              <w:rPr>
                <w:sz w:val="1"/>
                <w:szCs w:val="1"/>
                <w:color w:val="auto"/>
              </w:rPr>
            </w:pPr>
          </w:p>
        </w:tc>
      </w:tr>
      <w:tr>
        <w:trPr>
          <w:trHeight w:val="264"/>
        </w:trPr>
        <w:tc>
          <w:tcPr>
            <w:tcW w:w="60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Equity compensation plans approved by shareholders </w:t>
            </w:r>
            <w:r>
              <w:rPr>
                <w:rFonts w:ascii="Arial" w:cs="Arial" w:eastAsia="Arial" w:hAnsi="Arial"/>
                <w:sz w:val="25"/>
                <w:szCs w:val="25"/>
                <w:color w:val="auto"/>
                <w:vertAlign w:val="superscript"/>
              </w:rPr>
              <w:t>(c) (d)</w:t>
            </w: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15,878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20.50</w:t>
            </w:r>
          </w:p>
        </w:tc>
        <w:tc>
          <w:tcPr>
            <w:tcW w:w="1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16,975</w:t>
            </w:r>
          </w:p>
        </w:tc>
        <w:tc>
          <w:tcPr>
            <w:tcW w:w="0" w:type="dxa"/>
            <w:vAlign w:val="bottom"/>
          </w:tcPr>
          <w:p>
            <w:pPr>
              <w:spacing w:after="0"/>
              <w:rPr>
                <w:sz w:val="1"/>
                <w:szCs w:val="1"/>
                <w:color w:val="auto"/>
              </w:rPr>
            </w:pPr>
          </w:p>
        </w:tc>
      </w:tr>
      <w:tr>
        <w:trPr>
          <w:trHeight w:val="270"/>
        </w:trPr>
        <w:tc>
          <w:tcPr>
            <w:tcW w:w="60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Equity compensation plans not approved by shareholders </w:t>
            </w:r>
            <w:r>
              <w:rPr>
                <w:rFonts w:ascii="Arial" w:cs="Arial" w:eastAsia="Arial" w:hAnsi="Arial"/>
                <w:sz w:val="25"/>
                <w:szCs w:val="25"/>
                <w:color w:val="auto"/>
                <w:vertAlign w:val="superscript"/>
              </w:rPr>
              <w:t>(e)</w:t>
            </w: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1,580</w:t>
            </w:r>
          </w:p>
        </w:tc>
        <w:tc>
          <w:tcPr>
            <w:tcW w:w="120" w:type="dxa"/>
            <w:vAlign w:val="bottom"/>
            <w:tcBorders>
              <w:bottom w:val="single" w:sz="8" w:color="CCEEFF"/>
            </w:tcBorders>
          </w:tcPr>
          <w:p>
            <w:pPr>
              <w:spacing w:after="0"/>
              <w:rPr>
                <w:sz w:val="23"/>
                <w:szCs w:val="23"/>
                <w:color w:val="auto"/>
              </w:rPr>
            </w:pPr>
          </w:p>
        </w:tc>
        <w:tc>
          <w:tcPr>
            <w:tcW w:w="156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10.41</w:t>
            </w:r>
          </w:p>
        </w:tc>
        <w:tc>
          <w:tcPr>
            <w:tcW w:w="18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17,458</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14.67</w:t>
            </w:r>
          </w:p>
        </w:tc>
        <w:tc>
          <w:tcPr>
            <w:tcW w:w="1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16,975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weighted average price does not take into account the shares issuable upon vesting of outstanding PUs or RSUs, which have no exercise price.</w:t>
      </w:r>
    </w:p>
    <w:p>
      <w:pPr>
        <w:spacing w:after="0" w:line="19" w:lineRule="exact"/>
        <w:rPr>
          <w:rFonts w:ascii="Arial" w:cs="Arial" w:eastAsia="Arial" w:hAnsi="Arial"/>
          <w:sz w:val="16"/>
          <w:szCs w:val="16"/>
          <w:color w:val="auto"/>
        </w:rPr>
      </w:pPr>
    </w:p>
    <w:p>
      <w:pPr>
        <w:ind w:left="500" w:hanging="330"/>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Excluding shares reflected in the first column of this table.</w:t>
      </w:r>
    </w:p>
    <w:p>
      <w:pPr>
        <w:spacing w:after="0" w:line="45" w:lineRule="exact"/>
        <w:rPr>
          <w:rFonts w:ascii="Arial" w:cs="Arial" w:eastAsia="Arial" w:hAnsi="Arial"/>
          <w:sz w:val="16"/>
          <w:szCs w:val="16"/>
          <w:color w:val="auto"/>
        </w:rPr>
      </w:pPr>
    </w:p>
    <w:p>
      <w:pPr>
        <w:ind w:left="500" w:hanging="330"/>
        <w:spacing w:after="0" w:line="255"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our Omnibus Plan, which was approved by our shareholders in May 2006, and our 2010 Omnibus Plan, as amended, which was approved by our shareholders in June 2010.</w:t>
      </w:r>
    </w:p>
    <w:p>
      <w:pPr>
        <w:spacing w:after="0" w:line="1" w:lineRule="exact"/>
        <w:rPr>
          <w:rFonts w:ascii="Arial" w:cs="Arial" w:eastAsia="Arial" w:hAnsi="Arial"/>
          <w:sz w:val="16"/>
          <w:szCs w:val="16"/>
          <w:color w:val="auto"/>
        </w:rPr>
      </w:pPr>
    </w:p>
    <w:p>
      <w:pPr>
        <w:ind w:left="500" w:hanging="330"/>
        <w:spacing w:after="0"/>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PUs calculated at target.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9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11" w:lineRule="exact"/>
        <w:rPr>
          <w:sz w:val="20"/>
          <w:szCs w:val="20"/>
          <w:color w:val="auto"/>
        </w:rPr>
      </w:pPr>
    </w:p>
    <w:p>
      <w:pPr>
        <w:jc w:val="both"/>
        <w:ind w:left="500" w:hanging="330"/>
        <w:spacing w:after="0" w:line="252"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the following compensation plans that were not approved by our shareholders: our 1998 Employee Stock Option Plan; our Non-Employee Director Deferred Compensation Plan; our Foreign Executive Deferred Compensation Stock Ownership Plan; and our 2003 Restricted Share Plan. No awards have been issued under these plans since May 2006 when our Omnibus Plan was approved.</w:t>
      </w:r>
    </w:p>
    <w:p>
      <w:pPr>
        <w:spacing w:after="0" w:line="1" w:lineRule="exact"/>
        <w:rPr>
          <w:rFonts w:ascii="Arial" w:cs="Arial" w:eastAsia="Arial" w:hAnsi="Arial"/>
          <w:sz w:val="16"/>
          <w:szCs w:val="16"/>
          <w:color w:val="auto"/>
        </w:rPr>
      </w:pPr>
    </w:p>
    <w:p>
      <w:pPr>
        <w:ind w:left="500"/>
        <w:spacing w:after="0" w:line="257" w:lineRule="auto"/>
        <w:rPr>
          <w:rFonts w:ascii="Arial" w:cs="Arial" w:eastAsia="Arial" w:hAnsi="Arial"/>
          <w:sz w:val="16"/>
          <w:szCs w:val="16"/>
          <w:color w:val="auto"/>
        </w:rPr>
      </w:pPr>
      <w:r>
        <w:rPr>
          <w:rFonts w:ascii="Arial" w:cs="Arial" w:eastAsia="Arial" w:hAnsi="Arial"/>
          <w:sz w:val="16"/>
          <w:szCs w:val="16"/>
          <w:color w:val="auto"/>
        </w:rPr>
        <w:t>The unapproved plans and other individual compensation arrangements that were not approved by our shareholders with significant shares to be issued are described below:</w:t>
      </w:r>
    </w:p>
    <w:p>
      <w:pPr>
        <w:spacing w:after="0" w:line="18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1998 Employee Stock Option Plan (“1998 Plan”) provides for the grant of nonqualified options to purchase our shares to employees or employees of our affiliates, as determined by the Compensation Committee of our Board of Directors. The price at which shares may be purchased is based on the market price of the shares and cannot be less than the aggregate par value of the shares on the date the option was granted. Unless otherwise provided in an option agreement, no option may be exercised after one day less than 10 years from the date of vesting. All options under this plan are vested. Subsequent to the shareholder approval of our Omnibus Plan in May 2006, awards are no longer granted under the 1998 Plan.</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2003, our Board of Directors approved a restricted share plan that allows for the grant of our shares to our key employees and directors (“2003 Restricted Share Plan”). Restricted shares are subject to forfeiture restrictions that generally lapse after a specified period from the date of grant and are subject to earlier vesting in the event of death, retirement or a change in control. All shares under this plan are vested. Subsequent to the shareholder approval of our Omnibus Plan in May 2006, awards are no longer made under this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General Instruction G(3), information on certain relationships and related transactions and director independence is incorporated by reference from our Proxy Statement for the 2016 Annual General Meeting of Shareholders to be held on June 15, 2016.</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2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General Instruction G(3), information on principal accounting fees and services is incorporated by reference from our Proxy Statement for the 2016 Annual General Meeting of Shareholders to be held on June 15, 2016.</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39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337"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The following documents are filed as part of this report or incorporated by reference:</w:t>
      </w:r>
    </w:p>
    <w:p>
      <w:pPr>
        <w:spacing w:after="0" w:line="6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the Company listed on page </w:t>
      </w:r>
      <w:hyperlink w:anchor="page47">
        <w:r>
          <w:rPr>
            <w:rFonts w:ascii="Arial" w:cs="Arial" w:eastAsia="Arial" w:hAnsi="Arial"/>
            <w:sz w:val="18"/>
            <w:szCs w:val="18"/>
            <w:u w:val="single" w:color="auto"/>
            <w:color w:val="0000EE"/>
          </w:rPr>
          <w:t>46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The financial statement schedule on page </w:t>
      </w:r>
      <w:hyperlink w:anchor="page104">
        <w:r>
          <w:rPr>
            <w:rFonts w:ascii="Arial" w:cs="Arial" w:eastAsia="Arial" w:hAnsi="Arial"/>
            <w:sz w:val="18"/>
            <w:szCs w:val="18"/>
            <w:u w:val="single" w:color="auto"/>
            <w:color w:val="0000EE"/>
          </w:rPr>
          <w:t>104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w:t>
      </w:r>
    </w:p>
    <w:p>
      <w:pPr>
        <w:spacing w:after="0" w:line="63"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exhibits of the Company listed below under Item 15(b); all exhibits are incorporated herein by reference to a prior filing as indicated, unless designated by a dagger (†) or double dagger (††).</w:t>
      </w:r>
    </w:p>
    <w:p>
      <w:pPr>
        <w:spacing w:after="0" w:line="17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Exhibits:</w:t>
      </w:r>
    </w:p>
    <w:p>
      <w:pPr>
        <w:spacing w:after="0" w:line="383" w:lineRule="exact"/>
        <w:rPr>
          <w:rFonts w:ascii="Arial" w:cs="Arial" w:eastAsia="Arial" w:hAnsi="Arial"/>
          <w:sz w:val="18"/>
          <w:szCs w:val="18"/>
          <w:color w:val="auto"/>
        </w:rPr>
      </w:pPr>
    </w:p>
    <w:tbl>
      <w:tblPr>
        <w:tblLayout w:type="fixed"/>
        <w:tblInd w:w="540" w:type="dxa"/>
        <w:tblCellMar>
          <w:top w:w="0" w:type="dxa"/>
          <w:left w:w="0" w:type="dxa"/>
          <w:bottom w:w="0" w:type="dxa"/>
          <w:right w:w="0" w:type="dxa"/>
        </w:tblCellMar>
      </w:tblPr>
      <w:tr>
        <w:trPr>
          <w:trHeight w:val="216"/>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50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4"/>
        </w:trPr>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500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6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Original Filed Exhibit</w:t>
            </w:r>
          </w:p>
        </w:tc>
        <w:tc>
          <w:tcPr>
            <w:tcW w:w="216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92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2"/>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w:t>
            </w: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Merger Agreement, dated April 2, 2014, between Weatherford</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2.1 of the</w:t>
            </w:r>
          </w:p>
        </w:tc>
        <w:tc>
          <w:tcPr>
            <w:tcW w:w="2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File No. 1-34258</w:t>
            </w:r>
          </w:p>
        </w:tc>
      </w:tr>
      <w:tr>
        <w:trPr>
          <w:trHeight w:val="216"/>
        </w:trPr>
        <w:tc>
          <w:tcPr>
            <w:tcW w:w="920" w:type="dxa"/>
            <w:vAlign w:val="bottom"/>
            <w:shd w:val="clear" w:color="auto" w:fill="CCEEFF"/>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Switzerland and Weatherford Ireland</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Company's Current</w:t>
            </w:r>
          </w:p>
        </w:tc>
        <w:tc>
          <w:tcPr>
            <w:tcW w:w="216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Report on Form 8-K</w:t>
            </w:r>
          </w:p>
        </w:tc>
        <w:tc>
          <w:tcPr>
            <w:tcW w:w="2160" w:type="dxa"/>
            <w:vAlign w:val="bottom"/>
            <w:shd w:val="clear" w:color="auto" w:fill="CCEEFF"/>
          </w:tcPr>
          <w:p>
            <w:pPr>
              <w:spacing w:after="0"/>
              <w:rPr>
                <w:sz w:val="18"/>
                <w:szCs w:val="18"/>
                <w:color w:val="auto"/>
              </w:rPr>
            </w:pPr>
          </w:p>
        </w:tc>
      </w:tr>
      <w:tr>
        <w:trPr>
          <w:trHeight w:val="237"/>
        </w:trPr>
        <w:tc>
          <w:tcPr>
            <w:tcW w:w="92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6"/>
              </w:rPr>
              <w:t>filed April 2, 2014</w:t>
            </w:r>
          </w:p>
        </w:tc>
        <w:tc>
          <w:tcPr>
            <w:tcW w:w="2160" w:type="dxa"/>
            <w:vAlign w:val="bottom"/>
            <w:tcBorders>
              <w:bottom w:val="single" w:sz="8" w:color="CCEEFF"/>
            </w:tcBorders>
            <w:shd w:val="clear" w:color="auto" w:fill="CCEEFF"/>
          </w:tcPr>
          <w:p>
            <w:pPr>
              <w:spacing w:after="0"/>
              <w:rPr>
                <w:sz w:val="20"/>
                <w:szCs w:val="20"/>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5000" w:type="dxa"/>
            <w:vAlign w:val="bottom"/>
          </w:tcPr>
          <w:p>
            <w:pPr>
              <w:ind w:left="180"/>
              <w:spacing w:after="0"/>
              <w:rPr>
                <w:sz w:val="20"/>
                <w:szCs w:val="20"/>
                <w:color w:val="auto"/>
              </w:rPr>
            </w:pPr>
            <w:r>
              <w:rPr>
                <w:rFonts w:ascii="Arial" w:cs="Arial" w:eastAsia="Arial" w:hAnsi="Arial"/>
                <w:sz w:val="18"/>
                <w:szCs w:val="18"/>
                <w:color w:val="auto"/>
              </w:rPr>
              <w:t>Memorandum and Articles of Association of Weatherford</w:t>
            </w:r>
          </w:p>
        </w:tc>
        <w:tc>
          <w:tcPr>
            <w:tcW w:w="2620" w:type="dxa"/>
            <w:vAlign w:val="bottom"/>
          </w:tcPr>
          <w:p>
            <w:pPr>
              <w:jc w:val="center"/>
              <w:ind w:right="30"/>
              <w:spacing w:after="0"/>
              <w:rPr>
                <w:sz w:val="20"/>
                <w:szCs w:val="20"/>
                <w:color w:val="auto"/>
              </w:rPr>
            </w:pPr>
            <w:r>
              <w:rPr>
                <w:rFonts w:ascii="Arial" w:cs="Arial" w:eastAsia="Arial" w:hAnsi="Arial"/>
                <w:sz w:val="18"/>
                <w:szCs w:val="18"/>
                <w:color w:val="auto"/>
                <w:w w:val="93"/>
              </w:rPr>
              <w:t>Exhibit 3.1 of the</w:t>
            </w:r>
          </w:p>
        </w:tc>
        <w:tc>
          <w:tcPr>
            <w:tcW w:w="2160" w:type="dxa"/>
            <w:vAlign w:val="bottom"/>
          </w:tcPr>
          <w:p>
            <w:pPr>
              <w:jc w:val="center"/>
              <w:ind w:left="10"/>
              <w:spacing w:after="0"/>
              <w:rPr>
                <w:sz w:val="20"/>
                <w:szCs w:val="20"/>
                <w:color w:val="auto"/>
              </w:rPr>
            </w:pPr>
            <w:r>
              <w:rPr>
                <w:rFonts w:ascii="Arial" w:cs="Arial" w:eastAsia="Arial" w:hAnsi="Arial"/>
                <w:sz w:val="18"/>
                <w:szCs w:val="18"/>
                <w:color w:val="auto"/>
                <w:w w:val="91"/>
              </w:rPr>
              <w:t>File No. 1-36504</w:t>
            </w:r>
          </w:p>
        </w:tc>
      </w:tr>
      <w:tr>
        <w:trPr>
          <w:trHeight w:val="216"/>
        </w:trPr>
        <w:tc>
          <w:tcPr>
            <w:tcW w:w="92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International public limited company</w:t>
            </w: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89"/>
              </w:rPr>
              <w:t>Company's Current</w:t>
            </w:r>
          </w:p>
        </w:tc>
        <w:tc>
          <w:tcPr>
            <w:tcW w:w="21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93"/>
              </w:rPr>
              <w:t>Report on Form 8-K12B</w:t>
            </w:r>
          </w:p>
        </w:tc>
        <w:tc>
          <w:tcPr>
            <w:tcW w:w="216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620" w:type="dxa"/>
            <w:vAlign w:val="bottom"/>
          </w:tcPr>
          <w:p>
            <w:pPr>
              <w:jc w:val="center"/>
              <w:ind w:right="30"/>
              <w:spacing w:after="0"/>
              <w:rPr>
                <w:sz w:val="20"/>
                <w:szCs w:val="20"/>
                <w:color w:val="auto"/>
              </w:rPr>
            </w:pPr>
            <w:r>
              <w:rPr>
                <w:rFonts w:ascii="Arial" w:cs="Arial" w:eastAsia="Arial" w:hAnsi="Arial"/>
                <w:sz w:val="18"/>
                <w:szCs w:val="18"/>
                <w:color w:val="auto"/>
                <w:w w:val="90"/>
              </w:rPr>
              <w:t>filed June 17, 2014</w:t>
            </w:r>
          </w:p>
        </w:tc>
        <w:tc>
          <w:tcPr>
            <w:tcW w:w="2160" w:type="dxa"/>
            <w:vAlign w:val="bottom"/>
          </w:tcPr>
          <w:p>
            <w:pPr>
              <w:spacing w:after="0"/>
              <w:rPr>
                <w:sz w:val="20"/>
                <w:szCs w:val="20"/>
                <w:color w:val="auto"/>
              </w:rPr>
            </w:pPr>
          </w:p>
        </w:tc>
      </w:tr>
      <w:tr>
        <w:trPr>
          <w:trHeight w:val="27"/>
        </w:trPr>
        <w:tc>
          <w:tcPr>
            <w:tcW w:w="9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4.1</w:t>
            </w: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Indenture, dated October 1, 2003, among Weatherford</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File No. 1-31339</w:t>
            </w:r>
          </w:p>
        </w:tc>
      </w:tr>
      <w:tr>
        <w:trPr>
          <w:trHeight w:val="216"/>
        </w:trPr>
        <w:tc>
          <w:tcPr>
            <w:tcW w:w="920" w:type="dxa"/>
            <w:vAlign w:val="bottom"/>
            <w:shd w:val="clear" w:color="auto" w:fill="CCEEFF"/>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Bermuda, Weatherford Delaware, and Deutsche Bank Trust</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Company's Current</w:t>
            </w:r>
          </w:p>
        </w:tc>
        <w:tc>
          <w:tcPr>
            <w:tcW w:w="216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Company Americas</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Report on Form 8-K</w:t>
            </w:r>
          </w:p>
        </w:tc>
        <w:tc>
          <w:tcPr>
            <w:tcW w:w="2160" w:type="dxa"/>
            <w:vAlign w:val="bottom"/>
            <w:shd w:val="clear" w:color="auto" w:fill="CCEEFF"/>
          </w:tcPr>
          <w:p>
            <w:pPr>
              <w:spacing w:after="0"/>
              <w:rPr>
                <w:sz w:val="18"/>
                <w:szCs w:val="18"/>
                <w:color w:val="auto"/>
              </w:rPr>
            </w:pPr>
          </w:p>
        </w:tc>
      </w:tr>
      <w:tr>
        <w:trPr>
          <w:trHeight w:val="237"/>
        </w:trPr>
        <w:tc>
          <w:tcPr>
            <w:tcW w:w="92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shd w:val="clear" w:color="auto" w:fill="CCEEFF"/>
          </w:tcPr>
          <w:p>
            <w:pPr>
              <w:spacing w:after="0"/>
              <w:rPr>
                <w:sz w:val="20"/>
                <w:szCs w:val="20"/>
                <w:color w:val="auto"/>
              </w:rPr>
            </w:pPr>
          </w:p>
        </w:tc>
        <w:tc>
          <w:tcPr>
            <w:tcW w:w="26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2"/>
              </w:rPr>
              <w:t>filed October 2, 2003</w:t>
            </w:r>
          </w:p>
        </w:tc>
        <w:tc>
          <w:tcPr>
            <w:tcW w:w="2160" w:type="dxa"/>
            <w:vAlign w:val="bottom"/>
            <w:tcBorders>
              <w:bottom w:val="single" w:sz="8" w:color="CCEEFF"/>
            </w:tcBorders>
            <w:shd w:val="clear" w:color="auto" w:fill="CCEEFF"/>
          </w:tcPr>
          <w:p>
            <w:pPr>
              <w:spacing w:after="0"/>
              <w:rPr>
                <w:sz w:val="20"/>
                <w:szCs w:val="20"/>
                <w:color w:val="auto"/>
              </w:rPr>
            </w:pPr>
          </w:p>
        </w:tc>
      </w:tr>
      <w:tr>
        <w:trPr>
          <w:trHeight w:val="229"/>
        </w:trPr>
        <w:tc>
          <w:tcPr>
            <w:tcW w:w="92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5000" w:type="dxa"/>
            <w:vAlign w:val="bottom"/>
          </w:tcPr>
          <w:p>
            <w:pPr>
              <w:ind w:left="180"/>
              <w:spacing w:after="0"/>
              <w:rPr>
                <w:sz w:val="20"/>
                <w:szCs w:val="20"/>
                <w:color w:val="auto"/>
              </w:rPr>
            </w:pPr>
            <w:r>
              <w:rPr>
                <w:rFonts w:ascii="Arial" w:cs="Arial" w:eastAsia="Arial" w:hAnsi="Arial"/>
                <w:sz w:val="18"/>
                <w:szCs w:val="18"/>
                <w:color w:val="auto"/>
                <w:w w:val="99"/>
              </w:rPr>
              <w:t>First Supplemental Indenture, dated March 25, 2008, among</w:t>
            </w: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60" w:type="dxa"/>
            <w:vAlign w:val="bottom"/>
          </w:tcPr>
          <w:p>
            <w:pPr>
              <w:jc w:val="center"/>
              <w:ind w:left="10"/>
              <w:spacing w:after="0"/>
              <w:rPr>
                <w:sz w:val="20"/>
                <w:szCs w:val="20"/>
                <w:color w:val="auto"/>
              </w:rPr>
            </w:pPr>
            <w:r>
              <w:rPr>
                <w:rFonts w:ascii="Arial" w:cs="Arial" w:eastAsia="Arial" w:hAnsi="Arial"/>
                <w:sz w:val="18"/>
                <w:szCs w:val="18"/>
                <w:color w:val="auto"/>
                <w:w w:val="91"/>
              </w:rPr>
              <w:t>File No. 1-31339</w:t>
            </w:r>
          </w:p>
        </w:tc>
      </w:tr>
      <w:tr>
        <w:trPr>
          <w:trHeight w:val="216"/>
        </w:trPr>
        <w:tc>
          <w:tcPr>
            <w:tcW w:w="92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9"/>
              </w:rPr>
              <w:t>Weatherford Bermuda, Weatherford Delaware and Deutsche</w:t>
            </w: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89"/>
              </w:rPr>
              <w:t>Company's Current</w:t>
            </w:r>
          </w:p>
        </w:tc>
        <w:tc>
          <w:tcPr>
            <w:tcW w:w="21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Bank Trust Company Americas</w:t>
            </w:r>
          </w:p>
        </w:tc>
        <w:tc>
          <w:tcPr>
            <w:tcW w:w="2620" w:type="dxa"/>
            <w:vAlign w:val="bottom"/>
          </w:tcPr>
          <w:p>
            <w:pPr>
              <w:jc w:val="center"/>
              <w:ind w:right="70"/>
              <w:spacing w:after="0"/>
              <w:rPr>
                <w:sz w:val="20"/>
                <w:szCs w:val="20"/>
                <w:color w:val="auto"/>
              </w:rPr>
            </w:pPr>
            <w:r>
              <w:rPr>
                <w:rFonts w:ascii="Arial" w:cs="Arial" w:eastAsia="Arial" w:hAnsi="Arial"/>
                <w:sz w:val="18"/>
                <w:szCs w:val="18"/>
                <w:color w:val="auto"/>
                <w:w w:val="91"/>
              </w:rPr>
              <w:t>Report on Form 8-K</w:t>
            </w:r>
          </w:p>
        </w:tc>
        <w:tc>
          <w:tcPr>
            <w:tcW w:w="216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620" w:type="dxa"/>
            <w:vAlign w:val="bottom"/>
          </w:tcPr>
          <w:p>
            <w:pPr>
              <w:jc w:val="center"/>
              <w:ind w:right="10"/>
              <w:spacing w:after="0"/>
              <w:rPr>
                <w:sz w:val="20"/>
                <w:szCs w:val="20"/>
                <w:color w:val="auto"/>
              </w:rPr>
            </w:pPr>
            <w:r>
              <w:rPr>
                <w:rFonts w:ascii="Arial" w:cs="Arial" w:eastAsia="Arial" w:hAnsi="Arial"/>
                <w:sz w:val="18"/>
                <w:szCs w:val="18"/>
                <w:color w:val="auto"/>
                <w:w w:val="93"/>
              </w:rPr>
              <w:t>filed March 25, 2008</w:t>
            </w:r>
          </w:p>
        </w:tc>
        <w:tc>
          <w:tcPr>
            <w:tcW w:w="2160" w:type="dxa"/>
            <w:vAlign w:val="bottom"/>
          </w:tcPr>
          <w:p>
            <w:pPr>
              <w:spacing w:after="0"/>
              <w:rPr>
                <w:sz w:val="20"/>
                <w:szCs w:val="20"/>
                <w:color w:val="auto"/>
              </w:rPr>
            </w:pPr>
          </w:p>
        </w:tc>
      </w:tr>
      <w:tr>
        <w:trPr>
          <w:trHeight w:val="27"/>
        </w:trPr>
        <w:tc>
          <w:tcPr>
            <w:tcW w:w="9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4.3</w:t>
            </w: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Second Supplemental Indenture, dated as of January 8, 2009,</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File No. 1-31339</w:t>
            </w:r>
          </w:p>
        </w:tc>
      </w:tr>
      <w:tr>
        <w:trPr>
          <w:trHeight w:val="216"/>
        </w:trPr>
        <w:tc>
          <w:tcPr>
            <w:tcW w:w="920" w:type="dxa"/>
            <w:vAlign w:val="bottom"/>
            <w:shd w:val="clear" w:color="auto" w:fill="CCEEFF"/>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among Weatherford Bermuda Weatherford Delaware, and</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Company's Current</w:t>
            </w:r>
          </w:p>
        </w:tc>
        <w:tc>
          <w:tcPr>
            <w:tcW w:w="2160" w:type="dxa"/>
            <w:vAlign w:val="bottom"/>
            <w:shd w:val="clear" w:color="auto" w:fill="CCEEFF"/>
          </w:tcPr>
          <w:p>
            <w:pPr>
              <w:spacing w:after="0"/>
              <w:rPr>
                <w:sz w:val="18"/>
                <w:szCs w:val="18"/>
                <w:color w:val="auto"/>
              </w:rPr>
            </w:pPr>
          </w:p>
        </w:tc>
      </w:tr>
      <w:tr>
        <w:trPr>
          <w:trHeight w:val="216"/>
        </w:trPr>
        <w:tc>
          <w:tcPr>
            <w:tcW w:w="920" w:type="dxa"/>
            <w:vAlign w:val="bottom"/>
            <w:shd w:val="clear" w:color="auto" w:fill="CCEEFF"/>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Deutsche Bank Trust Company Americas</w:t>
            </w:r>
          </w:p>
        </w:tc>
        <w:tc>
          <w:tcPr>
            <w:tcW w:w="26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Report on Form 8-K</w:t>
            </w:r>
          </w:p>
        </w:tc>
        <w:tc>
          <w:tcPr>
            <w:tcW w:w="2160" w:type="dxa"/>
            <w:vAlign w:val="bottom"/>
            <w:shd w:val="clear" w:color="auto" w:fill="CCEEFF"/>
          </w:tcPr>
          <w:p>
            <w:pPr>
              <w:spacing w:after="0"/>
              <w:rPr>
                <w:sz w:val="18"/>
                <w:szCs w:val="18"/>
                <w:color w:val="auto"/>
              </w:rPr>
            </w:pPr>
          </w:p>
        </w:tc>
      </w:tr>
      <w:tr>
        <w:trPr>
          <w:trHeight w:val="230"/>
        </w:trPr>
        <w:tc>
          <w:tcPr>
            <w:tcW w:w="920" w:type="dxa"/>
            <w:vAlign w:val="bottom"/>
            <w:shd w:val="clear" w:color="auto" w:fill="CCEEFF"/>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262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filed January 8, 2009</w:t>
            </w:r>
          </w:p>
        </w:tc>
        <w:tc>
          <w:tcPr>
            <w:tcW w:w="2160" w:type="dxa"/>
            <w:vAlign w:val="bottom"/>
            <w:shd w:val="clear" w:color="auto" w:fill="CCEEFF"/>
          </w:tcPr>
          <w:p>
            <w:pPr>
              <w:spacing w:after="0"/>
              <w:rPr>
                <w:sz w:val="20"/>
                <w:szCs w:val="20"/>
                <w:color w:val="auto"/>
              </w:rPr>
            </w:pPr>
          </w:p>
        </w:tc>
      </w:tr>
      <w:tr>
        <w:trPr>
          <w:trHeight w:val="27"/>
        </w:trPr>
        <w:tc>
          <w:tcPr>
            <w:tcW w:w="92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3" w:lineRule="exact"/>
        <w:rPr>
          <w:rFonts w:ascii="Arial" w:cs="Arial" w:eastAsia="Arial" w:hAnsi="Arial"/>
          <w:sz w:val="18"/>
          <w:szCs w:val="18"/>
          <w:color w:val="auto"/>
        </w:rPr>
      </w:pPr>
    </w:p>
    <w:p>
      <w:pPr>
        <w:sectPr>
          <w:pgSz w:w="11900" w:h="16838" w:orient="portrait"/>
          <w:cols w:equalWidth="0" w:num="1">
            <w:col w:w="11240"/>
          </w:cols>
          <w:pgMar w:left="240" w:top="395" w:right="419" w:bottom="1440" w:gutter="0" w:footer="0" w:header="0"/>
        </w:sectPr>
      </w:pPr>
    </w:p>
    <w:p>
      <w:pPr>
        <w:ind w:left="1640" w:right="60" w:hanging="787"/>
        <w:spacing w:after="0" w:line="259" w:lineRule="auto"/>
        <w:tabs>
          <w:tab w:leader="none" w:pos="162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Third Supplemental Indenture, dated as of February 26, 2009, among Weatherford Bermuda, Weatherford Delaware, Weatherford Switzerland and Deutsche Bank Trust Company Americas</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ind w:left="200"/>
        <w:spacing w:after="0"/>
        <w:tabs>
          <w:tab w:leader="none" w:pos="2720" w:val="left"/>
        </w:tabs>
        <w:rPr>
          <w:sz w:val="20"/>
          <w:szCs w:val="20"/>
          <w:color w:val="auto"/>
        </w:rPr>
      </w:pPr>
      <w:r>
        <w:rPr>
          <w:rFonts w:ascii="Arial" w:cs="Arial" w:eastAsia="Arial" w:hAnsi="Arial"/>
          <w:sz w:val="18"/>
          <w:szCs w:val="18"/>
          <w:color w:val="auto"/>
        </w:rPr>
        <w:t>Exhibit 4.2 to the</w:t>
      </w:r>
      <w:r>
        <w:rPr>
          <w:sz w:val="20"/>
          <w:szCs w:val="20"/>
          <w:color w:val="auto"/>
        </w:rPr>
        <w:tab/>
      </w:r>
      <w:r>
        <w:rPr>
          <w:rFonts w:ascii="Arial" w:cs="Arial" w:eastAsia="Arial" w:hAnsi="Arial"/>
          <w:sz w:val="16"/>
          <w:szCs w:val="16"/>
          <w:color w:val="auto"/>
        </w:rPr>
        <w:t>File No. 1-34258</w:t>
      </w:r>
    </w:p>
    <w:p>
      <w:pPr>
        <w:spacing w:after="0" w:line="23" w:lineRule="exact"/>
        <w:rPr>
          <w:rFonts w:ascii="Arial" w:cs="Arial" w:eastAsia="Arial" w:hAnsi="Arial"/>
          <w:sz w:val="18"/>
          <w:szCs w:val="18"/>
          <w:color w:val="auto"/>
        </w:rPr>
      </w:pPr>
    </w:p>
    <w:p>
      <w:pPr>
        <w:ind w:left="140"/>
        <w:spacing w:after="0"/>
        <w:rPr>
          <w:sz w:val="20"/>
          <w:szCs w:val="20"/>
          <w:color w:val="auto"/>
        </w:rPr>
      </w:pPr>
      <w:r>
        <w:rPr>
          <w:rFonts w:ascii="Arial" w:cs="Arial" w:eastAsia="Arial" w:hAnsi="Arial"/>
          <w:sz w:val="18"/>
          <w:szCs w:val="18"/>
          <w:color w:val="auto"/>
        </w:rPr>
        <w:t>Company's Current</w:t>
      </w:r>
    </w:p>
    <w:p>
      <w:pPr>
        <w:spacing w:after="0" w:line="9"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color w:val="auto"/>
        </w:rPr>
        <w:t>Report on Form 8-K</w:t>
      </w:r>
    </w:p>
    <w:p>
      <w:pPr>
        <w:spacing w:after="0" w:line="9"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February 26, 2009</w:t>
      </w:r>
    </w:p>
    <w:p>
      <w:pPr>
        <w:spacing w:after="0" w:line="35" w:lineRule="exact"/>
        <w:rPr>
          <w:rFonts w:ascii="Arial" w:cs="Arial" w:eastAsia="Arial" w:hAnsi="Arial"/>
          <w:sz w:val="18"/>
          <w:szCs w:val="18"/>
          <w:color w:val="auto"/>
        </w:rPr>
      </w:pPr>
    </w:p>
    <w:p>
      <w:pPr>
        <w:sectPr>
          <w:pgSz w:w="11900" w:h="16838" w:orient="portrait"/>
          <w:cols w:equalWidth="0" w:num="2">
            <w:col w:w="6140" w:space="720"/>
            <w:col w:w="4380"/>
          </w:cols>
          <w:pgMar w:left="240" w:top="395" w:right="41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4.5</w:t>
            </w:r>
          </w:p>
        </w:tc>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Fourth Supplemental Indenture, dated as of September 23,</w:t>
            </w: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File No. 1-34258</w:t>
            </w:r>
          </w:p>
        </w:tc>
      </w:tr>
      <w:tr>
        <w:trPr>
          <w:trHeight w:val="216"/>
        </w:trPr>
        <w:tc>
          <w:tcPr>
            <w:tcW w:w="820" w:type="dxa"/>
            <w:vAlign w:val="bottom"/>
            <w:shd w:val="clear" w:color="auto" w:fill="CCEEFF"/>
          </w:tcPr>
          <w:p>
            <w:pPr>
              <w:spacing w:after="0"/>
              <w:rPr>
                <w:sz w:val="18"/>
                <w:szCs w:val="18"/>
                <w:color w:val="auto"/>
              </w:rPr>
            </w:pPr>
          </w:p>
        </w:tc>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2010, among Weatherford Delaware, Weatherford Bermuda,</w:t>
            </w: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Company's Quarterly</w:t>
            </w:r>
          </w:p>
        </w:tc>
        <w:tc>
          <w:tcPr>
            <w:tcW w:w="2140" w:type="dxa"/>
            <w:vAlign w:val="bottom"/>
            <w:shd w:val="clear" w:color="auto" w:fill="CCEEFF"/>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Weatherford Switzerland, and Deutsche Bank Trust Company</w:t>
            </w: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Report on Form 10-Q</w:t>
            </w:r>
          </w:p>
        </w:tc>
        <w:tc>
          <w:tcPr>
            <w:tcW w:w="2140" w:type="dxa"/>
            <w:vAlign w:val="bottom"/>
            <w:shd w:val="clear" w:color="auto" w:fill="CCEEFF"/>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Americas</w:t>
            </w: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for the quarter ended</w:t>
            </w:r>
          </w:p>
        </w:tc>
        <w:tc>
          <w:tcPr>
            <w:tcW w:w="2140" w:type="dxa"/>
            <w:vAlign w:val="bottom"/>
            <w:shd w:val="clear" w:color="auto" w:fill="CCEEFF"/>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September 30, 2010 filed</w:t>
            </w:r>
          </w:p>
        </w:tc>
        <w:tc>
          <w:tcPr>
            <w:tcW w:w="2140" w:type="dxa"/>
            <w:vAlign w:val="bottom"/>
            <w:shd w:val="clear" w:color="auto" w:fill="CCEEFF"/>
          </w:tcPr>
          <w:p>
            <w:pPr>
              <w:spacing w:after="0"/>
              <w:rPr>
                <w:sz w:val="18"/>
                <w:szCs w:val="18"/>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5080" w:type="dxa"/>
            <w:vAlign w:val="bottom"/>
            <w:tcBorders>
              <w:bottom w:val="single" w:sz="8" w:color="CCEEFF"/>
            </w:tcBorders>
            <w:shd w:val="clear" w:color="auto" w:fill="CCEEFF"/>
          </w:tcPr>
          <w:p>
            <w:pPr>
              <w:spacing w:after="0"/>
              <w:rPr>
                <w:sz w:val="20"/>
                <w:szCs w:val="20"/>
                <w:color w:val="auto"/>
              </w:rPr>
            </w:pPr>
          </w:p>
        </w:tc>
        <w:tc>
          <w:tcPr>
            <w:tcW w:w="26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0"/>
              </w:rPr>
              <w:t>November 2, 2010</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29"/>
        </w:trPr>
        <w:tc>
          <w:tcPr>
            <w:tcW w:w="820" w:type="dxa"/>
            <w:vAlign w:val="bottom"/>
          </w:tcPr>
          <w:p>
            <w:pPr>
              <w:jc w:val="right"/>
              <w:ind w:right="190"/>
              <w:spacing w:after="0"/>
              <w:rPr>
                <w:sz w:val="20"/>
                <w:szCs w:val="20"/>
                <w:color w:val="auto"/>
              </w:rPr>
            </w:pPr>
            <w:r>
              <w:rPr>
                <w:rFonts w:ascii="Arial" w:cs="Arial" w:eastAsia="Arial" w:hAnsi="Arial"/>
                <w:sz w:val="18"/>
                <w:szCs w:val="18"/>
                <w:color w:val="auto"/>
              </w:rPr>
              <w:t>4.6</w:t>
            </w:r>
          </w:p>
        </w:tc>
        <w:tc>
          <w:tcPr>
            <w:tcW w:w="5080" w:type="dxa"/>
            <w:vAlign w:val="bottom"/>
          </w:tcPr>
          <w:p>
            <w:pPr>
              <w:ind w:left="280"/>
              <w:spacing w:after="0"/>
              <w:rPr>
                <w:sz w:val="20"/>
                <w:szCs w:val="20"/>
                <w:color w:val="auto"/>
              </w:rPr>
            </w:pPr>
            <w:r>
              <w:rPr>
                <w:rFonts w:ascii="Arial" w:cs="Arial" w:eastAsia="Arial" w:hAnsi="Arial"/>
                <w:sz w:val="18"/>
                <w:szCs w:val="18"/>
                <w:color w:val="auto"/>
              </w:rPr>
              <w:t>Fifth Supplemental Indenture, dated as of April 4, 2012,</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40" w:type="dxa"/>
            <w:vAlign w:val="bottom"/>
          </w:tcPr>
          <w:p>
            <w:pPr>
              <w:ind w:left="500"/>
              <w:spacing w:after="0"/>
              <w:rPr>
                <w:sz w:val="20"/>
                <w:szCs w:val="20"/>
                <w:color w:val="auto"/>
              </w:rPr>
            </w:pPr>
            <w:r>
              <w:rPr>
                <w:rFonts w:ascii="Arial" w:cs="Arial" w:eastAsia="Arial" w:hAnsi="Arial"/>
                <w:sz w:val="18"/>
                <w:szCs w:val="18"/>
                <w:color w:val="auto"/>
              </w:rPr>
              <w:t>File No. 1-34258</w:t>
            </w:r>
          </w:p>
        </w:tc>
      </w:tr>
      <w:tr>
        <w:trPr>
          <w:trHeight w:val="216"/>
        </w:trPr>
        <w:tc>
          <w:tcPr>
            <w:tcW w:w="820" w:type="dxa"/>
            <w:vAlign w:val="bottom"/>
          </w:tcPr>
          <w:p>
            <w:pPr>
              <w:spacing w:after="0"/>
              <w:rPr>
                <w:sz w:val="18"/>
                <w:szCs w:val="18"/>
                <w:color w:val="auto"/>
              </w:rPr>
            </w:pPr>
          </w:p>
        </w:tc>
        <w:tc>
          <w:tcPr>
            <w:tcW w:w="5080" w:type="dxa"/>
            <w:vAlign w:val="bottom"/>
          </w:tcPr>
          <w:p>
            <w:pPr>
              <w:ind w:left="280"/>
              <w:spacing w:after="0"/>
              <w:rPr>
                <w:sz w:val="20"/>
                <w:szCs w:val="20"/>
                <w:color w:val="auto"/>
              </w:rPr>
            </w:pPr>
            <w:r>
              <w:rPr>
                <w:rFonts w:ascii="Arial" w:cs="Arial" w:eastAsia="Arial" w:hAnsi="Arial"/>
                <w:sz w:val="18"/>
                <w:szCs w:val="18"/>
                <w:color w:val="auto"/>
              </w:rPr>
              <w:t>among Weatherford Delaware, Weatherford Bermuda,</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080" w:type="dxa"/>
            <w:vAlign w:val="bottom"/>
          </w:tcPr>
          <w:p>
            <w:pPr>
              <w:ind w:left="280"/>
              <w:spacing w:after="0"/>
              <w:rPr>
                <w:sz w:val="20"/>
                <w:szCs w:val="20"/>
                <w:color w:val="auto"/>
              </w:rPr>
            </w:pPr>
            <w:r>
              <w:rPr>
                <w:rFonts w:ascii="Arial" w:cs="Arial" w:eastAsia="Arial" w:hAnsi="Arial"/>
                <w:sz w:val="18"/>
                <w:szCs w:val="18"/>
                <w:color w:val="auto"/>
                <w:w w:val="97"/>
              </w:rPr>
              <w:t>Weatherford Switzerland, and Deutsche Bank Trust Company</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1"/>
              </w:rPr>
              <w:t>Report on Form 8-K</w:t>
            </w:r>
          </w:p>
        </w:tc>
        <w:tc>
          <w:tcPr>
            <w:tcW w:w="214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5080" w:type="dxa"/>
            <w:vAlign w:val="bottom"/>
          </w:tcPr>
          <w:p>
            <w:pPr>
              <w:ind w:left="280"/>
              <w:spacing w:after="0"/>
              <w:rPr>
                <w:sz w:val="20"/>
                <w:szCs w:val="20"/>
                <w:color w:val="auto"/>
              </w:rPr>
            </w:pPr>
            <w:r>
              <w:rPr>
                <w:rFonts w:ascii="Arial" w:cs="Arial" w:eastAsia="Arial" w:hAnsi="Arial"/>
                <w:sz w:val="18"/>
                <w:szCs w:val="18"/>
                <w:color w:val="auto"/>
              </w:rPr>
              <w:t>Americas</w:t>
            </w:r>
          </w:p>
        </w:tc>
        <w:tc>
          <w:tcPr>
            <w:tcW w:w="2660" w:type="dxa"/>
            <w:vAlign w:val="bottom"/>
          </w:tcPr>
          <w:p>
            <w:pPr>
              <w:jc w:val="center"/>
              <w:ind w:right="30"/>
              <w:spacing w:after="0"/>
              <w:rPr>
                <w:sz w:val="20"/>
                <w:szCs w:val="20"/>
                <w:color w:val="auto"/>
              </w:rPr>
            </w:pPr>
            <w:r>
              <w:rPr>
                <w:rFonts w:ascii="Arial" w:cs="Arial" w:eastAsia="Arial" w:hAnsi="Arial"/>
                <w:sz w:val="18"/>
                <w:szCs w:val="18"/>
                <w:color w:val="auto"/>
                <w:w w:val="96"/>
              </w:rPr>
              <w:t>filed April 4, 2012</w:t>
            </w:r>
          </w:p>
        </w:tc>
        <w:tc>
          <w:tcPr>
            <w:tcW w:w="2140" w:type="dxa"/>
            <w:vAlign w:val="bottom"/>
          </w:tcPr>
          <w:p>
            <w:pPr>
              <w:spacing w:after="0"/>
              <w:rPr>
                <w:sz w:val="20"/>
                <w:szCs w:val="20"/>
                <w:color w:val="auto"/>
              </w:rPr>
            </w:pPr>
          </w:p>
        </w:tc>
      </w:tr>
      <w:tr>
        <w:trPr>
          <w:trHeight w:val="27"/>
        </w:trPr>
        <w:tc>
          <w:tcPr>
            <w:tcW w:w="8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9"/>
        </w:trPr>
        <w:tc>
          <w:tcPr>
            <w:tcW w:w="8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4.7</w:t>
            </w:r>
          </w:p>
        </w:tc>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Sixth Supplemental Indenture, dated as of August 14, 2012,</w:t>
            </w: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File No. 1-34258</w:t>
            </w:r>
          </w:p>
        </w:tc>
      </w:tr>
      <w:tr>
        <w:trPr>
          <w:trHeight w:val="216"/>
        </w:trPr>
        <w:tc>
          <w:tcPr>
            <w:tcW w:w="820" w:type="dxa"/>
            <w:vAlign w:val="bottom"/>
            <w:shd w:val="clear" w:color="auto" w:fill="CCEEFF"/>
          </w:tcPr>
          <w:p>
            <w:pPr>
              <w:spacing w:after="0"/>
              <w:rPr>
                <w:sz w:val="18"/>
                <w:szCs w:val="18"/>
                <w:color w:val="auto"/>
              </w:rPr>
            </w:pPr>
          </w:p>
        </w:tc>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among Weatherford Delaware, Weatherford Bermuda,</w:t>
            </w: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8"/>
                <w:szCs w:val="18"/>
                <w:color w:val="auto"/>
              </w:rPr>
            </w:pPr>
          </w:p>
        </w:tc>
      </w:tr>
      <w:tr>
        <w:trPr>
          <w:trHeight w:val="216"/>
        </w:trPr>
        <w:tc>
          <w:tcPr>
            <w:tcW w:w="820" w:type="dxa"/>
            <w:vAlign w:val="bottom"/>
            <w:shd w:val="clear" w:color="auto" w:fill="CCEEFF"/>
          </w:tcPr>
          <w:p>
            <w:pPr>
              <w:spacing w:after="0"/>
              <w:rPr>
                <w:sz w:val="18"/>
                <w:szCs w:val="18"/>
                <w:color w:val="auto"/>
              </w:rPr>
            </w:pPr>
          </w:p>
        </w:tc>
        <w:tc>
          <w:tcPr>
            <w:tcW w:w="50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Weatherford Switzerland, and Deutsche Bank Trust Company</w:t>
            </w:r>
          </w:p>
        </w:tc>
        <w:tc>
          <w:tcPr>
            <w:tcW w:w="26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Report on Form 8-K</w:t>
            </w:r>
          </w:p>
        </w:tc>
        <w:tc>
          <w:tcPr>
            <w:tcW w:w="2140" w:type="dxa"/>
            <w:vAlign w:val="bottom"/>
            <w:shd w:val="clear" w:color="auto" w:fill="CCEEFF"/>
          </w:tcPr>
          <w:p>
            <w:pPr>
              <w:spacing w:after="0"/>
              <w:rPr>
                <w:sz w:val="18"/>
                <w:szCs w:val="18"/>
                <w:color w:val="auto"/>
              </w:rPr>
            </w:pPr>
          </w:p>
        </w:tc>
      </w:tr>
      <w:tr>
        <w:trPr>
          <w:trHeight w:val="237"/>
        </w:trPr>
        <w:tc>
          <w:tcPr>
            <w:tcW w:w="820" w:type="dxa"/>
            <w:vAlign w:val="bottom"/>
            <w:tcBorders>
              <w:bottom w:val="single" w:sz="8" w:color="CCEEFF"/>
            </w:tcBorders>
            <w:shd w:val="clear" w:color="auto" w:fill="CCEEFF"/>
          </w:tcPr>
          <w:p>
            <w:pPr>
              <w:spacing w:after="0"/>
              <w:rPr>
                <w:sz w:val="20"/>
                <w:szCs w:val="20"/>
                <w:color w:val="auto"/>
              </w:rPr>
            </w:pPr>
          </w:p>
        </w:tc>
        <w:tc>
          <w:tcPr>
            <w:tcW w:w="5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Americas</w:t>
            </w:r>
          </w:p>
        </w:tc>
        <w:tc>
          <w:tcPr>
            <w:tcW w:w="266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3"/>
              </w:rPr>
              <w:t>filed August 14, 2012</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29"/>
        </w:trPr>
        <w:tc>
          <w:tcPr>
            <w:tcW w:w="820" w:type="dxa"/>
            <w:vAlign w:val="bottom"/>
          </w:tcPr>
          <w:p>
            <w:pPr>
              <w:jc w:val="right"/>
              <w:ind w:right="190"/>
              <w:spacing w:after="0"/>
              <w:rPr>
                <w:sz w:val="20"/>
                <w:szCs w:val="20"/>
                <w:color w:val="auto"/>
              </w:rPr>
            </w:pPr>
            <w:r>
              <w:rPr>
                <w:rFonts w:ascii="Arial" w:cs="Arial" w:eastAsia="Arial" w:hAnsi="Arial"/>
                <w:sz w:val="18"/>
                <w:szCs w:val="18"/>
                <w:color w:val="auto"/>
              </w:rPr>
              <w:t>4.8</w:t>
            </w:r>
          </w:p>
        </w:tc>
        <w:tc>
          <w:tcPr>
            <w:tcW w:w="5080" w:type="dxa"/>
            <w:vAlign w:val="bottom"/>
          </w:tcPr>
          <w:p>
            <w:pPr>
              <w:ind w:left="280"/>
              <w:spacing w:after="0"/>
              <w:rPr>
                <w:sz w:val="20"/>
                <w:szCs w:val="20"/>
                <w:color w:val="auto"/>
              </w:rPr>
            </w:pPr>
            <w:r>
              <w:rPr>
                <w:rFonts w:ascii="Arial" w:cs="Arial" w:eastAsia="Arial" w:hAnsi="Arial"/>
                <w:sz w:val="18"/>
                <w:szCs w:val="18"/>
                <w:color w:val="auto"/>
                <w:w w:val="96"/>
              </w:rPr>
              <w:t>Seventh Supplemental Indenture, dated as of March 31, 2013,</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3"/>
              </w:rPr>
              <w:t>Exhibit 4.1 to the</w:t>
            </w:r>
          </w:p>
        </w:tc>
        <w:tc>
          <w:tcPr>
            <w:tcW w:w="2140" w:type="dxa"/>
            <w:vAlign w:val="bottom"/>
          </w:tcPr>
          <w:p>
            <w:pPr>
              <w:ind w:left="500"/>
              <w:spacing w:after="0"/>
              <w:rPr>
                <w:sz w:val="20"/>
                <w:szCs w:val="20"/>
                <w:color w:val="auto"/>
              </w:rPr>
            </w:pPr>
            <w:r>
              <w:rPr>
                <w:rFonts w:ascii="Arial" w:cs="Arial" w:eastAsia="Arial" w:hAnsi="Arial"/>
                <w:sz w:val="18"/>
                <w:szCs w:val="18"/>
                <w:color w:val="auto"/>
              </w:rPr>
              <w:t>File No. 1-34258</w:t>
            </w:r>
          </w:p>
        </w:tc>
      </w:tr>
      <w:tr>
        <w:trPr>
          <w:trHeight w:val="216"/>
        </w:trPr>
        <w:tc>
          <w:tcPr>
            <w:tcW w:w="820" w:type="dxa"/>
            <w:vAlign w:val="bottom"/>
          </w:tcPr>
          <w:p>
            <w:pPr>
              <w:spacing w:after="0"/>
              <w:rPr>
                <w:sz w:val="18"/>
                <w:szCs w:val="18"/>
                <w:color w:val="auto"/>
              </w:rPr>
            </w:pPr>
          </w:p>
        </w:tc>
        <w:tc>
          <w:tcPr>
            <w:tcW w:w="5080" w:type="dxa"/>
            <w:vAlign w:val="bottom"/>
          </w:tcPr>
          <w:p>
            <w:pPr>
              <w:ind w:left="280"/>
              <w:spacing w:after="0"/>
              <w:rPr>
                <w:sz w:val="20"/>
                <w:szCs w:val="20"/>
                <w:color w:val="auto"/>
              </w:rPr>
            </w:pPr>
            <w:r>
              <w:rPr>
                <w:rFonts w:ascii="Arial" w:cs="Arial" w:eastAsia="Arial" w:hAnsi="Arial"/>
                <w:sz w:val="18"/>
                <w:szCs w:val="18"/>
                <w:color w:val="auto"/>
              </w:rPr>
              <w:t>among Weatherford Delaware, Weatherford Bermuda,</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1"/>
              </w:rPr>
              <w:t>Company's Quarterly</w:t>
            </w:r>
          </w:p>
        </w:tc>
        <w:tc>
          <w:tcPr>
            <w:tcW w:w="21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080" w:type="dxa"/>
            <w:vAlign w:val="bottom"/>
          </w:tcPr>
          <w:p>
            <w:pPr>
              <w:ind w:left="280"/>
              <w:spacing w:after="0"/>
              <w:rPr>
                <w:sz w:val="20"/>
                <w:szCs w:val="20"/>
                <w:color w:val="auto"/>
              </w:rPr>
            </w:pPr>
            <w:r>
              <w:rPr>
                <w:rFonts w:ascii="Arial" w:cs="Arial" w:eastAsia="Arial" w:hAnsi="Arial"/>
                <w:sz w:val="18"/>
                <w:szCs w:val="18"/>
                <w:color w:val="auto"/>
                <w:w w:val="97"/>
              </w:rPr>
              <w:t>Weatherford Switzerland, and Deutsche Bank Trust Company</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2"/>
              </w:rPr>
              <w:t>Report on Form 10-Q</w:t>
            </w:r>
          </w:p>
        </w:tc>
        <w:tc>
          <w:tcPr>
            <w:tcW w:w="21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080" w:type="dxa"/>
            <w:vAlign w:val="bottom"/>
          </w:tcPr>
          <w:p>
            <w:pPr>
              <w:ind w:left="280"/>
              <w:spacing w:after="0"/>
              <w:rPr>
                <w:sz w:val="20"/>
                <w:szCs w:val="20"/>
                <w:color w:val="auto"/>
              </w:rPr>
            </w:pPr>
            <w:r>
              <w:rPr>
                <w:rFonts w:ascii="Arial" w:cs="Arial" w:eastAsia="Arial" w:hAnsi="Arial"/>
                <w:sz w:val="18"/>
                <w:szCs w:val="18"/>
                <w:color w:val="auto"/>
              </w:rPr>
              <w:t>Americas</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89"/>
              </w:rPr>
              <w:t>for the quarter ended</w:t>
            </w:r>
          </w:p>
        </w:tc>
        <w:tc>
          <w:tcPr>
            <w:tcW w:w="214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660" w:type="dxa"/>
            <w:vAlign w:val="bottom"/>
          </w:tcPr>
          <w:p>
            <w:pPr>
              <w:jc w:val="center"/>
              <w:ind w:right="50"/>
              <w:spacing w:after="0"/>
              <w:rPr>
                <w:sz w:val="20"/>
                <w:szCs w:val="20"/>
                <w:color w:val="auto"/>
              </w:rPr>
            </w:pPr>
            <w:r>
              <w:rPr>
                <w:rFonts w:ascii="Arial" w:cs="Arial" w:eastAsia="Arial" w:hAnsi="Arial"/>
                <w:sz w:val="18"/>
                <w:szCs w:val="18"/>
                <w:color w:val="auto"/>
                <w:w w:val="93"/>
              </w:rPr>
              <w:t>March 31, 2013 filed</w:t>
            </w:r>
          </w:p>
        </w:tc>
        <w:tc>
          <w:tcPr>
            <w:tcW w:w="214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660" w:type="dxa"/>
            <w:vAlign w:val="bottom"/>
          </w:tcPr>
          <w:p>
            <w:pPr>
              <w:jc w:val="center"/>
              <w:ind w:right="10"/>
              <w:spacing w:after="0"/>
              <w:rPr>
                <w:sz w:val="20"/>
                <w:szCs w:val="20"/>
                <w:color w:val="auto"/>
              </w:rPr>
            </w:pPr>
            <w:r>
              <w:rPr>
                <w:rFonts w:ascii="Arial" w:cs="Arial" w:eastAsia="Arial" w:hAnsi="Arial"/>
                <w:sz w:val="18"/>
                <w:szCs w:val="18"/>
                <w:color w:val="auto"/>
                <w:w w:val="92"/>
              </w:rPr>
              <w:t>May 3, 2013</w:t>
            </w:r>
          </w:p>
        </w:tc>
        <w:tc>
          <w:tcPr>
            <w:tcW w:w="2140" w:type="dxa"/>
            <w:vAlign w:val="bottom"/>
          </w:tcPr>
          <w:p>
            <w:pPr>
              <w:spacing w:after="0"/>
              <w:rPr>
                <w:sz w:val="20"/>
                <w:szCs w:val="20"/>
                <w:color w:val="auto"/>
              </w:rPr>
            </w:pPr>
          </w:p>
        </w:tc>
      </w:tr>
    </w:tbl>
    <w:p>
      <w:pPr>
        <w:spacing w:after="0" w:line="200" w:lineRule="exact"/>
        <w:rPr>
          <w:rFonts w:ascii="Arial" w:cs="Arial" w:eastAsia="Arial" w:hAnsi="Arial"/>
          <w:sz w:val="18"/>
          <w:szCs w:val="18"/>
          <w:color w:val="auto"/>
        </w:rPr>
      </w:pPr>
    </w:p>
    <w:p>
      <w:pPr>
        <w:sectPr>
          <w:pgSz w:w="11900" w:h="16838" w:orient="portrait"/>
          <w:cols w:equalWidth="0" w:num="1">
            <w:col w:w="11240"/>
          </w:cols>
          <w:pgMar w:left="240" w:top="395" w:right="419" w:bottom="1440" w:gutter="0" w:footer="0" w:header="0"/>
          <w:type w:val="continuous"/>
        </w:sectPr>
      </w:pPr>
    </w:p>
    <w:p>
      <w:pPr>
        <w:spacing w:after="0" w:line="56" w:lineRule="exact"/>
        <w:rPr>
          <w:rFonts w:ascii="Arial" w:cs="Arial" w:eastAsia="Arial" w:hAnsi="Arial"/>
          <w:sz w:val="18"/>
          <w:szCs w:val="18"/>
          <w:color w:val="auto"/>
        </w:rPr>
      </w:pPr>
    </w:p>
    <w:p>
      <w:pPr>
        <w:jc w:val="center"/>
        <w:ind w:right="-17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240"/>
          </w:cols>
          <w:pgMar w:left="240" w:top="395" w:right="419" w:bottom="1440"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jc w:val="right"/>
              <w:ind w:right="180"/>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50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ind w:left="140"/>
              <w:spacing w:after="0"/>
              <w:rPr>
                <w:sz w:val="20"/>
                <w:szCs w:val="20"/>
                <w:color w:val="auto"/>
              </w:rPr>
            </w:pPr>
            <w:r>
              <w:rPr>
                <w:rFonts w:ascii="Arial" w:cs="Arial" w:eastAsia="Arial" w:hAnsi="Arial"/>
                <w:sz w:val="18"/>
                <w:szCs w:val="18"/>
                <w:b w:val="1"/>
                <w:bCs w:val="1"/>
                <w:color w:val="auto"/>
                <w:w w:val="96"/>
              </w:rPr>
              <w:t>Exhibit</w:t>
            </w:r>
          </w:p>
        </w:tc>
        <w:tc>
          <w:tcPr>
            <w:tcW w:w="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Number</w:t>
            </w:r>
          </w:p>
        </w:tc>
        <w:tc>
          <w:tcPr>
            <w:tcW w:w="502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60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Original Filed Exhibit</w:t>
            </w:r>
          </w:p>
        </w:tc>
        <w:tc>
          <w:tcPr>
            <w:tcW w:w="216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5"/>
              </w:rPr>
              <w:t>4.9</w:t>
            </w:r>
          </w:p>
        </w:tc>
        <w:tc>
          <w:tcPr>
            <w:tcW w:w="180" w:type="dxa"/>
            <w:vAlign w:val="bottom"/>
            <w:tcBorders>
              <w:top w:val="single" w:sz="8" w:color="auto"/>
            </w:tcBorders>
            <w:shd w:val="clear" w:color="auto" w:fill="CCEEFF"/>
          </w:tcPr>
          <w:p>
            <w:pPr>
              <w:spacing w:after="0"/>
              <w:rPr>
                <w:sz w:val="19"/>
                <w:szCs w:val="19"/>
                <w:color w:val="auto"/>
              </w:rPr>
            </w:pPr>
          </w:p>
        </w:tc>
        <w:tc>
          <w:tcPr>
            <w:tcW w:w="50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9"/>
              </w:rPr>
              <w:t>Eighth Supplemental Indenture, dated June 17, 2014, among</w:t>
            </w:r>
          </w:p>
        </w:tc>
        <w:tc>
          <w:tcPr>
            <w:tcW w:w="260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3"/>
              </w:rPr>
              <w:t>Exhibit 4.1 of the</w:t>
            </w:r>
          </w:p>
        </w:tc>
        <w:tc>
          <w:tcPr>
            <w:tcW w:w="21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Ireland, Weatherford Bermuda, Weatherford</w:t>
            </w:r>
          </w:p>
        </w:tc>
        <w:tc>
          <w:tcPr>
            <w:tcW w:w="26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1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Delaware and Deutsche Bank Trust Company Americas, as</w:t>
            </w:r>
          </w:p>
        </w:tc>
        <w:tc>
          <w:tcPr>
            <w:tcW w:w="26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Report on Form 8-K12B</w:t>
            </w:r>
          </w:p>
        </w:tc>
        <w:tc>
          <w:tcPr>
            <w:tcW w:w="216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trustee, to the indenture dated as of October 1, 2003</w:t>
            </w:r>
          </w:p>
        </w:tc>
        <w:tc>
          <w:tcPr>
            <w:tcW w:w="26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filed June 17, 2014</w:t>
            </w:r>
          </w:p>
        </w:tc>
        <w:tc>
          <w:tcPr>
            <w:tcW w:w="216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4.10</w:t>
            </w:r>
          </w:p>
        </w:tc>
        <w:tc>
          <w:tcPr>
            <w:tcW w:w="18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w w:val="95"/>
              </w:rPr>
              <w:t>Indenture, dated June 18, 2007, among Weatherford Delaware,</w:t>
            </w:r>
          </w:p>
        </w:tc>
        <w:tc>
          <w:tcPr>
            <w:tcW w:w="2600" w:type="dxa"/>
            <w:vAlign w:val="bottom"/>
          </w:tcPr>
          <w:p>
            <w:pPr>
              <w:jc w:val="center"/>
              <w:ind w:right="90"/>
              <w:spacing w:after="0"/>
              <w:rPr>
                <w:sz w:val="20"/>
                <w:szCs w:val="20"/>
                <w:color w:val="auto"/>
              </w:rPr>
            </w:pPr>
            <w:r>
              <w:rPr>
                <w:rFonts w:ascii="Arial" w:cs="Arial" w:eastAsia="Arial" w:hAnsi="Arial"/>
                <w:sz w:val="18"/>
                <w:szCs w:val="18"/>
                <w:color w:val="auto"/>
                <w:w w:val="93"/>
              </w:rPr>
              <w:t>Exhibit 4.1 to the</w:t>
            </w:r>
          </w:p>
        </w:tc>
        <w:tc>
          <w:tcPr>
            <w:tcW w:w="2160" w:type="dxa"/>
            <w:vAlign w:val="bottom"/>
          </w:tcPr>
          <w:p>
            <w:pPr>
              <w:jc w:val="center"/>
              <w:ind w:left="1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Weatherford Bermuda and Deutsche Bank Trust Company</w:t>
            </w:r>
          </w:p>
        </w:tc>
        <w:tc>
          <w:tcPr>
            <w:tcW w:w="2600" w:type="dxa"/>
            <w:vAlign w:val="bottom"/>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1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Americas</w:t>
            </w:r>
          </w:p>
        </w:tc>
        <w:tc>
          <w:tcPr>
            <w:tcW w:w="2600" w:type="dxa"/>
            <w:vAlign w:val="bottom"/>
          </w:tcPr>
          <w:p>
            <w:pPr>
              <w:jc w:val="center"/>
              <w:ind w:right="90"/>
              <w:spacing w:after="0"/>
              <w:rPr>
                <w:sz w:val="20"/>
                <w:szCs w:val="20"/>
                <w:color w:val="auto"/>
              </w:rPr>
            </w:pPr>
            <w:r>
              <w:rPr>
                <w:rFonts w:ascii="Arial" w:cs="Arial" w:eastAsia="Arial" w:hAnsi="Arial"/>
                <w:sz w:val="18"/>
                <w:szCs w:val="18"/>
                <w:color w:val="auto"/>
                <w:w w:val="91"/>
              </w:rPr>
              <w:t>Report on Form 8-K</w:t>
            </w:r>
          </w:p>
        </w:tc>
        <w:tc>
          <w:tcPr>
            <w:tcW w:w="21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00" w:type="dxa"/>
            <w:vAlign w:val="bottom"/>
          </w:tcPr>
          <w:p>
            <w:pPr>
              <w:jc w:val="center"/>
              <w:ind w:right="30"/>
              <w:spacing w:after="0"/>
              <w:rPr>
                <w:sz w:val="20"/>
                <w:szCs w:val="20"/>
                <w:color w:val="auto"/>
              </w:rPr>
            </w:pPr>
            <w:r>
              <w:rPr>
                <w:rFonts w:ascii="Arial" w:cs="Arial" w:eastAsia="Arial" w:hAnsi="Arial"/>
                <w:sz w:val="18"/>
                <w:szCs w:val="18"/>
                <w:color w:val="auto"/>
                <w:w w:val="90"/>
              </w:rPr>
              <w:t>filed on June 18, 2007</w:t>
            </w:r>
          </w:p>
        </w:tc>
        <w:tc>
          <w:tcPr>
            <w:tcW w:w="216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4.11</w:t>
            </w:r>
          </w:p>
        </w:tc>
        <w:tc>
          <w:tcPr>
            <w:tcW w:w="180" w:type="dxa"/>
            <w:vAlign w:val="bottom"/>
            <w:shd w:val="clear" w:color="auto" w:fill="CCEEFF"/>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Supplemental Indenture, dated June 18, 2007, among</w:t>
            </w:r>
          </w:p>
        </w:tc>
        <w:tc>
          <w:tcPr>
            <w:tcW w:w="26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Exhibit 4.2 to the</w:t>
            </w:r>
          </w:p>
        </w:tc>
        <w:tc>
          <w:tcPr>
            <w:tcW w:w="2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Weatherford Delaware, Weatherford Bermuda, and Deutsche</w:t>
            </w:r>
          </w:p>
        </w:tc>
        <w:tc>
          <w:tcPr>
            <w:tcW w:w="26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1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Trust Company Americas (including forms of notes)</w:t>
            </w:r>
          </w:p>
        </w:tc>
        <w:tc>
          <w:tcPr>
            <w:tcW w:w="26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Report on Form 8-K</w:t>
            </w:r>
          </w:p>
        </w:tc>
        <w:tc>
          <w:tcPr>
            <w:tcW w:w="2160" w:type="dxa"/>
            <w:vAlign w:val="bottom"/>
            <w:shd w:val="clear" w:color="auto" w:fill="CCEEFF"/>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20" w:type="dxa"/>
            <w:vAlign w:val="bottom"/>
            <w:shd w:val="clear" w:color="auto" w:fill="CCEEFF"/>
          </w:tcPr>
          <w:p>
            <w:pPr>
              <w:spacing w:after="0"/>
              <w:rPr>
                <w:sz w:val="20"/>
                <w:szCs w:val="20"/>
                <w:color w:val="auto"/>
              </w:rPr>
            </w:pPr>
          </w:p>
        </w:tc>
        <w:tc>
          <w:tcPr>
            <w:tcW w:w="26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filed on June 18, 2007</w:t>
            </w:r>
          </w:p>
        </w:tc>
        <w:tc>
          <w:tcPr>
            <w:tcW w:w="2160" w:type="dxa"/>
            <w:vAlign w:val="bottom"/>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right="60" w:hanging="832"/>
        <w:spacing w:after="0" w:line="259" w:lineRule="auto"/>
        <w:tabs>
          <w:tab w:leader="none" w:pos="16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color w:val="auto"/>
        </w:rPr>
        <w:t>Second Supplemental Indenture, dated as of February 26, 2009, among Weatherford Delaware, Weatherford Bermuda, Weatherford Switzerland, and Deutsche Bank Trust Company Americas</w:t>
      </w:r>
    </w:p>
    <w:p>
      <w:pPr>
        <w:spacing w:after="0" w:line="20" w:lineRule="exact"/>
        <w:rPr>
          <w:sz w:val="20"/>
          <w:szCs w:val="20"/>
          <w:color w:val="auto"/>
        </w:rPr>
      </w:pPr>
      <w:r>
        <w:rPr>
          <w:sz w:val="20"/>
          <w:szCs w:val="20"/>
          <w:color w:val="auto"/>
        </w:rPr>
        <w:br w:type="column"/>
      </w:r>
    </w:p>
    <w:p>
      <w:pPr>
        <w:ind w:left="200"/>
        <w:spacing w:after="0"/>
        <w:tabs>
          <w:tab w:leader="none" w:pos="2720" w:val="left"/>
        </w:tabs>
        <w:rPr>
          <w:sz w:val="20"/>
          <w:szCs w:val="20"/>
          <w:color w:val="auto"/>
        </w:rPr>
      </w:pPr>
      <w:r>
        <w:rPr>
          <w:rFonts w:ascii="Arial" w:cs="Arial" w:eastAsia="Arial" w:hAnsi="Arial"/>
          <w:sz w:val="18"/>
          <w:szCs w:val="18"/>
          <w:color w:val="auto"/>
        </w:rPr>
        <w:t>Exhibit 4.3 to the</w:t>
      </w:r>
      <w:r>
        <w:rPr>
          <w:sz w:val="20"/>
          <w:szCs w:val="20"/>
          <w:color w:val="auto"/>
        </w:rPr>
        <w:tab/>
      </w:r>
      <w:r>
        <w:rPr>
          <w:rFonts w:ascii="Arial" w:cs="Arial" w:eastAsia="Arial" w:hAnsi="Arial"/>
          <w:sz w:val="16"/>
          <w:szCs w:val="16"/>
          <w:color w:val="auto"/>
        </w:rPr>
        <w:t>File No. 1-31339</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Company's Current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Report on Form 8-K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filed February 26, 2009</w:t>
      </w:r>
    </w:p>
    <w:p>
      <w:pPr>
        <w:spacing w:after="0" w:line="35" w:lineRule="exact"/>
        <w:rPr>
          <w:sz w:val="20"/>
          <w:szCs w:val="20"/>
          <w:color w:val="auto"/>
        </w:rPr>
      </w:pPr>
    </w:p>
    <w:p>
      <w:pPr>
        <w:sectPr>
          <w:pgSz w:w="11900" w:h="16838" w:orient="portrait"/>
          <w:cols w:equalWidth="0" w:num="2">
            <w:col w:w="6140" w:space="720"/>
            <w:col w:w="438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4.13</w:t>
            </w:r>
          </w:p>
        </w:tc>
        <w:tc>
          <w:tcPr>
            <w:tcW w:w="5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Third Supplemental Indenture, dated as of August 14, 2012,</w:t>
            </w:r>
          </w:p>
        </w:tc>
        <w:tc>
          <w:tcPr>
            <w:tcW w:w="26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Exhibit 4.2 to the</w:t>
            </w:r>
          </w:p>
        </w:tc>
        <w:tc>
          <w:tcPr>
            <w:tcW w:w="2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File No. 1-34258</w:t>
            </w:r>
          </w:p>
        </w:tc>
      </w:tr>
      <w:tr>
        <w:trPr>
          <w:trHeight w:val="216"/>
        </w:trPr>
        <w:tc>
          <w:tcPr>
            <w:tcW w:w="840" w:type="dxa"/>
            <w:vAlign w:val="bottom"/>
            <w:shd w:val="clear" w:color="auto" w:fill="CCEEFF"/>
          </w:tcPr>
          <w:p>
            <w:pPr>
              <w:spacing w:after="0"/>
              <w:rPr>
                <w:sz w:val="18"/>
                <w:szCs w:val="18"/>
                <w:color w:val="auto"/>
              </w:rPr>
            </w:pPr>
          </w:p>
        </w:tc>
        <w:tc>
          <w:tcPr>
            <w:tcW w:w="5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among Weatherford Delaware, Weatherford Bermuda,</w:t>
            </w:r>
          </w:p>
        </w:tc>
        <w:tc>
          <w:tcPr>
            <w:tcW w:w="26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Company's Current</w:t>
            </w:r>
          </w:p>
        </w:tc>
        <w:tc>
          <w:tcPr>
            <w:tcW w:w="2160" w:type="dxa"/>
            <w:vAlign w:val="bottom"/>
            <w:shd w:val="clear" w:color="auto" w:fill="CCEEFF"/>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50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Weatherford Switzerland and Deutsche Bank Trust Company</w:t>
            </w:r>
          </w:p>
        </w:tc>
        <w:tc>
          <w:tcPr>
            <w:tcW w:w="26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1"/>
              </w:rPr>
              <w:t>Report on Form 8-K</w:t>
            </w:r>
          </w:p>
        </w:tc>
        <w:tc>
          <w:tcPr>
            <w:tcW w:w="2160" w:type="dxa"/>
            <w:vAlign w:val="bottom"/>
            <w:shd w:val="clear" w:color="auto" w:fill="CCEEFF"/>
          </w:tcPr>
          <w:p>
            <w:pPr>
              <w:spacing w:after="0"/>
              <w:rPr>
                <w:sz w:val="18"/>
                <w:szCs w:val="18"/>
                <w:color w:val="auto"/>
              </w:rPr>
            </w:pP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5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Americas</w:t>
            </w:r>
          </w:p>
        </w:tc>
        <w:tc>
          <w:tcPr>
            <w:tcW w:w="2640" w:type="dxa"/>
            <w:vAlign w:val="bottom"/>
            <w:tcBorders>
              <w:bottom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3"/>
              </w:rPr>
              <w:t>filed August 14, 2012</w:t>
            </w:r>
          </w:p>
        </w:tc>
        <w:tc>
          <w:tcPr>
            <w:tcW w:w="2160" w:type="dxa"/>
            <w:vAlign w:val="bottom"/>
            <w:tcBorders>
              <w:bottom w:val="single" w:sz="8" w:color="CCEEFF"/>
            </w:tcBorders>
            <w:shd w:val="clear" w:color="auto" w:fill="CCEEFF"/>
          </w:tcPr>
          <w:p>
            <w:pPr>
              <w:spacing w:after="0"/>
              <w:rPr>
                <w:sz w:val="20"/>
                <w:szCs w:val="20"/>
                <w:color w:val="auto"/>
              </w:rPr>
            </w:pPr>
          </w:p>
        </w:tc>
      </w:tr>
      <w:tr>
        <w:trPr>
          <w:trHeight w:val="229"/>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4.14</w:t>
            </w:r>
          </w:p>
        </w:tc>
        <w:tc>
          <w:tcPr>
            <w:tcW w:w="5060" w:type="dxa"/>
            <w:vAlign w:val="bottom"/>
          </w:tcPr>
          <w:p>
            <w:pPr>
              <w:ind w:left="260"/>
              <w:spacing w:after="0"/>
              <w:rPr>
                <w:sz w:val="20"/>
                <w:szCs w:val="20"/>
                <w:color w:val="auto"/>
              </w:rPr>
            </w:pPr>
            <w:r>
              <w:rPr>
                <w:rFonts w:ascii="Arial" w:cs="Arial" w:eastAsia="Arial" w:hAnsi="Arial"/>
                <w:sz w:val="18"/>
                <w:szCs w:val="18"/>
                <w:color w:val="auto"/>
                <w:w w:val="99"/>
              </w:rPr>
              <w:t>Fourth Supplemental Indenture, dated as of March 31, 2013,</w:t>
            </w:r>
          </w:p>
        </w:tc>
        <w:tc>
          <w:tcPr>
            <w:tcW w:w="2640" w:type="dxa"/>
            <w:vAlign w:val="bottom"/>
          </w:tcPr>
          <w:p>
            <w:pPr>
              <w:jc w:val="center"/>
              <w:ind w:right="50"/>
              <w:spacing w:after="0"/>
              <w:rPr>
                <w:sz w:val="20"/>
                <w:szCs w:val="20"/>
                <w:color w:val="auto"/>
              </w:rPr>
            </w:pPr>
            <w:r>
              <w:rPr>
                <w:rFonts w:ascii="Arial" w:cs="Arial" w:eastAsia="Arial" w:hAnsi="Arial"/>
                <w:sz w:val="18"/>
                <w:szCs w:val="18"/>
                <w:color w:val="auto"/>
                <w:w w:val="93"/>
              </w:rPr>
              <w:t>Exhibit 4.2 to the</w:t>
            </w:r>
          </w:p>
        </w:tc>
        <w:tc>
          <w:tcPr>
            <w:tcW w:w="2160" w:type="dxa"/>
            <w:vAlign w:val="bottom"/>
          </w:tcPr>
          <w:p>
            <w:pPr>
              <w:ind w:left="520"/>
              <w:spacing w:after="0"/>
              <w:rPr>
                <w:sz w:val="20"/>
                <w:szCs w:val="20"/>
                <w:color w:val="auto"/>
              </w:rPr>
            </w:pPr>
            <w:r>
              <w:rPr>
                <w:rFonts w:ascii="Arial" w:cs="Arial" w:eastAsia="Arial" w:hAnsi="Arial"/>
                <w:sz w:val="18"/>
                <w:szCs w:val="18"/>
                <w:color w:val="auto"/>
              </w:rPr>
              <w:t>File No. 1-34258</w:t>
            </w:r>
          </w:p>
        </w:tc>
      </w:tr>
      <w:tr>
        <w:trPr>
          <w:trHeight w:val="216"/>
        </w:trPr>
        <w:tc>
          <w:tcPr>
            <w:tcW w:w="840" w:type="dxa"/>
            <w:vAlign w:val="bottom"/>
          </w:tcPr>
          <w:p>
            <w:pPr>
              <w:spacing w:after="0"/>
              <w:rPr>
                <w:sz w:val="18"/>
                <w:szCs w:val="18"/>
                <w:color w:val="auto"/>
              </w:rPr>
            </w:pPr>
          </w:p>
        </w:tc>
        <w:tc>
          <w:tcPr>
            <w:tcW w:w="5060" w:type="dxa"/>
            <w:vAlign w:val="bottom"/>
          </w:tcPr>
          <w:p>
            <w:pPr>
              <w:ind w:left="260"/>
              <w:spacing w:after="0"/>
              <w:rPr>
                <w:sz w:val="20"/>
                <w:szCs w:val="20"/>
                <w:color w:val="auto"/>
              </w:rPr>
            </w:pPr>
            <w:r>
              <w:rPr>
                <w:rFonts w:ascii="Arial" w:cs="Arial" w:eastAsia="Arial" w:hAnsi="Arial"/>
                <w:sz w:val="18"/>
                <w:szCs w:val="18"/>
                <w:color w:val="auto"/>
              </w:rPr>
              <w:t>among Weatherford Delaware, Weatherford Bermuda,</w:t>
            </w:r>
          </w:p>
        </w:tc>
        <w:tc>
          <w:tcPr>
            <w:tcW w:w="2640" w:type="dxa"/>
            <w:vAlign w:val="bottom"/>
          </w:tcPr>
          <w:p>
            <w:pPr>
              <w:jc w:val="center"/>
              <w:ind w:right="50"/>
              <w:spacing w:after="0"/>
              <w:rPr>
                <w:sz w:val="20"/>
                <w:szCs w:val="20"/>
                <w:color w:val="auto"/>
              </w:rPr>
            </w:pPr>
            <w:r>
              <w:rPr>
                <w:rFonts w:ascii="Arial" w:cs="Arial" w:eastAsia="Arial" w:hAnsi="Arial"/>
                <w:sz w:val="18"/>
                <w:szCs w:val="18"/>
                <w:color w:val="auto"/>
                <w:w w:val="91"/>
              </w:rPr>
              <w:t>Company's Quarterly</w:t>
            </w:r>
          </w:p>
        </w:tc>
        <w:tc>
          <w:tcPr>
            <w:tcW w:w="21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060" w:type="dxa"/>
            <w:vAlign w:val="bottom"/>
          </w:tcPr>
          <w:p>
            <w:pPr>
              <w:ind w:left="260"/>
              <w:spacing w:after="0"/>
              <w:rPr>
                <w:sz w:val="20"/>
                <w:szCs w:val="20"/>
                <w:color w:val="auto"/>
              </w:rPr>
            </w:pPr>
            <w:r>
              <w:rPr>
                <w:rFonts w:ascii="Arial" w:cs="Arial" w:eastAsia="Arial" w:hAnsi="Arial"/>
                <w:sz w:val="18"/>
                <w:szCs w:val="18"/>
                <w:color w:val="auto"/>
                <w:w w:val="97"/>
              </w:rPr>
              <w:t>Weatherford Switzerland, and Deutsche Bank Trust Company</w:t>
            </w:r>
          </w:p>
        </w:tc>
        <w:tc>
          <w:tcPr>
            <w:tcW w:w="2640" w:type="dxa"/>
            <w:vAlign w:val="bottom"/>
          </w:tcPr>
          <w:p>
            <w:pPr>
              <w:jc w:val="center"/>
              <w:ind w:right="50"/>
              <w:spacing w:after="0"/>
              <w:rPr>
                <w:sz w:val="20"/>
                <w:szCs w:val="20"/>
                <w:color w:val="auto"/>
              </w:rPr>
            </w:pPr>
            <w:r>
              <w:rPr>
                <w:rFonts w:ascii="Arial" w:cs="Arial" w:eastAsia="Arial" w:hAnsi="Arial"/>
                <w:sz w:val="18"/>
                <w:szCs w:val="18"/>
                <w:color w:val="auto"/>
                <w:w w:val="92"/>
              </w:rPr>
              <w:t>Report on Form 10-Q</w:t>
            </w:r>
          </w:p>
        </w:tc>
        <w:tc>
          <w:tcPr>
            <w:tcW w:w="21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060" w:type="dxa"/>
            <w:vAlign w:val="bottom"/>
          </w:tcPr>
          <w:p>
            <w:pPr>
              <w:ind w:left="260"/>
              <w:spacing w:after="0"/>
              <w:rPr>
                <w:sz w:val="20"/>
                <w:szCs w:val="20"/>
                <w:color w:val="auto"/>
              </w:rPr>
            </w:pPr>
            <w:r>
              <w:rPr>
                <w:rFonts w:ascii="Arial" w:cs="Arial" w:eastAsia="Arial" w:hAnsi="Arial"/>
                <w:sz w:val="18"/>
                <w:szCs w:val="18"/>
                <w:color w:val="auto"/>
              </w:rPr>
              <w:t>Americas</w:t>
            </w:r>
          </w:p>
        </w:tc>
        <w:tc>
          <w:tcPr>
            <w:tcW w:w="2640" w:type="dxa"/>
            <w:vAlign w:val="bottom"/>
          </w:tcPr>
          <w:p>
            <w:pPr>
              <w:jc w:val="center"/>
              <w:ind w:right="50"/>
              <w:spacing w:after="0"/>
              <w:rPr>
                <w:sz w:val="20"/>
                <w:szCs w:val="20"/>
                <w:color w:val="auto"/>
              </w:rPr>
            </w:pPr>
            <w:r>
              <w:rPr>
                <w:rFonts w:ascii="Arial" w:cs="Arial" w:eastAsia="Arial" w:hAnsi="Arial"/>
                <w:sz w:val="18"/>
                <w:szCs w:val="18"/>
                <w:color w:val="auto"/>
                <w:w w:val="89"/>
              </w:rPr>
              <w:t>for the quarter ended</w:t>
            </w:r>
          </w:p>
        </w:tc>
        <w:tc>
          <w:tcPr>
            <w:tcW w:w="21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640" w:type="dxa"/>
            <w:vAlign w:val="bottom"/>
          </w:tcPr>
          <w:p>
            <w:pPr>
              <w:jc w:val="center"/>
              <w:ind w:right="30"/>
              <w:spacing w:after="0"/>
              <w:rPr>
                <w:sz w:val="20"/>
                <w:szCs w:val="20"/>
                <w:color w:val="auto"/>
              </w:rPr>
            </w:pPr>
            <w:r>
              <w:rPr>
                <w:rFonts w:ascii="Arial" w:cs="Arial" w:eastAsia="Arial" w:hAnsi="Arial"/>
                <w:sz w:val="18"/>
                <w:szCs w:val="18"/>
                <w:color w:val="auto"/>
                <w:w w:val="93"/>
              </w:rPr>
              <w:t>March 31, 2013 filed</w:t>
            </w:r>
          </w:p>
        </w:tc>
        <w:tc>
          <w:tcPr>
            <w:tcW w:w="216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May 3, 2013</w:t>
            </w:r>
          </w:p>
        </w:tc>
        <w:tc>
          <w:tcPr>
            <w:tcW w:w="2160" w:type="dxa"/>
            <w:vAlign w:val="bottom"/>
          </w:tcPr>
          <w:p>
            <w:pPr>
              <w:spacing w:after="0"/>
              <w:rPr>
                <w:sz w:val="20"/>
                <w:szCs w:val="20"/>
                <w:color w:val="auto"/>
              </w:rPr>
            </w:pPr>
          </w:p>
        </w:tc>
      </w:tr>
      <w:tr>
        <w:trPr>
          <w:trHeight w:val="27"/>
        </w:trPr>
        <w:tc>
          <w:tcPr>
            <w:tcW w:w="8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4.15</w:t>
            </w:r>
          </w:p>
        </w:tc>
        <w:tc>
          <w:tcPr>
            <w:tcW w:w="5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Fifth Supplemental Indenture, dated June 17, 2014, among</w:t>
            </w:r>
          </w:p>
        </w:tc>
        <w:tc>
          <w:tcPr>
            <w:tcW w:w="26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Exhibit 4.2 of the</w:t>
            </w:r>
          </w:p>
        </w:tc>
        <w:tc>
          <w:tcPr>
            <w:tcW w:w="2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File No. 1-36504</w:t>
            </w:r>
          </w:p>
        </w:tc>
      </w:tr>
      <w:tr>
        <w:trPr>
          <w:trHeight w:val="216"/>
        </w:trPr>
        <w:tc>
          <w:tcPr>
            <w:tcW w:w="840" w:type="dxa"/>
            <w:vAlign w:val="bottom"/>
            <w:shd w:val="clear" w:color="auto" w:fill="CCEEFF"/>
          </w:tcPr>
          <w:p>
            <w:pPr>
              <w:spacing w:after="0"/>
              <w:rPr>
                <w:sz w:val="18"/>
                <w:szCs w:val="18"/>
                <w:color w:val="auto"/>
              </w:rPr>
            </w:pPr>
          </w:p>
        </w:tc>
        <w:tc>
          <w:tcPr>
            <w:tcW w:w="5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Weatherford Ireland, Weatherford Bermuda, Weatherford</w:t>
            </w:r>
          </w:p>
        </w:tc>
        <w:tc>
          <w:tcPr>
            <w:tcW w:w="26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Company's Current</w:t>
            </w:r>
          </w:p>
        </w:tc>
        <w:tc>
          <w:tcPr>
            <w:tcW w:w="2160" w:type="dxa"/>
            <w:vAlign w:val="bottom"/>
            <w:shd w:val="clear" w:color="auto" w:fill="CCEEFF"/>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5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Delaware and Deutsche Bank Trust Company Americas</w:t>
            </w:r>
          </w:p>
        </w:tc>
        <w:tc>
          <w:tcPr>
            <w:tcW w:w="26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3"/>
              </w:rPr>
              <w:t>Report on Form 8-K12B</w:t>
            </w:r>
          </w:p>
        </w:tc>
        <w:tc>
          <w:tcPr>
            <w:tcW w:w="2160" w:type="dxa"/>
            <w:vAlign w:val="bottom"/>
            <w:shd w:val="clear" w:color="auto" w:fill="CCEEFF"/>
          </w:tcPr>
          <w:p>
            <w:pPr>
              <w:spacing w:after="0"/>
              <w:rPr>
                <w:sz w:val="18"/>
                <w:szCs w:val="18"/>
                <w:color w:val="auto"/>
              </w:rPr>
            </w:pPr>
          </w:p>
        </w:tc>
      </w:tr>
      <w:tr>
        <w:trPr>
          <w:trHeight w:val="230"/>
        </w:trPr>
        <w:tc>
          <w:tcPr>
            <w:tcW w:w="840" w:type="dxa"/>
            <w:vAlign w:val="bottom"/>
            <w:shd w:val="clear" w:color="auto" w:fill="CCEEFF"/>
          </w:tcPr>
          <w:p>
            <w:pPr>
              <w:spacing w:after="0"/>
              <w:rPr>
                <w:sz w:val="20"/>
                <w:szCs w:val="20"/>
                <w:color w:val="auto"/>
              </w:rPr>
            </w:pPr>
          </w:p>
        </w:tc>
        <w:tc>
          <w:tcPr>
            <w:tcW w:w="5060" w:type="dxa"/>
            <w:vAlign w:val="bottom"/>
            <w:shd w:val="clear" w:color="auto" w:fill="CCEEFF"/>
          </w:tcPr>
          <w:p>
            <w:pPr>
              <w:spacing w:after="0"/>
              <w:rPr>
                <w:sz w:val="20"/>
                <w:szCs w:val="20"/>
                <w:color w:val="auto"/>
              </w:rPr>
            </w:pPr>
          </w:p>
        </w:tc>
        <w:tc>
          <w:tcPr>
            <w:tcW w:w="264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0"/>
              </w:rPr>
              <w:t>filed June 17, 2014</w:t>
            </w:r>
          </w:p>
        </w:tc>
        <w:tc>
          <w:tcPr>
            <w:tcW w:w="2160" w:type="dxa"/>
            <w:vAlign w:val="bottom"/>
            <w:shd w:val="clear" w:color="auto" w:fill="CCEEFF"/>
          </w:tcPr>
          <w:p>
            <w:pPr>
              <w:spacing w:after="0"/>
              <w:rPr>
                <w:sz w:val="20"/>
                <w:szCs w:val="20"/>
                <w:color w:val="auto"/>
              </w:rPr>
            </w:pPr>
          </w:p>
        </w:tc>
      </w:tr>
      <w:tr>
        <w:trPr>
          <w:trHeight w:val="27"/>
        </w:trPr>
        <w:tc>
          <w:tcPr>
            <w:tcW w:w="84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ind w:left="1640" w:hanging="832"/>
        <w:spacing w:after="0" w:line="277" w:lineRule="auto"/>
        <w:tabs>
          <w:tab w:leader="none" w:pos="162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Officers’ Certificate, dated February 17, 2006, establishing the series of 5.50% Senior Notes due 2016</w:t>
      </w:r>
    </w:p>
    <w:p>
      <w:pPr>
        <w:spacing w:after="0" w:line="20" w:lineRule="exact"/>
        <w:rPr>
          <w:sz w:val="20"/>
          <w:szCs w:val="20"/>
          <w:color w:val="auto"/>
        </w:rPr>
      </w:pPr>
      <w:r>
        <w:rPr>
          <w:sz w:val="20"/>
          <w:szCs w:val="20"/>
          <w:color w:val="auto"/>
        </w:rPr>
        <w:br w:type="column"/>
      </w:r>
    </w:p>
    <w:p>
      <w:pPr>
        <w:ind w:left="200"/>
        <w:spacing w:after="0"/>
        <w:tabs>
          <w:tab w:leader="none" w:pos="2720" w:val="left"/>
        </w:tabs>
        <w:rPr>
          <w:sz w:val="20"/>
          <w:szCs w:val="20"/>
          <w:color w:val="auto"/>
        </w:rPr>
      </w:pPr>
      <w:r>
        <w:rPr>
          <w:rFonts w:ascii="Arial" w:cs="Arial" w:eastAsia="Arial" w:hAnsi="Arial"/>
          <w:sz w:val="18"/>
          <w:szCs w:val="18"/>
          <w:color w:val="auto"/>
        </w:rPr>
        <w:t>Exhibit 4.2 to the</w:t>
      </w:r>
      <w:r>
        <w:rPr>
          <w:sz w:val="20"/>
          <w:szCs w:val="20"/>
          <w:color w:val="auto"/>
        </w:rPr>
        <w:tab/>
      </w:r>
      <w:r>
        <w:rPr>
          <w:rFonts w:ascii="Arial" w:cs="Arial" w:eastAsia="Arial" w:hAnsi="Arial"/>
          <w:sz w:val="16"/>
          <w:szCs w:val="16"/>
          <w:color w:val="auto"/>
        </w:rPr>
        <w:t>File No. 1-31339</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Company's Current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Report on Form 8-K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filed February 17, 2006</w:t>
      </w:r>
    </w:p>
    <w:p>
      <w:pPr>
        <w:spacing w:after="0" w:line="36" w:lineRule="exact"/>
        <w:rPr>
          <w:sz w:val="20"/>
          <w:szCs w:val="20"/>
          <w:color w:val="auto"/>
        </w:rPr>
      </w:pPr>
    </w:p>
    <w:p>
      <w:pPr>
        <w:sectPr>
          <w:pgSz w:w="11900" w:h="16838" w:orient="portrait"/>
          <w:cols w:equalWidth="0" w:num="2">
            <w:col w:w="6160" w:space="700"/>
            <w:col w:w="438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4.17</w:t>
            </w:r>
          </w:p>
        </w:tc>
        <w:tc>
          <w:tcPr>
            <w:tcW w:w="5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Officer’s Certificate, dated August 7, 2006, establishing the</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Exhibit 4.1 to the</w:t>
            </w:r>
          </w:p>
        </w:tc>
        <w:tc>
          <w:tcPr>
            <w:tcW w:w="2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File No. 1-31339</w:t>
            </w:r>
          </w:p>
        </w:tc>
      </w:tr>
      <w:tr>
        <w:trPr>
          <w:trHeight w:val="216"/>
        </w:trPr>
        <w:tc>
          <w:tcPr>
            <w:tcW w:w="840" w:type="dxa"/>
            <w:vAlign w:val="bottom"/>
            <w:shd w:val="clear" w:color="auto" w:fill="CCEEFF"/>
          </w:tcPr>
          <w:p>
            <w:pPr>
              <w:spacing w:after="0"/>
              <w:rPr>
                <w:sz w:val="18"/>
                <w:szCs w:val="18"/>
                <w:color w:val="auto"/>
              </w:rPr>
            </w:pPr>
          </w:p>
        </w:tc>
        <w:tc>
          <w:tcPr>
            <w:tcW w:w="5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series of 6.50% Senior Notes due 2036</w:t>
            </w: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Company's Current</w:t>
            </w:r>
          </w:p>
        </w:tc>
        <w:tc>
          <w:tcPr>
            <w:tcW w:w="2220" w:type="dxa"/>
            <w:vAlign w:val="bottom"/>
            <w:shd w:val="clear" w:color="auto" w:fill="CCEEFF"/>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Report on Form 8-K</w:t>
            </w:r>
          </w:p>
        </w:tc>
        <w:tc>
          <w:tcPr>
            <w:tcW w:w="2220" w:type="dxa"/>
            <w:vAlign w:val="bottom"/>
            <w:shd w:val="clear" w:color="auto" w:fill="CCEEFF"/>
          </w:tcPr>
          <w:p>
            <w:pPr>
              <w:spacing w:after="0"/>
              <w:rPr>
                <w:sz w:val="18"/>
                <w:szCs w:val="18"/>
                <w:color w:val="auto"/>
              </w:rPr>
            </w:pPr>
          </w:p>
        </w:tc>
      </w:tr>
      <w:tr>
        <w:trPr>
          <w:trHeight w:val="230"/>
        </w:trPr>
        <w:tc>
          <w:tcPr>
            <w:tcW w:w="840" w:type="dxa"/>
            <w:vAlign w:val="bottom"/>
            <w:shd w:val="clear" w:color="auto" w:fill="CCEEFF"/>
          </w:tcPr>
          <w:p>
            <w:pPr>
              <w:spacing w:after="0"/>
              <w:rPr>
                <w:sz w:val="20"/>
                <w:szCs w:val="20"/>
                <w:color w:val="auto"/>
              </w:rPr>
            </w:pPr>
          </w:p>
        </w:tc>
        <w:tc>
          <w:tcPr>
            <w:tcW w:w="5060" w:type="dxa"/>
            <w:vAlign w:val="bottom"/>
            <w:shd w:val="clear" w:color="auto" w:fill="CCEEFF"/>
          </w:tcPr>
          <w:p>
            <w:pPr>
              <w:spacing w:after="0"/>
              <w:rPr>
                <w:sz w:val="20"/>
                <w:szCs w:val="20"/>
                <w:color w:val="auto"/>
              </w:rPr>
            </w:pPr>
          </w:p>
        </w:tc>
        <w:tc>
          <w:tcPr>
            <w:tcW w:w="2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filed August 7, 2006</w:t>
            </w:r>
          </w:p>
        </w:tc>
        <w:tc>
          <w:tcPr>
            <w:tcW w:w="2220" w:type="dxa"/>
            <w:vAlign w:val="bottom"/>
            <w:shd w:val="clear" w:color="auto" w:fill="CCEEFF"/>
          </w:tcPr>
          <w:p>
            <w:pPr>
              <w:spacing w:after="0"/>
              <w:rPr>
                <w:sz w:val="20"/>
                <w:szCs w:val="20"/>
                <w:color w:val="auto"/>
              </w:rPr>
            </w:pPr>
          </w:p>
        </w:tc>
      </w:tr>
      <w:tr>
        <w:trPr>
          <w:trHeight w:val="27"/>
        </w:trPr>
        <w:tc>
          <w:tcPr>
            <w:tcW w:w="84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ind w:left="800"/>
        <w:spacing w:after="0"/>
        <w:tabs>
          <w:tab w:leader="none" w:pos="162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color w:val="auto"/>
        </w:rPr>
        <w:t>Form of $350,000,000 global note for 5.50% Senior Notes due</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br w:type="column"/>
      </w:r>
    </w:p>
    <w:p>
      <w:pPr>
        <w:ind w:left="200"/>
        <w:spacing w:after="0"/>
        <w:tabs>
          <w:tab w:leader="none" w:pos="2720" w:val="left"/>
        </w:tabs>
        <w:rPr>
          <w:sz w:val="20"/>
          <w:szCs w:val="20"/>
          <w:color w:val="auto"/>
        </w:rPr>
      </w:pPr>
      <w:r>
        <w:rPr>
          <w:rFonts w:ascii="Arial" w:cs="Arial" w:eastAsia="Arial" w:hAnsi="Arial"/>
          <w:sz w:val="18"/>
          <w:szCs w:val="18"/>
          <w:color w:val="auto"/>
        </w:rPr>
        <w:t>Exhibit 4.1 to the</w:t>
      </w:r>
      <w:r>
        <w:rPr>
          <w:sz w:val="20"/>
          <w:szCs w:val="20"/>
          <w:color w:val="auto"/>
        </w:rPr>
        <w:tab/>
      </w:r>
      <w:r>
        <w:rPr>
          <w:rFonts w:ascii="Arial" w:cs="Arial" w:eastAsia="Arial" w:hAnsi="Arial"/>
          <w:sz w:val="16"/>
          <w:szCs w:val="16"/>
          <w:color w:val="auto"/>
        </w:rPr>
        <w:t>File No. 1-31339</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Company's Current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Report on Form 8-K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filed February 17, 2006</w:t>
      </w:r>
    </w:p>
    <w:p>
      <w:pPr>
        <w:spacing w:after="0" w:line="36" w:lineRule="exact"/>
        <w:rPr>
          <w:sz w:val="20"/>
          <w:szCs w:val="20"/>
          <w:color w:val="auto"/>
        </w:rPr>
      </w:pPr>
    </w:p>
    <w:p>
      <w:pPr>
        <w:sectPr>
          <w:pgSz w:w="11900" w:h="16838" w:orient="portrait"/>
          <w:cols w:equalWidth="0" w:num="2">
            <w:col w:w="6160" w:space="700"/>
            <w:col w:w="438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4.19</w:t>
            </w:r>
          </w:p>
        </w:tc>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Form of $500,000,000 global note for 6.50% Senior Notes due</w:t>
            </w:r>
          </w:p>
        </w:tc>
        <w:tc>
          <w:tcPr>
            <w:tcW w:w="25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4.2 to the</w:t>
            </w:r>
          </w:p>
        </w:tc>
        <w:tc>
          <w:tcPr>
            <w:tcW w:w="22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1"/>
              </w:rPr>
              <w:t>File No. 1-31339</w:t>
            </w:r>
          </w:p>
        </w:tc>
      </w:tr>
      <w:tr>
        <w:trPr>
          <w:trHeight w:val="216"/>
        </w:trPr>
        <w:tc>
          <w:tcPr>
            <w:tcW w:w="840" w:type="dxa"/>
            <w:vAlign w:val="bottom"/>
            <w:shd w:val="clear" w:color="auto" w:fill="CCEEFF"/>
          </w:tcPr>
          <w:p>
            <w:pPr>
              <w:spacing w:after="0"/>
              <w:rPr>
                <w:sz w:val="18"/>
                <w:szCs w:val="18"/>
                <w:color w:val="auto"/>
              </w:rPr>
            </w:pPr>
          </w:p>
        </w:tc>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2036</w:t>
            </w:r>
          </w:p>
        </w:tc>
        <w:tc>
          <w:tcPr>
            <w:tcW w:w="25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40" w:type="dxa"/>
            <w:vAlign w:val="bottom"/>
            <w:shd w:val="clear" w:color="auto" w:fill="CCEEFF"/>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5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40" w:type="dxa"/>
            <w:vAlign w:val="bottom"/>
            <w:shd w:val="clear" w:color="auto" w:fill="CCEEFF"/>
          </w:tcPr>
          <w:p>
            <w:pPr>
              <w:spacing w:after="0"/>
              <w:rPr>
                <w:sz w:val="18"/>
                <w:szCs w:val="18"/>
                <w:color w:val="auto"/>
              </w:rPr>
            </w:pPr>
          </w:p>
        </w:tc>
      </w:tr>
      <w:tr>
        <w:trPr>
          <w:trHeight w:val="237"/>
        </w:trPr>
        <w:tc>
          <w:tcPr>
            <w:tcW w:w="840" w:type="dxa"/>
            <w:vAlign w:val="bottom"/>
            <w:tcBorders>
              <w:bottom w:val="single" w:sz="8" w:color="CCEEFF"/>
            </w:tcBorders>
            <w:shd w:val="clear" w:color="auto" w:fill="CCEEFF"/>
          </w:tcPr>
          <w:p>
            <w:pPr>
              <w:spacing w:after="0"/>
              <w:rPr>
                <w:sz w:val="20"/>
                <w:szCs w:val="20"/>
                <w:color w:val="auto"/>
              </w:rPr>
            </w:pPr>
          </w:p>
        </w:tc>
        <w:tc>
          <w:tcPr>
            <w:tcW w:w="512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filed August 7, 2006</w:t>
            </w:r>
          </w:p>
        </w:tc>
        <w:tc>
          <w:tcPr>
            <w:tcW w:w="2240" w:type="dxa"/>
            <w:vAlign w:val="bottom"/>
            <w:tcBorders>
              <w:bottom w:val="single" w:sz="8" w:color="CCEEFF"/>
            </w:tcBorders>
            <w:shd w:val="clear" w:color="auto" w:fill="CCEEFF"/>
          </w:tcPr>
          <w:p>
            <w:pPr>
              <w:spacing w:after="0"/>
              <w:rPr>
                <w:sz w:val="20"/>
                <w:szCs w:val="20"/>
                <w:color w:val="auto"/>
              </w:rPr>
            </w:pPr>
          </w:p>
        </w:tc>
      </w:tr>
      <w:tr>
        <w:trPr>
          <w:trHeight w:val="229"/>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4.20</w:t>
            </w:r>
          </w:p>
        </w:tc>
        <w:tc>
          <w:tcPr>
            <w:tcW w:w="5120" w:type="dxa"/>
            <w:vAlign w:val="bottom"/>
          </w:tcPr>
          <w:p>
            <w:pPr>
              <w:ind w:left="260"/>
              <w:spacing w:after="0"/>
              <w:rPr>
                <w:sz w:val="20"/>
                <w:szCs w:val="20"/>
                <w:color w:val="auto"/>
              </w:rPr>
            </w:pPr>
            <w:r>
              <w:rPr>
                <w:rFonts w:ascii="Arial" w:cs="Arial" w:eastAsia="Arial" w:hAnsi="Arial"/>
                <w:sz w:val="18"/>
                <w:szCs w:val="18"/>
                <w:color w:val="auto"/>
                <w:w w:val="97"/>
              </w:rPr>
              <w:t>Form of $100,000,000 global note for 6.50% Senior Notes due</w:t>
            </w:r>
          </w:p>
        </w:tc>
        <w:tc>
          <w:tcPr>
            <w:tcW w:w="2500" w:type="dxa"/>
            <w:vAlign w:val="bottom"/>
          </w:tcPr>
          <w:p>
            <w:pPr>
              <w:jc w:val="center"/>
              <w:ind w:right="30"/>
              <w:spacing w:after="0"/>
              <w:rPr>
                <w:sz w:val="20"/>
                <w:szCs w:val="20"/>
                <w:color w:val="auto"/>
              </w:rPr>
            </w:pPr>
            <w:r>
              <w:rPr>
                <w:rFonts w:ascii="Arial" w:cs="Arial" w:eastAsia="Arial" w:hAnsi="Arial"/>
                <w:sz w:val="18"/>
                <w:szCs w:val="18"/>
                <w:color w:val="auto"/>
                <w:w w:val="93"/>
              </w:rPr>
              <w:t>Exhibit 4.3 to the</w:t>
            </w:r>
          </w:p>
        </w:tc>
        <w:tc>
          <w:tcPr>
            <w:tcW w:w="2240" w:type="dxa"/>
            <w:vAlign w:val="bottom"/>
          </w:tcPr>
          <w:p>
            <w:pPr>
              <w:jc w:val="center"/>
              <w:ind w:left="90"/>
              <w:spacing w:after="0"/>
              <w:rPr>
                <w:sz w:val="20"/>
                <w:szCs w:val="20"/>
                <w:color w:val="auto"/>
              </w:rPr>
            </w:pPr>
            <w:r>
              <w:rPr>
                <w:rFonts w:ascii="Arial" w:cs="Arial" w:eastAsia="Arial" w:hAnsi="Arial"/>
                <w:sz w:val="18"/>
                <w:szCs w:val="18"/>
                <w:color w:val="auto"/>
                <w:w w:val="91"/>
              </w:rPr>
              <w:t>File No. 1-31339</w:t>
            </w:r>
          </w:p>
        </w:tc>
      </w:tr>
      <w:tr>
        <w:trPr>
          <w:trHeight w:val="216"/>
        </w:trPr>
        <w:tc>
          <w:tcPr>
            <w:tcW w:w="840" w:type="dxa"/>
            <w:vAlign w:val="bottom"/>
          </w:tcPr>
          <w:p>
            <w:pPr>
              <w:spacing w:after="0"/>
              <w:rPr>
                <w:sz w:val="18"/>
                <w:szCs w:val="18"/>
                <w:color w:val="auto"/>
              </w:rPr>
            </w:pPr>
          </w:p>
        </w:tc>
        <w:tc>
          <w:tcPr>
            <w:tcW w:w="5120" w:type="dxa"/>
            <w:vAlign w:val="bottom"/>
          </w:tcPr>
          <w:p>
            <w:pPr>
              <w:ind w:left="260"/>
              <w:spacing w:after="0"/>
              <w:rPr>
                <w:sz w:val="20"/>
                <w:szCs w:val="20"/>
                <w:color w:val="auto"/>
              </w:rPr>
            </w:pPr>
            <w:r>
              <w:rPr>
                <w:rFonts w:ascii="Arial" w:cs="Arial" w:eastAsia="Arial" w:hAnsi="Arial"/>
                <w:sz w:val="18"/>
                <w:szCs w:val="18"/>
                <w:color w:val="auto"/>
              </w:rPr>
              <w:t>2036</w:t>
            </w:r>
          </w:p>
        </w:tc>
        <w:tc>
          <w:tcPr>
            <w:tcW w:w="250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4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250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40" w:type="dxa"/>
            <w:vAlign w:val="bottom"/>
          </w:tcPr>
          <w:p>
            <w:pPr>
              <w:spacing w:after="0"/>
              <w:rPr>
                <w:sz w:val="18"/>
                <w:szCs w:val="18"/>
                <w:color w:val="auto"/>
              </w:rPr>
            </w:pPr>
          </w:p>
        </w:tc>
      </w:tr>
      <w:tr>
        <w:trPr>
          <w:trHeight w:val="230"/>
        </w:trPr>
        <w:tc>
          <w:tcPr>
            <w:tcW w:w="8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filed August 7, 2006</w:t>
            </w:r>
          </w:p>
        </w:tc>
        <w:tc>
          <w:tcPr>
            <w:tcW w:w="2240" w:type="dxa"/>
            <w:vAlign w:val="bottom"/>
          </w:tcPr>
          <w:p>
            <w:pPr>
              <w:spacing w:after="0"/>
              <w:rPr>
                <w:sz w:val="20"/>
                <w:szCs w:val="20"/>
                <w:color w:val="auto"/>
              </w:rPr>
            </w:pPr>
          </w:p>
        </w:tc>
      </w:tr>
      <w:tr>
        <w:trPr>
          <w:trHeight w:val="27"/>
        </w:trPr>
        <w:tc>
          <w:tcPr>
            <w:tcW w:w="8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9"/>
        </w:trPr>
        <w:tc>
          <w:tcPr>
            <w:tcW w:w="8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4.21</w:t>
            </w:r>
          </w:p>
        </w:tc>
        <w:tc>
          <w:tcPr>
            <w:tcW w:w="5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Form of Global Note for 6.35% Senior Notes due 2017</w:t>
            </w:r>
          </w:p>
        </w:tc>
        <w:tc>
          <w:tcPr>
            <w:tcW w:w="25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Exhibit 4.16 to the</w:t>
            </w:r>
          </w:p>
        </w:tc>
        <w:tc>
          <w:tcPr>
            <w:tcW w:w="22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0"/>
              </w:rPr>
              <w:t>Reg. No. 333-146695</w:t>
            </w:r>
          </w:p>
        </w:tc>
      </w:tr>
      <w:tr>
        <w:trPr>
          <w:trHeight w:val="216"/>
        </w:trPr>
        <w:tc>
          <w:tcPr>
            <w:tcW w:w="8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5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Company's Registration</w:t>
            </w:r>
          </w:p>
        </w:tc>
        <w:tc>
          <w:tcPr>
            <w:tcW w:w="2240" w:type="dxa"/>
            <w:vAlign w:val="bottom"/>
            <w:shd w:val="clear" w:color="auto" w:fill="CCEEFF"/>
          </w:tcPr>
          <w:p>
            <w:pPr>
              <w:spacing w:after="0"/>
              <w:rPr>
                <w:sz w:val="18"/>
                <w:szCs w:val="18"/>
                <w:color w:val="auto"/>
              </w:rPr>
            </w:pPr>
          </w:p>
        </w:tc>
      </w:tr>
      <w:tr>
        <w:trPr>
          <w:trHeight w:val="216"/>
        </w:trPr>
        <w:tc>
          <w:tcPr>
            <w:tcW w:w="840" w:type="dxa"/>
            <w:vAlign w:val="bottom"/>
            <w:shd w:val="clear" w:color="auto" w:fill="CCEEFF"/>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250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8"/>
              </w:rPr>
              <w:t>Statement on Form S-4</w:t>
            </w:r>
          </w:p>
        </w:tc>
        <w:tc>
          <w:tcPr>
            <w:tcW w:w="2240" w:type="dxa"/>
            <w:vAlign w:val="bottom"/>
            <w:shd w:val="clear" w:color="auto" w:fill="CCEEFF"/>
          </w:tcPr>
          <w:p>
            <w:pPr>
              <w:spacing w:after="0"/>
              <w:rPr>
                <w:sz w:val="18"/>
                <w:szCs w:val="18"/>
                <w:color w:val="auto"/>
              </w:rPr>
            </w:pPr>
          </w:p>
        </w:tc>
      </w:tr>
      <w:tr>
        <w:trPr>
          <w:trHeight w:val="230"/>
        </w:trPr>
        <w:tc>
          <w:tcPr>
            <w:tcW w:w="840" w:type="dxa"/>
            <w:vAlign w:val="bottom"/>
            <w:shd w:val="clear" w:color="auto" w:fill="CCEEFF"/>
          </w:tcPr>
          <w:p>
            <w:pPr>
              <w:spacing w:after="0"/>
              <w:rPr>
                <w:sz w:val="20"/>
                <w:szCs w:val="20"/>
                <w:color w:val="auto"/>
              </w:rPr>
            </w:pPr>
          </w:p>
        </w:tc>
        <w:tc>
          <w:tcPr>
            <w:tcW w:w="5120" w:type="dxa"/>
            <w:vAlign w:val="bottom"/>
            <w:shd w:val="clear" w:color="auto" w:fill="CCEEFF"/>
          </w:tcPr>
          <w:p>
            <w:pPr>
              <w:spacing w:after="0"/>
              <w:rPr>
                <w:sz w:val="20"/>
                <w:szCs w:val="20"/>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filed November 8, 2007</w:t>
            </w:r>
          </w:p>
        </w:tc>
        <w:tc>
          <w:tcPr>
            <w:tcW w:w="2240" w:type="dxa"/>
            <w:vAlign w:val="bottom"/>
            <w:shd w:val="clear" w:color="auto" w:fill="CCEEFF"/>
          </w:tcPr>
          <w:p>
            <w:pPr>
              <w:spacing w:after="0"/>
              <w:rPr>
                <w:sz w:val="20"/>
                <w:szCs w:val="20"/>
                <w:color w:val="auto"/>
              </w:rPr>
            </w:pPr>
          </w:p>
        </w:tc>
      </w:tr>
      <w:tr>
        <w:trPr>
          <w:trHeight w:val="27"/>
        </w:trPr>
        <w:tc>
          <w:tcPr>
            <w:tcW w:w="840" w:type="dxa"/>
            <w:vAlign w:val="bottom"/>
            <w:shd w:val="clear" w:color="auto" w:fill="CCEEFF"/>
          </w:tcPr>
          <w:p>
            <w:pPr>
              <w:spacing w:after="0"/>
              <w:rPr>
                <w:sz w:val="2"/>
                <w:szCs w:val="2"/>
                <w:color w:val="auto"/>
              </w:rPr>
            </w:pPr>
          </w:p>
        </w:tc>
        <w:tc>
          <w:tcPr>
            <w:tcW w:w="512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spacing w:after="0" w:line="2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240"/>
          </w:cols>
          <w:pgMar w:left="240" w:top="378" w:right="41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jc w:val="right"/>
              <w:ind w:right="180"/>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50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ind w:left="140"/>
              <w:spacing w:after="0"/>
              <w:rPr>
                <w:sz w:val="20"/>
                <w:szCs w:val="20"/>
                <w:color w:val="auto"/>
              </w:rPr>
            </w:pPr>
            <w:r>
              <w:rPr>
                <w:rFonts w:ascii="Arial" w:cs="Arial" w:eastAsia="Arial" w:hAnsi="Arial"/>
                <w:sz w:val="18"/>
                <w:szCs w:val="18"/>
                <w:b w:val="1"/>
                <w:bCs w:val="1"/>
                <w:color w:val="auto"/>
                <w:w w:val="96"/>
              </w:rPr>
              <w:t>Exhibit</w:t>
            </w:r>
          </w:p>
        </w:tc>
        <w:tc>
          <w:tcPr>
            <w:tcW w:w="1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Number</w:t>
            </w:r>
          </w:p>
        </w:tc>
        <w:tc>
          <w:tcPr>
            <w:tcW w:w="502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4"/>
              </w:rPr>
              <w:t>Original Filed Exhibit</w:t>
            </w:r>
          </w:p>
        </w:tc>
        <w:tc>
          <w:tcPr>
            <w:tcW w:w="222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4.22</w:t>
            </w:r>
          </w:p>
        </w:tc>
        <w:tc>
          <w:tcPr>
            <w:tcW w:w="180" w:type="dxa"/>
            <w:vAlign w:val="bottom"/>
            <w:tcBorders>
              <w:top w:val="single" w:sz="8" w:color="auto"/>
            </w:tcBorders>
            <w:shd w:val="clear" w:color="auto" w:fill="CCEEFF"/>
          </w:tcPr>
          <w:p>
            <w:pPr>
              <w:spacing w:after="0"/>
              <w:rPr>
                <w:sz w:val="19"/>
                <w:szCs w:val="19"/>
                <w:color w:val="auto"/>
              </w:rPr>
            </w:pPr>
          </w:p>
        </w:tc>
        <w:tc>
          <w:tcPr>
            <w:tcW w:w="50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Form of global note for 6.80% Senior Notes due 2037</w:t>
            </w:r>
          </w:p>
        </w:tc>
        <w:tc>
          <w:tcPr>
            <w:tcW w:w="254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2"/>
              </w:rPr>
              <w:t>Exhibit 4.17 to the</w:t>
            </w:r>
          </w:p>
        </w:tc>
        <w:tc>
          <w:tcPr>
            <w:tcW w:w="2220" w:type="dxa"/>
            <w:vAlign w:val="bottom"/>
            <w:tcBorders>
              <w:top w:val="single" w:sz="8" w:color="auto"/>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Reg. No. 333-146695</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Company's Registration</w:t>
            </w:r>
          </w:p>
        </w:tc>
        <w:tc>
          <w:tcPr>
            <w:tcW w:w="22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8"/>
              </w:rPr>
              <w:t>Statement on Form S-4</w:t>
            </w:r>
          </w:p>
        </w:tc>
        <w:tc>
          <w:tcPr>
            <w:tcW w:w="222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filed November 8, 2007</w:t>
            </w:r>
          </w:p>
        </w:tc>
        <w:tc>
          <w:tcPr>
            <w:tcW w:w="222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4.23</w:t>
            </w:r>
          </w:p>
        </w:tc>
        <w:tc>
          <w:tcPr>
            <w:tcW w:w="18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Form of global note for 6.00% Senior Notes due 2018</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3"/>
              </w:rPr>
              <w:t>Exhibit 4.3 to the</w:t>
            </w:r>
          </w:p>
        </w:tc>
        <w:tc>
          <w:tcPr>
            <w:tcW w:w="2220" w:type="dxa"/>
            <w:vAlign w:val="bottom"/>
          </w:tcPr>
          <w:p>
            <w:pPr>
              <w:jc w:val="center"/>
              <w:ind w:left="7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filed March 25, 2008</w:t>
            </w:r>
          </w:p>
        </w:tc>
        <w:tc>
          <w:tcPr>
            <w:tcW w:w="22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4.24</w:t>
            </w:r>
          </w:p>
        </w:tc>
        <w:tc>
          <w:tcPr>
            <w:tcW w:w="180" w:type="dxa"/>
            <w:vAlign w:val="bottom"/>
            <w:shd w:val="clear" w:color="auto" w:fill="CCEEFF"/>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global note for 7.00% Senior Notes due 2038</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4.4 to the</w:t>
            </w:r>
          </w:p>
        </w:tc>
        <w:tc>
          <w:tcPr>
            <w:tcW w:w="22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filed March 25, 2008</w:t>
            </w:r>
          </w:p>
        </w:tc>
        <w:tc>
          <w:tcPr>
            <w:tcW w:w="222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4.25</w:t>
            </w:r>
          </w:p>
        </w:tc>
        <w:tc>
          <w:tcPr>
            <w:tcW w:w="18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Form of global note for 9.625% Senior Notes due 2019</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3"/>
              </w:rPr>
              <w:t>Exhibit 4.2 to the</w:t>
            </w:r>
          </w:p>
        </w:tc>
        <w:tc>
          <w:tcPr>
            <w:tcW w:w="2220" w:type="dxa"/>
            <w:vAlign w:val="bottom"/>
          </w:tcPr>
          <w:p>
            <w:pPr>
              <w:jc w:val="center"/>
              <w:ind w:left="7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filed January 8, 2009</w:t>
            </w:r>
          </w:p>
        </w:tc>
        <w:tc>
          <w:tcPr>
            <w:tcW w:w="22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4.26</w:t>
            </w:r>
          </w:p>
        </w:tc>
        <w:tc>
          <w:tcPr>
            <w:tcW w:w="180" w:type="dxa"/>
            <w:vAlign w:val="bottom"/>
            <w:shd w:val="clear" w:color="auto" w:fill="CCEEFF"/>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global note for 9.875% Senior Notes due 2039</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4.1 to the</w:t>
            </w:r>
          </w:p>
        </w:tc>
        <w:tc>
          <w:tcPr>
            <w:tcW w:w="22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filed January 8, 2009</w:t>
            </w:r>
          </w:p>
        </w:tc>
        <w:tc>
          <w:tcPr>
            <w:tcW w:w="222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4.27</w:t>
            </w:r>
          </w:p>
        </w:tc>
        <w:tc>
          <w:tcPr>
            <w:tcW w:w="18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Form of global note for 5.125% Senior Notes due 2020</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3"/>
              </w:rPr>
              <w:t>Exhibit 4.3 to the</w:t>
            </w:r>
          </w:p>
        </w:tc>
        <w:tc>
          <w:tcPr>
            <w:tcW w:w="2220" w:type="dxa"/>
            <w:vAlign w:val="bottom"/>
          </w:tcPr>
          <w:p>
            <w:pPr>
              <w:jc w:val="center"/>
              <w:ind w:left="7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filed September 22, 2010</w:t>
            </w:r>
          </w:p>
        </w:tc>
        <w:tc>
          <w:tcPr>
            <w:tcW w:w="22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4.28</w:t>
            </w:r>
          </w:p>
        </w:tc>
        <w:tc>
          <w:tcPr>
            <w:tcW w:w="180" w:type="dxa"/>
            <w:vAlign w:val="bottom"/>
            <w:shd w:val="clear" w:color="auto" w:fill="CCEEFF"/>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global note for 6.750% Senior Notes due 2040</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4.4 to the</w:t>
            </w:r>
          </w:p>
        </w:tc>
        <w:tc>
          <w:tcPr>
            <w:tcW w:w="22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filed September 22, 2010</w:t>
            </w:r>
          </w:p>
        </w:tc>
        <w:tc>
          <w:tcPr>
            <w:tcW w:w="222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4.29</w:t>
            </w:r>
          </w:p>
        </w:tc>
        <w:tc>
          <w:tcPr>
            <w:tcW w:w="18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Form of global note for 4.50% Senior Notes due 2022</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3"/>
              </w:rPr>
              <w:t>Exhibit 4.2 to the</w:t>
            </w:r>
          </w:p>
        </w:tc>
        <w:tc>
          <w:tcPr>
            <w:tcW w:w="2220" w:type="dxa"/>
            <w:vAlign w:val="bottom"/>
          </w:tcPr>
          <w:p>
            <w:pPr>
              <w:jc w:val="center"/>
              <w:ind w:left="7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6"/>
              </w:rPr>
              <w:t>filed April 4, 2012</w:t>
            </w:r>
          </w:p>
        </w:tc>
        <w:tc>
          <w:tcPr>
            <w:tcW w:w="22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4.30</w:t>
            </w:r>
          </w:p>
        </w:tc>
        <w:tc>
          <w:tcPr>
            <w:tcW w:w="180" w:type="dxa"/>
            <w:vAlign w:val="bottom"/>
            <w:shd w:val="clear" w:color="auto" w:fill="CCEEFF"/>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global note for 5.95% Senior Notes due 2042</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4.3 to the</w:t>
            </w:r>
          </w:p>
        </w:tc>
        <w:tc>
          <w:tcPr>
            <w:tcW w:w="22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filed April 4, 2012</w:t>
            </w:r>
          </w:p>
        </w:tc>
        <w:tc>
          <w:tcPr>
            <w:tcW w:w="222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4.31</w:t>
            </w:r>
          </w:p>
        </w:tc>
        <w:tc>
          <w:tcPr>
            <w:tcW w:w="18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Form of guarantee notation</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3"/>
              </w:rPr>
              <w:t>Exhibit 4.5 to the</w:t>
            </w:r>
          </w:p>
        </w:tc>
        <w:tc>
          <w:tcPr>
            <w:tcW w:w="2220" w:type="dxa"/>
            <w:vAlign w:val="bottom"/>
          </w:tcPr>
          <w:p>
            <w:pPr>
              <w:jc w:val="center"/>
              <w:ind w:left="7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filed September 22, 2010</w:t>
            </w:r>
          </w:p>
        </w:tc>
        <w:tc>
          <w:tcPr>
            <w:tcW w:w="22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4.32</w:t>
            </w:r>
          </w:p>
        </w:tc>
        <w:tc>
          <w:tcPr>
            <w:tcW w:w="180" w:type="dxa"/>
            <w:vAlign w:val="bottom"/>
            <w:shd w:val="clear" w:color="auto" w:fill="CCEEFF"/>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Form of guarantee notation</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Exhibit 4.4 to the</w:t>
            </w:r>
          </w:p>
        </w:tc>
        <w:tc>
          <w:tcPr>
            <w:tcW w:w="22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filed April 4, 2012</w:t>
            </w:r>
          </w:p>
        </w:tc>
        <w:tc>
          <w:tcPr>
            <w:tcW w:w="222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1"/>
              </w:rPr>
              <w:t>4.33</w:t>
            </w:r>
          </w:p>
        </w:tc>
        <w:tc>
          <w:tcPr>
            <w:tcW w:w="180" w:type="dxa"/>
            <w:vAlign w:val="bottom"/>
          </w:tcPr>
          <w:p>
            <w:pPr>
              <w:spacing w:after="0"/>
              <w:rPr>
                <w:sz w:val="19"/>
                <w:szCs w:val="19"/>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rPr>
              <w:t>Registration Rights Agreement among Weatherford</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3"/>
              </w:rPr>
              <w:t>Exhibit 4.1 to the</w:t>
            </w:r>
          </w:p>
        </w:tc>
        <w:tc>
          <w:tcPr>
            <w:tcW w:w="2220" w:type="dxa"/>
            <w:vAlign w:val="bottom"/>
          </w:tcPr>
          <w:p>
            <w:pPr>
              <w:jc w:val="center"/>
              <w:ind w:left="7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ind w:left="180"/>
              <w:spacing w:after="0"/>
              <w:rPr>
                <w:sz w:val="20"/>
                <w:szCs w:val="20"/>
                <w:color w:val="auto"/>
              </w:rPr>
            </w:pPr>
            <w:r>
              <w:rPr>
                <w:rFonts w:ascii="Arial" w:cs="Arial" w:eastAsia="Arial" w:hAnsi="Arial"/>
                <w:sz w:val="18"/>
                <w:szCs w:val="18"/>
                <w:color w:val="auto"/>
                <w:w w:val="96"/>
              </w:rPr>
              <w:t>International Ltd. and certain shareholders dated May 17, 2012</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3"/>
              </w:rPr>
              <w:t>filed May 17, 2012</w:t>
            </w:r>
          </w:p>
        </w:tc>
        <w:tc>
          <w:tcPr>
            <w:tcW w:w="222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*10.1</w:t>
            </w:r>
          </w:p>
        </w:tc>
        <w:tc>
          <w:tcPr>
            <w:tcW w:w="180" w:type="dxa"/>
            <w:vAlign w:val="bottom"/>
            <w:shd w:val="clear" w:color="auto" w:fill="CCEEFF"/>
          </w:tcPr>
          <w:p>
            <w:pPr>
              <w:spacing w:after="0"/>
              <w:rPr>
                <w:sz w:val="19"/>
                <w:szCs w:val="19"/>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International Ltd. Nonqualified Executive</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Exhibit 10.8 to the</w:t>
            </w:r>
          </w:p>
        </w:tc>
        <w:tc>
          <w:tcPr>
            <w:tcW w:w="222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Retirement Plan, amended and restated effective December 31,</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22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2008</w:t>
            </w:r>
          </w:p>
        </w:tc>
        <w:tc>
          <w:tcPr>
            <w:tcW w:w="254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220" w:type="dxa"/>
            <w:vAlign w:val="bottom"/>
            <w:shd w:val="clear" w:color="auto" w:fill="CCEEFF"/>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20" w:type="dxa"/>
            <w:vAlign w:val="bottom"/>
            <w:shd w:val="clear" w:color="auto" w:fill="CCEEFF"/>
          </w:tcPr>
          <w:p>
            <w:pPr>
              <w:spacing w:after="0"/>
              <w:rPr>
                <w:sz w:val="20"/>
                <w:szCs w:val="20"/>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filed December 31, 2008</w:t>
            </w:r>
          </w:p>
        </w:tc>
        <w:tc>
          <w:tcPr>
            <w:tcW w:w="2220" w:type="dxa"/>
            <w:vAlign w:val="bottom"/>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240" w:top="37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240"/>
          </w:cols>
          <w:pgMar w:left="240" w:top="378" w:right="41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0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jc w:val="center"/>
              <w:ind w:left="10"/>
              <w:spacing w:after="0"/>
              <w:rPr>
                <w:sz w:val="20"/>
                <w:szCs w:val="20"/>
                <w:color w:val="auto"/>
              </w:rPr>
            </w:pPr>
            <w:r>
              <w:rPr>
                <w:rFonts w:ascii="Arial" w:cs="Arial" w:eastAsia="Arial" w:hAnsi="Arial"/>
                <w:sz w:val="18"/>
                <w:szCs w:val="18"/>
                <w:b w:val="1"/>
                <w:bCs w:val="1"/>
                <w:color w:val="auto"/>
                <w:w w:val="93"/>
              </w:rPr>
              <w:t>Exhibit</w:t>
            </w:r>
          </w:p>
        </w:tc>
        <w:tc>
          <w:tcPr>
            <w:tcW w:w="1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500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6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Original Filed Exhibit</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5"/>
              </w:rPr>
              <w:t>*10.2</w:t>
            </w:r>
          </w:p>
        </w:tc>
        <w:tc>
          <w:tcPr>
            <w:tcW w:w="180" w:type="dxa"/>
            <w:vAlign w:val="bottom"/>
            <w:tcBorders>
              <w:top w:val="single" w:sz="8" w:color="auto"/>
            </w:tcBorders>
            <w:shd w:val="clear" w:color="auto" w:fill="CCEEFF"/>
          </w:tcPr>
          <w:p>
            <w:pPr>
              <w:spacing w:after="0"/>
              <w:rPr>
                <w:sz w:val="19"/>
                <w:szCs w:val="19"/>
                <w:color w:val="auto"/>
              </w:rPr>
            </w:pPr>
          </w:p>
        </w:tc>
        <w:tc>
          <w:tcPr>
            <w:tcW w:w="50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Trust under Weatherford International Ltd. Nonqualified</w:t>
            </w:r>
          </w:p>
        </w:tc>
        <w:tc>
          <w:tcPr>
            <w:tcW w:w="264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10.1 to the</w:t>
            </w: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Executive Retirement Plan, dated March 23, 2004</w:t>
            </w:r>
          </w:p>
        </w:tc>
        <w:tc>
          <w:tcPr>
            <w:tcW w:w="26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Company's Quarterly</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Report on Form 10-Q</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for the quarter ended</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March 31, 2004 filed</w:t>
            </w:r>
          </w:p>
        </w:tc>
        <w:tc>
          <w:tcPr>
            <w:tcW w:w="214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0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2"/>
              </w:rPr>
              <w:t>May 6, 2004</w:t>
            </w:r>
          </w:p>
        </w:tc>
        <w:tc>
          <w:tcPr>
            <w:tcW w:w="214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5"/>
              </w:rPr>
              <w:t>*10.3</w:t>
            </w:r>
          </w:p>
        </w:tc>
        <w:tc>
          <w:tcPr>
            <w:tcW w:w="180" w:type="dxa"/>
            <w:vAlign w:val="bottom"/>
          </w:tcPr>
          <w:p>
            <w:pPr>
              <w:spacing w:after="0"/>
              <w:rPr>
                <w:sz w:val="19"/>
                <w:szCs w:val="19"/>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Weatherford International Ltd. Non-Employee Director</w:t>
            </w:r>
          </w:p>
        </w:tc>
        <w:tc>
          <w:tcPr>
            <w:tcW w:w="2640" w:type="dxa"/>
            <w:vAlign w:val="bottom"/>
          </w:tcPr>
          <w:p>
            <w:pPr>
              <w:jc w:val="center"/>
              <w:ind w:right="90"/>
              <w:spacing w:after="0"/>
              <w:rPr>
                <w:sz w:val="20"/>
                <w:szCs w:val="20"/>
                <w:color w:val="auto"/>
              </w:rPr>
            </w:pPr>
            <w:r>
              <w:rPr>
                <w:rFonts w:ascii="Arial" w:cs="Arial" w:eastAsia="Arial" w:hAnsi="Arial"/>
                <w:sz w:val="18"/>
                <w:szCs w:val="18"/>
                <w:color w:val="auto"/>
                <w:w w:val="92"/>
              </w:rPr>
              <w:t>Exhibit 10.6 to the</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w w:val="95"/>
              </w:rPr>
              <w:t>Retirement Plan, as amended and restated effective December</w:t>
            </w:r>
          </w:p>
        </w:tc>
        <w:tc>
          <w:tcPr>
            <w:tcW w:w="2640" w:type="dxa"/>
            <w:vAlign w:val="bottom"/>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14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tcPr>
          <w:p>
            <w:pPr>
              <w:ind w:left="180"/>
              <w:spacing w:after="0"/>
              <w:rPr>
                <w:sz w:val="20"/>
                <w:szCs w:val="20"/>
                <w:color w:val="auto"/>
              </w:rPr>
            </w:pPr>
            <w:r>
              <w:rPr>
                <w:rFonts w:ascii="Arial" w:cs="Arial" w:eastAsia="Arial" w:hAnsi="Arial"/>
                <w:sz w:val="18"/>
                <w:szCs w:val="18"/>
                <w:color w:val="auto"/>
              </w:rPr>
              <w:t>31, 2008</w:t>
            </w:r>
          </w:p>
        </w:tc>
        <w:tc>
          <w:tcPr>
            <w:tcW w:w="2640" w:type="dxa"/>
            <w:vAlign w:val="bottom"/>
          </w:tcPr>
          <w:p>
            <w:pPr>
              <w:jc w:val="center"/>
              <w:ind w:right="90"/>
              <w:spacing w:after="0"/>
              <w:rPr>
                <w:sz w:val="20"/>
                <w:szCs w:val="20"/>
                <w:color w:val="auto"/>
              </w:rPr>
            </w:pPr>
            <w:r>
              <w:rPr>
                <w:rFonts w:ascii="Arial" w:cs="Arial" w:eastAsia="Arial" w:hAnsi="Arial"/>
                <w:sz w:val="18"/>
                <w:szCs w:val="18"/>
                <w:color w:val="auto"/>
                <w:w w:val="91"/>
              </w:rPr>
              <w:t>Report on Form 8-K</w:t>
            </w:r>
          </w:p>
        </w:tc>
        <w:tc>
          <w:tcPr>
            <w:tcW w:w="21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640" w:type="dxa"/>
            <w:vAlign w:val="bottom"/>
          </w:tcPr>
          <w:p>
            <w:pPr>
              <w:jc w:val="center"/>
              <w:ind w:right="50"/>
              <w:spacing w:after="0"/>
              <w:rPr>
                <w:sz w:val="20"/>
                <w:szCs w:val="20"/>
                <w:color w:val="auto"/>
              </w:rPr>
            </w:pPr>
            <w:r>
              <w:rPr>
                <w:rFonts w:ascii="Arial" w:cs="Arial" w:eastAsia="Arial" w:hAnsi="Arial"/>
                <w:sz w:val="18"/>
                <w:szCs w:val="18"/>
                <w:color w:val="auto"/>
                <w:w w:val="90"/>
              </w:rPr>
              <w:t>filed December 31, 2008</w:t>
            </w:r>
          </w:p>
        </w:tc>
        <w:tc>
          <w:tcPr>
            <w:tcW w:w="214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5"/>
              </w:rPr>
              <w:t>*10.4</w:t>
            </w:r>
          </w:p>
        </w:tc>
        <w:tc>
          <w:tcPr>
            <w:tcW w:w="180" w:type="dxa"/>
            <w:vAlign w:val="bottom"/>
            <w:shd w:val="clear" w:color="auto" w:fill="CCEEFF"/>
          </w:tcPr>
          <w:p>
            <w:pPr>
              <w:spacing w:after="0"/>
              <w:rPr>
                <w:sz w:val="19"/>
                <w:szCs w:val="19"/>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International Ltd. Supplemental Executive</w:t>
            </w:r>
          </w:p>
        </w:tc>
        <w:tc>
          <w:tcPr>
            <w:tcW w:w="26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10.2 to the</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Plan, effective January 1, 2010</w:t>
            </w:r>
          </w:p>
        </w:tc>
        <w:tc>
          <w:tcPr>
            <w:tcW w:w="26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6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Report on Form 8-K</w:t>
            </w:r>
          </w:p>
        </w:tc>
        <w:tc>
          <w:tcPr>
            <w:tcW w:w="2140" w:type="dxa"/>
            <w:vAlign w:val="bottom"/>
            <w:shd w:val="clear" w:color="auto" w:fill="CCEEFF"/>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26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filed December 31, 2009</w:t>
            </w:r>
          </w:p>
        </w:tc>
        <w:tc>
          <w:tcPr>
            <w:tcW w:w="2140" w:type="dxa"/>
            <w:vAlign w:val="bottom"/>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0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right="140" w:hanging="877"/>
        <w:spacing w:after="0" w:line="264" w:lineRule="auto"/>
        <w:tabs>
          <w:tab w:leader="none" w:pos="16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First Amendment to the Weatherford International Ltd. Supplemental Executive Retirement Plan, effective March 31, 2010</w:t>
      </w:r>
    </w:p>
    <w:p>
      <w:pPr>
        <w:spacing w:after="0" w:line="20" w:lineRule="exact"/>
        <w:rPr>
          <w:sz w:val="20"/>
          <w:szCs w:val="20"/>
          <w:color w:val="auto"/>
        </w:rPr>
      </w:pPr>
      <w:r>
        <w:rPr>
          <w:sz w:val="20"/>
          <w:szCs w:val="20"/>
          <w:color w:val="auto"/>
        </w:rPr>
        <w:br w:type="column"/>
      </w:r>
    </w:p>
    <w:p>
      <w:pPr>
        <w:ind w:left="60"/>
        <w:spacing w:after="0"/>
        <w:tabs>
          <w:tab w:leader="none" w:pos="2620" w:val="left"/>
        </w:tabs>
        <w:rPr>
          <w:sz w:val="20"/>
          <w:szCs w:val="20"/>
          <w:color w:val="auto"/>
        </w:rPr>
      </w:pPr>
      <w:r>
        <w:rPr>
          <w:rFonts w:ascii="Arial" w:cs="Arial" w:eastAsia="Arial" w:hAnsi="Arial"/>
          <w:sz w:val="18"/>
          <w:szCs w:val="18"/>
          <w:color w:val="auto"/>
        </w:rPr>
        <w:t>Exhibit 10.1 to the</w:t>
      </w:r>
      <w:r>
        <w:rPr>
          <w:sz w:val="20"/>
          <w:szCs w:val="20"/>
          <w:color w:val="auto"/>
        </w:rPr>
        <w:tab/>
      </w:r>
      <w:r>
        <w:rPr>
          <w:rFonts w:ascii="Arial" w:cs="Arial" w:eastAsia="Arial" w:hAnsi="Arial"/>
          <w:sz w:val="16"/>
          <w:szCs w:val="16"/>
          <w:color w:val="auto"/>
        </w:rPr>
        <w:t>File No. 1-34258</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Company's 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 on Form 8-K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filed March 23, 2010</w:t>
      </w:r>
    </w:p>
    <w:p>
      <w:pPr>
        <w:spacing w:after="0" w:line="36" w:lineRule="exact"/>
        <w:rPr>
          <w:sz w:val="20"/>
          <w:szCs w:val="20"/>
          <w:color w:val="auto"/>
        </w:rPr>
      </w:pPr>
    </w:p>
    <w:p>
      <w:pPr>
        <w:sectPr>
          <w:pgSz w:w="11900" w:h="16838" w:orient="portrait"/>
          <w:cols w:equalWidth="0" w:num="2">
            <w:col w:w="6240" w:space="720"/>
            <w:col w:w="428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*10.6</w:t>
            </w: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Second Amendment to the Weatherford International Ltd.</w:t>
            </w:r>
          </w:p>
        </w:tc>
        <w:tc>
          <w:tcPr>
            <w:tcW w:w="26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Exhibit 10.1 to the</w:t>
            </w:r>
          </w:p>
        </w:tc>
        <w:tc>
          <w:tcPr>
            <w:tcW w:w="2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File No. 1-34258</w:t>
            </w:r>
          </w:p>
        </w:tc>
      </w:tr>
      <w:tr>
        <w:trPr>
          <w:trHeight w:val="216"/>
        </w:trPr>
        <w:tc>
          <w:tcPr>
            <w:tcW w:w="880" w:type="dxa"/>
            <w:vAlign w:val="bottom"/>
            <w:shd w:val="clear" w:color="auto" w:fill="CCEEFF"/>
          </w:tcPr>
          <w:p>
            <w:pPr>
              <w:spacing w:after="0"/>
              <w:rPr>
                <w:sz w:val="18"/>
                <w:szCs w:val="18"/>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Supplemental Executive Retirement Plan, effective April 8,</w:t>
            </w: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12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2010</w:t>
            </w: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Report on Form 8-K</w:t>
            </w:r>
          </w:p>
        </w:tc>
        <w:tc>
          <w:tcPr>
            <w:tcW w:w="2120" w:type="dxa"/>
            <w:vAlign w:val="bottom"/>
            <w:shd w:val="clear" w:color="auto" w:fill="CCEEFF"/>
          </w:tcPr>
          <w:p>
            <w:pPr>
              <w:spacing w:after="0"/>
              <w:rPr>
                <w:sz w:val="18"/>
                <w:szCs w:val="18"/>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6"/>
              </w:rPr>
              <w:t>filed April 9, 2010</w:t>
            </w:r>
          </w:p>
        </w:tc>
        <w:tc>
          <w:tcPr>
            <w:tcW w:w="2120" w:type="dxa"/>
            <w:vAlign w:val="bottom"/>
            <w:tcBorders>
              <w:bottom w:val="single" w:sz="8" w:color="CCEEFF"/>
            </w:tcBorders>
            <w:shd w:val="clear" w:color="auto" w:fill="CCEEFF"/>
          </w:tcPr>
          <w:p>
            <w:pPr>
              <w:spacing w:after="0"/>
              <w:rPr>
                <w:sz w:val="20"/>
                <w:szCs w:val="20"/>
                <w:color w:val="auto"/>
              </w:rPr>
            </w:pPr>
          </w:p>
        </w:tc>
      </w:tr>
      <w:tr>
        <w:trPr>
          <w:trHeight w:val="229"/>
        </w:trPr>
        <w:tc>
          <w:tcPr>
            <w:tcW w:w="88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5020" w:type="dxa"/>
            <w:vAlign w:val="bottom"/>
          </w:tcPr>
          <w:p>
            <w:pPr>
              <w:ind w:left="220"/>
              <w:spacing w:after="0"/>
              <w:rPr>
                <w:sz w:val="20"/>
                <w:szCs w:val="20"/>
                <w:color w:val="auto"/>
              </w:rPr>
            </w:pPr>
            <w:r>
              <w:rPr>
                <w:rFonts w:ascii="Arial" w:cs="Arial" w:eastAsia="Arial" w:hAnsi="Arial"/>
                <w:sz w:val="18"/>
                <w:szCs w:val="18"/>
                <w:color w:val="auto"/>
              </w:rPr>
              <w:t>Third Amendment to the Weatherford International Ltd.</w:t>
            </w:r>
          </w:p>
        </w:tc>
        <w:tc>
          <w:tcPr>
            <w:tcW w:w="2680" w:type="dxa"/>
            <w:vAlign w:val="bottom"/>
          </w:tcPr>
          <w:p>
            <w:pPr>
              <w:jc w:val="center"/>
              <w:ind w:right="70"/>
              <w:spacing w:after="0"/>
              <w:rPr>
                <w:sz w:val="20"/>
                <w:szCs w:val="20"/>
                <w:color w:val="auto"/>
              </w:rPr>
            </w:pPr>
            <w:r>
              <w:rPr>
                <w:rFonts w:ascii="Arial" w:cs="Arial" w:eastAsia="Arial" w:hAnsi="Arial"/>
                <w:sz w:val="18"/>
                <w:szCs w:val="18"/>
                <w:color w:val="auto"/>
                <w:w w:val="93"/>
              </w:rPr>
              <w:t>Exhibit 10.10 of the</w:t>
            </w:r>
          </w:p>
        </w:tc>
        <w:tc>
          <w:tcPr>
            <w:tcW w:w="2120" w:type="dxa"/>
            <w:vAlign w:val="bottom"/>
          </w:tcPr>
          <w:p>
            <w:pPr>
              <w:ind w:left="480"/>
              <w:spacing w:after="0"/>
              <w:rPr>
                <w:sz w:val="20"/>
                <w:szCs w:val="20"/>
                <w:color w:val="auto"/>
              </w:rPr>
            </w:pPr>
            <w:r>
              <w:rPr>
                <w:rFonts w:ascii="Arial" w:cs="Arial" w:eastAsia="Arial" w:hAnsi="Arial"/>
                <w:sz w:val="18"/>
                <w:szCs w:val="18"/>
                <w:color w:val="auto"/>
              </w:rPr>
              <w:t>File No. 1-36504</w:t>
            </w:r>
          </w:p>
        </w:tc>
      </w:tr>
      <w:tr>
        <w:trPr>
          <w:trHeight w:val="216"/>
        </w:trPr>
        <w:tc>
          <w:tcPr>
            <w:tcW w:w="880" w:type="dxa"/>
            <w:vAlign w:val="bottom"/>
          </w:tcPr>
          <w:p>
            <w:pPr>
              <w:spacing w:after="0"/>
              <w:rPr>
                <w:sz w:val="18"/>
                <w:szCs w:val="18"/>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w w:val="94"/>
              </w:rPr>
              <w:t>Supplemental Executive Retirement Plan (as amended on June</w:t>
            </w: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16, 2014)</w:t>
            </w: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93"/>
              </w:rPr>
              <w:t>Report on Form 8-K12B</w:t>
            </w:r>
          </w:p>
        </w:tc>
        <w:tc>
          <w:tcPr>
            <w:tcW w:w="212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80" w:type="dxa"/>
            <w:vAlign w:val="bottom"/>
          </w:tcPr>
          <w:p>
            <w:pPr>
              <w:jc w:val="center"/>
              <w:ind w:right="50"/>
              <w:spacing w:after="0"/>
              <w:rPr>
                <w:sz w:val="20"/>
                <w:szCs w:val="20"/>
                <w:color w:val="auto"/>
              </w:rPr>
            </w:pPr>
            <w:r>
              <w:rPr>
                <w:rFonts w:ascii="Arial" w:cs="Arial" w:eastAsia="Arial" w:hAnsi="Arial"/>
                <w:sz w:val="18"/>
                <w:szCs w:val="18"/>
                <w:color w:val="auto"/>
                <w:w w:val="90"/>
              </w:rPr>
              <w:t>filed June 17, 2014</w:t>
            </w:r>
          </w:p>
        </w:tc>
        <w:tc>
          <w:tcPr>
            <w:tcW w:w="212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*10.8</w:t>
            </w: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Weatherford International, Inc. 1998 Employee Stock Option</w:t>
            </w: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10.18 to the</w:t>
            </w:r>
          </w:p>
        </w:tc>
        <w:tc>
          <w:tcPr>
            <w:tcW w:w="2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File No. 1-13086</w:t>
            </w:r>
          </w:p>
        </w:tc>
      </w:tr>
      <w:tr>
        <w:trPr>
          <w:trHeight w:val="216"/>
        </w:trPr>
        <w:tc>
          <w:tcPr>
            <w:tcW w:w="880" w:type="dxa"/>
            <w:vAlign w:val="bottom"/>
            <w:shd w:val="clear" w:color="auto" w:fill="CCEEFF"/>
          </w:tcPr>
          <w:p>
            <w:pPr>
              <w:spacing w:after="0"/>
              <w:rPr>
                <w:sz w:val="18"/>
                <w:szCs w:val="18"/>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Plan, as amended, including form of agreement for officers</w:t>
            </w: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Company's Annual Report</w:t>
            </w:r>
          </w:p>
        </w:tc>
        <w:tc>
          <w:tcPr>
            <w:tcW w:w="212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on Form 10-K for the year</w:t>
            </w:r>
          </w:p>
        </w:tc>
        <w:tc>
          <w:tcPr>
            <w:tcW w:w="212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ended December 31, 2003</w:t>
            </w:r>
          </w:p>
        </w:tc>
        <w:tc>
          <w:tcPr>
            <w:tcW w:w="2120" w:type="dxa"/>
            <w:vAlign w:val="bottom"/>
            <w:shd w:val="clear" w:color="auto" w:fill="CCEEFF"/>
          </w:tcPr>
          <w:p>
            <w:pPr>
              <w:spacing w:after="0"/>
              <w:rPr>
                <w:sz w:val="18"/>
                <w:szCs w:val="18"/>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3"/>
              </w:rPr>
              <w:t>filed March 10, 2004</w:t>
            </w:r>
          </w:p>
        </w:tc>
        <w:tc>
          <w:tcPr>
            <w:tcW w:w="2120" w:type="dxa"/>
            <w:vAlign w:val="bottom"/>
            <w:tcBorders>
              <w:bottom w:val="single" w:sz="8" w:color="CCEEFF"/>
            </w:tcBorders>
            <w:shd w:val="clear" w:color="auto" w:fill="CCEEFF"/>
          </w:tcPr>
          <w:p>
            <w:pPr>
              <w:spacing w:after="0"/>
              <w:rPr>
                <w:sz w:val="20"/>
                <w:szCs w:val="20"/>
                <w:color w:val="auto"/>
              </w:rPr>
            </w:pPr>
          </w:p>
        </w:tc>
      </w:tr>
      <w:tr>
        <w:trPr>
          <w:trHeight w:val="229"/>
        </w:trPr>
        <w:tc>
          <w:tcPr>
            <w:tcW w:w="88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5020" w:type="dxa"/>
            <w:vAlign w:val="bottom"/>
          </w:tcPr>
          <w:p>
            <w:pPr>
              <w:ind w:left="220"/>
              <w:spacing w:after="0"/>
              <w:rPr>
                <w:sz w:val="20"/>
                <w:szCs w:val="20"/>
                <w:color w:val="auto"/>
              </w:rPr>
            </w:pPr>
            <w:r>
              <w:rPr>
                <w:rFonts w:ascii="Arial" w:cs="Arial" w:eastAsia="Arial" w:hAnsi="Arial"/>
                <w:sz w:val="18"/>
                <w:szCs w:val="18"/>
                <w:color w:val="auto"/>
                <w:w w:val="99"/>
              </w:rPr>
              <w:t>Deed Poll of Assumption, dated June 16, 2014, executed by</w:t>
            </w: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92"/>
              </w:rPr>
              <w:t>Exhibit 10.3 of the</w:t>
            </w:r>
          </w:p>
        </w:tc>
        <w:tc>
          <w:tcPr>
            <w:tcW w:w="2120" w:type="dxa"/>
            <w:vAlign w:val="bottom"/>
          </w:tcPr>
          <w:p>
            <w:pPr>
              <w:ind w:left="480"/>
              <w:spacing w:after="0"/>
              <w:rPr>
                <w:sz w:val="20"/>
                <w:szCs w:val="20"/>
                <w:color w:val="auto"/>
              </w:rPr>
            </w:pPr>
            <w:r>
              <w:rPr>
                <w:rFonts w:ascii="Arial" w:cs="Arial" w:eastAsia="Arial" w:hAnsi="Arial"/>
                <w:sz w:val="18"/>
                <w:szCs w:val="18"/>
                <w:color w:val="auto"/>
              </w:rPr>
              <w:t>File No. 1-36504</w:t>
            </w:r>
          </w:p>
        </w:tc>
      </w:tr>
      <w:tr>
        <w:trPr>
          <w:trHeight w:val="216"/>
        </w:trPr>
        <w:tc>
          <w:tcPr>
            <w:tcW w:w="880" w:type="dxa"/>
            <w:vAlign w:val="bottom"/>
          </w:tcPr>
          <w:p>
            <w:pPr>
              <w:spacing w:after="0"/>
              <w:rPr>
                <w:sz w:val="18"/>
                <w:szCs w:val="18"/>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Weatherford Ireland</w:t>
            </w: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93"/>
              </w:rPr>
              <w:t>Report on Form 8-K12B</w:t>
            </w:r>
          </w:p>
        </w:tc>
        <w:tc>
          <w:tcPr>
            <w:tcW w:w="212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80" w:type="dxa"/>
            <w:vAlign w:val="bottom"/>
          </w:tcPr>
          <w:p>
            <w:pPr>
              <w:jc w:val="center"/>
              <w:ind w:right="50"/>
              <w:spacing w:after="0"/>
              <w:rPr>
                <w:sz w:val="20"/>
                <w:szCs w:val="20"/>
                <w:color w:val="auto"/>
              </w:rPr>
            </w:pPr>
            <w:r>
              <w:rPr>
                <w:rFonts w:ascii="Arial" w:cs="Arial" w:eastAsia="Arial" w:hAnsi="Arial"/>
                <w:sz w:val="18"/>
                <w:szCs w:val="18"/>
                <w:color w:val="auto"/>
                <w:w w:val="90"/>
              </w:rPr>
              <w:t>filed June 17, 2014</w:t>
            </w:r>
          </w:p>
        </w:tc>
        <w:tc>
          <w:tcPr>
            <w:tcW w:w="212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*10.10</w:t>
            </w: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Weatherford International plc 2006 Omnibus Incentive Plan</w:t>
            </w: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10.2 of the</w:t>
            </w:r>
          </w:p>
        </w:tc>
        <w:tc>
          <w:tcPr>
            <w:tcW w:w="2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File No. 1-36504</w:t>
            </w:r>
          </w:p>
        </w:tc>
      </w:tr>
      <w:tr>
        <w:trPr>
          <w:trHeight w:val="216"/>
        </w:trPr>
        <w:tc>
          <w:tcPr>
            <w:tcW w:w="880" w:type="dxa"/>
            <w:vAlign w:val="bottom"/>
            <w:shd w:val="clear" w:color="auto" w:fill="CCEEFF"/>
          </w:tcPr>
          <w:p>
            <w:pPr>
              <w:spacing w:after="0"/>
              <w:rPr>
                <w:sz w:val="18"/>
                <w:szCs w:val="18"/>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 amended and restated, conformed as of June 16, 2015)</w:t>
            </w: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Company's Quarterly</w:t>
            </w:r>
          </w:p>
        </w:tc>
        <w:tc>
          <w:tcPr>
            <w:tcW w:w="212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Report on Form 10-Q</w:t>
            </w:r>
          </w:p>
        </w:tc>
        <w:tc>
          <w:tcPr>
            <w:tcW w:w="212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for the quarter ended</w:t>
            </w:r>
          </w:p>
        </w:tc>
        <w:tc>
          <w:tcPr>
            <w:tcW w:w="212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June 30, 2015 filed</w:t>
            </w:r>
          </w:p>
        </w:tc>
        <w:tc>
          <w:tcPr>
            <w:tcW w:w="2120" w:type="dxa"/>
            <w:vAlign w:val="bottom"/>
            <w:shd w:val="clear" w:color="auto" w:fill="CCEEFF"/>
          </w:tcPr>
          <w:p>
            <w:pPr>
              <w:spacing w:after="0"/>
              <w:rPr>
                <w:sz w:val="18"/>
                <w:szCs w:val="18"/>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1"/>
              </w:rPr>
              <w:t>July 24, 2015</w:t>
            </w:r>
          </w:p>
        </w:tc>
        <w:tc>
          <w:tcPr>
            <w:tcW w:w="2120" w:type="dxa"/>
            <w:vAlign w:val="bottom"/>
            <w:tcBorders>
              <w:bottom w:val="single" w:sz="8" w:color="CCEEFF"/>
            </w:tcBorders>
            <w:shd w:val="clear" w:color="auto" w:fill="CCEEFF"/>
          </w:tcPr>
          <w:p>
            <w:pPr>
              <w:spacing w:after="0"/>
              <w:rPr>
                <w:sz w:val="20"/>
                <w:szCs w:val="20"/>
                <w:color w:val="auto"/>
              </w:rPr>
            </w:pPr>
          </w:p>
        </w:tc>
      </w:tr>
      <w:tr>
        <w:trPr>
          <w:trHeight w:val="229"/>
        </w:trPr>
        <w:tc>
          <w:tcPr>
            <w:tcW w:w="880" w:type="dxa"/>
            <w:vAlign w:val="bottom"/>
          </w:tcPr>
          <w:p>
            <w:pPr>
              <w:jc w:val="center"/>
              <w:spacing w:after="0"/>
              <w:rPr>
                <w:sz w:val="20"/>
                <w:szCs w:val="20"/>
                <w:color w:val="auto"/>
              </w:rPr>
            </w:pPr>
            <w:r>
              <w:rPr>
                <w:rFonts w:ascii="Arial" w:cs="Arial" w:eastAsia="Arial" w:hAnsi="Arial"/>
                <w:sz w:val="18"/>
                <w:szCs w:val="18"/>
                <w:color w:val="auto"/>
                <w:w w:val="92"/>
              </w:rPr>
              <w:t>*10.11</w:t>
            </w:r>
          </w:p>
        </w:tc>
        <w:tc>
          <w:tcPr>
            <w:tcW w:w="5020" w:type="dxa"/>
            <w:vAlign w:val="bottom"/>
          </w:tcPr>
          <w:p>
            <w:pPr>
              <w:ind w:left="220"/>
              <w:spacing w:after="0"/>
              <w:rPr>
                <w:sz w:val="20"/>
                <w:szCs w:val="20"/>
                <w:color w:val="auto"/>
              </w:rPr>
            </w:pPr>
            <w:r>
              <w:rPr>
                <w:rFonts w:ascii="Arial" w:cs="Arial" w:eastAsia="Arial" w:hAnsi="Arial"/>
                <w:sz w:val="18"/>
                <w:szCs w:val="18"/>
                <w:color w:val="auto"/>
                <w:w w:val="99"/>
              </w:rPr>
              <w:t>Form of Restricted Share Unit Award Agreement pursuant to</w:t>
            </w: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92"/>
              </w:rPr>
              <w:t>Exhibit 10.5 of the</w:t>
            </w:r>
          </w:p>
        </w:tc>
        <w:tc>
          <w:tcPr>
            <w:tcW w:w="2120" w:type="dxa"/>
            <w:vAlign w:val="bottom"/>
          </w:tcPr>
          <w:p>
            <w:pPr>
              <w:ind w:left="480"/>
              <w:spacing w:after="0"/>
              <w:rPr>
                <w:sz w:val="20"/>
                <w:szCs w:val="20"/>
                <w:color w:val="auto"/>
              </w:rPr>
            </w:pPr>
            <w:r>
              <w:rPr>
                <w:rFonts w:ascii="Arial" w:cs="Arial" w:eastAsia="Arial" w:hAnsi="Arial"/>
                <w:sz w:val="18"/>
                <w:szCs w:val="18"/>
                <w:color w:val="auto"/>
              </w:rPr>
              <w:t>File No. 1-36504</w:t>
            </w:r>
          </w:p>
        </w:tc>
      </w:tr>
      <w:tr>
        <w:trPr>
          <w:trHeight w:val="216"/>
        </w:trPr>
        <w:tc>
          <w:tcPr>
            <w:tcW w:w="880" w:type="dxa"/>
            <w:vAlign w:val="bottom"/>
          </w:tcPr>
          <w:p>
            <w:pPr>
              <w:spacing w:after="0"/>
              <w:rPr>
                <w:sz w:val="18"/>
                <w:szCs w:val="18"/>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Weatherford International plc 2006 Omnibus Incentive Plan</w:t>
            </w: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93"/>
              </w:rPr>
              <w:t>Report on Form 8-K12B</w:t>
            </w:r>
          </w:p>
        </w:tc>
        <w:tc>
          <w:tcPr>
            <w:tcW w:w="212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80" w:type="dxa"/>
            <w:vAlign w:val="bottom"/>
          </w:tcPr>
          <w:p>
            <w:pPr>
              <w:jc w:val="center"/>
              <w:ind w:right="50"/>
              <w:spacing w:after="0"/>
              <w:rPr>
                <w:sz w:val="20"/>
                <w:szCs w:val="20"/>
                <w:color w:val="auto"/>
              </w:rPr>
            </w:pPr>
            <w:r>
              <w:rPr>
                <w:rFonts w:ascii="Arial" w:cs="Arial" w:eastAsia="Arial" w:hAnsi="Arial"/>
                <w:sz w:val="18"/>
                <w:szCs w:val="18"/>
                <w:color w:val="auto"/>
                <w:w w:val="90"/>
              </w:rPr>
              <w:t>filed June 17, 2014</w:t>
            </w:r>
          </w:p>
        </w:tc>
        <w:tc>
          <w:tcPr>
            <w:tcW w:w="212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29"/>
        </w:trPr>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*10.12</w:t>
            </w: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Form of Stock Option Agreement for Officers pursuant to</w:t>
            </w: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10.46 to the</w:t>
            </w:r>
          </w:p>
        </w:tc>
        <w:tc>
          <w:tcPr>
            <w:tcW w:w="2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File No. 1-31339</w:t>
            </w:r>
          </w:p>
        </w:tc>
      </w:tr>
      <w:tr>
        <w:trPr>
          <w:trHeight w:val="216"/>
        </w:trPr>
        <w:tc>
          <w:tcPr>
            <w:tcW w:w="880" w:type="dxa"/>
            <w:vAlign w:val="bottom"/>
            <w:shd w:val="clear" w:color="auto" w:fill="CCEEFF"/>
          </w:tcPr>
          <w:p>
            <w:pPr>
              <w:spacing w:after="0"/>
              <w:rPr>
                <w:sz w:val="18"/>
                <w:szCs w:val="18"/>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Weatherford International Ltd. 2006 Omnibus Incentive Plan</w:t>
            </w: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Company's Annual Report</w:t>
            </w:r>
          </w:p>
        </w:tc>
        <w:tc>
          <w:tcPr>
            <w:tcW w:w="212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on Form 10-K for the year</w:t>
            </w:r>
          </w:p>
        </w:tc>
        <w:tc>
          <w:tcPr>
            <w:tcW w:w="212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ended December 31, 2006</w:t>
            </w:r>
          </w:p>
        </w:tc>
        <w:tc>
          <w:tcPr>
            <w:tcW w:w="2120" w:type="dxa"/>
            <w:vAlign w:val="bottom"/>
            <w:shd w:val="clear" w:color="auto" w:fill="CCEEFF"/>
          </w:tcPr>
          <w:p>
            <w:pPr>
              <w:spacing w:after="0"/>
              <w:rPr>
                <w:sz w:val="18"/>
                <w:szCs w:val="18"/>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5020" w:type="dxa"/>
            <w:vAlign w:val="bottom"/>
            <w:tcBorders>
              <w:bottom w:val="single" w:sz="8" w:color="CCEEFF"/>
            </w:tcBorders>
            <w:shd w:val="clear" w:color="auto" w:fill="CCEEFF"/>
          </w:tcPr>
          <w:p>
            <w:pPr>
              <w:spacing w:after="0"/>
              <w:rPr>
                <w:sz w:val="20"/>
                <w:szCs w:val="20"/>
                <w:color w:val="auto"/>
              </w:rPr>
            </w:pPr>
          </w:p>
        </w:tc>
        <w:tc>
          <w:tcPr>
            <w:tcW w:w="268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1"/>
              </w:rPr>
              <w:t>filed February 23, 2007</w:t>
            </w:r>
          </w:p>
        </w:tc>
        <w:tc>
          <w:tcPr>
            <w:tcW w:w="2120" w:type="dxa"/>
            <w:vAlign w:val="bottom"/>
            <w:tcBorders>
              <w:bottom w:val="single" w:sz="8" w:color="CCEEFF"/>
            </w:tcBorders>
            <w:shd w:val="clear" w:color="auto" w:fill="CCEEFF"/>
          </w:tcPr>
          <w:p>
            <w:pPr>
              <w:spacing w:after="0"/>
              <w:rPr>
                <w:sz w:val="20"/>
                <w:szCs w:val="20"/>
                <w:color w:val="auto"/>
              </w:rPr>
            </w:pPr>
          </w:p>
        </w:tc>
      </w:tr>
      <w:tr>
        <w:trPr>
          <w:trHeight w:val="229"/>
        </w:trPr>
        <w:tc>
          <w:tcPr>
            <w:tcW w:w="880" w:type="dxa"/>
            <w:vAlign w:val="bottom"/>
          </w:tcPr>
          <w:p>
            <w:pPr>
              <w:jc w:val="center"/>
              <w:spacing w:after="0"/>
              <w:rPr>
                <w:sz w:val="20"/>
                <w:szCs w:val="20"/>
                <w:color w:val="auto"/>
              </w:rPr>
            </w:pPr>
            <w:r>
              <w:rPr>
                <w:rFonts w:ascii="Arial" w:cs="Arial" w:eastAsia="Arial" w:hAnsi="Arial"/>
                <w:sz w:val="18"/>
                <w:szCs w:val="18"/>
                <w:color w:val="auto"/>
                <w:w w:val="92"/>
              </w:rPr>
              <w:t>*10.13</w:t>
            </w:r>
          </w:p>
        </w:tc>
        <w:tc>
          <w:tcPr>
            <w:tcW w:w="5020" w:type="dxa"/>
            <w:vAlign w:val="bottom"/>
          </w:tcPr>
          <w:p>
            <w:pPr>
              <w:ind w:left="220"/>
              <w:spacing w:after="0"/>
              <w:rPr>
                <w:sz w:val="20"/>
                <w:szCs w:val="20"/>
                <w:color w:val="auto"/>
              </w:rPr>
            </w:pPr>
            <w:r>
              <w:rPr>
                <w:rFonts w:ascii="Arial" w:cs="Arial" w:eastAsia="Arial" w:hAnsi="Arial"/>
                <w:sz w:val="18"/>
                <w:szCs w:val="18"/>
                <w:color w:val="auto"/>
              </w:rPr>
              <w:t>Executive Deferred Compensation Stock Ownership Trust</w:t>
            </w: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92"/>
              </w:rPr>
              <w:t>Exhibit 10.4 to the</w:t>
            </w:r>
          </w:p>
        </w:tc>
        <w:tc>
          <w:tcPr>
            <w:tcW w:w="2120" w:type="dxa"/>
            <w:vAlign w:val="bottom"/>
          </w:tcPr>
          <w:p>
            <w:pPr>
              <w:ind w:left="480"/>
              <w:spacing w:after="0"/>
              <w:rPr>
                <w:sz w:val="20"/>
                <w:szCs w:val="20"/>
                <w:color w:val="auto"/>
              </w:rPr>
            </w:pPr>
            <w:r>
              <w:rPr>
                <w:rFonts w:ascii="Arial" w:cs="Arial" w:eastAsia="Arial" w:hAnsi="Arial"/>
                <w:sz w:val="18"/>
                <w:szCs w:val="18"/>
                <w:color w:val="auto"/>
              </w:rPr>
              <w:t>File No. 1-13086</w:t>
            </w:r>
          </w:p>
        </w:tc>
      </w:tr>
      <w:tr>
        <w:trPr>
          <w:trHeight w:val="216"/>
        </w:trPr>
        <w:tc>
          <w:tcPr>
            <w:tcW w:w="880" w:type="dxa"/>
            <w:vAlign w:val="bottom"/>
          </w:tcPr>
          <w:p>
            <w:pPr>
              <w:spacing w:after="0"/>
              <w:rPr>
                <w:sz w:val="18"/>
                <w:szCs w:val="18"/>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effective April 1, 2000</w:t>
            </w: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91"/>
              </w:rPr>
              <w:t>Company's Quarterly</w:t>
            </w:r>
          </w:p>
        </w:tc>
        <w:tc>
          <w:tcPr>
            <w:tcW w:w="2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92"/>
              </w:rPr>
              <w:t>Report on Form 10-Q</w:t>
            </w:r>
          </w:p>
        </w:tc>
        <w:tc>
          <w:tcPr>
            <w:tcW w:w="212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680" w:type="dxa"/>
            <w:vAlign w:val="bottom"/>
          </w:tcPr>
          <w:p>
            <w:pPr>
              <w:jc w:val="center"/>
              <w:ind w:right="90"/>
              <w:spacing w:after="0"/>
              <w:rPr>
                <w:sz w:val="20"/>
                <w:szCs w:val="20"/>
                <w:color w:val="auto"/>
              </w:rPr>
            </w:pPr>
            <w:r>
              <w:rPr>
                <w:rFonts w:ascii="Arial" w:cs="Arial" w:eastAsia="Arial" w:hAnsi="Arial"/>
                <w:sz w:val="18"/>
                <w:szCs w:val="18"/>
                <w:color w:val="auto"/>
                <w:w w:val="89"/>
              </w:rPr>
              <w:t>for the quarter ended</w:t>
            </w:r>
          </w:p>
        </w:tc>
        <w:tc>
          <w:tcPr>
            <w:tcW w:w="2120" w:type="dxa"/>
            <w:vAlign w:val="bottom"/>
          </w:tcPr>
          <w:p>
            <w:pPr>
              <w:spacing w:after="0"/>
              <w:rPr>
                <w:sz w:val="20"/>
                <w:szCs w:val="20"/>
                <w:color w:val="auto"/>
              </w:rPr>
            </w:pPr>
          </w:p>
        </w:tc>
      </w:tr>
    </w:tbl>
    <w:p>
      <w:pPr>
        <w:ind w:left="7120"/>
        <w:spacing w:after="0"/>
        <w:rPr>
          <w:sz w:val="20"/>
          <w:szCs w:val="20"/>
          <w:color w:val="auto"/>
        </w:rPr>
      </w:pPr>
      <w:r>
        <w:rPr>
          <w:rFonts w:ascii="Arial" w:cs="Arial" w:eastAsia="Arial" w:hAnsi="Arial"/>
          <w:sz w:val="18"/>
          <w:szCs w:val="18"/>
          <w:color w:val="auto"/>
        </w:rPr>
        <w:t>March 31, 2000</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filed May 15, 2000</w:t>
      </w:r>
    </w:p>
    <w:p>
      <w:pPr>
        <w:sectPr>
          <w:pgSz w:w="11900" w:h="16838" w:orient="portrait"/>
          <w:cols w:equalWidth="0" w:num="1">
            <w:col w:w="11240"/>
          </w:cols>
          <w:pgMar w:left="240" w:top="378" w:right="419" w:bottom="1440" w:gutter="0" w:footer="0" w:header="0"/>
          <w:type w:val="continuous"/>
        </w:sectPr>
      </w:pP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40"/>
          </w:cols>
          <w:pgMar w:left="240" w:top="378" w:right="419" w:bottom="1440" w:gutter="0" w:footer="0" w:header="0"/>
          <w:type w:val="continuous"/>
        </w:sectPr>
      </w:pPr>
    </w:p>
    <w:bookmarkStart w:id="100" w:name="page101"/>
    <w:bookmarkEnd w:id="100"/>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0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jc w:val="center"/>
              <w:ind w:left="10"/>
              <w:spacing w:after="0"/>
              <w:rPr>
                <w:sz w:val="20"/>
                <w:szCs w:val="20"/>
                <w:color w:val="auto"/>
              </w:rPr>
            </w:pPr>
            <w:r>
              <w:rPr>
                <w:rFonts w:ascii="Arial" w:cs="Arial" w:eastAsia="Arial" w:hAnsi="Arial"/>
                <w:sz w:val="18"/>
                <w:szCs w:val="18"/>
                <w:b w:val="1"/>
                <w:bCs w:val="1"/>
                <w:color w:val="auto"/>
                <w:w w:val="93"/>
              </w:rPr>
              <w:t>Exhibit</w:t>
            </w:r>
          </w:p>
        </w:tc>
        <w:tc>
          <w:tcPr>
            <w:tcW w:w="1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504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60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Original Filed Exhibit</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*10.14</w:t>
            </w:r>
          </w:p>
        </w:tc>
        <w:tc>
          <w:tcPr>
            <w:tcW w:w="180" w:type="dxa"/>
            <w:vAlign w:val="bottom"/>
            <w:tcBorders>
              <w:top w:val="single" w:sz="8" w:color="auto"/>
            </w:tcBorders>
            <w:shd w:val="clear" w:color="auto" w:fill="CCEEFF"/>
          </w:tcPr>
          <w:p>
            <w:pPr>
              <w:spacing w:after="0"/>
              <w:rPr>
                <w:sz w:val="19"/>
                <w:szCs w:val="19"/>
                <w:color w:val="auto"/>
              </w:rPr>
            </w:pPr>
          </w:p>
        </w:tc>
        <w:tc>
          <w:tcPr>
            <w:tcW w:w="50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Weatherford International, Inc. Executive Deferred</w:t>
            </w:r>
          </w:p>
        </w:tc>
        <w:tc>
          <w:tcPr>
            <w:tcW w:w="2600" w:type="dxa"/>
            <w:vAlign w:val="bottom"/>
            <w:tcBorders>
              <w:top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2"/>
              </w:rPr>
              <w:t>Exhibit 10.3 to the</w:t>
            </w: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File No. 1-31339</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Compensation Stock Ownership Plan, as amended and restated</w:t>
            </w:r>
          </w:p>
        </w:tc>
        <w:tc>
          <w:tcPr>
            <w:tcW w:w="26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Company's Current</w:t>
            </w:r>
          </w:p>
        </w:tc>
        <w:tc>
          <w:tcPr>
            <w:tcW w:w="214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effective December 31, 2008</w:t>
            </w:r>
          </w:p>
        </w:tc>
        <w:tc>
          <w:tcPr>
            <w:tcW w:w="260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140" w:type="dxa"/>
            <w:vAlign w:val="bottom"/>
            <w:shd w:val="clear" w:color="auto" w:fill="CCEEFF"/>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40" w:type="dxa"/>
            <w:vAlign w:val="bottom"/>
            <w:shd w:val="clear" w:color="auto" w:fill="CCEEFF"/>
          </w:tcPr>
          <w:p>
            <w:pPr>
              <w:spacing w:after="0"/>
              <w:rPr>
                <w:sz w:val="20"/>
                <w:szCs w:val="20"/>
                <w:color w:val="auto"/>
              </w:rPr>
            </w:pPr>
          </w:p>
        </w:tc>
        <w:tc>
          <w:tcPr>
            <w:tcW w:w="260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0"/>
              </w:rPr>
              <w:t>filed December 31, 2008</w:t>
            </w:r>
          </w:p>
        </w:tc>
        <w:tc>
          <w:tcPr>
            <w:tcW w:w="2140" w:type="dxa"/>
            <w:vAlign w:val="bottom"/>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right="460" w:hanging="922"/>
        <w:spacing w:after="0" w:line="342" w:lineRule="auto"/>
        <w:tabs>
          <w:tab w:leader="none" w:pos="16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First Amendment to the Weatherford International, Inc. Executive Deferred Compensation Stock Ownership Plan</w:t>
      </w:r>
    </w:p>
    <w:p>
      <w:pPr>
        <w:spacing w:after="0" w:line="20" w:lineRule="exact"/>
        <w:rPr>
          <w:sz w:val="20"/>
          <w:szCs w:val="20"/>
          <w:color w:val="auto"/>
        </w:rPr>
      </w:pPr>
      <w:r>
        <w:rPr>
          <w:sz w:val="20"/>
          <w:szCs w:val="20"/>
          <w:color w:val="auto"/>
        </w:rPr>
        <w:br w:type="column"/>
      </w:r>
    </w:p>
    <w:p>
      <w:pPr>
        <w:ind w:left="60"/>
        <w:spacing w:after="0"/>
        <w:tabs>
          <w:tab w:leader="none" w:pos="2620" w:val="left"/>
        </w:tabs>
        <w:rPr>
          <w:sz w:val="20"/>
          <w:szCs w:val="20"/>
          <w:color w:val="auto"/>
        </w:rPr>
      </w:pPr>
      <w:r>
        <w:rPr>
          <w:rFonts w:ascii="Arial" w:cs="Arial" w:eastAsia="Arial" w:hAnsi="Arial"/>
          <w:sz w:val="18"/>
          <w:szCs w:val="18"/>
          <w:color w:val="auto"/>
        </w:rPr>
        <w:t>Exhibit 10.1 of the</w:t>
      </w:r>
      <w:r>
        <w:rPr>
          <w:sz w:val="20"/>
          <w:szCs w:val="20"/>
          <w:color w:val="auto"/>
        </w:rPr>
        <w:tab/>
      </w:r>
      <w:r>
        <w:rPr>
          <w:rFonts w:ascii="Arial" w:cs="Arial" w:eastAsia="Arial" w:hAnsi="Arial"/>
          <w:sz w:val="16"/>
          <w:szCs w:val="16"/>
          <w:color w:val="auto"/>
        </w:rPr>
        <w:t>File No. 1-34258</w:t>
      </w:r>
    </w:p>
    <w:p>
      <w:pPr>
        <w:spacing w:after="0" w:line="23" w:lineRule="exact"/>
        <w:rPr>
          <w:sz w:val="20"/>
          <w:szCs w:val="20"/>
          <w:color w:val="auto"/>
        </w:rPr>
      </w:pPr>
    </w:p>
    <w:p>
      <w:pPr>
        <w:jc w:val="right"/>
        <w:ind w:right="2860"/>
        <w:spacing w:after="0"/>
        <w:rPr>
          <w:sz w:val="20"/>
          <w:szCs w:val="20"/>
          <w:color w:val="auto"/>
        </w:rPr>
      </w:pPr>
      <w:r>
        <w:rPr>
          <w:rFonts w:ascii="Arial" w:cs="Arial" w:eastAsia="Arial" w:hAnsi="Arial"/>
          <w:sz w:val="16"/>
          <w:szCs w:val="16"/>
          <w:color w:val="auto"/>
        </w:rPr>
        <w:t>Company's Current</w:t>
      </w:r>
    </w:p>
    <w:p>
      <w:pPr>
        <w:spacing w:after="0" w:line="32" w:lineRule="exact"/>
        <w:rPr>
          <w:sz w:val="20"/>
          <w:szCs w:val="20"/>
          <w:color w:val="auto"/>
        </w:rPr>
      </w:pPr>
    </w:p>
    <w:p>
      <w:pPr>
        <w:jc w:val="right"/>
        <w:ind w:right="2820"/>
        <w:spacing w:after="0"/>
        <w:rPr>
          <w:sz w:val="20"/>
          <w:szCs w:val="20"/>
          <w:color w:val="auto"/>
        </w:rPr>
      </w:pPr>
      <w:r>
        <w:rPr>
          <w:rFonts w:ascii="Arial" w:cs="Arial" w:eastAsia="Arial" w:hAnsi="Arial"/>
          <w:sz w:val="16"/>
          <w:szCs w:val="16"/>
          <w:color w:val="auto"/>
        </w:rPr>
        <w:t>Report on Form 8-K</w:t>
      </w:r>
    </w:p>
    <w:p>
      <w:pPr>
        <w:spacing w:after="0" w:line="32" w:lineRule="exact"/>
        <w:rPr>
          <w:sz w:val="20"/>
          <w:szCs w:val="20"/>
          <w:color w:val="auto"/>
        </w:rPr>
      </w:pPr>
    </w:p>
    <w:p>
      <w:pPr>
        <w:jc w:val="right"/>
        <w:ind w:right="2860"/>
        <w:spacing w:after="0"/>
        <w:rPr>
          <w:sz w:val="20"/>
          <w:szCs w:val="20"/>
          <w:color w:val="auto"/>
        </w:rPr>
      </w:pPr>
      <w:r>
        <w:rPr>
          <w:rFonts w:ascii="Arial" w:cs="Arial" w:eastAsia="Arial" w:hAnsi="Arial"/>
          <w:sz w:val="18"/>
          <w:szCs w:val="18"/>
          <w:color w:val="auto"/>
        </w:rPr>
        <w:t>filed April 2, 2014</w:t>
      </w:r>
    </w:p>
    <w:p>
      <w:pPr>
        <w:spacing w:after="0" w:line="36" w:lineRule="exact"/>
        <w:rPr>
          <w:sz w:val="20"/>
          <w:szCs w:val="20"/>
          <w:color w:val="auto"/>
        </w:rPr>
      </w:pPr>
    </w:p>
    <w:p>
      <w:pPr>
        <w:sectPr>
          <w:pgSz w:w="11900" w:h="16838" w:orient="portrait"/>
          <w:cols w:equalWidth="0" w:num="2">
            <w:col w:w="6240" w:space="720"/>
            <w:col w:w="428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*10.16</w:t>
            </w: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Weatherford International Ltd. Deferred Compensation Plan</w:t>
            </w:r>
          </w:p>
        </w:tc>
        <w:tc>
          <w:tcPr>
            <w:tcW w:w="2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Exhibit 10.5 to the</w:t>
            </w:r>
          </w:p>
        </w:tc>
        <w:tc>
          <w:tcPr>
            <w:tcW w:w="2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File No. 1-31339</w:t>
            </w:r>
          </w:p>
        </w:tc>
      </w:tr>
      <w:tr>
        <w:trPr>
          <w:trHeight w:val="216"/>
        </w:trPr>
        <w:tc>
          <w:tcPr>
            <w:tcW w:w="900" w:type="dxa"/>
            <w:vAlign w:val="bottom"/>
            <w:shd w:val="clear" w:color="auto" w:fill="CCEEFF"/>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Non-Employee Directors, as amended and restated</w:t>
            </w:r>
          </w:p>
        </w:tc>
        <w:tc>
          <w:tcPr>
            <w:tcW w:w="2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100" w:type="dxa"/>
            <w:vAlign w:val="bottom"/>
            <w:shd w:val="clear" w:color="auto" w:fill="CCEEFF"/>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effective December 31, 2008</w:t>
            </w:r>
          </w:p>
        </w:tc>
        <w:tc>
          <w:tcPr>
            <w:tcW w:w="2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Report on Form 8-K</w:t>
            </w:r>
          </w:p>
        </w:tc>
        <w:tc>
          <w:tcPr>
            <w:tcW w:w="2100" w:type="dxa"/>
            <w:vAlign w:val="bottom"/>
            <w:shd w:val="clear" w:color="auto" w:fill="CCEEFF"/>
          </w:tcPr>
          <w:p>
            <w:pPr>
              <w:spacing w:after="0"/>
              <w:rPr>
                <w:sz w:val="18"/>
                <w:szCs w:val="18"/>
                <w:color w:val="auto"/>
              </w:rPr>
            </w:pPr>
          </w:p>
        </w:tc>
      </w:tr>
      <w:tr>
        <w:trPr>
          <w:trHeight w:val="237"/>
        </w:trPr>
        <w:tc>
          <w:tcPr>
            <w:tcW w:w="900" w:type="dxa"/>
            <w:vAlign w:val="bottom"/>
            <w:tcBorders>
              <w:bottom w:val="single" w:sz="8" w:color="CCEEFF"/>
            </w:tcBorders>
            <w:shd w:val="clear" w:color="auto" w:fill="CCEEFF"/>
          </w:tcPr>
          <w:p>
            <w:pPr>
              <w:spacing w:after="0"/>
              <w:rPr>
                <w:sz w:val="20"/>
                <w:szCs w:val="20"/>
                <w:color w:val="auto"/>
              </w:rPr>
            </w:pPr>
          </w:p>
        </w:tc>
        <w:tc>
          <w:tcPr>
            <w:tcW w:w="492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filed December 31, 2008</w:t>
            </w:r>
          </w:p>
        </w:tc>
        <w:tc>
          <w:tcPr>
            <w:tcW w:w="2100" w:type="dxa"/>
            <w:vAlign w:val="bottom"/>
            <w:tcBorders>
              <w:bottom w:val="single" w:sz="8" w:color="CCEEFF"/>
            </w:tcBorders>
            <w:shd w:val="clear" w:color="auto" w:fill="CCEEFF"/>
          </w:tcPr>
          <w:p>
            <w:pPr>
              <w:spacing w:after="0"/>
              <w:rPr>
                <w:sz w:val="20"/>
                <w:szCs w:val="20"/>
                <w:color w:val="auto"/>
              </w:rPr>
            </w:pPr>
          </w:p>
        </w:tc>
      </w:tr>
      <w:tr>
        <w:trPr>
          <w:trHeight w:val="229"/>
        </w:trPr>
        <w:tc>
          <w:tcPr>
            <w:tcW w:w="900" w:type="dxa"/>
            <w:vAlign w:val="bottom"/>
          </w:tcPr>
          <w:p>
            <w:pPr>
              <w:jc w:val="center"/>
              <w:spacing w:after="0"/>
              <w:rPr>
                <w:sz w:val="20"/>
                <w:szCs w:val="20"/>
                <w:color w:val="auto"/>
              </w:rPr>
            </w:pPr>
            <w:r>
              <w:rPr>
                <w:rFonts w:ascii="Arial" w:cs="Arial" w:eastAsia="Arial" w:hAnsi="Arial"/>
                <w:sz w:val="18"/>
                <w:szCs w:val="18"/>
                <w:color w:val="auto"/>
                <w:w w:val="92"/>
              </w:rPr>
              <w:t>*10.17</w:t>
            </w:r>
          </w:p>
        </w:tc>
        <w:tc>
          <w:tcPr>
            <w:tcW w:w="4920" w:type="dxa"/>
            <w:vAlign w:val="bottom"/>
          </w:tcPr>
          <w:p>
            <w:pPr>
              <w:ind w:left="200"/>
              <w:spacing w:after="0"/>
              <w:rPr>
                <w:sz w:val="20"/>
                <w:szCs w:val="20"/>
                <w:color w:val="auto"/>
              </w:rPr>
            </w:pPr>
            <w:r>
              <w:rPr>
                <w:rFonts w:ascii="Arial" w:cs="Arial" w:eastAsia="Arial" w:hAnsi="Arial"/>
                <w:sz w:val="18"/>
                <w:szCs w:val="18"/>
                <w:color w:val="auto"/>
                <w:w w:val="99"/>
              </w:rPr>
              <w:t>Weatherford International plc 2010 Omnibus Incentive Plan</w:t>
            </w:r>
          </w:p>
        </w:tc>
        <w:tc>
          <w:tcPr>
            <w:tcW w:w="2780" w:type="dxa"/>
            <w:vAlign w:val="bottom"/>
          </w:tcPr>
          <w:p>
            <w:pPr>
              <w:jc w:val="center"/>
              <w:ind w:right="30"/>
              <w:spacing w:after="0"/>
              <w:rPr>
                <w:sz w:val="20"/>
                <w:szCs w:val="20"/>
                <w:color w:val="auto"/>
              </w:rPr>
            </w:pPr>
            <w:r>
              <w:rPr>
                <w:rFonts w:ascii="Arial" w:cs="Arial" w:eastAsia="Arial" w:hAnsi="Arial"/>
                <w:sz w:val="18"/>
                <w:szCs w:val="18"/>
                <w:color w:val="auto"/>
                <w:w w:val="92"/>
              </w:rPr>
              <w:t>Exhibit 10.6 of the</w:t>
            </w:r>
          </w:p>
        </w:tc>
        <w:tc>
          <w:tcPr>
            <w:tcW w:w="2100" w:type="dxa"/>
            <w:vAlign w:val="bottom"/>
          </w:tcPr>
          <w:p>
            <w:pPr>
              <w:ind w:left="460"/>
              <w:spacing w:after="0"/>
              <w:rPr>
                <w:sz w:val="20"/>
                <w:szCs w:val="20"/>
                <w:color w:val="auto"/>
              </w:rPr>
            </w:pPr>
            <w:r>
              <w:rPr>
                <w:rFonts w:ascii="Arial" w:cs="Arial" w:eastAsia="Arial" w:hAnsi="Arial"/>
                <w:sz w:val="18"/>
                <w:szCs w:val="18"/>
                <w:color w:val="auto"/>
              </w:rPr>
              <w:t>File No. 1-36504</w:t>
            </w:r>
          </w:p>
        </w:tc>
      </w:tr>
      <w:tr>
        <w:trPr>
          <w:trHeight w:val="216"/>
        </w:trPr>
        <w:tc>
          <w:tcPr>
            <w:tcW w:w="90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(as amended and restated)</w:t>
            </w:r>
          </w:p>
        </w:tc>
        <w:tc>
          <w:tcPr>
            <w:tcW w:w="278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1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780" w:type="dxa"/>
            <w:vAlign w:val="bottom"/>
          </w:tcPr>
          <w:p>
            <w:pPr>
              <w:jc w:val="center"/>
              <w:ind w:right="30"/>
              <w:spacing w:after="0"/>
              <w:rPr>
                <w:sz w:val="20"/>
                <w:szCs w:val="20"/>
                <w:color w:val="auto"/>
              </w:rPr>
            </w:pPr>
            <w:r>
              <w:rPr>
                <w:rFonts w:ascii="Arial" w:cs="Arial" w:eastAsia="Arial" w:hAnsi="Arial"/>
                <w:sz w:val="18"/>
                <w:szCs w:val="18"/>
                <w:color w:val="auto"/>
                <w:w w:val="93"/>
              </w:rPr>
              <w:t>Report on Form 8-K12B</w:t>
            </w:r>
          </w:p>
        </w:tc>
        <w:tc>
          <w:tcPr>
            <w:tcW w:w="21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filed June 17, 2014</w:t>
            </w:r>
          </w:p>
        </w:tc>
        <w:tc>
          <w:tcPr>
            <w:tcW w:w="2100" w:type="dxa"/>
            <w:vAlign w:val="bottom"/>
          </w:tcPr>
          <w:p>
            <w:pPr>
              <w:spacing w:after="0"/>
              <w:rPr>
                <w:sz w:val="20"/>
                <w:szCs w:val="20"/>
                <w:color w:val="auto"/>
              </w:rPr>
            </w:pPr>
          </w:p>
        </w:tc>
      </w:tr>
      <w:tr>
        <w:trPr>
          <w:trHeight w:val="27"/>
        </w:trPr>
        <w:tc>
          <w:tcPr>
            <w:tcW w:w="9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29"/>
        </w:trPr>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*10.18</w:t>
            </w: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 Amendment to Weatherford International plc 2010</w:t>
            </w:r>
          </w:p>
        </w:tc>
        <w:tc>
          <w:tcPr>
            <w:tcW w:w="2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Annex A of the Company's</w:t>
            </w:r>
          </w:p>
        </w:tc>
        <w:tc>
          <w:tcPr>
            <w:tcW w:w="2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File No. 1-36504</w:t>
            </w:r>
          </w:p>
        </w:tc>
      </w:tr>
      <w:tr>
        <w:trPr>
          <w:trHeight w:val="216"/>
        </w:trPr>
        <w:tc>
          <w:tcPr>
            <w:tcW w:w="900" w:type="dxa"/>
            <w:vAlign w:val="bottom"/>
            <w:shd w:val="clear" w:color="auto" w:fill="CCEEFF"/>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Omnibus Incentive Plan</w:t>
            </w:r>
          </w:p>
        </w:tc>
        <w:tc>
          <w:tcPr>
            <w:tcW w:w="2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Definitive Proxy Statement</w:t>
            </w:r>
          </w:p>
        </w:tc>
        <w:tc>
          <w:tcPr>
            <w:tcW w:w="2100" w:type="dxa"/>
            <w:vAlign w:val="bottom"/>
            <w:shd w:val="clear" w:color="auto" w:fill="CCEEFF"/>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on Schedule 14A</w:t>
            </w:r>
          </w:p>
        </w:tc>
        <w:tc>
          <w:tcPr>
            <w:tcW w:w="2100" w:type="dxa"/>
            <w:vAlign w:val="bottom"/>
            <w:shd w:val="clear" w:color="auto" w:fill="CCEEFF"/>
          </w:tcPr>
          <w:p>
            <w:pPr>
              <w:spacing w:after="0"/>
              <w:rPr>
                <w:sz w:val="18"/>
                <w:szCs w:val="18"/>
                <w:color w:val="auto"/>
              </w:rPr>
            </w:pPr>
          </w:p>
        </w:tc>
      </w:tr>
      <w:tr>
        <w:trPr>
          <w:trHeight w:val="237"/>
        </w:trPr>
        <w:tc>
          <w:tcPr>
            <w:tcW w:w="900" w:type="dxa"/>
            <w:vAlign w:val="bottom"/>
            <w:tcBorders>
              <w:bottom w:val="single" w:sz="8" w:color="CCEEFF"/>
            </w:tcBorders>
            <w:shd w:val="clear" w:color="auto" w:fill="CCEEFF"/>
          </w:tcPr>
          <w:p>
            <w:pPr>
              <w:spacing w:after="0"/>
              <w:rPr>
                <w:sz w:val="20"/>
                <w:szCs w:val="20"/>
                <w:color w:val="auto"/>
              </w:rPr>
            </w:pPr>
          </w:p>
        </w:tc>
        <w:tc>
          <w:tcPr>
            <w:tcW w:w="492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filed April 29, 2015</w:t>
            </w:r>
          </w:p>
        </w:tc>
        <w:tc>
          <w:tcPr>
            <w:tcW w:w="2100" w:type="dxa"/>
            <w:vAlign w:val="bottom"/>
            <w:tcBorders>
              <w:bottom w:val="single" w:sz="8" w:color="CCEEFF"/>
            </w:tcBorders>
            <w:shd w:val="clear" w:color="auto" w:fill="CCEEFF"/>
          </w:tcPr>
          <w:p>
            <w:pPr>
              <w:spacing w:after="0"/>
              <w:rPr>
                <w:sz w:val="20"/>
                <w:szCs w:val="20"/>
                <w:color w:val="auto"/>
              </w:rPr>
            </w:pPr>
          </w:p>
        </w:tc>
      </w:tr>
      <w:tr>
        <w:trPr>
          <w:trHeight w:val="229"/>
        </w:trPr>
        <w:tc>
          <w:tcPr>
            <w:tcW w:w="900" w:type="dxa"/>
            <w:vAlign w:val="bottom"/>
          </w:tcPr>
          <w:p>
            <w:pPr>
              <w:jc w:val="center"/>
              <w:spacing w:after="0"/>
              <w:rPr>
                <w:sz w:val="20"/>
                <w:szCs w:val="20"/>
                <w:color w:val="auto"/>
              </w:rPr>
            </w:pPr>
            <w:r>
              <w:rPr>
                <w:rFonts w:ascii="Arial" w:cs="Arial" w:eastAsia="Arial" w:hAnsi="Arial"/>
                <w:sz w:val="18"/>
                <w:szCs w:val="18"/>
                <w:color w:val="auto"/>
                <w:w w:val="92"/>
              </w:rPr>
              <w:t>*10.19</w:t>
            </w:r>
          </w:p>
        </w:tc>
        <w:tc>
          <w:tcPr>
            <w:tcW w:w="4920" w:type="dxa"/>
            <w:vAlign w:val="bottom"/>
          </w:tcPr>
          <w:p>
            <w:pPr>
              <w:ind w:left="200"/>
              <w:spacing w:after="0"/>
              <w:rPr>
                <w:sz w:val="20"/>
                <w:szCs w:val="20"/>
                <w:color w:val="auto"/>
              </w:rPr>
            </w:pPr>
            <w:r>
              <w:rPr>
                <w:rFonts w:ascii="Arial" w:cs="Arial" w:eastAsia="Arial" w:hAnsi="Arial"/>
                <w:sz w:val="18"/>
                <w:szCs w:val="18"/>
                <w:color w:val="auto"/>
                <w:w w:val="97"/>
              </w:rPr>
              <w:t>Form of Restricted Share Unit Award Agreement pursuant to</w:t>
            </w:r>
          </w:p>
        </w:tc>
        <w:tc>
          <w:tcPr>
            <w:tcW w:w="2780" w:type="dxa"/>
            <w:vAlign w:val="bottom"/>
          </w:tcPr>
          <w:p>
            <w:pPr>
              <w:jc w:val="center"/>
              <w:ind w:right="30"/>
              <w:spacing w:after="0"/>
              <w:rPr>
                <w:sz w:val="20"/>
                <w:szCs w:val="20"/>
                <w:color w:val="auto"/>
              </w:rPr>
            </w:pPr>
            <w:r>
              <w:rPr>
                <w:rFonts w:ascii="Arial" w:cs="Arial" w:eastAsia="Arial" w:hAnsi="Arial"/>
                <w:sz w:val="18"/>
                <w:szCs w:val="18"/>
                <w:color w:val="auto"/>
                <w:w w:val="92"/>
              </w:rPr>
              <w:t>Exhibit 10.7 of the</w:t>
            </w:r>
          </w:p>
        </w:tc>
        <w:tc>
          <w:tcPr>
            <w:tcW w:w="2100" w:type="dxa"/>
            <w:vAlign w:val="bottom"/>
          </w:tcPr>
          <w:p>
            <w:pPr>
              <w:ind w:left="460"/>
              <w:spacing w:after="0"/>
              <w:rPr>
                <w:sz w:val="20"/>
                <w:szCs w:val="20"/>
                <w:color w:val="auto"/>
              </w:rPr>
            </w:pPr>
            <w:r>
              <w:rPr>
                <w:rFonts w:ascii="Arial" w:cs="Arial" w:eastAsia="Arial" w:hAnsi="Arial"/>
                <w:sz w:val="18"/>
                <w:szCs w:val="18"/>
                <w:color w:val="auto"/>
              </w:rPr>
              <w:t>File No. 1-36504</w:t>
            </w:r>
          </w:p>
        </w:tc>
      </w:tr>
      <w:tr>
        <w:trPr>
          <w:trHeight w:val="216"/>
        </w:trPr>
        <w:tc>
          <w:tcPr>
            <w:tcW w:w="90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w w:val="99"/>
              </w:rPr>
              <w:t>Weatherford International plc 2010 Omnibus Incentive Plan</w:t>
            </w:r>
          </w:p>
        </w:tc>
        <w:tc>
          <w:tcPr>
            <w:tcW w:w="2780" w:type="dxa"/>
            <w:vAlign w:val="bottom"/>
          </w:tcPr>
          <w:p>
            <w:pPr>
              <w:jc w:val="center"/>
              <w:ind w:right="30"/>
              <w:spacing w:after="0"/>
              <w:rPr>
                <w:sz w:val="20"/>
                <w:szCs w:val="20"/>
                <w:color w:val="auto"/>
              </w:rPr>
            </w:pPr>
            <w:r>
              <w:rPr>
                <w:rFonts w:ascii="Arial" w:cs="Arial" w:eastAsia="Arial" w:hAnsi="Arial"/>
                <w:sz w:val="18"/>
                <w:szCs w:val="18"/>
                <w:color w:val="auto"/>
                <w:w w:val="89"/>
              </w:rPr>
              <w:t>Company's Current</w:t>
            </w:r>
          </w:p>
        </w:tc>
        <w:tc>
          <w:tcPr>
            <w:tcW w:w="21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780" w:type="dxa"/>
            <w:vAlign w:val="bottom"/>
          </w:tcPr>
          <w:p>
            <w:pPr>
              <w:jc w:val="center"/>
              <w:ind w:right="30"/>
              <w:spacing w:after="0"/>
              <w:rPr>
                <w:sz w:val="20"/>
                <w:szCs w:val="20"/>
                <w:color w:val="auto"/>
              </w:rPr>
            </w:pPr>
            <w:r>
              <w:rPr>
                <w:rFonts w:ascii="Arial" w:cs="Arial" w:eastAsia="Arial" w:hAnsi="Arial"/>
                <w:sz w:val="18"/>
                <w:szCs w:val="18"/>
                <w:color w:val="auto"/>
                <w:w w:val="93"/>
              </w:rPr>
              <w:t>Report on Form 8-K12B</w:t>
            </w:r>
          </w:p>
        </w:tc>
        <w:tc>
          <w:tcPr>
            <w:tcW w:w="21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8"/>
                <w:szCs w:val="18"/>
                <w:color w:val="auto"/>
                <w:w w:val="90"/>
              </w:rPr>
              <w:t>filed June 17, 2014</w:t>
            </w:r>
          </w:p>
        </w:tc>
        <w:tc>
          <w:tcPr>
            <w:tcW w:w="2100" w:type="dxa"/>
            <w:vAlign w:val="bottom"/>
          </w:tcPr>
          <w:p>
            <w:pPr>
              <w:spacing w:after="0"/>
              <w:rPr>
                <w:sz w:val="20"/>
                <w:szCs w:val="20"/>
                <w:color w:val="auto"/>
              </w:rPr>
            </w:pPr>
          </w:p>
        </w:tc>
      </w:tr>
      <w:tr>
        <w:trPr>
          <w:trHeight w:val="27"/>
        </w:trPr>
        <w:tc>
          <w:tcPr>
            <w:tcW w:w="9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29"/>
        </w:trPr>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*10.20</w:t>
            </w: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Form of Performance Unit Award Agreement pursuant to</w:t>
            </w:r>
          </w:p>
        </w:tc>
        <w:tc>
          <w:tcPr>
            <w:tcW w:w="2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Exhibit 10.1 of the</w:t>
            </w:r>
          </w:p>
        </w:tc>
        <w:tc>
          <w:tcPr>
            <w:tcW w:w="2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File No. 1-36504</w:t>
            </w:r>
          </w:p>
        </w:tc>
      </w:tr>
      <w:tr>
        <w:trPr>
          <w:trHeight w:val="216"/>
        </w:trPr>
        <w:tc>
          <w:tcPr>
            <w:tcW w:w="900" w:type="dxa"/>
            <w:vAlign w:val="bottom"/>
            <w:shd w:val="clear" w:color="auto" w:fill="CCEEFF"/>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Weatherford International plc 2010 Omnibus Incentive Plan</w:t>
            </w:r>
          </w:p>
        </w:tc>
        <w:tc>
          <w:tcPr>
            <w:tcW w:w="2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Company's Quarterly</w:t>
            </w:r>
          </w:p>
        </w:tc>
        <w:tc>
          <w:tcPr>
            <w:tcW w:w="2100" w:type="dxa"/>
            <w:vAlign w:val="bottom"/>
            <w:shd w:val="clear" w:color="auto" w:fill="CCEEFF"/>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Report on Form 10-Q</w:t>
            </w:r>
          </w:p>
        </w:tc>
        <w:tc>
          <w:tcPr>
            <w:tcW w:w="2100" w:type="dxa"/>
            <w:vAlign w:val="bottom"/>
            <w:shd w:val="clear" w:color="auto" w:fill="CCEEFF"/>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for the quarter ended</w:t>
            </w:r>
          </w:p>
        </w:tc>
        <w:tc>
          <w:tcPr>
            <w:tcW w:w="2100" w:type="dxa"/>
            <w:vAlign w:val="bottom"/>
            <w:shd w:val="clear" w:color="auto" w:fill="CCEEFF"/>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78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3"/>
              </w:rPr>
              <w:t>March 31, 2015 filed</w:t>
            </w:r>
          </w:p>
        </w:tc>
        <w:tc>
          <w:tcPr>
            <w:tcW w:w="2100" w:type="dxa"/>
            <w:vAlign w:val="bottom"/>
            <w:shd w:val="clear" w:color="auto" w:fill="CCEEFF"/>
          </w:tcPr>
          <w:p>
            <w:pPr>
              <w:spacing w:after="0"/>
              <w:rPr>
                <w:sz w:val="18"/>
                <w:szCs w:val="18"/>
                <w:color w:val="auto"/>
              </w:rPr>
            </w:pPr>
          </w:p>
        </w:tc>
      </w:tr>
      <w:tr>
        <w:trPr>
          <w:trHeight w:val="237"/>
        </w:trPr>
        <w:tc>
          <w:tcPr>
            <w:tcW w:w="900" w:type="dxa"/>
            <w:vAlign w:val="bottom"/>
            <w:tcBorders>
              <w:bottom w:val="single" w:sz="8" w:color="CCEEFF"/>
            </w:tcBorders>
            <w:shd w:val="clear" w:color="auto" w:fill="CCEEFF"/>
          </w:tcPr>
          <w:p>
            <w:pPr>
              <w:spacing w:after="0"/>
              <w:rPr>
                <w:sz w:val="20"/>
                <w:szCs w:val="20"/>
                <w:color w:val="auto"/>
              </w:rPr>
            </w:pPr>
          </w:p>
        </w:tc>
        <w:tc>
          <w:tcPr>
            <w:tcW w:w="492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24, 2015</w:t>
            </w:r>
          </w:p>
        </w:tc>
        <w:tc>
          <w:tcPr>
            <w:tcW w:w="2100" w:type="dxa"/>
            <w:vAlign w:val="bottom"/>
            <w:tcBorders>
              <w:bottom w:val="single" w:sz="8" w:color="CCEEFF"/>
            </w:tcBorders>
            <w:shd w:val="clear" w:color="auto" w:fill="CCEEFF"/>
          </w:tcPr>
          <w:p>
            <w:pPr>
              <w:spacing w:after="0"/>
              <w:rPr>
                <w:sz w:val="20"/>
                <w:szCs w:val="20"/>
                <w:color w:val="auto"/>
              </w:rPr>
            </w:pPr>
          </w:p>
        </w:tc>
      </w:tr>
      <w:tr>
        <w:trPr>
          <w:trHeight w:val="229"/>
        </w:trPr>
        <w:tc>
          <w:tcPr>
            <w:tcW w:w="900" w:type="dxa"/>
            <w:vAlign w:val="bottom"/>
          </w:tcPr>
          <w:p>
            <w:pPr>
              <w:jc w:val="center"/>
              <w:spacing w:after="0"/>
              <w:rPr>
                <w:sz w:val="20"/>
                <w:szCs w:val="20"/>
                <w:color w:val="auto"/>
              </w:rPr>
            </w:pPr>
            <w:r>
              <w:rPr>
                <w:rFonts w:ascii="Arial" w:cs="Arial" w:eastAsia="Arial" w:hAnsi="Arial"/>
                <w:sz w:val="18"/>
                <w:szCs w:val="18"/>
                <w:color w:val="auto"/>
                <w:w w:val="96"/>
              </w:rPr>
              <w:t>†*10.21</w:t>
            </w:r>
          </w:p>
        </w:tc>
        <w:tc>
          <w:tcPr>
            <w:tcW w:w="4920" w:type="dxa"/>
            <w:vAlign w:val="bottom"/>
          </w:tcPr>
          <w:p>
            <w:pPr>
              <w:ind w:left="200"/>
              <w:spacing w:after="0"/>
              <w:rPr>
                <w:sz w:val="20"/>
                <w:szCs w:val="20"/>
                <w:color w:val="auto"/>
              </w:rPr>
            </w:pPr>
            <w:r>
              <w:rPr>
                <w:rFonts w:ascii="Arial" w:cs="Arial" w:eastAsia="Arial" w:hAnsi="Arial"/>
                <w:sz w:val="18"/>
                <w:szCs w:val="18"/>
                <w:color w:val="auto"/>
              </w:rPr>
              <w:t>Form of Restricted Share Units Award Agreement (CIC -</w:t>
            </w:r>
          </w:p>
        </w:tc>
        <w:tc>
          <w:tcPr>
            <w:tcW w:w="278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Officer) pursuant to the Weatherford International plc 2010</w:t>
            </w:r>
          </w:p>
        </w:tc>
        <w:tc>
          <w:tcPr>
            <w:tcW w:w="278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30"/>
        </w:trPr>
        <w:tc>
          <w:tcPr>
            <w:tcW w:w="900" w:type="dxa"/>
            <w:vAlign w:val="bottom"/>
          </w:tcPr>
          <w:p>
            <w:pPr>
              <w:spacing w:after="0"/>
              <w:rPr>
                <w:sz w:val="20"/>
                <w:szCs w:val="20"/>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Omnibus Incentive Plan</w:t>
            </w:r>
          </w:p>
        </w:tc>
        <w:tc>
          <w:tcPr>
            <w:tcW w:w="278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7"/>
        </w:trPr>
        <w:tc>
          <w:tcPr>
            <w:tcW w:w="90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29"/>
        </w:trPr>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*10.22</w:t>
            </w: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Form of Restricted Share Units Award Agreement (CIC -</w:t>
            </w:r>
          </w:p>
        </w:tc>
        <w:tc>
          <w:tcPr>
            <w:tcW w:w="2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Exhibit 10.5 of the</w:t>
            </w:r>
          </w:p>
        </w:tc>
        <w:tc>
          <w:tcPr>
            <w:tcW w:w="2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File No. 1-36504</w:t>
            </w:r>
          </w:p>
        </w:tc>
      </w:tr>
      <w:tr>
        <w:trPr>
          <w:trHeight w:val="216"/>
        </w:trPr>
        <w:tc>
          <w:tcPr>
            <w:tcW w:w="900" w:type="dxa"/>
            <w:vAlign w:val="bottom"/>
            <w:shd w:val="clear" w:color="auto" w:fill="CCEEFF"/>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Director) pursuant to the Weatherford International plc 2010</w:t>
            </w:r>
          </w:p>
        </w:tc>
        <w:tc>
          <w:tcPr>
            <w:tcW w:w="2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1"/>
              </w:rPr>
              <w:t>Company's Quarterly</w:t>
            </w:r>
          </w:p>
        </w:tc>
        <w:tc>
          <w:tcPr>
            <w:tcW w:w="2100" w:type="dxa"/>
            <w:vAlign w:val="bottom"/>
            <w:shd w:val="clear" w:color="auto" w:fill="CCEEFF"/>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Omnibus Incentive Plan</w:t>
            </w:r>
          </w:p>
        </w:tc>
        <w:tc>
          <w:tcPr>
            <w:tcW w:w="2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Report on Form 10-Q</w:t>
            </w:r>
          </w:p>
        </w:tc>
        <w:tc>
          <w:tcPr>
            <w:tcW w:w="2100" w:type="dxa"/>
            <w:vAlign w:val="bottom"/>
            <w:shd w:val="clear" w:color="auto" w:fill="CCEEFF"/>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for the quarter ended</w:t>
            </w:r>
          </w:p>
        </w:tc>
        <w:tc>
          <w:tcPr>
            <w:tcW w:w="2100" w:type="dxa"/>
            <w:vAlign w:val="bottom"/>
            <w:shd w:val="clear" w:color="auto" w:fill="CCEEFF"/>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2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June 30, 2015 filed</w:t>
            </w:r>
          </w:p>
        </w:tc>
        <w:tc>
          <w:tcPr>
            <w:tcW w:w="2100" w:type="dxa"/>
            <w:vAlign w:val="bottom"/>
            <w:shd w:val="clear" w:color="auto" w:fill="CCEEFF"/>
          </w:tcPr>
          <w:p>
            <w:pPr>
              <w:spacing w:after="0"/>
              <w:rPr>
                <w:sz w:val="18"/>
                <w:szCs w:val="18"/>
                <w:color w:val="auto"/>
              </w:rPr>
            </w:pPr>
          </w:p>
        </w:tc>
      </w:tr>
      <w:tr>
        <w:trPr>
          <w:trHeight w:val="230"/>
        </w:trPr>
        <w:tc>
          <w:tcPr>
            <w:tcW w:w="900" w:type="dxa"/>
            <w:vAlign w:val="bottom"/>
            <w:shd w:val="clear" w:color="auto" w:fill="CCEEFF"/>
          </w:tcPr>
          <w:p>
            <w:pPr>
              <w:spacing w:after="0"/>
              <w:rPr>
                <w:sz w:val="20"/>
                <w:szCs w:val="20"/>
                <w:color w:val="auto"/>
              </w:rPr>
            </w:pPr>
          </w:p>
        </w:tc>
        <w:tc>
          <w:tcPr>
            <w:tcW w:w="4920" w:type="dxa"/>
            <w:vAlign w:val="bottom"/>
            <w:shd w:val="clear" w:color="auto" w:fill="CCEEFF"/>
          </w:tcPr>
          <w:p>
            <w:pPr>
              <w:spacing w:after="0"/>
              <w:rPr>
                <w:sz w:val="20"/>
                <w:szCs w:val="20"/>
                <w:color w:val="auto"/>
              </w:rPr>
            </w:pPr>
          </w:p>
        </w:tc>
        <w:tc>
          <w:tcPr>
            <w:tcW w:w="2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July 24, 2015</w:t>
            </w:r>
          </w:p>
        </w:tc>
        <w:tc>
          <w:tcPr>
            <w:tcW w:w="2100" w:type="dxa"/>
            <w:vAlign w:val="bottom"/>
            <w:shd w:val="clear" w:color="auto" w:fill="CCEEFF"/>
          </w:tcPr>
          <w:p>
            <w:pPr>
              <w:spacing w:after="0"/>
              <w:rPr>
                <w:sz w:val="20"/>
                <w:szCs w:val="20"/>
                <w:color w:val="auto"/>
              </w:rPr>
            </w:pPr>
          </w:p>
        </w:tc>
      </w:tr>
      <w:tr>
        <w:trPr>
          <w:trHeight w:val="27"/>
        </w:trPr>
        <w:tc>
          <w:tcPr>
            <w:tcW w:w="90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ind w:left="1640" w:right="120" w:hanging="922"/>
        <w:spacing w:after="0" w:line="312" w:lineRule="auto"/>
        <w:tabs>
          <w:tab w:leader="none" w:pos="16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Forms of Annex (Relative TSR and Absolute TSR) to Performance Unit Award Agreements for use under the Weatherford International Ltd. 2010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119380</wp:posOffset>
            </wp:positionV>
            <wp:extent cx="6791960" cy="582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91960" cy="582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0"/>
        <w:spacing w:after="0"/>
        <w:tabs>
          <w:tab w:leader="none" w:pos="2720" w:val="left"/>
        </w:tabs>
        <w:rPr>
          <w:sz w:val="20"/>
          <w:szCs w:val="20"/>
          <w:color w:val="auto"/>
        </w:rPr>
      </w:pPr>
      <w:r>
        <w:rPr>
          <w:rFonts w:ascii="Arial" w:cs="Arial" w:eastAsia="Arial" w:hAnsi="Arial"/>
          <w:sz w:val="18"/>
          <w:szCs w:val="18"/>
          <w:color w:val="auto"/>
        </w:rPr>
        <w:t>Exhibit 10.1 to the</w:t>
      </w:r>
      <w:r>
        <w:rPr>
          <w:sz w:val="20"/>
          <w:szCs w:val="20"/>
          <w:color w:val="auto"/>
        </w:rPr>
        <w:tab/>
      </w:r>
      <w:r>
        <w:rPr>
          <w:rFonts w:ascii="Arial" w:cs="Arial" w:eastAsia="Arial" w:hAnsi="Arial"/>
          <w:sz w:val="16"/>
          <w:szCs w:val="16"/>
          <w:color w:val="auto"/>
        </w:rPr>
        <w:t>File No. 1-34258</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Company's Current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Report on Form 8-K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filed February 22, 2012</w:t>
      </w:r>
    </w:p>
    <w:p>
      <w:pPr>
        <w:spacing w:after="0" w:line="49" w:lineRule="exact"/>
        <w:rPr>
          <w:sz w:val="20"/>
          <w:szCs w:val="20"/>
          <w:color w:val="auto"/>
        </w:rPr>
      </w:pPr>
    </w:p>
    <w:p>
      <w:pPr>
        <w:sectPr>
          <w:pgSz w:w="11900" w:h="16838" w:orient="portrait"/>
          <w:cols w:equalWidth="0" w:num="2">
            <w:col w:w="6140" w:space="720"/>
            <w:col w:w="4380"/>
          </w:cols>
          <w:pgMar w:left="240" w:top="378" w:right="419" w:bottom="1440" w:gutter="0" w:footer="0" w:header="0"/>
          <w:type w:val="continuous"/>
        </w:sectPr>
      </w:pPr>
    </w:p>
    <w:p>
      <w:pPr>
        <w:ind w:left="1640" w:hanging="922"/>
        <w:spacing w:after="0" w:line="342" w:lineRule="auto"/>
        <w:tabs>
          <w:tab w:leader="none" w:pos="16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Form of addendum for use with certain equity grants under the Weatherford International plc 2010 Omnibus Incentive Plan</w:t>
      </w:r>
    </w:p>
    <w:p>
      <w:pPr>
        <w:spacing w:after="0" w:line="394" w:lineRule="exact"/>
        <w:rPr>
          <w:sz w:val="20"/>
          <w:szCs w:val="20"/>
          <w:color w:val="auto"/>
        </w:rPr>
      </w:pPr>
    </w:p>
    <w:p>
      <w:pPr>
        <w:jc w:val="both"/>
        <w:ind w:left="1640" w:right="440" w:hanging="922"/>
        <w:spacing w:after="0" w:line="264" w:lineRule="auto"/>
        <w:tabs>
          <w:tab w:leader="none" w:pos="16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Form of Restricted Share Unit Award Agreement - U.K. pursuant to Weatherford International plc 2010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141605</wp:posOffset>
            </wp:positionV>
            <wp:extent cx="6791960" cy="582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91960" cy="582930"/>
                    </a:xfrm>
                    <a:prstGeom prst="rect">
                      <a:avLst/>
                    </a:prstGeom>
                    <a:noFill/>
                  </pic:spPr>
                </pic:pic>
              </a:graphicData>
            </a:graphic>
          </wp:anchor>
        </w:drawing>
      </w:r>
    </w:p>
    <w:p>
      <w:pPr>
        <w:spacing w:after="0" w:line="215" w:lineRule="exact"/>
        <w:rPr>
          <w:sz w:val="20"/>
          <w:szCs w:val="20"/>
          <w:color w:val="auto"/>
        </w:rPr>
      </w:pPr>
    </w:p>
    <w:p>
      <w:pPr>
        <w:ind w:left="1640" w:right="140" w:hanging="922"/>
        <w:spacing w:after="0" w:line="342" w:lineRule="auto"/>
        <w:tabs>
          <w:tab w:leader="none" w:pos="16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Form of Performance Unit Award Agreement pursuant to Weatherford International Ltd. 2010 Omnibus Incentive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ind w:left="240"/>
              <w:spacing w:after="0"/>
              <w:rPr>
                <w:sz w:val="20"/>
                <w:szCs w:val="20"/>
                <w:color w:val="auto"/>
              </w:rPr>
            </w:pPr>
            <w:r>
              <w:rPr>
                <w:rFonts w:ascii="Arial" w:cs="Arial" w:eastAsia="Arial" w:hAnsi="Arial"/>
                <w:sz w:val="18"/>
                <w:szCs w:val="18"/>
                <w:color w:val="auto"/>
              </w:rPr>
              <w:t>Exhibit 10.26 to the</w:t>
            </w:r>
          </w:p>
        </w:tc>
        <w:tc>
          <w:tcPr>
            <w:tcW w:w="1700" w:type="dxa"/>
            <w:vAlign w:val="bottom"/>
          </w:tcPr>
          <w:p>
            <w:pPr>
              <w:ind w:left="480"/>
              <w:spacing w:after="0"/>
              <w:rPr>
                <w:sz w:val="20"/>
                <w:szCs w:val="20"/>
                <w:color w:val="auto"/>
              </w:rPr>
            </w:pPr>
            <w:r>
              <w:rPr>
                <w:rFonts w:ascii="Arial" w:cs="Arial" w:eastAsia="Arial" w:hAnsi="Arial"/>
                <w:sz w:val="18"/>
                <w:szCs w:val="18"/>
                <w:color w:val="auto"/>
                <w:w w:val="90"/>
              </w:rPr>
              <w:t>File No. 1-36504</w:t>
            </w:r>
          </w:p>
        </w:tc>
      </w:tr>
      <w:tr>
        <w:trPr>
          <w:trHeight w:val="216"/>
        </w:trPr>
        <w:tc>
          <w:tcPr>
            <w:tcW w:w="2380" w:type="dxa"/>
            <w:vAlign w:val="bottom"/>
          </w:tcPr>
          <w:p>
            <w:pPr>
              <w:jc w:val="center"/>
              <w:ind w:right="390"/>
              <w:spacing w:after="0"/>
              <w:rPr>
                <w:sz w:val="20"/>
                <w:szCs w:val="20"/>
                <w:color w:val="auto"/>
              </w:rPr>
            </w:pPr>
            <w:r>
              <w:rPr>
                <w:rFonts w:ascii="Arial" w:cs="Arial" w:eastAsia="Arial" w:hAnsi="Arial"/>
                <w:sz w:val="18"/>
                <w:szCs w:val="18"/>
                <w:color w:val="auto"/>
                <w:w w:val="90"/>
              </w:rPr>
              <w:t>Company's Annual Report</w:t>
            </w:r>
          </w:p>
        </w:tc>
        <w:tc>
          <w:tcPr>
            <w:tcW w:w="1700" w:type="dxa"/>
            <w:vAlign w:val="bottom"/>
          </w:tcPr>
          <w:p>
            <w:pPr>
              <w:spacing w:after="0"/>
              <w:rPr>
                <w:sz w:val="18"/>
                <w:szCs w:val="18"/>
                <w:color w:val="auto"/>
              </w:rPr>
            </w:pPr>
          </w:p>
        </w:tc>
      </w:tr>
      <w:tr>
        <w:trPr>
          <w:trHeight w:val="216"/>
        </w:trPr>
        <w:tc>
          <w:tcPr>
            <w:tcW w:w="2380" w:type="dxa"/>
            <w:vAlign w:val="bottom"/>
          </w:tcPr>
          <w:p>
            <w:pPr>
              <w:jc w:val="center"/>
              <w:ind w:right="390"/>
              <w:spacing w:after="0"/>
              <w:rPr>
                <w:sz w:val="20"/>
                <w:szCs w:val="20"/>
                <w:color w:val="auto"/>
              </w:rPr>
            </w:pPr>
            <w:r>
              <w:rPr>
                <w:rFonts w:ascii="Arial" w:cs="Arial" w:eastAsia="Arial" w:hAnsi="Arial"/>
                <w:sz w:val="18"/>
                <w:szCs w:val="18"/>
                <w:color w:val="auto"/>
                <w:w w:val="95"/>
              </w:rPr>
              <w:t>on Form 10-K filed</w:t>
            </w:r>
          </w:p>
        </w:tc>
        <w:tc>
          <w:tcPr>
            <w:tcW w:w="1700" w:type="dxa"/>
            <w:vAlign w:val="bottom"/>
          </w:tcPr>
          <w:p>
            <w:pPr>
              <w:spacing w:after="0"/>
              <w:rPr>
                <w:sz w:val="18"/>
                <w:szCs w:val="18"/>
                <w:color w:val="auto"/>
              </w:rPr>
            </w:pPr>
          </w:p>
        </w:tc>
      </w:tr>
      <w:tr>
        <w:trPr>
          <w:trHeight w:val="230"/>
        </w:trPr>
        <w:tc>
          <w:tcPr>
            <w:tcW w:w="2380" w:type="dxa"/>
            <w:vAlign w:val="bottom"/>
          </w:tcPr>
          <w:p>
            <w:pPr>
              <w:jc w:val="center"/>
              <w:ind w:right="330"/>
              <w:spacing w:after="0"/>
              <w:rPr>
                <w:sz w:val="20"/>
                <w:szCs w:val="20"/>
                <w:color w:val="auto"/>
              </w:rPr>
            </w:pPr>
            <w:r>
              <w:rPr>
                <w:rFonts w:ascii="Arial" w:cs="Arial" w:eastAsia="Arial" w:hAnsi="Arial"/>
                <w:sz w:val="18"/>
                <w:szCs w:val="18"/>
                <w:color w:val="auto"/>
                <w:w w:val="89"/>
              </w:rPr>
              <w:t>February 17, 2015</w:t>
            </w:r>
          </w:p>
        </w:tc>
        <w:tc>
          <w:tcPr>
            <w:tcW w:w="1700" w:type="dxa"/>
            <w:vAlign w:val="bottom"/>
          </w:tcPr>
          <w:p>
            <w:pPr>
              <w:spacing w:after="0"/>
              <w:rPr>
                <w:sz w:val="20"/>
                <w:szCs w:val="20"/>
                <w:color w:val="auto"/>
              </w:rPr>
            </w:pPr>
          </w:p>
        </w:tc>
      </w:tr>
      <w:tr>
        <w:trPr>
          <w:trHeight w:val="256"/>
        </w:trPr>
        <w:tc>
          <w:tcPr>
            <w:tcW w:w="2380" w:type="dxa"/>
            <w:vAlign w:val="bottom"/>
          </w:tcPr>
          <w:p>
            <w:pPr>
              <w:jc w:val="center"/>
              <w:ind w:right="390"/>
              <w:spacing w:after="0"/>
              <w:rPr>
                <w:sz w:val="20"/>
                <w:szCs w:val="20"/>
                <w:color w:val="auto"/>
              </w:rPr>
            </w:pPr>
            <w:r>
              <w:rPr>
                <w:rFonts w:ascii="Arial" w:cs="Arial" w:eastAsia="Arial" w:hAnsi="Arial"/>
                <w:sz w:val="18"/>
                <w:szCs w:val="18"/>
                <w:color w:val="auto"/>
                <w:w w:val="92"/>
              </w:rPr>
              <w:t>Exhibit 10.9 of the</w:t>
            </w:r>
          </w:p>
        </w:tc>
        <w:tc>
          <w:tcPr>
            <w:tcW w:w="1700" w:type="dxa"/>
            <w:vAlign w:val="bottom"/>
          </w:tcPr>
          <w:p>
            <w:pPr>
              <w:ind w:left="480"/>
              <w:spacing w:after="0"/>
              <w:rPr>
                <w:sz w:val="20"/>
                <w:szCs w:val="20"/>
                <w:color w:val="auto"/>
              </w:rPr>
            </w:pPr>
            <w:r>
              <w:rPr>
                <w:rFonts w:ascii="Arial" w:cs="Arial" w:eastAsia="Arial" w:hAnsi="Arial"/>
                <w:sz w:val="18"/>
                <w:szCs w:val="18"/>
                <w:color w:val="auto"/>
                <w:w w:val="90"/>
              </w:rPr>
              <w:t>File No. 1-36504</w:t>
            </w:r>
          </w:p>
        </w:tc>
      </w:tr>
      <w:tr>
        <w:trPr>
          <w:trHeight w:val="216"/>
        </w:trPr>
        <w:tc>
          <w:tcPr>
            <w:tcW w:w="2380" w:type="dxa"/>
            <w:vAlign w:val="bottom"/>
          </w:tcPr>
          <w:p>
            <w:pPr>
              <w:jc w:val="center"/>
              <w:ind w:right="390"/>
              <w:spacing w:after="0"/>
              <w:rPr>
                <w:sz w:val="20"/>
                <w:szCs w:val="20"/>
                <w:color w:val="auto"/>
              </w:rPr>
            </w:pPr>
            <w:r>
              <w:rPr>
                <w:rFonts w:ascii="Arial" w:cs="Arial" w:eastAsia="Arial" w:hAnsi="Arial"/>
                <w:sz w:val="18"/>
                <w:szCs w:val="18"/>
                <w:color w:val="auto"/>
                <w:w w:val="89"/>
              </w:rPr>
              <w:t>Company's Current</w:t>
            </w:r>
          </w:p>
        </w:tc>
        <w:tc>
          <w:tcPr>
            <w:tcW w:w="1700" w:type="dxa"/>
            <w:vAlign w:val="bottom"/>
          </w:tcPr>
          <w:p>
            <w:pPr>
              <w:spacing w:after="0"/>
              <w:rPr>
                <w:sz w:val="18"/>
                <w:szCs w:val="18"/>
                <w:color w:val="auto"/>
              </w:rPr>
            </w:pPr>
          </w:p>
        </w:tc>
      </w:tr>
      <w:tr>
        <w:trPr>
          <w:trHeight w:val="216"/>
        </w:trPr>
        <w:tc>
          <w:tcPr>
            <w:tcW w:w="2380" w:type="dxa"/>
            <w:vAlign w:val="bottom"/>
          </w:tcPr>
          <w:p>
            <w:pPr>
              <w:jc w:val="center"/>
              <w:ind w:right="390"/>
              <w:spacing w:after="0"/>
              <w:rPr>
                <w:sz w:val="20"/>
                <w:szCs w:val="20"/>
                <w:color w:val="auto"/>
              </w:rPr>
            </w:pPr>
            <w:r>
              <w:rPr>
                <w:rFonts w:ascii="Arial" w:cs="Arial" w:eastAsia="Arial" w:hAnsi="Arial"/>
                <w:sz w:val="18"/>
                <w:szCs w:val="18"/>
                <w:color w:val="auto"/>
                <w:w w:val="93"/>
              </w:rPr>
              <w:t>Report on Form 8-K12B</w:t>
            </w:r>
          </w:p>
        </w:tc>
        <w:tc>
          <w:tcPr>
            <w:tcW w:w="1700" w:type="dxa"/>
            <w:vAlign w:val="bottom"/>
          </w:tcPr>
          <w:p>
            <w:pPr>
              <w:spacing w:after="0"/>
              <w:rPr>
                <w:sz w:val="18"/>
                <w:szCs w:val="18"/>
                <w:color w:val="auto"/>
              </w:rPr>
            </w:pPr>
          </w:p>
        </w:tc>
      </w:tr>
      <w:tr>
        <w:trPr>
          <w:trHeight w:val="230"/>
        </w:trPr>
        <w:tc>
          <w:tcPr>
            <w:tcW w:w="2380" w:type="dxa"/>
            <w:vAlign w:val="bottom"/>
          </w:tcPr>
          <w:p>
            <w:pPr>
              <w:jc w:val="center"/>
              <w:ind w:right="350"/>
              <w:spacing w:after="0"/>
              <w:rPr>
                <w:sz w:val="20"/>
                <w:szCs w:val="20"/>
                <w:color w:val="auto"/>
              </w:rPr>
            </w:pPr>
            <w:r>
              <w:rPr>
                <w:rFonts w:ascii="Arial" w:cs="Arial" w:eastAsia="Arial" w:hAnsi="Arial"/>
                <w:sz w:val="18"/>
                <w:szCs w:val="18"/>
                <w:color w:val="auto"/>
                <w:w w:val="90"/>
              </w:rPr>
              <w:t>filed June 17, 2014</w:t>
            </w:r>
          </w:p>
        </w:tc>
        <w:tc>
          <w:tcPr>
            <w:tcW w:w="1700" w:type="dxa"/>
            <w:vAlign w:val="bottom"/>
          </w:tcPr>
          <w:p>
            <w:pPr>
              <w:spacing w:after="0"/>
              <w:rPr>
                <w:sz w:val="20"/>
                <w:szCs w:val="20"/>
                <w:color w:val="auto"/>
              </w:rPr>
            </w:pPr>
          </w:p>
        </w:tc>
      </w:tr>
      <w:tr>
        <w:trPr>
          <w:trHeight w:val="256"/>
        </w:trPr>
        <w:tc>
          <w:tcPr>
            <w:tcW w:w="2380" w:type="dxa"/>
            <w:vAlign w:val="bottom"/>
          </w:tcPr>
          <w:p>
            <w:pPr>
              <w:jc w:val="center"/>
              <w:ind w:right="350"/>
              <w:spacing w:after="0"/>
              <w:rPr>
                <w:sz w:val="20"/>
                <w:szCs w:val="20"/>
                <w:color w:val="auto"/>
              </w:rPr>
            </w:pPr>
            <w:r>
              <w:rPr>
                <w:rFonts w:ascii="Arial" w:cs="Arial" w:eastAsia="Arial" w:hAnsi="Arial"/>
                <w:sz w:val="18"/>
                <w:szCs w:val="18"/>
                <w:color w:val="auto"/>
                <w:w w:val="92"/>
              </w:rPr>
              <w:t>Exhibit 10.1 to the</w:t>
            </w:r>
          </w:p>
        </w:tc>
        <w:tc>
          <w:tcPr>
            <w:tcW w:w="1700" w:type="dxa"/>
            <w:vAlign w:val="bottom"/>
          </w:tcPr>
          <w:p>
            <w:pPr>
              <w:ind w:left="480"/>
              <w:spacing w:after="0"/>
              <w:rPr>
                <w:sz w:val="20"/>
                <w:szCs w:val="20"/>
                <w:color w:val="auto"/>
              </w:rPr>
            </w:pPr>
            <w:r>
              <w:rPr>
                <w:rFonts w:ascii="Arial" w:cs="Arial" w:eastAsia="Arial" w:hAnsi="Arial"/>
                <w:sz w:val="18"/>
                <w:szCs w:val="18"/>
                <w:color w:val="auto"/>
                <w:w w:val="90"/>
              </w:rPr>
              <w:t>File No. 1-34258</w:t>
            </w:r>
          </w:p>
        </w:tc>
      </w:tr>
      <w:tr>
        <w:trPr>
          <w:trHeight w:val="216"/>
        </w:trPr>
        <w:tc>
          <w:tcPr>
            <w:tcW w:w="2380" w:type="dxa"/>
            <w:vAlign w:val="bottom"/>
          </w:tcPr>
          <w:p>
            <w:pPr>
              <w:jc w:val="center"/>
              <w:ind w:right="390"/>
              <w:spacing w:after="0"/>
              <w:rPr>
                <w:sz w:val="20"/>
                <w:szCs w:val="20"/>
                <w:color w:val="auto"/>
              </w:rPr>
            </w:pPr>
            <w:r>
              <w:rPr>
                <w:rFonts w:ascii="Arial" w:cs="Arial" w:eastAsia="Arial" w:hAnsi="Arial"/>
                <w:sz w:val="18"/>
                <w:szCs w:val="18"/>
                <w:color w:val="auto"/>
                <w:w w:val="89"/>
              </w:rPr>
              <w:t>Company's Current</w:t>
            </w:r>
          </w:p>
        </w:tc>
        <w:tc>
          <w:tcPr>
            <w:tcW w:w="1700" w:type="dxa"/>
            <w:vAlign w:val="bottom"/>
          </w:tcPr>
          <w:p>
            <w:pPr>
              <w:spacing w:after="0"/>
              <w:rPr>
                <w:sz w:val="18"/>
                <w:szCs w:val="18"/>
                <w:color w:val="auto"/>
              </w:rPr>
            </w:pPr>
          </w:p>
        </w:tc>
      </w:tr>
      <w:tr>
        <w:trPr>
          <w:trHeight w:val="216"/>
        </w:trPr>
        <w:tc>
          <w:tcPr>
            <w:tcW w:w="2380" w:type="dxa"/>
            <w:vAlign w:val="bottom"/>
          </w:tcPr>
          <w:p>
            <w:pPr>
              <w:jc w:val="center"/>
              <w:ind w:right="390"/>
              <w:spacing w:after="0"/>
              <w:rPr>
                <w:sz w:val="20"/>
                <w:szCs w:val="20"/>
                <w:color w:val="auto"/>
              </w:rPr>
            </w:pPr>
            <w:r>
              <w:rPr>
                <w:rFonts w:ascii="Arial" w:cs="Arial" w:eastAsia="Arial" w:hAnsi="Arial"/>
                <w:sz w:val="18"/>
                <w:szCs w:val="18"/>
                <w:color w:val="auto"/>
                <w:w w:val="91"/>
              </w:rPr>
              <w:t>Report on Form 8-K</w:t>
            </w:r>
          </w:p>
        </w:tc>
        <w:tc>
          <w:tcPr>
            <w:tcW w:w="1700" w:type="dxa"/>
            <w:vAlign w:val="bottom"/>
          </w:tcPr>
          <w:p>
            <w:pPr>
              <w:spacing w:after="0"/>
              <w:rPr>
                <w:sz w:val="18"/>
                <w:szCs w:val="18"/>
                <w:color w:val="auto"/>
              </w:rPr>
            </w:pPr>
          </w:p>
        </w:tc>
      </w:tr>
      <w:tr>
        <w:trPr>
          <w:trHeight w:val="230"/>
        </w:trPr>
        <w:tc>
          <w:tcPr>
            <w:tcW w:w="2380" w:type="dxa"/>
            <w:vAlign w:val="bottom"/>
          </w:tcPr>
          <w:p>
            <w:pPr>
              <w:jc w:val="center"/>
              <w:ind w:right="350"/>
              <w:spacing w:after="0"/>
              <w:rPr>
                <w:sz w:val="20"/>
                <w:szCs w:val="20"/>
                <w:color w:val="auto"/>
              </w:rPr>
            </w:pPr>
            <w:r>
              <w:rPr>
                <w:rFonts w:ascii="Arial" w:cs="Arial" w:eastAsia="Arial" w:hAnsi="Arial"/>
                <w:sz w:val="18"/>
                <w:szCs w:val="18"/>
                <w:color w:val="auto"/>
                <w:w w:val="91"/>
              </w:rPr>
              <w:t>filed February 22, 2011</w:t>
            </w:r>
          </w:p>
        </w:tc>
        <w:tc>
          <w:tcPr>
            <w:tcW w:w="17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6160" w:space="580"/>
            <w:col w:w="4500"/>
          </w:cols>
          <w:pgMar w:left="240" w:top="378" w:right="419" w:bottom="1440" w:gutter="0" w:footer="0" w:header="0"/>
          <w:type w:val="continuous"/>
        </w:sectPr>
      </w:pP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240"/>
          </w:cols>
          <w:pgMar w:left="240" w:top="378" w:right="41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jc w:val="right"/>
              <w:ind w:right="180"/>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50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ind w:left="140"/>
              <w:spacing w:after="0"/>
              <w:rPr>
                <w:sz w:val="20"/>
                <w:szCs w:val="20"/>
                <w:color w:val="auto"/>
              </w:rPr>
            </w:pPr>
            <w:r>
              <w:rPr>
                <w:rFonts w:ascii="Arial" w:cs="Arial" w:eastAsia="Arial" w:hAnsi="Arial"/>
                <w:sz w:val="18"/>
                <w:szCs w:val="18"/>
                <w:b w:val="1"/>
                <w:bCs w:val="1"/>
                <w:color w:val="auto"/>
                <w:w w:val="96"/>
              </w:rPr>
              <w:t>Exhibit</w:t>
            </w:r>
          </w:p>
        </w:tc>
        <w:tc>
          <w:tcPr>
            <w:tcW w:w="1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Number</w:t>
            </w:r>
          </w:p>
        </w:tc>
        <w:tc>
          <w:tcPr>
            <w:tcW w:w="506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5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Original Filed Exhibit</w:t>
            </w:r>
          </w:p>
        </w:tc>
        <w:tc>
          <w:tcPr>
            <w:tcW w:w="216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*10.27</w:t>
            </w:r>
          </w:p>
        </w:tc>
        <w:tc>
          <w:tcPr>
            <w:tcW w:w="180" w:type="dxa"/>
            <w:vAlign w:val="bottom"/>
            <w:tcBorders>
              <w:top w:val="single" w:sz="8" w:color="auto"/>
            </w:tcBorders>
            <w:shd w:val="clear" w:color="auto" w:fill="CCEEFF"/>
          </w:tcPr>
          <w:p>
            <w:pPr>
              <w:spacing w:after="0"/>
              <w:rPr>
                <w:sz w:val="19"/>
                <w:szCs w:val="19"/>
                <w:color w:val="auto"/>
              </w:rPr>
            </w:pPr>
          </w:p>
        </w:tc>
        <w:tc>
          <w:tcPr>
            <w:tcW w:w="50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Form of Performance Unit Award Agreement pursuant to</w:t>
            </w:r>
          </w:p>
        </w:tc>
        <w:tc>
          <w:tcPr>
            <w:tcW w:w="256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10.2 to the</w:t>
            </w:r>
          </w:p>
        </w:tc>
        <w:tc>
          <w:tcPr>
            <w:tcW w:w="21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International Ltd. 2010 Omnibus Incentive Plan</w:t>
            </w:r>
          </w:p>
        </w:tc>
        <w:tc>
          <w:tcPr>
            <w:tcW w:w="25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Company's Current</w:t>
            </w:r>
          </w:p>
        </w:tc>
        <w:tc>
          <w:tcPr>
            <w:tcW w:w="21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 Return)</w:t>
            </w:r>
          </w:p>
        </w:tc>
        <w:tc>
          <w:tcPr>
            <w:tcW w:w="25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16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60" w:type="dxa"/>
            <w:vAlign w:val="bottom"/>
            <w:tcBorders>
              <w:bottom w:val="single" w:sz="8" w:color="CCEEFF"/>
            </w:tcBorders>
            <w:shd w:val="clear" w:color="auto" w:fill="CCEEFF"/>
          </w:tcPr>
          <w:p>
            <w:pPr>
              <w:spacing w:after="0"/>
              <w:rPr>
                <w:sz w:val="20"/>
                <w:szCs w:val="20"/>
                <w:color w:val="auto"/>
              </w:rPr>
            </w:pPr>
          </w:p>
        </w:tc>
        <w:tc>
          <w:tcPr>
            <w:tcW w:w="2560" w:type="dxa"/>
            <w:vAlign w:val="bottom"/>
            <w:tcBorders>
              <w:bottom w:val="single" w:sz="8" w:color="CCEEFF"/>
            </w:tcBorders>
            <w:shd w:val="clear" w:color="auto" w:fill="CCEEFF"/>
          </w:tcPr>
          <w:p>
            <w:pPr>
              <w:jc w:val="center"/>
              <w:ind w:right="90"/>
              <w:spacing w:after="0"/>
              <w:rPr>
                <w:sz w:val="20"/>
                <w:szCs w:val="20"/>
                <w:color w:val="auto"/>
              </w:rPr>
            </w:pPr>
            <w:r>
              <w:rPr>
                <w:rFonts w:ascii="Arial" w:cs="Arial" w:eastAsia="Arial" w:hAnsi="Arial"/>
                <w:sz w:val="18"/>
                <w:szCs w:val="18"/>
                <w:color w:val="auto"/>
                <w:w w:val="92"/>
              </w:rPr>
              <w:t>filed March 4, 2014</w:t>
            </w:r>
          </w:p>
        </w:tc>
        <w:tc>
          <w:tcPr>
            <w:tcW w:w="2160" w:type="dxa"/>
            <w:vAlign w:val="bottom"/>
            <w:tcBorders>
              <w:bottom w:val="single" w:sz="8" w:color="CCEEFF"/>
            </w:tcBorders>
            <w:shd w:val="clear" w:color="auto" w:fill="CCEEFF"/>
          </w:tcPr>
          <w:p>
            <w:pPr>
              <w:spacing w:after="0"/>
              <w:rPr>
                <w:sz w:val="20"/>
                <w:szCs w:val="20"/>
                <w:color w:val="auto"/>
              </w:rPr>
            </w:pPr>
          </w:p>
        </w:tc>
      </w:tr>
      <w:tr>
        <w:trPr>
          <w:trHeight w:val="229"/>
        </w:trPr>
        <w:tc>
          <w:tcPr>
            <w:tcW w:w="540" w:type="dxa"/>
            <w:vAlign w:val="bottom"/>
          </w:tcPr>
          <w:p>
            <w:pPr>
              <w:spacing w:after="0"/>
              <w:rPr>
                <w:sz w:val="19"/>
                <w:szCs w:val="19"/>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†*10.28</w:t>
            </w:r>
          </w:p>
        </w:tc>
        <w:tc>
          <w:tcPr>
            <w:tcW w:w="5060" w:type="dxa"/>
            <w:vAlign w:val="bottom"/>
          </w:tcPr>
          <w:p>
            <w:pPr>
              <w:ind w:left="180"/>
              <w:spacing w:after="0"/>
              <w:rPr>
                <w:sz w:val="20"/>
                <w:szCs w:val="20"/>
                <w:color w:val="auto"/>
              </w:rPr>
            </w:pPr>
            <w:r>
              <w:rPr>
                <w:rFonts w:ascii="Arial" w:cs="Arial" w:eastAsia="Arial" w:hAnsi="Arial"/>
                <w:sz w:val="18"/>
                <w:szCs w:val="18"/>
                <w:color w:val="auto"/>
                <w:w w:val="99"/>
              </w:rPr>
              <w:t>Form of Performance Units Award Agreement (CIC) pursuant</w:t>
            </w:r>
          </w:p>
        </w:tc>
        <w:tc>
          <w:tcPr>
            <w:tcW w:w="256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to the Weatherford International plc 2010 Omnibus Incentive</w:t>
            </w:r>
          </w:p>
        </w:tc>
        <w:tc>
          <w:tcPr>
            <w:tcW w:w="256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60" w:type="dxa"/>
            <w:vAlign w:val="bottom"/>
          </w:tcPr>
          <w:p>
            <w:pPr>
              <w:ind w:left="180"/>
              <w:spacing w:after="0"/>
              <w:rPr>
                <w:sz w:val="20"/>
                <w:szCs w:val="20"/>
                <w:color w:val="auto"/>
              </w:rPr>
            </w:pPr>
            <w:r>
              <w:rPr>
                <w:rFonts w:ascii="Arial" w:cs="Arial" w:eastAsia="Arial" w:hAnsi="Arial"/>
                <w:sz w:val="18"/>
                <w:szCs w:val="18"/>
                <w:color w:val="auto"/>
              </w:rPr>
              <w:t>Plan</w:t>
            </w:r>
          </w:p>
        </w:tc>
        <w:tc>
          <w:tcPr>
            <w:tcW w:w="256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7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*10.29</w:t>
            </w:r>
          </w:p>
        </w:tc>
        <w:tc>
          <w:tcPr>
            <w:tcW w:w="180" w:type="dxa"/>
            <w:vAlign w:val="bottom"/>
            <w:shd w:val="clear" w:color="auto" w:fill="CCEEFF"/>
          </w:tcPr>
          <w:p>
            <w:pPr>
              <w:spacing w:after="0"/>
              <w:rPr>
                <w:sz w:val="19"/>
                <w:szCs w:val="19"/>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International Ltd. (Switzerland) Executive Non-</w:t>
            </w:r>
          </w:p>
        </w:tc>
        <w:tc>
          <w:tcPr>
            <w:tcW w:w="25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2"/>
              </w:rPr>
              <w:t>Exhibit 10.1 of the</w:t>
            </w:r>
          </w:p>
        </w:tc>
        <w:tc>
          <w:tcPr>
            <w:tcW w:w="21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File No. 1-34258</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Equity Incentive Compensation Plan (as amended and restated,</w:t>
            </w:r>
          </w:p>
        </w:tc>
        <w:tc>
          <w:tcPr>
            <w:tcW w:w="25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89"/>
              </w:rPr>
              <w:t>Company's Current</w:t>
            </w:r>
          </w:p>
        </w:tc>
        <w:tc>
          <w:tcPr>
            <w:tcW w:w="21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February 27, 2014) to be effective January 1, 2014</w:t>
            </w:r>
          </w:p>
        </w:tc>
        <w:tc>
          <w:tcPr>
            <w:tcW w:w="2560" w:type="dxa"/>
            <w:vAlign w:val="bottom"/>
            <w:shd w:val="clear" w:color="auto" w:fill="CCEEFF"/>
          </w:tcPr>
          <w:p>
            <w:pPr>
              <w:jc w:val="center"/>
              <w:ind w:right="130"/>
              <w:spacing w:after="0"/>
              <w:rPr>
                <w:sz w:val="20"/>
                <w:szCs w:val="20"/>
                <w:color w:val="auto"/>
              </w:rPr>
            </w:pPr>
            <w:r>
              <w:rPr>
                <w:rFonts w:ascii="Arial" w:cs="Arial" w:eastAsia="Arial" w:hAnsi="Arial"/>
                <w:sz w:val="18"/>
                <w:szCs w:val="18"/>
                <w:color w:val="auto"/>
                <w:w w:val="91"/>
              </w:rPr>
              <w:t>Report on Form 8-K</w:t>
            </w:r>
          </w:p>
        </w:tc>
        <w:tc>
          <w:tcPr>
            <w:tcW w:w="2160" w:type="dxa"/>
            <w:vAlign w:val="bottom"/>
            <w:shd w:val="clear" w:color="auto" w:fill="CCEEFF"/>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60" w:type="dxa"/>
            <w:vAlign w:val="bottom"/>
            <w:shd w:val="clear" w:color="auto" w:fill="CCEEFF"/>
          </w:tcPr>
          <w:p>
            <w:pPr>
              <w:spacing w:after="0"/>
              <w:rPr>
                <w:sz w:val="20"/>
                <w:szCs w:val="20"/>
                <w:color w:val="auto"/>
              </w:rPr>
            </w:pPr>
          </w:p>
        </w:tc>
        <w:tc>
          <w:tcPr>
            <w:tcW w:w="25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filed March 4, 2014</w:t>
            </w:r>
          </w:p>
        </w:tc>
        <w:tc>
          <w:tcPr>
            <w:tcW w:w="2160" w:type="dxa"/>
            <w:vAlign w:val="bottom"/>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060" w:type="dxa"/>
            <w:vAlign w:val="bottom"/>
            <w:shd w:val="clear" w:color="auto" w:fill="CCEEFF"/>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sectPr>
      </w:pPr>
    </w:p>
    <w:p>
      <w:pPr>
        <w:ind w:left="1640" w:right="140" w:hanging="922"/>
        <w:spacing w:after="0" w:line="286" w:lineRule="auto"/>
        <w:tabs>
          <w:tab w:leader="none" w:pos="16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7"/>
          <w:szCs w:val="17"/>
          <w:color w:val="auto"/>
        </w:rPr>
        <w:t>Form of Amended and Restated Employment Agreement entered into by Bernard J. Duroc-Danner (April 10, 2010) and Dharmesh Mehta (November 11, 2011)</w:t>
      </w:r>
    </w:p>
    <w:p>
      <w:pPr>
        <w:spacing w:after="0" w:line="20" w:lineRule="exact"/>
        <w:rPr>
          <w:sz w:val="20"/>
          <w:szCs w:val="20"/>
          <w:color w:val="auto"/>
        </w:rPr>
      </w:pPr>
      <w:r>
        <w:rPr>
          <w:sz w:val="20"/>
          <w:szCs w:val="20"/>
          <w:color w:val="auto"/>
        </w:rPr>
        <w:br w:type="column"/>
      </w:r>
    </w:p>
    <w:p>
      <w:pPr>
        <w:ind w:left="60"/>
        <w:spacing w:after="0"/>
        <w:tabs>
          <w:tab w:leader="none" w:pos="2620" w:val="left"/>
        </w:tabs>
        <w:rPr>
          <w:sz w:val="20"/>
          <w:szCs w:val="20"/>
          <w:color w:val="auto"/>
        </w:rPr>
      </w:pPr>
      <w:r>
        <w:rPr>
          <w:rFonts w:ascii="Arial" w:cs="Arial" w:eastAsia="Arial" w:hAnsi="Arial"/>
          <w:sz w:val="18"/>
          <w:szCs w:val="18"/>
          <w:color w:val="auto"/>
        </w:rPr>
        <w:t>Exhibit 10.1 to the</w:t>
      </w:r>
      <w:r>
        <w:rPr>
          <w:sz w:val="20"/>
          <w:szCs w:val="20"/>
          <w:color w:val="auto"/>
        </w:rPr>
        <w:tab/>
      </w:r>
      <w:r>
        <w:rPr>
          <w:rFonts w:ascii="Arial" w:cs="Arial" w:eastAsia="Arial" w:hAnsi="Arial"/>
          <w:sz w:val="16"/>
          <w:szCs w:val="16"/>
          <w:color w:val="auto"/>
        </w:rPr>
        <w:t>File No. 1-34258</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Company's 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Report on Form 8-K</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filed April 13, 2010</w:t>
      </w:r>
    </w:p>
    <w:p>
      <w:pPr>
        <w:spacing w:after="0" w:line="36" w:lineRule="exact"/>
        <w:rPr>
          <w:sz w:val="20"/>
          <w:szCs w:val="20"/>
          <w:color w:val="auto"/>
        </w:rPr>
      </w:pPr>
    </w:p>
    <w:p>
      <w:pPr>
        <w:sectPr>
          <w:pgSz w:w="11900" w:h="16838" w:orient="portrait"/>
          <w:cols w:equalWidth="0" w:num="2">
            <w:col w:w="6240" w:space="720"/>
            <w:col w:w="428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*10.31</w:t>
            </w: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Executive Employment Agreement, dated June 20, 2013,</w:t>
            </w:r>
          </w:p>
        </w:tc>
        <w:tc>
          <w:tcPr>
            <w:tcW w:w="25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10.1 to the</w:t>
            </w:r>
          </w:p>
        </w:tc>
        <w:tc>
          <w:tcPr>
            <w:tcW w:w="2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File No. 1-34258</w:t>
            </w:r>
          </w:p>
        </w:tc>
      </w:tr>
      <w:tr>
        <w:trPr>
          <w:trHeight w:val="216"/>
        </w:trPr>
        <w:tc>
          <w:tcPr>
            <w:tcW w:w="88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between Weatherford International Ltd. and Douglas M. Mills</w:t>
            </w:r>
          </w:p>
        </w:tc>
        <w:tc>
          <w:tcPr>
            <w:tcW w:w="25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1"/>
              </w:rPr>
              <w:t>Company's Quarterly</w:t>
            </w:r>
          </w:p>
        </w:tc>
        <w:tc>
          <w:tcPr>
            <w:tcW w:w="216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5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Report on Form 10-Q</w:t>
            </w:r>
          </w:p>
        </w:tc>
        <w:tc>
          <w:tcPr>
            <w:tcW w:w="216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5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for the quarter ended</w:t>
            </w:r>
          </w:p>
        </w:tc>
        <w:tc>
          <w:tcPr>
            <w:tcW w:w="216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5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June 30, 2013 filed</w:t>
            </w:r>
          </w:p>
        </w:tc>
        <w:tc>
          <w:tcPr>
            <w:tcW w:w="2160" w:type="dxa"/>
            <w:vAlign w:val="bottom"/>
            <w:shd w:val="clear" w:color="auto" w:fill="CCEEFF"/>
          </w:tcPr>
          <w:p>
            <w:pPr>
              <w:spacing w:after="0"/>
              <w:rPr>
                <w:sz w:val="18"/>
                <w:szCs w:val="18"/>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508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1"/>
              </w:rPr>
              <w:t>July 31, 2013</w:t>
            </w:r>
          </w:p>
        </w:tc>
        <w:tc>
          <w:tcPr>
            <w:tcW w:w="2160" w:type="dxa"/>
            <w:vAlign w:val="bottom"/>
            <w:tcBorders>
              <w:bottom w:val="single" w:sz="8" w:color="CCEEFF"/>
            </w:tcBorders>
            <w:shd w:val="clear" w:color="auto" w:fill="CCEEFF"/>
          </w:tcPr>
          <w:p>
            <w:pPr>
              <w:spacing w:after="0"/>
              <w:rPr>
                <w:sz w:val="20"/>
                <w:szCs w:val="20"/>
                <w:color w:val="auto"/>
              </w:rPr>
            </w:pPr>
          </w:p>
        </w:tc>
      </w:tr>
      <w:tr>
        <w:trPr>
          <w:trHeight w:val="229"/>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*10.32</w:t>
            </w:r>
          </w:p>
        </w:tc>
        <w:tc>
          <w:tcPr>
            <w:tcW w:w="5080" w:type="dxa"/>
            <w:vAlign w:val="bottom"/>
          </w:tcPr>
          <w:p>
            <w:pPr>
              <w:ind w:left="220"/>
              <w:spacing w:after="0"/>
              <w:rPr>
                <w:sz w:val="20"/>
                <w:szCs w:val="20"/>
                <w:color w:val="auto"/>
              </w:rPr>
            </w:pPr>
            <w:r>
              <w:rPr>
                <w:rFonts w:ascii="Arial" w:cs="Arial" w:eastAsia="Arial" w:hAnsi="Arial"/>
                <w:sz w:val="18"/>
                <w:szCs w:val="18"/>
                <w:color w:val="auto"/>
                <w:w w:val="98"/>
              </w:rPr>
              <w:t>Executive Employment Agreement, dated November 4, 2013,</w:t>
            </w:r>
          </w:p>
        </w:tc>
        <w:tc>
          <w:tcPr>
            <w:tcW w:w="2580" w:type="dxa"/>
            <w:vAlign w:val="bottom"/>
          </w:tcPr>
          <w:p>
            <w:pPr>
              <w:jc w:val="center"/>
              <w:ind w:right="110"/>
              <w:spacing w:after="0"/>
              <w:rPr>
                <w:sz w:val="20"/>
                <w:szCs w:val="20"/>
                <w:color w:val="auto"/>
              </w:rPr>
            </w:pPr>
            <w:r>
              <w:rPr>
                <w:rFonts w:ascii="Arial" w:cs="Arial" w:eastAsia="Arial" w:hAnsi="Arial"/>
                <w:sz w:val="18"/>
                <w:szCs w:val="18"/>
                <w:color w:val="auto"/>
                <w:w w:val="92"/>
              </w:rPr>
              <w:t>Exhibit 10.1 to the</w:t>
            </w:r>
          </w:p>
        </w:tc>
        <w:tc>
          <w:tcPr>
            <w:tcW w:w="2160" w:type="dxa"/>
            <w:vAlign w:val="bottom"/>
          </w:tcPr>
          <w:p>
            <w:pPr>
              <w:ind w:left="520"/>
              <w:spacing w:after="0"/>
              <w:rPr>
                <w:sz w:val="20"/>
                <w:szCs w:val="20"/>
                <w:color w:val="auto"/>
              </w:rPr>
            </w:pPr>
            <w:r>
              <w:rPr>
                <w:rFonts w:ascii="Arial" w:cs="Arial" w:eastAsia="Arial" w:hAnsi="Arial"/>
                <w:sz w:val="18"/>
                <w:szCs w:val="18"/>
                <w:color w:val="auto"/>
              </w:rPr>
              <w:t>File No. 1-34258</w:t>
            </w:r>
          </w:p>
        </w:tc>
      </w:tr>
      <w:tr>
        <w:trPr>
          <w:trHeight w:val="216"/>
        </w:trPr>
        <w:tc>
          <w:tcPr>
            <w:tcW w:w="88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between Weatherford International Ltd. and Krishna Shivram</w:t>
            </w:r>
          </w:p>
        </w:tc>
        <w:tc>
          <w:tcPr>
            <w:tcW w:w="2580" w:type="dxa"/>
            <w:vAlign w:val="bottom"/>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580" w:type="dxa"/>
            <w:vAlign w:val="bottom"/>
          </w:tcPr>
          <w:p>
            <w:pPr>
              <w:jc w:val="center"/>
              <w:ind w:right="110"/>
              <w:spacing w:after="0"/>
              <w:rPr>
                <w:sz w:val="20"/>
                <w:szCs w:val="20"/>
                <w:color w:val="auto"/>
              </w:rPr>
            </w:pPr>
            <w:r>
              <w:rPr>
                <w:rFonts w:ascii="Arial" w:cs="Arial" w:eastAsia="Arial" w:hAnsi="Arial"/>
                <w:sz w:val="18"/>
                <w:szCs w:val="18"/>
                <w:color w:val="auto"/>
                <w:w w:val="91"/>
              </w:rPr>
              <w:t>Report on Form 8-K</w:t>
            </w:r>
          </w:p>
        </w:tc>
        <w:tc>
          <w:tcPr>
            <w:tcW w:w="216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580" w:type="dxa"/>
            <w:vAlign w:val="bottom"/>
          </w:tcPr>
          <w:p>
            <w:pPr>
              <w:jc w:val="center"/>
              <w:ind w:right="50"/>
              <w:spacing w:after="0"/>
              <w:rPr>
                <w:sz w:val="20"/>
                <w:szCs w:val="20"/>
                <w:color w:val="auto"/>
              </w:rPr>
            </w:pPr>
            <w:r>
              <w:rPr>
                <w:rFonts w:ascii="Arial" w:cs="Arial" w:eastAsia="Arial" w:hAnsi="Arial"/>
                <w:sz w:val="18"/>
                <w:szCs w:val="18"/>
                <w:color w:val="auto"/>
                <w:w w:val="92"/>
              </w:rPr>
              <w:t>filed November 4, 2013</w:t>
            </w:r>
          </w:p>
        </w:tc>
        <w:tc>
          <w:tcPr>
            <w:tcW w:w="216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†10.33</w:t>
            </w: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Form of Amended and Restated Executive Employment</w:t>
            </w:r>
          </w:p>
        </w:tc>
        <w:tc>
          <w:tcPr>
            <w:tcW w:w="258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16"/>
        </w:trPr>
        <w:tc>
          <w:tcPr>
            <w:tcW w:w="88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Agreement entered into by Antony J. Branch and Lance R.</w:t>
            </w:r>
          </w:p>
        </w:tc>
        <w:tc>
          <w:tcPr>
            <w:tcW w:w="25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Marklinger, dated December, 22, 2014</w:t>
            </w:r>
          </w:p>
        </w:tc>
        <w:tc>
          <w:tcPr>
            <w:tcW w:w="258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r>
      <w:tr>
        <w:trPr>
          <w:trHeight w:val="229"/>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*10.34</w:t>
            </w:r>
          </w:p>
        </w:tc>
        <w:tc>
          <w:tcPr>
            <w:tcW w:w="5080" w:type="dxa"/>
            <w:vAlign w:val="bottom"/>
          </w:tcPr>
          <w:p>
            <w:pPr>
              <w:ind w:left="220"/>
              <w:spacing w:after="0"/>
              <w:rPr>
                <w:sz w:val="20"/>
                <w:szCs w:val="20"/>
                <w:color w:val="auto"/>
              </w:rPr>
            </w:pPr>
            <w:r>
              <w:rPr>
                <w:rFonts w:ascii="Arial" w:cs="Arial" w:eastAsia="Arial" w:hAnsi="Arial"/>
                <w:sz w:val="18"/>
                <w:szCs w:val="18"/>
                <w:color w:val="auto"/>
                <w:w w:val="98"/>
              </w:rPr>
              <w:t>Form of Restricted Share Award Agreement, dated November</w:t>
            </w:r>
          </w:p>
        </w:tc>
        <w:tc>
          <w:tcPr>
            <w:tcW w:w="2580" w:type="dxa"/>
            <w:vAlign w:val="bottom"/>
          </w:tcPr>
          <w:p>
            <w:pPr>
              <w:jc w:val="center"/>
              <w:ind w:right="110"/>
              <w:spacing w:after="0"/>
              <w:rPr>
                <w:sz w:val="20"/>
                <w:szCs w:val="20"/>
                <w:color w:val="auto"/>
              </w:rPr>
            </w:pPr>
            <w:r>
              <w:rPr>
                <w:rFonts w:ascii="Arial" w:cs="Arial" w:eastAsia="Arial" w:hAnsi="Arial"/>
                <w:sz w:val="18"/>
                <w:szCs w:val="18"/>
                <w:color w:val="auto"/>
                <w:w w:val="92"/>
              </w:rPr>
              <w:t>Exhibit 10.3 to the</w:t>
            </w:r>
          </w:p>
        </w:tc>
        <w:tc>
          <w:tcPr>
            <w:tcW w:w="2160" w:type="dxa"/>
            <w:vAlign w:val="bottom"/>
          </w:tcPr>
          <w:p>
            <w:pPr>
              <w:ind w:left="520"/>
              <w:spacing w:after="0"/>
              <w:rPr>
                <w:sz w:val="20"/>
                <w:szCs w:val="20"/>
                <w:color w:val="auto"/>
              </w:rPr>
            </w:pPr>
            <w:r>
              <w:rPr>
                <w:rFonts w:ascii="Arial" w:cs="Arial" w:eastAsia="Arial" w:hAnsi="Arial"/>
                <w:sz w:val="18"/>
                <w:szCs w:val="18"/>
                <w:color w:val="auto"/>
              </w:rPr>
              <w:t>File No. 1-34258</w:t>
            </w:r>
          </w:p>
        </w:tc>
      </w:tr>
      <w:tr>
        <w:trPr>
          <w:trHeight w:val="216"/>
        </w:trPr>
        <w:tc>
          <w:tcPr>
            <w:tcW w:w="88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6, 2013, between Weatherford International Ltd. and Krishna</w:t>
            </w:r>
          </w:p>
        </w:tc>
        <w:tc>
          <w:tcPr>
            <w:tcW w:w="2580" w:type="dxa"/>
            <w:vAlign w:val="bottom"/>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Shivram</w:t>
            </w:r>
          </w:p>
        </w:tc>
        <w:tc>
          <w:tcPr>
            <w:tcW w:w="2580" w:type="dxa"/>
            <w:vAlign w:val="bottom"/>
          </w:tcPr>
          <w:p>
            <w:pPr>
              <w:jc w:val="center"/>
              <w:ind w:right="110"/>
              <w:spacing w:after="0"/>
              <w:rPr>
                <w:sz w:val="20"/>
                <w:szCs w:val="20"/>
                <w:color w:val="auto"/>
              </w:rPr>
            </w:pPr>
            <w:r>
              <w:rPr>
                <w:rFonts w:ascii="Arial" w:cs="Arial" w:eastAsia="Arial" w:hAnsi="Arial"/>
                <w:sz w:val="18"/>
                <w:szCs w:val="18"/>
                <w:color w:val="auto"/>
                <w:w w:val="91"/>
              </w:rPr>
              <w:t>Report on Form 8-K</w:t>
            </w:r>
          </w:p>
        </w:tc>
        <w:tc>
          <w:tcPr>
            <w:tcW w:w="216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580" w:type="dxa"/>
            <w:vAlign w:val="bottom"/>
          </w:tcPr>
          <w:p>
            <w:pPr>
              <w:jc w:val="center"/>
              <w:ind w:right="50"/>
              <w:spacing w:after="0"/>
              <w:rPr>
                <w:sz w:val="20"/>
                <w:szCs w:val="20"/>
                <w:color w:val="auto"/>
              </w:rPr>
            </w:pPr>
            <w:r>
              <w:rPr>
                <w:rFonts w:ascii="Arial" w:cs="Arial" w:eastAsia="Arial" w:hAnsi="Arial"/>
                <w:sz w:val="18"/>
                <w:szCs w:val="18"/>
                <w:color w:val="auto"/>
                <w:w w:val="92"/>
              </w:rPr>
              <w:t>filed November 4, 2013</w:t>
            </w:r>
          </w:p>
        </w:tc>
        <w:tc>
          <w:tcPr>
            <w:tcW w:w="216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*10.35</w:t>
            </w: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Form of Change of Control Agreement, entered into by</w:t>
            </w:r>
          </w:p>
        </w:tc>
        <w:tc>
          <w:tcPr>
            <w:tcW w:w="25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Exhibit 10.7 of the</w:t>
            </w:r>
          </w:p>
        </w:tc>
        <w:tc>
          <w:tcPr>
            <w:tcW w:w="2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File No. 1-36504</w:t>
            </w:r>
          </w:p>
        </w:tc>
      </w:tr>
      <w:tr>
        <w:trPr>
          <w:trHeight w:val="216"/>
        </w:trPr>
        <w:tc>
          <w:tcPr>
            <w:tcW w:w="88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Christina Ibrahim on May 4, 2015</w:t>
            </w:r>
          </w:p>
        </w:tc>
        <w:tc>
          <w:tcPr>
            <w:tcW w:w="25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1"/>
              </w:rPr>
              <w:t>Company's Quarterly</w:t>
            </w:r>
          </w:p>
        </w:tc>
        <w:tc>
          <w:tcPr>
            <w:tcW w:w="216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5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Report on Form 10-Q</w:t>
            </w:r>
          </w:p>
        </w:tc>
        <w:tc>
          <w:tcPr>
            <w:tcW w:w="216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5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for the quarter ended</w:t>
            </w:r>
          </w:p>
        </w:tc>
        <w:tc>
          <w:tcPr>
            <w:tcW w:w="216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5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0"/>
              </w:rPr>
              <w:t>June 30, 2015 filed</w:t>
            </w:r>
          </w:p>
        </w:tc>
        <w:tc>
          <w:tcPr>
            <w:tcW w:w="2160" w:type="dxa"/>
            <w:vAlign w:val="bottom"/>
            <w:shd w:val="clear" w:color="auto" w:fill="CCEEFF"/>
          </w:tcPr>
          <w:p>
            <w:pPr>
              <w:spacing w:after="0"/>
              <w:rPr>
                <w:sz w:val="18"/>
                <w:szCs w:val="18"/>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508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1"/>
              </w:rPr>
              <w:t>July 24, 2015</w:t>
            </w:r>
          </w:p>
        </w:tc>
        <w:tc>
          <w:tcPr>
            <w:tcW w:w="2160" w:type="dxa"/>
            <w:vAlign w:val="bottom"/>
            <w:tcBorders>
              <w:bottom w:val="single" w:sz="8" w:color="CCEEFF"/>
            </w:tcBorders>
            <w:shd w:val="clear" w:color="auto" w:fill="CCEEFF"/>
          </w:tcPr>
          <w:p>
            <w:pPr>
              <w:spacing w:after="0"/>
              <w:rPr>
                <w:sz w:val="20"/>
                <w:szCs w:val="20"/>
                <w:color w:val="auto"/>
              </w:rPr>
            </w:pPr>
          </w:p>
        </w:tc>
      </w:tr>
      <w:tr>
        <w:trPr>
          <w:trHeight w:val="229"/>
        </w:trPr>
        <w:tc>
          <w:tcPr>
            <w:tcW w:w="880" w:type="dxa"/>
            <w:vAlign w:val="bottom"/>
          </w:tcPr>
          <w:p>
            <w:pPr>
              <w:jc w:val="right"/>
              <w:ind w:right="130"/>
              <w:spacing w:after="0"/>
              <w:rPr>
                <w:sz w:val="20"/>
                <w:szCs w:val="20"/>
                <w:color w:val="auto"/>
              </w:rPr>
            </w:pPr>
            <w:r>
              <w:rPr>
                <w:rFonts w:ascii="Arial" w:cs="Arial" w:eastAsia="Arial" w:hAnsi="Arial"/>
                <w:sz w:val="18"/>
                <w:szCs w:val="18"/>
                <w:color w:val="auto"/>
              </w:rPr>
              <w:t>*10.36</w:t>
            </w:r>
          </w:p>
        </w:tc>
        <w:tc>
          <w:tcPr>
            <w:tcW w:w="5080" w:type="dxa"/>
            <w:vAlign w:val="bottom"/>
          </w:tcPr>
          <w:p>
            <w:pPr>
              <w:ind w:left="220"/>
              <w:spacing w:after="0"/>
              <w:rPr>
                <w:sz w:val="20"/>
                <w:szCs w:val="20"/>
                <w:color w:val="auto"/>
              </w:rPr>
            </w:pPr>
            <w:r>
              <w:rPr>
                <w:rFonts w:ascii="Arial" w:cs="Arial" w:eastAsia="Arial" w:hAnsi="Arial"/>
                <w:sz w:val="18"/>
                <w:szCs w:val="18"/>
                <w:color w:val="auto"/>
              </w:rPr>
              <w:t>Form of Deed of Indemnity of Weatherford Ireland entered</w:t>
            </w:r>
          </w:p>
        </w:tc>
        <w:tc>
          <w:tcPr>
            <w:tcW w:w="2580" w:type="dxa"/>
            <w:vAlign w:val="bottom"/>
          </w:tcPr>
          <w:p>
            <w:pPr>
              <w:jc w:val="center"/>
              <w:ind w:right="110"/>
              <w:spacing w:after="0"/>
              <w:rPr>
                <w:sz w:val="20"/>
                <w:szCs w:val="20"/>
                <w:color w:val="auto"/>
              </w:rPr>
            </w:pPr>
            <w:r>
              <w:rPr>
                <w:rFonts w:ascii="Arial" w:cs="Arial" w:eastAsia="Arial" w:hAnsi="Arial"/>
                <w:sz w:val="18"/>
                <w:szCs w:val="18"/>
                <w:color w:val="auto"/>
                <w:w w:val="92"/>
              </w:rPr>
              <w:t>Exhibit 10.11 of the</w:t>
            </w:r>
          </w:p>
        </w:tc>
        <w:tc>
          <w:tcPr>
            <w:tcW w:w="2160" w:type="dxa"/>
            <w:vAlign w:val="bottom"/>
          </w:tcPr>
          <w:p>
            <w:pPr>
              <w:ind w:left="520"/>
              <w:spacing w:after="0"/>
              <w:rPr>
                <w:sz w:val="20"/>
                <w:szCs w:val="20"/>
                <w:color w:val="auto"/>
              </w:rPr>
            </w:pPr>
            <w:r>
              <w:rPr>
                <w:rFonts w:ascii="Arial" w:cs="Arial" w:eastAsia="Arial" w:hAnsi="Arial"/>
                <w:sz w:val="18"/>
                <w:szCs w:val="18"/>
                <w:color w:val="auto"/>
              </w:rPr>
              <w:t>File No. 1-36504</w:t>
            </w:r>
          </w:p>
        </w:tc>
      </w:tr>
      <w:tr>
        <w:trPr>
          <w:trHeight w:val="216"/>
        </w:trPr>
        <w:tc>
          <w:tcPr>
            <w:tcW w:w="88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into by each director of Weatherford Ireland and each of the</w:t>
            </w:r>
          </w:p>
        </w:tc>
        <w:tc>
          <w:tcPr>
            <w:tcW w:w="2580" w:type="dxa"/>
            <w:vAlign w:val="bottom"/>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w w:val="98"/>
              </w:rPr>
              <w:t>following executive officers of Weatherford Ireland: Bernard J.</w:t>
            </w:r>
          </w:p>
        </w:tc>
        <w:tc>
          <w:tcPr>
            <w:tcW w:w="2580" w:type="dxa"/>
            <w:vAlign w:val="bottom"/>
          </w:tcPr>
          <w:p>
            <w:pPr>
              <w:jc w:val="center"/>
              <w:ind w:right="110"/>
              <w:spacing w:after="0"/>
              <w:rPr>
                <w:sz w:val="20"/>
                <w:szCs w:val="20"/>
                <w:color w:val="auto"/>
              </w:rPr>
            </w:pPr>
            <w:r>
              <w:rPr>
                <w:rFonts w:ascii="Arial" w:cs="Arial" w:eastAsia="Arial" w:hAnsi="Arial"/>
                <w:sz w:val="18"/>
                <w:szCs w:val="18"/>
                <w:color w:val="auto"/>
                <w:w w:val="93"/>
              </w:rPr>
              <w:t>Report on Form 8-K12B</w:t>
            </w:r>
          </w:p>
        </w:tc>
        <w:tc>
          <w:tcPr>
            <w:tcW w:w="21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Duroc-Danner, Krishna Shivram, Dharmesh Mehta, Douglas</w:t>
            </w:r>
          </w:p>
        </w:tc>
        <w:tc>
          <w:tcPr>
            <w:tcW w:w="2580" w:type="dxa"/>
            <w:vAlign w:val="bottom"/>
          </w:tcPr>
          <w:p>
            <w:pPr>
              <w:jc w:val="center"/>
              <w:ind w:right="70"/>
              <w:spacing w:after="0"/>
              <w:rPr>
                <w:sz w:val="20"/>
                <w:szCs w:val="20"/>
                <w:color w:val="auto"/>
              </w:rPr>
            </w:pPr>
            <w:r>
              <w:rPr>
                <w:rFonts w:ascii="Arial" w:cs="Arial" w:eastAsia="Arial" w:hAnsi="Arial"/>
                <w:sz w:val="18"/>
                <w:szCs w:val="18"/>
                <w:color w:val="auto"/>
                <w:w w:val="90"/>
              </w:rPr>
              <w:t>filed June 17, 2014</w:t>
            </w:r>
          </w:p>
        </w:tc>
        <w:tc>
          <w:tcPr>
            <w:tcW w:w="21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w w:val="98"/>
              </w:rPr>
              <w:t>M. Mills, Antony J. Branch and Lance R. Marklinger (June 17,</w:t>
            </w:r>
          </w:p>
        </w:tc>
        <w:tc>
          <w:tcPr>
            <w:tcW w:w="25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2014) and Christina Ibrahim (May 4, 2015)</w:t>
            </w:r>
          </w:p>
        </w:tc>
        <w:tc>
          <w:tcPr>
            <w:tcW w:w="258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27"/>
        </w:trPr>
        <w:tc>
          <w:tcPr>
            <w:tcW w:w="8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*10.37</w:t>
            </w: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Form of Deed of Indemnity of Weatherford Bermuda entered</w:t>
            </w:r>
          </w:p>
        </w:tc>
        <w:tc>
          <w:tcPr>
            <w:tcW w:w="25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3"/>
              </w:rPr>
              <w:t>Exhibit 10.12 of the</w:t>
            </w:r>
          </w:p>
        </w:tc>
        <w:tc>
          <w:tcPr>
            <w:tcW w:w="2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File No. 1-36504</w:t>
            </w:r>
          </w:p>
        </w:tc>
      </w:tr>
      <w:tr>
        <w:trPr>
          <w:trHeight w:val="216"/>
        </w:trPr>
        <w:tc>
          <w:tcPr>
            <w:tcW w:w="88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into by each director of Weatherford Ireland and each of the</w:t>
            </w:r>
          </w:p>
        </w:tc>
        <w:tc>
          <w:tcPr>
            <w:tcW w:w="25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6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following executive officers of Weatherford Ireland: Bernard J.</w:t>
            </w:r>
          </w:p>
        </w:tc>
        <w:tc>
          <w:tcPr>
            <w:tcW w:w="25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3"/>
              </w:rPr>
              <w:t>Report on Form 8-K12B</w:t>
            </w:r>
          </w:p>
        </w:tc>
        <w:tc>
          <w:tcPr>
            <w:tcW w:w="216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Duroc-Danner, Krishna Shivram, Dharmesh Mehta, Douglas</w:t>
            </w:r>
          </w:p>
        </w:tc>
        <w:tc>
          <w:tcPr>
            <w:tcW w:w="25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filed June 17, 2014</w:t>
            </w:r>
          </w:p>
        </w:tc>
        <w:tc>
          <w:tcPr>
            <w:tcW w:w="2160" w:type="dxa"/>
            <w:vAlign w:val="bottom"/>
            <w:shd w:val="clear" w:color="auto" w:fill="CCEEFF"/>
          </w:tcPr>
          <w:p>
            <w:pPr>
              <w:spacing w:after="0"/>
              <w:rPr>
                <w:sz w:val="18"/>
                <w:szCs w:val="18"/>
                <w:color w:val="auto"/>
              </w:rPr>
            </w:pPr>
          </w:p>
        </w:tc>
      </w:tr>
      <w:tr>
        <w:trPr>
          <w:trHeight w:val="216"/>
        </w:trPr>
        <w:tc>
          <w:tcPr>
            <w:tcW w:w="880" w:type="dxa"/>
            <w:vAlign w:val="bottom"/>
            <w:shd w:val="clear" w:color="auto" w:fill="CCEEFF"/>
          </w:tcPr>
          <w:p>
            <w:pPr>
              <w:spacing w:after="0"/>
              <w:rPr>
                <w:sz w:val="18"/>
                <w:szCs w:val="18"/>
                <w:color w:val="auto"/>
              </w:rPr>
            </w:pPr>
          </w:p>
        </w:tc>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M. Mills, Antony J. Branch and Lance R. Marklinger (June 17,</w:t>
            </w:r>
          </w:p>
        </w:tc>
        <w:tc>
          <w:tcPr>
            <w:tcW w:w="25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37"/>
        </w:trPr>
        <w:tc>
          <w:tcPr>
            <w:tcW w:w="880" w:type="dxa"/>
            <w:vAlign w:val="bottom"/>
            <w:tcBorders>
              <w:bottom w:val="single" w:sz="8" w:color="CCEEFF"/>
            </w:tcBorders>
            <w:shd w:val="clear" w:color="auto" w:fill="CCEEFF"/>
          </w:tcPr>
          <w:p>
            <w:pPr>
              <w:spacing w:after="0"/>
              <w:rPr>
                <w:sz w:val="20"/>
                <w:szCs w:val="20"/>
                <w:color w:val="auto"/>
              </w:rPr>
            </w:pPr>
          </w:p>
        </w:tc>
        <w:tc>
          <w:tcPr>
            <w:tcW w:w="5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2014) and Christina Ibrahim (May 4, 2015)</w:t>
            </w:r>
          </w:p>
        </w:tc>
        <w:tc>
          <w:tcPr>
            <w:tcW w:w="258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r>
      <w:tr>
        <w:trPr>
          <w:trHeight w:val="459"/>
        </w:trPr>
        <w:tc>
          <w:tcPr>
            <w:tcW w:w="880" w:type="dxa"/>
            <w:vAlign w:val="bottom"/>
          </w:tcPr>
          <w:p>
            <w:pPr>
              <w:spacing w:after="0"/>
              <w:rPr>
                <w:sz w:val="24"/>
                <w:szCs w:val="24"/>
                <w:color w:val="auto"/>
              </w:rPr>
            </w:pPr>
          </w:p>
        </w:tc>
        <w:tc>
          <w:tcPr>
            <w:tcW w:w="5080" w:type="dxa"/>
            <w:vAlign w:val="bottom"/>
          </w:tcPr>
          <w:p>
            <w:pPr>
              <w:ind w:left="4160"/>
              <w:spacing w:after="0"/>
              <w:rPr>
                <w:sz w:val="20"/>
                <w:szCs w:val="20"/>
                <w:color w:val="auto"/>
              </w:rPr>
            </w:pPr>
            <w:r>
              <w:rPr>
                <w:rFonts w:ascii="Arial" w:cs="Arial" w:eastAsia="Arial" w:hAnsi="Arial"/>
                <w:sz w:val="18"/>
                <w:szCs w:val="18"/>
                <w:color w:val="auto"/>
              </w:rPr>
              <w:t>101</w:t>
            </w:r>
          </w:p>
        </w:tc>
        <w:tc>
          <w:tcPr>
            <w:tcW w:w="258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ectPr>
          <w:pgSz w:w="11900" w:h="16838" w:orient="portrait"/>
          <w:cols w:equalWidth="0" w:num="1">
            <w:col w:w="11240"/>
          </w:cols>
          <w:pgMar w:left="240" w:top="378" w:right="419" w:bottom="1440" w:gutter="0" w:footer="0" w:header="0"/>
          <w:type w:val="continuous"/>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50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jc w:val="center"/>
              <w:ind w:left="10"/>
              <w:spacing w:after="0"/>
              <w:rPr>
                <w:sz w:val="20"/>
                <w:szCs w:val="20"/>
                <w:color w:val="auto"/>
              </w:rPr>
            </w:pPr>
            <w:r>
              <w:rPr>
                <w:rFonts w:ascii="Arial" w:cs="Arial" w:eastAsia="Arial" w:hAnsi="Arial"/>
                <w:sz w:val="18"/>
                <w:szCs w:val="18"/>
                <w:b w:val="1"/>
                <w:bCs w:val="1"/>
                <w:color w:val="auto"/>
                <w:w w:val="93"/>
              </w:rPr>
              <w:t>Exhibit</w:t>
            </w:r>
          </w:p>
        </w:tc>
        <w:tc>
          <w:tcPr>
            <w:tcW w:w="1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504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58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Original Filed Exhibit</w:t>
            </w:r>
          </w:p>
        </w:tc>
        <w:tc>
          <w:tcPr>
            <w:tcW w:w="216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2"/>
              </w:rPr>
              <w:t>*10.38</w:t>
            </w:r>
          </w:p>
        </w:tc>
        <w:tc>
          <w:tcPr>
            <w:tcW w:w="180" w:type="dxa"/>
            <w:vAlign w:val="bottom"/>
            <w:tcBorders>
              <w:top w:val="single" w:sz="8" w:color="auto"/>
            </w:tcBorders>
            <w:shd w:val="clear" w:color="auto" w:fill="CCEEFF"/>
          </w:tcPr>
          <w:p>
            <w:pPr>
              <w:spacing w:after="0"/>
              <w:rPr>
                <w:sz w:val="19"/>
                <w:szCs w:val="19"/>
                <w:color w:val="auto"/>
              </w:rPr>
            </w:pPr>
          </w:p>
        </w:tc>
        <w:tc>
          <w:tcPr>
            <w:tcW w:w="50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Form of Employment Agreement Assignment Letter by</w:t>
            </w:r>
          </w:p>
        </w:tc>
        <w:tc>
          <w:tcPr>
            <w:tcW w:w="2580" w:type="dxa"/>
            <w:vAlign w:val="bottom"/>
            <w:tcBorders>
              <w:top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3"/>
              </w:rPr>
              <w:t>Exhibit 10.13 of the</w:t>
            </w:r>
          </w:p>
        </w:tc>
        <w:tc>
          <w:tcPr>
            <w:tcW w:w="21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Management Company Switzerland LLC,</w:t>
            </w:r>
          </w:p>
        </w:tc>
        <w:tc>
          <w:tcPr>
            <w:tcW w:w="25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Weatherford Switzerland, Weatherford Ireland and the</w:t>
            </w:r>
          </w:p>
        </w:tc>
        <w:tc>
          <w:tcPr>
            <w:tcW w:w="258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3"/>
              </w:rPr>
              <w:t>Report on Form 8-K12B</w:t>
            </w:r>
          </w:p>
        </w:tc>
        <w:tc>
          <w:tcPr>
            <w:tcW w:w="21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following executive officers of Weatherford Ireland: Bernard J.</w:t>
            </w:r>
          </w:p>
        </w:tc>
        <w:tc>
          <w:tcPr>
            <w:tcW w:w="25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0"/>
              </w:rPr>
              <w:t>filed June 17, 2014</w:t>
            </w:r>
          </w:p>
        </w:tc>
        <w:tc>
          <w:tcPr>
            <w:tcW w:w="216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Duroc-Danner, Krishna Shivram, Dharmesh Mehta, and</w:t>
            </w:r>
          </w:p>
        </w:tc>
        <w:tc>
          <w:tcPr>
            <w:tcW w:w="258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Douglas M. Mills (June 16, 2014)</w:t>
            </w:r>
          </w:p>
        </w:tc>
        <w:tc>
          <w:tcPr>
            <w:tcW w:w="258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92"/>
              </w:rPr>
              <w:t>*10.39</w:t>
            </w:r>
          </w:p>
        </w:tc>
        <w:tc>
          <w:tcPr>
            <w:tcW w:w="180" w:type="dxa"/>
            <w:vAlign w:val="bottom"/>
          </w:tcPr>
          <w:p>
            <w:pPr>
              <w:spacing w:after="0"/>
              <w:rPr>
                <w:sz w:val="19"/>
                <w:szCs w:val="19"/>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Form of Secondment Letter entered into by Weatherford</w:t>
            </w:r>
          </w:p>
        </w:tc>
        <w:tc>
          <w:tcPr>
            <w:tcW w:w="2580" w:type="dxa"/>
            <w:vAlign w:val="bottom"/>
          </w:tcPr>
          <w:p>
            <w:pPr>
              <w:jc w:val="center"/>
              <w:ind w:right="90"/>
              <w:spacing w:after="0"/>
              <w:rPr>
                <w:sz w:val="20"/>
                <w:szCs w:val="20"/>
                <w:color w:val="auto"/>
              </w:rPr>
            </w:pPr>
            <w:r>
              <w:rPr>
                <w:rFonts w:ascii="Arial" w:cs="Arial" w:eastAsia="Arial" w:hAnsi="Arial"/>
                <w:sz w:val="18"/>
                <w:szCs w:val="18"/>
                <w:color w:val="auto"/>
                <w:w w:val="93"/>
              </w:rPr>
              <w:t>Exhibit 10.14 of the</w:t>
            </w:r>
          </w:p>
        </w:tc>
        <w:tc>
          <w:tcPr>
            <w:tcW w:w="2160" w:type="dxa"/>
            <w:vAlign w:val="bottom"/>
          </w:tcPr>
          <w:p>
            <w:pPr>
              <w:jc w:val="center"/>
              <w:ind w:left="10"/>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Management Company Switzerland LLC, Weatherford U.S.,</w:t>
            </w:r>
          </w:p>
        </w:tc>
        <w:tc>
          <w:tcPr>
            <w:tcW w:w="2580" w:type="dxa"/>
            <w:vAlign w:val="bottom"/>
          </w:tcPr>
          <w:p>
            <w:pPr>
              <w:jc w:val="center"/>
              <w:ind w:right="110"/>
              <w:spacing w:after="0"/>
              <w:rPr>
                <w:sz w:val="20"/>
                <w:szCs w:val="20"/>
                <w:color w:val="auto"/>
              </w:rPr>
            </w:pPr>
            <w:r>
              <w:rPr>
                <w:rFonts w:ascii="Arial" w:cs="Arial" w:eastAsia="Arial" w:hAnsi="Arial"/>
                <w:sz w:val="18"/>
                <w:szCs w:val="18"/>
                <w:color w:val="auto"/>
                <w:w w:val="89"/>
              </w:rPr>
              <w:t>Company's Current</w:t>
            </w:r>
          </w:p>
        </w:tc>
        <w:tc>
          <w:tcPr>
            <w:tcW w:w="21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L.P. and the following executive officers of Weatherford</w:t>
            </w:r>
          </w:p>
        </w:tc>
        <w:tc>
          <w:tcPr>
            <w:tcW w:w="2580" w:type="dxa"/>
            <w:vAlign w:val="bottom"/>
          </w:tcPr>
          <w:p>
            <w:pPr>
              <w:jc w:val="center"/>
              <w:ind w:right="110"/>
              <w:spacing w:after="0"/>
              <w:rPr>
                <w:sz w:val="20"/>
                <w:szCs w:val="20"/>
                <w:color w:val="auto"/>
              </w:rPr>
            </w:pPr>
            <w:r>
              <w:rPr>
                <w:rFonts w:ascii="Arial" w:cs="Arial" w:eastAsia="Arial" w:hAnsi="Arial"/>
                <w:sz w:val="18"/>
                <w:szCs w:val="18"/>
                <w:color w:val="auto"/>
                <w:w w:val="93"/>
              </w:rPr>
              <w:t>Report on Form 8-K12B</w:t>
            </w:r>
          </w:p>
        </w:tc>
        <w:tc>
          <w:tcPr>
            <w:tcW w:w="216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Ireland: Krishna Shivram, Dharmesh Mehta and Douglas M.</w:t>
            </w:r>
          </w:p>
        </w:tc>
        <w:tc>
          <w:tcPr>
            <w:tcW w:w="2580" w:type="dxa"/>
            <w:vAlign w:val="bottom"/>
          </w:tcPr>
          <w:p>
            <w:pPr>
              <w:jc w:val="center"/>
              <w:ind w:right="70"/>
              <w:spacing w:after="0"/>
              <w:rPr>
                <w:sz w:val="20"/>
                <w:szCs w:val="20"/>
                <w:color w:val="auto"/>
              </w:rPr>
            </w:pPr>
            <w:r>
              <w:rPr>
                <w:rFonts w:ascii="Arial" w:cs="Arial" w:eastAsia="Arial" w:hAnsi="Arial"/>
                <w:sz w:val="18"/>
                <w:szCs w:val="18"/>
                <w:color w:val="auto"/>
                <w:w w:val="90"/>
              </w:rPr>
              <w:t>filed June 17, 2014</w:t>
            </w:r>
          </w:p>
        </w:tc>
        <w:tc>
          <w:tcPr>
            <w:tcW w:w="216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40" w:type="dxa"/>
            <w:vAlign w:val="bottom"/>
          </w:tcPr>
          <w:p>
            <w:pPr>
              <w:ind w:left="180"/>
              <w:spacing w:after="0"/>
              <w:rPr>
                <w:sz w:val="20"/>
                <w:szCs w:val="20"/>
                <w:color w:val="auto"/>
              </w:rPr>
            </w:pPr>
            <w:r>
              <w:rPr>
                <w:rFonts w:ascii="Arial" w:cs="Arial" w:eastAsia="Arial" w:hAnsi="Arial"/>
                <w:sz w:val="18"/>
                <w:szCs w:val="18"/>
                <w:color w:val="auto"/>
              </w:rPr>
              <w:t>Mills (June 16, 2014)</w:t>
            </w:r>
          </w:p>
        </w:tc>
        <w:tc>
          <w:tcPr>
            <w:tcW w:w="2580" w:type="dxa"/>
            <w:vAlign w:val="bottom"/>
          </w:tcPr>
          <w:p>
            <w:pPr>
              <w:spacing w:after="0"/>
              <w:rPr>
                <w:sz w:val="20"/>
                <w:szCs w:val="20"/>
                <w:color w:val="auto"/>
              </w:rPr>
            </w:pPr>
          </w:p>
        </w:tc>
        <w:tc>
          <w:tcPr>
            <w:tcW w:w="2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17145</wp:posOffset>
            </wp:positionV>
            <wp:extent cx="6791960" cy="582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91960" cy="582930"/>
                    </a:xfrm>
                    <a:prstGeom prst="rect">
                      <a:avLst/>
                    </a:prstGeom>
                    <a:noFill/>
                  </pic:spPr>
                </pic:pic>
              </a:graphicData>
            </a:graphic>
          </wp:anchor>
        </w:drawing>
      </w:r>
    </w:p>
    <w:p>
      <w:pPr>
        <w:sectPr>
          <w:pgSz w:w="11900" w:h="16838" w:orient="portrait"/>
          <w:cols w:equalWidth="0" w:num="1">
            <w:col w:w="11240"/>
          </w:cols>
          <w:pgMar w:left="240" w:top="378" w:right="419" w:bottom="1440" w:gutter="0" w:footer="0" w:header="0"/>
        </w:sectPr>
      </w:pPr>
    </w:p>
    <w:p>
      <w:pPr>
        <w:spacing w:after="0" w:line="40" w:lineRule="exact"/>
        <w:rPr>
          <w:sz w:val="20"/>
          <w:szCs w:val="20"/>
          <w:color w:val="auto"/>
        </w:rPr>
      </w:pPr>
    </w:p>
    <w:p>
      <w:pPr>
        <w:ind w:left="720"/>
        <w:spacing w:after="0"/>
        <w:tabs>
          <w:tab w:leader="none" w:pos="16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6"/>
          <w:szCs w:val="16"/>
          <w:color w:val="auto"/>
        </w:rPr>
        <w:t>Executive Compensation Clawback Policy, dated February 15,</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2012</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160"/>
        <w:spacing w:after="0"/>
        <w:tabs>
          <w:tab w:leader="none" w:pos="2720" w:val="left"/>
        </w:tabs>
        <w:rPr>
          <w:sz w:val="20"/>
          <w:szCs w:val="20"/>
          <w:color w:val="auto"/>
        </w:rPr>
      </w:pPr>
      <w:r>
        <w:rPr>
          <w:rFonts w:ascii="Arial" w:cs="Arial" w:eastAsia="Arial" w:hAnsi="Arial"/>
          <w:sz w:val="18"/>
          <w:szCs w:val="18"/>
          <w:color w:val="auto"/>
        </w:rPr>
        <w:t>Exhibit 10.2 to the</w:t>
      </w:r>
      <w:r>
        <w:rPr>
          <w:sz w:val="20"/>
          <w:szCs w:val="20"/>
          <w:color w:val="auto"/>
        </w:rPr>
        <w:tab/>
      </w:r>
      <w:r>
        <w:rPr>
          <w:rFonts w:ascii="Arial" w:cs="Arial" w:eastAsia="Arial" w:hAnsi="Arial"/>
          <w:sz w:val="16"/>
          <w:szCs w:val="16"/>
          <w:color w:val="auto"/>
        </w:rPr>
        <w:t>File No. 1-34258</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Company's Current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Report on Form 8-K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filed February 22, 2012</w:t>
      </w:r>
    </w:p>
    <w:p>
      <w:pPr>
        <w:spacing w:after="0" w:line="49" w:lineRule="exact"/>
        <w:rPr>
          <w:sz w:val="20"/>
          <w:szCs w:val="20"/>
          <w:color w:val="auto"/>
        </w:rPr>
      </w:pPr>
    </w:p>
    <w:p>
      <w:pPr>
        <w:sectPr>
          <w:pgSz w:w="11900" w:h="16838" w:orient="portrait"/>
          <w:cols w:equalWidth="0" w:num="2">
            <w:col w:w="6140" w:space="720"/>
            <w:col w:w="4380"/>
          </w:cols>
          <w:pgMar w:left="240" w:top="378" w:right="419" w:bottom="1440" w:gutter="0" w:footer="0" w:header="0"/>
          <w:type w:val="continuous"/>
        </w:sectPr>
      </w:pPr>
    </w:p>
    <w:p>
      <w:pPr>
        <w:ind w:left="1640" w:right="200" w:hanging="877"/>
        <w:spacing w:after="0" w:line="273" w:lineRule="auto"/>
        <w:tabs>
          <w:tab w:leader="none" w:pos="162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7"/>
          <w:szCs w:val="17"/>
          <w:color w:val="auto"/>
        </w:rPr>
        <w:t>Credit Agreement, dated as of October 15, 2010, among Weatherford Bermuda, Weatherford Switzerland, other Borrowers party thereto, Wells Fargo Bank, National Association, as a swingline lender, JPMorgan Chase Bank, N.A., as administrative agent and a swingline lender and the other parties thereto</w:t>
      </w:r>
    </w:p>
    <w:p>
      <w:pPr>
        <w:spacing w:after="0" w:line="20" w:lineRule="exact"/>
        <w:rPr>
          <w:sz w:val="20"/>
          <w:szCs w:val="20"/>
          <w:color w:val="auto"/>
        </w:rPr>
      </w:pPr>
      <w:r>
        <w:rPr>
          <w:sz w:val="20"/>
          <w:szCs w:val="20"/>
          <w:color w:val="auto"/>
        </w:rPr>
        <w:br w:type="column"/>
      </w:r>
    </w:p>
    <w:p>
      <w:pPr>
        <w:ind w:left="120"/>
        <w:spacing w:after="0"/>
        <w:tabs>
          <w:tab w:leader="none" w:pos="2680" w:val="left"/>
        </w:tabs>
        <w:rPr>
          <w:sz w:val="20"/>
          <w:szCs w:val="20"/>
          <w:color w:val="auto"/>
        </w:rPr>
      </w:pPr>
      <w:r>
        <w:rPr>
          <w:rFonts w:ascii="Arial" w:cs="Arial" w:eastAsia="Arial" w:hAnsi="Arial"/>
          <w:sz w:val="18"/>
          <w:szCs w:val="18"/>
          <w:color w:val="auto"/>
        </w:rPr>
        <w:t>Exhibit 10.1 to the</w:t>
      </w:r>
      <w:r>
        <w:rPr>
          <w:sz w:val="20"/>
          <w:szCs w:val="20"/>
          <w:color w:val="auto"/>
        </w:rPr>
        <w:tab/>
      </w:r>
      <w:r>
        <w:rPr>
          <w:rFonts w:ascii="Arial" w:cs="Arial" w:eastAsia="Arial" w:hAnsi="Arial"/>
          <w:sz w:val="16"/>
          <w:szCs w:val="16"/>
          <w:color w:val="auto"/>
        </w:rPr>
        <w:t>File No. 1-34258</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Company's Current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Report on Form 8-K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filed October 19, 2010</w:t>
      </w:r>
    </w:p>
    <w:p>
      <w:pPr>
        <w:spacing w:after="0" w:line="468" w:lineRule="exact"/>
        <w:rPr>
          <w:sz w:val="20"/>
          <w:szCs w:val="20"/>
          <w:color w:val="auto"/>
        </w:rPr>
      </w:pPr>
    </w:p>
    <w:p>
      <w:pPr>
        <w:sectPr>
          <w:pgSz w:w="11900" w:h="16838" w:orient="portrait"/>
          <w:cols w:equalWidth="0" w:num="2">
            <w:col w:w="6180" w:space="720"/>
            <w:col w:w="434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10.42</w:t>
            </w:r>
          </w:p>
        </w:tc>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Guaranty Agreement, dated October 15, 2010, among</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Exhibit 10.3 to the</w:t>
            </w:r>
          </w:p>
        </w:tc>
        <w:tc>
          <w:tcPr>
            <w:tcW w:w="21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File No. 1-34258</w:t>
            </w:r>
          </w:p>
        </w:tc>
      </w:tr>
      <w:tr>
        <w:trPr>
          <w:trHeight w:val="216"/>
        </w:trPr>
        <w:tc>
          <w:tcPr>
            <w:tcW w:w="860" w:type="dxa"/>
            <w:vAlign w:val="bottom"/>
            <w:shd w:val="clear" w:color="auto" w:fill="CCEEFF"/>
          </w:tcPr>
          <w:p>
            <w:pPr>
              <w:spacing w:after="0"/>
              <w:rPr>
                <w:sz w:val="18"/>
                <w:szCs w:val="18"/>
                <w:color w:val="auto"/>
              </w:rPr>
            </w:pPr>
          </w:p>
        </w:tc>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Weatherford Switzerland, Weatherford Delaware and JP</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Company's Quarterly</w:t>
            </w:r>
          </w:p>
        </w:tc>
        <w:tc>
          <w:tcPr>
            <w:tcW w:w="2160" w:type="dxa"/>
            <w:vAlign w:val="bottom"/>
            <w:shd w:val="clear" w:color="auto" w:fill="CCEEFF"/>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4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Morgan Chase Bank, N.A. as administrative agent</w:t>
            </w: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Report on Form 10-Q</w:t>
            </w:r>
          </w:p>
        </w:tc>
        <w:tc>
          <w:tcPr>
            <w:tcW w:w="2160" w:type="dxa"/>
            <w:vAlign w:val="bottom"/>
            <w:shd w:val="clear" w:color="auto" w:fill="CCEEFF"/>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for the quarter ended</w:t>
            </w:r>
          </w:p>
        </w:tc>
        <w:tc>
          <w:tcPr>
            <w:tcW w:w="2160" w:type="dxa"/>
            <w:vAlign w:val="bottom"/>
            <w:shd w:val="clear" w:color="auto" w:fill="CCEEFF"/>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September 30, 2010</w:t>
            </w:r>
          </w:p>
        </w:tc>
        <w:tc>
          <w:tcPr>
            <w:tcW w:w="2160" w:type="dxa"/>
            <w:vAlign w:val="bottom"/>
            <w:shd w:val="clear" w:color="auto" w:fill="CCEEFF"/>
          </w:tcPr>
          <w:p>
            <w:pPr>
              <w:spacing w:after="0"/>
              <w:rPr>
                <w:sz w:val="18"/>
                <w:szCs w:val="18"/>
                <w:color w:val="auto"/>
              </w:rPr>
            </w:pPr>
          </w:p>
        </w:tc>
      </w:tr>
      <w:tr>
        <w:trPr>
          <w:trHeight w:val="230"/>
        </w:trPr>
        <w:tc>
          <w:tcPr>
            <w:tcW w:w="860" w:type="dxa"/>
            <w:vAlign w:val="bottom"/>
            <w:shd w:val="clear" w:color="auto" w:fill="CCEEFF"/>
          </w:tcPr>
          <w:p>
            <w:pPr>
              <w:spacing w:after="0"/>
              <w:rPr>
                <w:sz w:val="20"/>
                <w:szCs w:val="20"/>
                <w:color w:val="auto"/>
              </w:rPr>
            </w:pPr>
          </w:p>
        </w:tc>
        <w:tc>
          <w:tcPr>
            <w:tcW w:w="4860" w:type="dxa"/>
            <w:vAlign w:val="bottom"/>
            <w:shd w:val="clear" w:color="auto" w:fill="CCEEFF"/>
          </w:tcPr>
          <w:p>
            <w:pPr>
              <w:spacing w:after="0"/>
              <w:rPr>
                <w:sz w:val="20"/>
                <w:szCs w:val="20"/>
                <w:color w:val="auto"/>
              </w:rPr>
            </w:pPr>
          </w:p>
        </w:tc>
        <w:tc>
          <w:tcPr>
            <w:tcW w:w="28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filed November 2, 2010</w:t>
            </w:r>
          </w:p>
        </w:tc>
        <w:tc>
          <w:tcPr>
            <w:tcW w:w="2160" w:type="dxa"/>
            <w:vAlign w:val="bottom"/>
            <w:shd w:val="clear" w:color="auto" w:fill="CCEEFF"/>
          </w:tcPr>
          <w:p>
            <w:pPr>
              <w:spacing w:after="0"/>
              <w:rPr>
                <w:sz w:val="20"/>
                <w:szCs w:val="20"/>
                <w:color w:val="auto"/>
              </w:rPr>
            </w:pPr>
          </w:p>
        </w:tc>
      </w:tr>
      <w:tr>
        <w:trPr>
          <w:trHeight w:val="27"/>
        </w:trPr>
        <w:tc>
          <w:tcPr>
            <w:tcW w:w="86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240" w:top="378" w:right="419" w:bottom="1440" w:gutter="0" w:footer="0" w:header="0"/>
          <w:type w:val="continuous"/>
        </w:sectPr>
      </w:pPr>
    </w:p>
    <w:p>
      <w:pPr>
        <w:ind w:left="1640" w:right="120" w:hanging="877"/>
        <w:spacing w:after="0" w:line="272" w:lineRule="auto"/>
        <w:tabs>
          <w:tab w:leader="none" w:pos="162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7"/>
          <w:szCs w:val="17"/>
          <w:color w:val="auto"/>
        </w:rPr>
        <w:t>Amendment No. 1, dated July 13, 2011, to Credit Agreement with Weatherford Bermuda, Weatherford Switzerland, Weatherford Delaware, Weatherford Liquidity Management Hungary Limited Liability Company, Weatherford Capital Management Services Limited Liability Company, the lenders and issuing banks party thereto and JPMorgan Chase Bank, N.A., as administrative agent</w:t>
      </w:r>
    </w:p>
    <w:p>
      <w:pPr>
        <w:spacing w:after="0" w:line="20" w:lineRule="exact"/>
        <w:rPr>
          <w:sz w:val="20"/>
          <w:szCs w:val="20"/>
          <w:color w:val="auto"/>
        </w:rPr>
      </w:pPr>
      <w:r>
        <w:rPr>
          <w:sz w:val="20"/>
          <w:szCs w:val="20"/>
          <w:color w:val="auto"/>
        </w:rPr>
        <w:br w:type="column"/>
      </w:r>
    </w:p>
    <w:p>
      <w:pPr>
        <w:ind w:left="60"/>
        <w:spacing w:after="0"/>
        <w:tabs>
          <w:tab w:leader="none" w:pos="2620" w:val="left"/>
        </w:tabs>
        <w:rPr>
          <w:sz w:val="20"/>
          <w:szCs w:val="20"/>
          <w:color w:val="auto"/>
        </w:rPr>
      </w:pPr>
      <w:r>
        <w:rPr>
          <w:rFonts w:ascii="Arial" w:cs="Arial" w:eastAsia="Arial" w:hAnsi="Arial"/>
          <w:sz w:val="18"/>
          <w:szCs w:val="18"/>
          <w:color w:val="auto"/>
        </w:rPr>
        <w:t>Exhibit 10.1 to the</w:t>
      </w:r>
      <w:r>
        <w:rPr>
          <w:sz w:val="20"/>
          <w:szCs w:val="20"/>
          <w:color w:val="auto"/>
        </w:rPr>
        <w:tab/>
      </w:r>
      <w:r>
        <w:rPr>
          <w:rFonts w:ascii="Arial" w:cs="Arial" w:eastAsia="Arial" w:hAnsi="Arial"/>
          <w:sz w:val="16"/>
          <w:szCs w:val="16"/>
          <w:color w:val="auto"/>
        </w:rPr>
        <w:t>File No. 1-34258</w:t>
      </w:r>
    </w:p>
    <w:p>
      <w:pPr>
        <w:spacing w:after="0" w:line="23" w:lineRule="exact"/>
        <w:rPr>
          <w:sz w:val="20"/>
          <w:szCs w:val="20"/>
          <w:color w:val="auto"/>
        </w:rPr>
      </w:pPr>
    </w:p>
    <w:p>
      <w:pPr>
        <w:jc w:val="right"/>
        <w:ind w:right="2860"/>
        <w:spacing w:after="0"/>
        <w:rPr>
          <w:sz w:val="20"/>
          <w:szCs w:val="20"/>
          <w:color w:val="auto"/>
        </w:rPr>
      </w:pPr>
      <w:r>
        <w:rPr>
          <w:rFonts w:ascii="Arial" w:cs="Arial" w:eastAsia="Arial" w:hAnsi="Arial"/>
          <w:sz w:val="16"/>
          <w:szCs w:val="16"/>
          <w:color w:val="auto"/>
        </w:rPr>
        <w:t>Company's Current</w:t>
      </w:r>
    </w:p>
    <w:p>
      <w:pPr>
        <w:spacing w:after="0" w:line="32" w:lineRule="exact"/>
        <w:rPr>
          <w:sz w:val="20"/>
          <w:szCs w:val="20"/>
          <w:color w:val="auto"/>
        </w:rPr>
      </w:pPr>
    </w:p>
    <w:p>
      <w:pPr>
        <w:jc w:val="right"/>
        <w:ind w:right="2820"/>
        <w:spacing w:after="0"/>
        <w:rPr>
          <w:sz w:val="20"/>
          <w:szCs w:val="20"/>
          <w:color w:val="auto"/>
        </w:rPr>
      </w:pPr>
      <w:r>
        <w:rPr>
          <w:rFonts w:ascii="Arial" w:cs="Arial" w:eastAsia="Arial" w:hAnsi="Arial"/>
          <w:sz w:val="16"/>
          <w:szCs w:val="16"/>
          <w:color w:val="auto"/>
        </w:rPr>
        <w:t>Report on Form 8-K</w:t>
      </w:r>
    </w:p>
    <w:p>
      <w:pPr>
        <w:spacing w:after="0" w:line="32" w:lineRule="exact"/>
        <w:rPr>
          <w:sz w:val="20"/>
          <w:szCs w:val="20"/>
          <w:color w:val="auto"/>
        </w:rPr>
      </w:pPr>
    </w:p>
    <w:p>
      <w:pPr>
        <w:jc w:val="right"/>
        <w:ind w:right="2860"/>
        <w:spacing w:after="0"/>
        <w:rPr>
          <w:sz w:val="20"/>
          <w:szCs w:val="20"/>
          <w:color w:val="auto"/>
        </w:rPr>
      </w:pPr>
      <w:r>
        <w:rPr>
          <w:rFonts w:ascii="Arial" w:cs="Arial" w:eastAsia="Arial" w:hAnsi="Arial"/>
          <w:sz w:val="17"/>
          <w:szCs w:val="17"/>
          <w:color w:val="auto"/>
        </w:rPr>
        <w:t>filed July 13, 2011</w:t>
      </w:r>
    </w:p>
    <w:p>
      <w:pPr>
        <w:spacing w:after="0" w:line="695" w:lineRule="exact"/>
        <w:rPr>
          <w:sz w:val="20"/>
          <w:szCs w:val="20"/>
          <w:color w:val="auto"/>
        </w:rPr>
      </w:pPr>
    </w:p>
    <w:p>
      <w:pPr>
        <w:sectPr>
          <w:pgSz w:w="11900" w:h="16838" w:orient="portrait"/>
          <w:cols w:equalWidth="0" w:num="2">
            <w:col w:w="6240" w:space="720"/>
            <w:col w:w="4280"/>
          </w:cols>
          <w:pgMar w:left="240" w:top="378" w:right="419" w:bottom="1440" w:gutter="0" w:footer="0" w:header="0"/>
          <w:type w:val="continuous"/>
        </w:sectPr>
      </w:pPr>
    </w:p>
    <w:tbl>
      <w:tblPr>
        <w:tblLayout w:type="fixed"/>
        <w:tblInd w:w="540" w:type="dxa"/>
        <w:tblCellMar>
          <w:top w:w="0" w:type="dxa"/>
          <w:left w:w="0" w:type="dxa"/>
          <w:bottom w:w="0" w:type="dxa"/>
          <w:right w:w="0" w:type="dxa"/>
        </w:tblCellMar>
      </w:tblPr>
      <w:tr>
        <w:trPr>
          <w:trHeight w:val="229"/>
        </w:trPr>
        <w:tc>
          <w:tcPr>
            <w:tcW w:w="8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10.44</w:t>
            </w:r>
          </w:p>
        </w:tc>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Amendment No. 2 and Limited Waiver, dated August 6, 2012,</w:t>
            </w:r>
          </w:p>
        </w:tc>
        <w:tc>
          <w:tcPr>
            <w:tcW w:w="24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2"/>
              </w:rPr>
              <w:t>Exhibit 10.1 to the</w:t>
            </w:r>
          </w:p>
        </w:tc>
        <w:tc>
          <w:tcPr>
            <w:tcW w:w="22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File No. 1-34258</w:t>
            </w:r>
          </w:p>
        </w:tc>
      </w:tr>
      <w:tr>
        <w:trPr>
          <w:trHeight w:val="216"/>
        </w:trPr>
        <w:tc>
          <w:tcPr>
            <w:tcW w:w="860" w:type="dxa"/>
            <w:vAlign w:val="bottom"/>
            <w:shd w:val="clear" w:color="auto" w:fill="CCEEFF"/>
          </w:tcPr>
          <w:p>
            <w:pPr>
              <w:spacing w:after="0"/>
              <w:rPr>
                <w:sz w:val="18"/>
                <w:szCs w:val="18"/>
                <w:color w:val="auto"/>
              </w:rPr>
            </w:pPr>
          </w:p>
        </w:tc>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9"/>
              </w:rPr>
              <w:t>to Credit Agreement with Weatherford Bermuda, Weatherford</w:t>
            </w:r>
          </w:p>
        </w:tc>
        <w:tc>
          <w:tcPr>
            <w:tcW w:w="24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220" w:type="dxa"/>
            <w:vAlign w:val="bottom"/>
            <w:shd w:val="clear" w:color="auto" w:fill="CCEEFF"/>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Switzerland, Weatherford Delaware, Weatherford Liquidity</w:t>
            </w:r>
          </w:p>
        </w:tc>
        <w:tc>
          <w:tcPr>
            <w:tcW w:w="248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91"/>
              </w:rPr>
              <w:t>Report on Form 8-K</w:t>
            </w:r>
          </w:p>
        </w:tc>
        <w:tc>
          <w:tcPr>
            <w:tcW w:w="2220" w:type="dxa"/>
            <w:vAlign w:val="bottom"/>
            <w:shd w:val="clear" w:color="auto" w:fill="CCEEFF"/>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Management Hungary Limited Liability Company,</w:t>
            </w:r>
          </w:p>
        </w:tc>
        <w:tc>
          <w:tcPr>
            <w:tcW w:w="24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filed August 6, 2012</w:t>
            </w:r>
          </w:p>
        </w:tc>
        <w:tc>
          <w:tcPr>
            <w:tcW w:w="2220" w:type="dxa"/>
            <w:vAlign w:val="bottom"/>
            <w:shd w:val="clear" w:color="auto" w:fill="CCEEFF"/>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Weatherford Capital Management Services Limited Liability</w:t>
            </w:r>
          </w:p>
        </w:tc>
        <w:tc>
          <w:tcPr>
            <w:tcW w:w="2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5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Company, the lenders thereto and JPMorgan Chase Bank,</w:t>
            </w:r>
          </w:p>
        </w:tc>
        <w:tc>
          <w:tcPr>
            <w:tcW w:w="2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r>
      <w:tr>
        <w:trPr>
          <w:trHeight w:val="237"/>
        </w:trPr>
        <w:tc>
          <w:tcPr>
            <w:tcW w:w="860" w:type="dxa"/>
            <w:vAlign w:val="bottom"/>
            <w:tcBorders>
              <w:bottom w:val="single" w:sz="8" w:color="CCEEFF"/>
            </w:tcBorders>
            <w:shd w:val="clear" w:color="auto" w:fill="CCEEFF"/>
          </w:tcPr>
          <w:p>
            <w:pPr>
              <w:spacing w:after="0"/>
              <w:rPr>
                <w:sz w:val="20"/>
                <w:szCs w:val="20"/>
                <w:color w:val="auto"/>
              </w:rPr>
            </w:pPr>
          </w:p>
        </w:tc>
        <w:tc>
          <w:tcPr>
            <w:tcW w:w="51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N.A., as administrative agent</w:t>
            </w:r>
          </w:p>
        </w:tc>
        <w:tc>
          <w:tcPr>
            <w:tcW w:w="248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r>
      <w:tr>
        <w:trPr>
          <w:trHeight w:val="229"/>
        </w:trPr>
        <w:tc>
          <w:tcPr>
            <w:tcW w:w="860" w:type="dxa"/>
            <w:vAlign w:val="bottom"/>
          </w:tcPr>
          <w:p>
            <w:pPr>
              <w:jc w:val="right"/>
              <w:ind w:right="150"/>
              <w:spacing w:after="0"/>
              <w:rPr>
                <w:sz w:val="20"/>
                <w:szCs w:val="20"/>
                <w:color w:val="auto"/>
              </w:rPr>
            </w:pPr>
            <w:r>
              <w:rPr>
                <w:rFonts w:ascii="Arial" w:cs="Arial" w:eastAsia="Arial" w:hAnsi="Arial"/>
                <w:sz w:val="18"/>
                <w:szCs w:val="18"/>
                <w:color w:val="auto"/>
              </w:rPr>
              <w:t>10.45</w:t>
            </w:r>
          </w:p>
        </w:tc>
        <w:tc>
          <w:tcPr>
            <w:tcW w:w="5140" w:type="dxa"/>
            <w:vAlign w:val="bottom"/>
          </w:tcPr>
          <w:p>
            <w:pPr>
              <w:ind w:left="240"/>
              <w:spacing w:after="0"/>
              <w:rPr>
                <w:sz w:val="20"/>
                <w:szCs w:val="20"/>
                <w:color w:val="auto"/>
              </w:rPr>
            </w:pPr>
            <w:r>
              <w:rPr>
                <w:rFonts w:ascii="Arial" w:cs="Arial" w:eastAsia="Arial" w:hAnsi="Arial"/>
                <w:sz w:val="18"/>
                <w:szCs w:val="18"/>
                <w:color w:val="auto"/>
                <w:w w:val="99"/>
              </w:rPr>
              <w:t>Amendment No. 3, dated June 30, 2015, to Credit Agreement</w:t>
            </w:r>
          </w:p>
        </w:tc>
        <w:tc>
          <w:tcPr>
            <w:tcW w:w="2480" w:type="dxa"/>
            <w:vAlign w:val="bottom"/>
          </w:tcPr>
          <w:p>
            <w:pPr>
              <w:jc w:val="center"/>
              <w:ind w:right="90"/>
              <w:spacing w:after="0"/>
              <w:rPr>
                <w:sz w:val="20"/>
                <w:szCs w:val="20"/>
                <w:color w:val="auto"/>
              </w:rPr>
            </w:pPr>
            <w:r>
              <w:rPr>
                <w:rFonts w:ascii="Arial" w:cs="Arial" w:eastAsia="Arial" w:hAnsi="Arial"/>
                <w:sz w:val="18"/>
                <w:szCs w:val="18"/>
                <w:color w:val="auto"/>
                <w:w w:val="92"/>
              </w:rPr>
              <w:t>Exhibit 10.1 to the</w:t>
            </w:r>
          </w:p>
        </w:tc>
        <w:tc>
          <w:tcPr>
            <w:tcW w:w="2220" w:type="dxa"/>
            <w:vAlign w:val="bottom"/>
          </w:tcPr>
          <w:p>
            <w:pPr>
              <w:ind w:left="580"/>
              <w:spacing w:after="0"/>
              <w:rPr>
                <w:sz w:val="20"/>
                <w:szCs w:val="20"/>
                <w:color w:val="auto"/>
              </w:rPr>
            </w:pPr>
            <w:r>
              <w:rPr>
                <w:rFonts w:ascii="Arial" w:cs="Arial" w:eastAsia="Arial" w:hAnsi="Arial"/>
                <w:sz w:val="18"/>
                <w:szCs w:val="18"/>
                <w:color w:val="auto"/>
              </w:rPr>
              <w:t>File No. 1-36504</w:t>
            </w:r>
          </w:p>
        </w:tc>
      </w:tr>
      <w:tr>
        <w:trPr>
          <w:trHeight w:val="216"/>
        </w:trPr>
        <w:tc>
          <w:tcPr>
            <w:tcW w:w="86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w w:val="99"/>
              </w:rPr>
              <w:t>with Weatherford Bermuda, Weatherford Ireland, Weatherford</w:t>
            </w:r>
          </w:p>
        </w:tc>
        <w:tc>
          <w:tcPr>
            <w:tcW w:w="2480" w:type="dxa"/>
            <w:vAlign w:val="bottom"/>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2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Delaware, Weatherford Liquidity Management Hungary</w:t>
            </w:r>
          </w:p>
        </w:tc>
        <w:tc>
          <w:tcPr>
            <w:tcW w:w="2480" w:type="dxa"/>
            <w:vAlign w:val="bottom"/>
          </w:tcPr>
          <w:p>
            <w:pPr>
              <w:jc w:val="center"/>
              <w:ind w:right="90"/>
              <w:spacing w:after="0"/>
              <w:rPr>
                <w:sz w:val="20"/>
                <w:szCs w:val="20"/>
                <w:color w:val="auto"/>
              </w:rPr>
            </w:pPr>
            <w:r>
              <w:rPr>
                <w:rFonts w:ascii="Arial" w:cs="Arial" w:eastAsia="Arial" w:hAnsi="Arial"/>
                <w:sz w:val="18"/>
                <w:szCs w:val="18"/>
                <w:color w:val="auto"/>
                <w:w w:val="91"/>
              </w:rPr>
              <w:t>Report on Form 8-K</w:t>
            </w:r>
          </w:p>
        </w:tc>
        <w:tc>
          <w:tcPr>
            <w:tcW w:w="2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Limited Liability Company, Weatherford Capital Management</w:t>
            </w:r>
          </w:p>
        </w:tc>
        <w:tc>
          <w:tcPr>
            <w:tcW w:w="2480" w:type="dxa"/>
            <w:vAlign w:val="bottom"/>
          </w:tcPr>
          <w:p>
            <w:pPr>
              <w:jc w:val="center"/>
              <w:ind w:right="50"/>
              <w:spacing w:after="0"/>
              <w:rPr>
                <w:sz w:val="20"/>
                <w:szCs w:val="20"/>
                <w:color w:val="auto"/>
              </w:rPr>
            </w:pPr>
            <w:r>
              <w:rPr>
                <w:rFonts w:ascii="Arial" w:cs="Arial" w:eastAsia="Arial" w:hAnsi="Arial"/>
                <w:sz w:val="18"/>
                <w:szCs w:val="18"/>
                <w:color w:val="auto"/>
                <w:w w:val="93"/>
              </w:rPr>
              <w:t>filed July 1, 2015</w:t>
            </w:r>
          </w:p>
        </w:tc>
        <w:tc>
          <w:tcPr>
            <w:tcW w:w="2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Services Limited Liability Company, the lenders thereto and</w:t>
            </w:r>
          </w:p>
        </w:tc>
        <w:tc>
          <w:tcPr>
            <w:tcW w:w="248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w w:val="99"/>
              </w:rPr>
              <w:t>issuing banks party thereto and JPMorgan Chase Bank, N.A.,</w:t>
            </w:r>
          </w:p>
        </w:tc>
        <w:tc>
          <w:tcPr>
            <w:tcW w:w="248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as administrative agent</w:t>
            </w:r>
          </w:p>
        </w:tc>
        <w:tc>
          <w:tcPr>
            <w:tcW w:w="24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86"/>
        </w:trPr>
        <w:tc>
          <w:tcPr>
            <w:tcW w:w="860" w:type="dxa"/>
            <w:vAlign w:val="bottom"/>
          </w:tcPr>
          <w:p>
            <w:pPr>
              <w:spacing w:after="0"/>
              <w:rPr>
                <w:sz w:val="24"/>
                <w:szCs w:val="24"/>
                <w:color w:val="auto"/>
              </w:rPr>
            </w:pPr>
          </w:p>
        </w:tc>
        <w:tc>
          <w:tcPr>
            <w:tcW w:w="5140" w:type="dxa"/>
            <w:vAlign w:val="bottom"/>
          </w:tcPr>
          <w:p>
            <w:pPr>
              <w:ind w:left="4180"/>
              <w:spacing w:after="0"/>
              <w:rPr>
                <w:sz w:val="20"/>
                <w:szCs w:val="20"/>
                <w:color w:val="auto"/>
              </w:rPr>
            </w:pPr>
            <w:r>
              <w:rPr>
                <w:rFonts w:ascii="Arial" w:cs="Arial" w:eastAsia="Arial" w:hAnsi="Arial"/>
                <w:sz w:val="18"/>
                <w:szCs w:val="18"/>
                <w:color w:val="auto"/>
              </w:rPr>
              <w:t>102</w:t>
            </w:r>
          </w:p>
        </w:tc>
        <w:tc>
          <w:tcPr>
            <w:tcW w:w="248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1240"/>
          </w:cols>
          <w:pgMar w:left="240" w:top="378" w:right="419" w:bottom="1440" w:gutter="0" w:footer="0" w:header="0"/>
          <w:type w:val="continuous"/>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3"/>
          </w:tcPr>
          <w:p>
            <w:pPr>
              <w:jc w:val="right"/>
              <w:ind w:right="180"/>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48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623"/>
        </w:trPr>
        <w:tc>
          <w:tcPr>
            <w:tcW w:w="5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ind w:left="140"/>
              <w:spacing w:after="0"/>
              <w:rPr>
                <w:sz w:val="20"/>
                <w:szCs w:val="20"/>
                <w:color w:val="auto"/>
              </w:rPr>
            </w:pPr>
            <w:r>
              <w:rPr>
                <w:rFonts w:ascii="Arial" w:cs="Arial" w:eastAsia="Arial" w:hAnsi="Arial"/>
                <w:sz w:val="18"/>
                <w:szCs w:val="18"/>
                <w:b w:val="1"/>
                <w:bCs w:val="1"/>
                <w:color w:val="auto"/>
                <w:w w:val="96"/>
              </w:rPr>
              <w:t>Exhibit</w:t>
            </w:r>
          </w:p>
        </w:tc>
        <w:tc>
          <w:tcPr>
            <w:tcW w:w="1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34"/>
        </w:trPr>
        <w:tc>
          <w:tcPr>
            <w:tcW w:w="5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Number</w:t>
            </w:r>
          </w:p>
        </w:tc>
        <w:tc>
          <w:tcPr>
            <w:tcW w:w="4840" w:type="dxa"/>
            <w:vAlign w:val="bottom"/>
          </w:tcPr>
          <w:p>
            <w:pPr>
              <w:ind w:left="2000"/>
              <w:spacing w:after="0"/>
              <w:rPr>
                <w:sz w:val="20"/>
                <w:szCs w:val="20"/>
                <w:color w:val="auto"/>
              </w:rPr>
            </w:pPr>
            <w:r>
              <w:rPr>
                <w:rFonts w:ascii="Arial" w:cs="Arial" w:eastAsia="Arial" w:hAnsi="Arial"/>
                <w:sz w:val="18"/>
                <w:szCs w:val="18"/>
                <w:b w:val="1"/>
                <w:bCs w:val="1"/>
                <w:color w:val="auto"/>
              </w:rPr>
              <w:t>Description</w:t>
            </w:r>
          </w:p>
        </w:tc>
        <w:tc>
          <w:tcPr>
            <w:tcW w:w="296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Original Filed Exhibit</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4"/>
              </w:rPr>
              <w:t>File Number</w:t>
            </w:r>
          </w:p>
        </w:tc>
      </w:tr>
      <w:tr>
        <w:trPr>
          <w:trHeight w:val="27"/>
        </w:trPr>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22"/>
        </w:trPr>
        <w:tc>
          <w:tcPr>
            <w:tcW w:w="540" w:type="dxa"/>
            <w:vAlign w:val="bottom"/>
          </w:tcPr>
          <w:p>
            <w:pPr>
              <w:spacing w:after="0"/>
              <w:rPr>
                <w:sz w:val="19"/>
                <w:szCs w:val="19"/>
                <w:color w:val="auto"/>
              </w:rPr>
            </w:pPr>
          </w:p>
        </w:tc>
        <w:tc>
          <w:tcPr>
            <w:tcW w:w="7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10.46</w:t>
            </w:r>
          </w:p>
        </w:tc>
        <w:tc>
          <w:tcPr>
            <w:tcW w:w="180" w:type="dxa"/>
            <w:vAlign w:val="bottom"/>
            <w:tcBorders>
              <w:top w:val="single" w:sz="8" w:color="auto"/>
            </w:tcBorders>
            <w:shd w:val="clear" w:color="auto" w:fill="CCEEFF"/>
          </w:tcPr>
          <w:p>
            <w:pPr>
              <w:spacing w:after="0"/>
              <w:rPr>
                <w:sz w:val="19"/>
                <w:szCs w:val="19"/>
                <w:color w:val="auto"/>
              </w:rPr>
            </w:pPr>
          </w:p>
        </w:tc>
        <w:tc>
          <w:tcPr>
            <w:tcW w:w="48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Amendment No. 4, dated February 1, 2016, to Credit</w:t>
            </w:r>
          </w:p>
        </w:tc>
        <w:tc>
          <w:tcPr>
            <w:tcW w:w="2960" w:type="dxa"/>
            <w:vAlign w:val="bottom"/>
            <w:tcBorders>
              <w:top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92"/>
              </w:rPr>
              <w:t>Exhibit 10.1 of the Company's</w:t>
            </w: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Agreement with Weatherford Bermuda, Weatherford Ireland,</w:t>
            </w:r>
          </w:p>
        </w:tc>
        <w:tc>
          <w:tcPr>
            <w:tcW w:w="29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3"/>
              </w:rPr>
              <w:t>Current Report on Form 8-K filed</w:t>
            </w:r>
          </w:p>
        </w:tc>
        <w:tc>
          <w:tcPr>
            <w:tcW w:w="19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Weatherford Delaware, Weatherford Liquidity Management</w:t>
            </w:r>
          </w:p>
        </w:tc>
        <w:tc>
          <w:tcPr>
            <w:tcW w:w="29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February 4, 2016</w:t>
            </w:r>
          </w:p>
        </w:tc>
        <w:tc>
          <w:tcPr>
            <w:tcW w:w="19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Hungary Limited Liability Company, Weatherford Capital</w:t>
            </w:r>
          </w:p>
        </w:tc>
        <w:tc>
          <w:tcPr>
            <w:tcW w:w="29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Management Services Limited Liability Company, the lenders</w:t>
            </w:r>
          </w:p>
        </w:tc>
        <w:tc>
          <w:tcPr>
            <w:tcW w:w="29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thereto and issuing banks party thereto and JPMorgan Chase</w:t>
            </w:r>
          </w:p>
        </w:tc>
        <w:tc>
          <w:tcPr>
            <w:tcW w:w="29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Bank, N.A., as administrative agent</w:t>
            </w:r>
          </w:p>
        </w:tc>
        <w:tc>
          <w:tcPr>
            <w:tcW w:w="29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29"/>
        </w:trPr>
        <w:tc>
          <w:tcPr>
            <w:tcW w:w="1280" w:type="dxa"/>
            <w:vAlign w:val="bottom"/>
            <w:gridSpan w:val="2"/>
          </w:tcPr>
          <w:p>
            <w:pPr>
              <w:jc w:val="center"/>
              <w:ind w:left="550"/>
              <w:spacing w:after="0"/>
              <w:rPr>
                <w:sz w:val="20"/>
                <w:szCs w:val="20"/>
                <w:color w:val="auto"/>
              </w:rPr>
            </w:pPr>
            <w:r>
              <w:rPr>
                <w:rFonts w:ascii="Arial" w:cs="Arial" w:eastAsia="Arial" w:hAnsi="Arial"/>
                <w:sz w:val="18"/>
                <w:szCs w:val="18"/>
                <w:color w:val="auto"/>
                <w:w w:val="88"/>
              </w:rPr>
              <w:t>10.47</w:t>
            </w:r>
          </w:p>
        </w:tc>
        <w:tc>
          <w:tcPr>
            <w:tcW w:w="180" w:type="dxa"/>
            <w:vAlign w:val="bottom"/>
          </w:tcPr>
          <w:p>
            <w:pPr>
              <w:spacing w:after="0"/>
              <w:rPr>
                <w:sz w:val="19"/>
                <w:szCs w:val="19"/>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Assumption Agreement dated June 17, 2014, executed by</w:t>
            </w:r>
          </w:p>
        </w:tc>
        <w:tc>
          <w:tcPr>
            <w:tcW w:w="2960" w:type="dxa"/>
            <w:vAlign w:val="bottom"/>
          </w:tcPr>
          <w:p>
            <w:pPr>
              <w:jc w:val="center"/>
              <w:ind w:right="90"/>
              <w:spacing w:after="0"/>
              <w:rPr>
                <w:sz w:val="20"/>
                <w:szCs w:val="20"/>
                <w:color w:val="auto"/>
              </w:rPr>
            </w:pPr>
            <w:r>
              <w:rPr>
                <w:rFonts w:ascii="Arial" w:cs="Arial" w:eastAsia="Arial" w:hAnsi="Arial"/>
                <w:sz w:val="18"/>
                <w:szCs w:val="18"/>
                <w:color w:val="auto"/>
                <w:w w:val="92"/>
              </w:rPr>
              <w:t>Exhibit 10.1 of the</w:t>
            </w: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File No. 1-36504</w:t>
            </w: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w w:val="97"/>
              </w:rPr>
              <w:t>Weatherford Ireland, relating to the Credit Agreement dated</w:t>
            </w:r>
          </w:p>
        </w:tc>
        <w:tc>
          <w:tcPr>
            <w:tcW w:w="2960" w:type="dxa"/>
            <w:vAlign w:val="bottom"/>
          </w:tcPr>
          <w:p>
            <w:pPr>
              <w:jc w:val="center"/>
              <w:ind w:right="90"/>
              <w:spacing w:after="0"/>
              <w:rPr>
                <w:sz w:val="20"/>
                <w:szCs w:val="20"/>
                <w:color w:val="auto"/>
              </w:rPr>
            </w:pPr>
            <w:r>
              <w:rPr>
                <w:rFonts w:ascii="Arial" w:cs="Arial" w:eastAsia="Arial" w:hAnsi="Arial"/>
                <w:sz w:val="18"/>
                <w:szCs w:val="18"/>
                <w:color w:val="auto"/>
                <w:w w:val="89"/>
              </w:rPr>
              <w:t>Company's Current</w:t>
            </w:r>
          </w:p>
        </w:tc>
        <w:tc>
          <w:tcPr>
            <w:tcW w:w="1980" w:type="dxa"/>
            <w:vAlign w:val="bottom"/>
          </w:tcPr>
          <w:p>
            <w:pPr>
              <w:spacing w:after="0"/>
              <w:rPr>
                <w:sz w:val="18"/>
                <w:szCs w:val="18"/>
                <w:color w:val="auto"/>
              </w:rPr>
            </w:pPr>
          </w:p>
        </w:tc>
      </w:tr>
      <w:tr>
        <w:trPr>
          <w:trHeight w:val="216"/>
        </w:trPr>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October 15, 2010</w:t>
            </w:r>
          </w:p>
        </w:tc>
        <w:tc>
          <w:tcPr>
            <w:tcW w:w="2960" w:type="dxa"/>
            <w:vAlign w:val="bottom"/>
          </w:tcPr>
          <w:p>
            <w:pPr>
              <w:jc w:val="center"/>
              <w:ind w:right="90"/>
              <w:spacing w:after="0"/>
              <w:rPr>
                <w:sz w:val="20"/>
                <w:szCs w:val="20"/>
                <w:color w:val="auto"/>
              </w:rPr>
            </w:pPr>
            <w:r>
              <w:rPr>
                <w:rFonts w:ascii="Arial" w:cs="Arial" w:eastAsia="Arial" w:hAnsi="Arial"/>
                <w:sz w:val="18"/>
                <w:szCs w:val="18"/>
                <w:color w:val="auto"/>
                <w:w w:val="93"/>
              </w:rPr>
              <w:t>Report on Form 8-K12B</w:t>
            </w:r>
          </w:p>
        </w:tc>
        <w:tc>
          <w:tcPr>
            <w:tcW w:w="198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960" w:type="dxa"/>
            <w:vAlign w:val="bottom"/>
          </w:tcPr>
          <w:p>
            <w:pPr>
              <w:jc w:val="center"/>
              <w:ind w:right="50"/>
              <w:spacing w:after="0"/>
              <w:rPr>
                <w:sz w:val="20"/>
                <w:szCs w:val="20"/>
                <w:color w:val="auto"/>
              </w:rPr>
            </w:pPr>
            <w:r>
              <w:rPr>
                <w:rFonts w:ascii="Arial" w:cs="Arial" w:eastAsia="Arial" w:hAnsi="Arial"/>
                <w:sz w:val="18"/>
                <w:szCs w:val="18"/>
                <w:color w:val="auto"/>
                <w:w w:val="90"/>
              </w:rPr>
              <w:t>filed June 17, 2014</w:t>
            </w:r>
          </w:p>
        </w:tc>
        <w:tc>
          <w:tcPr>
            <w:tcW w:w="1980" w:type="dxa"/>
            <w:vAlign w:val="bottom"/>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9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†12.1</w:t>
            </w:r>
          </w:p>
        </w:tc>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Ratio of Earnings to Fixed Charges</w:t>
            </w:r>
          </w:p>
        </w:tc>
        <w:tc>
          <w:tcPr>
            <w:tcW w:w="29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540" w:type="dxa"/>
            <w:vAlign w:val="bottom"/>
          </w:tcPr>
          <w:p>
            <w:pPr>
              <w:spacing w:after="0"/>
              <w:rPr>
                <w:sz w:val="21"/>
                <w:szCs w:val="21"/>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†21.1</w:t>
            </w:r>
          </w:p>
        </w:tc>
        <w:tc>
          <w:tcPr>
            <w:tcW w:w="4840" w:type="dxa"/>
            <w:vAlign w:val="bottom"/>
          </w:tcPr>
          <w:p>
            <w:pPr>
              <w:ind w:left="180"/>
              <w:spacing w:after="0"/>
              <w:rPr>
                <w:sz w:val="20"/>
                <w:szCs w:val="20"/>
                <w:color w:val="auto"/>
              </w:rPr>
            </w:pPr>
            <w:r>
              <w:rPr>
                <w:rFonts w:ascii="Arial" w:cs="Arial" w:eastAsia="Arial" w:hAnsi="Arial"/>
                <w:sz w:val="18"/>
                <w:szCs w:val="18"/>
                <w:color w:val="auto"/>
              </w:rPr>
              <w:t>Subsidiaries of Weatherford International plc</w:t>
            </w:r>
          </w:p>
        </w:tc>
        <w:tc>
          <w:tcPr>
            <w:tcW w:w="296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540" w:type="dxa"/>
            <w:vAlign w:val="bottom"/>
          </w:tcPr>
          <w:p>
            <w:pPr>
              <w:spacing w:after="0"/>
              <w:rPr>
                <w:sz w:val="21"/>
                <w:szCs w:val="21"/>
                <w:color w:val="auto"/>
              </w:rPr>
            </w:pPr>
          </w:p>
        </w:tc>
        <w:tc>
          <w:tcPr>
            <w:tcW w:w="9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†23.1</w:t>
            </w:r>
          </w:p>
        </w:tc>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Consent of KPMG LLP</w:t>
            </w:r>
          </w:p>
        </w:tc>
        <w:tc>
          <w:tcPr>
            <w:tcW w:w="29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29"/>
        </w:trPr>
        <w:tc>
          <w:tcPr>
            <w:tcW w:w="540" w:type="dxa"/>
            <w:vAlign w:val="bottom"/>
          </w:tcPr>
          <w:p>
            <w:pPr>
              <w:spacing w:after="0"/>
              <w:rPr>
                <w:sz w:val="19"/>
                <w:szCs w:val="19"/>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†31.1</w:t>
            </w:r>
          </w:p>
        </w:tc>
        <w:tc>
          <w:tcPr>
            <w:tcW w:w="484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pursuant to Section</w:t>
            </w:r>
          </w:p>
        </w:tc>
        <w:tc>
          <w:tcPr>
            <w:tcW w:w="29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302 of the Sarbanes-Oxley Act of 2002</w:t>
            </w:r>
          </w:p>
        </w:tc>
        <w:tc>
          <w:tcPr>
            <w:tcW w:w="29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†31.2</w:t>
            </w: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Certification of Chief Financial Officer pursuant to Section</w:t>
            </w:r>
          </w:p>
        </w:tc>
        <w:tc>
          <w:tcPr>
            <w:tcW w:w="29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37"/>
        </w:trPr>
        <w:tc>
          <w:tcPr>
            <w:tcW w:w="540" w:type="dxa"/>
            <w:vAlign w:val="bottom"/>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302 of the Sarbanes-Oxley Act of 2002</w:t>
            </w:r>
          </w:p>
        </w:tc>
        <w:tc>
          <w:tcPr>
            <w:tcW w:w="296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spacing w:after="0"/>
              <w:rPr>
                <w:sz w:val="20"/>
                <w:szCs w:val="20"/>
                <w:color w:val="auto"/>
              </w:rPr>
            </w:pPr>
          </w:p>
        </w:tc>
      </w:tr>
      <w:tr>
        <w:trPr>
          <w:trHeight w:val="229"/>
        </w:trPr>
        <w:tc>
          <w:tcPr>
            <w:tcW w:w="540" w:type="dxa"/>
            <w:vAlign w:val="bottom"/>
          </w:tcPr>
          <w:p>
            <w:pPr>
              <w:spacing w:after="0"/>
              <w:rPr>
                <w:sz w:val="19"/>
                <w:szCs w:val="19"/>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††32.1</w:t>
            </w:r>
          </w:p>
        </w:tc>
        <w:tc>
          <w:tcPr>
            <w:tcW w:w="4840" w:type="dxa"/>
            <w:vAlign w:val="bottom"/>
          </w:tcPr>
          <w:p>
            <w:pPr>
              <w:ind w:left="180"/>
              <w:spacing w:after="0"/>
              <w:rPr>
                <w:sz w:val="20"/>
                <w:szCs w:val="20"/>
                <w:color w:val="auto"/>
              </w:rPr>
            </w:pPr>
            <w:r>
              <w:rPr>
                <w:rFonts w:ascii="Arial" w:cs="Arial" w:eastAsia="Arial" w:hAnsi="Arial"/>
                <w:sz w:val="18"/>
                <w:szCs w:val="18"/>
                <w:color w:val="auto"/>
              </w:rPr>
              <w:t>Certification of Chief Executive Officer pursuant to Section</w:t>
            </w:r>
          </w:p>
        </w:tc>
        <w:tc>
          <w:tcPr>
            <w:tcW w:w="296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40" w:type="dxa"/>
            <w:vAlign w:val="bottom"/>
          </w:tcPr>
          <w:p>
            <w:pPr>
              <w:ind w:left="180"/>
              <w:spacing w:after="0"/>
              <w:rPr>
                <w:sz w:val="20"/>
                <w:szCs w:val="20"/>
                <w:color w:val="auto"/>
              </w:rPr>
            </w:pPr>
            <w:r>
              <w:rPr>
                <w:rFonts w:ascii="Arial" w:cs="Arial" w:eastAsia="Arial" w:hAnsi="Arial"/>
                <w:sz w:val="18"/>
                <w:szCs w:val="18"/>
                <w:color w:val="auto"/>
              </w:rPr>
              <w:t>906 of the Sarbanes-Oxley Act of 2002</w:t>
            </w:r>
          </w:p>
        </w:tc>
        <w:tc>
          <w:tcPr>
            <w:tcW w:w="296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29"/>
        </w:trPr>
        <w:tc>
          <w:tcPr>
            <w:tcW w:w="540" w:type="dxa"/>
            <w:vAlign w:val="bottom"/>
          </w:tcPr>
          <w:p>
            <w:pPr>
              <w:spacing w:after="0"/>
              <w:rPr>
                <w:sz w:val="19"/>
                <w:szCs w:val="19"/>
                <w:color w:val="auto"/>
              </w:rPr>
            </w:pPr>
          </w:p>
        </w:tc>
        <w:tc>
          <w:tcPr>
            <w:tcW w:w="9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††32.2</w:t>
            </w: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Certification of Chief Financial Officer pursuant to Section</w:t>
            </w:r>
          </w:p>
        </w:tc>
        <w:tc>
          <w:tcPr>
            <w:tcW w:w="296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30"/>
        </w:trPr>
        <w:tc>
          <w:tcPr>
            <w:tcW w:w="540" w:type="dxa"/>
            <w:vAlign w:val="bottom"/>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906 of the Sarbanes-Oxley Act of 2002</w:t>
            </w:r>
          </w:p>
        </w:tc>
        <w:tc>
          <w:tcPr>
            <w:tcW w:w="296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r>
      <w:tr>
        <w:trPr>
          <w:trHeight w:val="27"/>
        </w:trPr>
        <w:tc>
          <w:tcPr>
            <w:tcW w:w="540" w:type="dxa"/>
            <w:vAlign w:val="bottom"/>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4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ind w:left="740"/>
        <w:spacing w:after="0"/>
        <w:tabs>
          <w:tab w:leader="none" w:pos="1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Weatherford International plc's</w:t>
      </w:r>
    </w:p>
    <w:p>
      <w:pPr>
        <w:spacing w:after="0" w:line="2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Annual Report on Form 10-K for the year ended December 31,</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2015, formatted in XBRL (eXtensible Business Reporting</w:t>
      </w:r>
    </w:p>
    <w:p>
      <w:pPr>
        <w:spacing w:after="0" w:line="9"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Language): (1) the Consolidated Balance Sheets,</w:t>
      </w:r>
    </w:p>
    <w:p>
      <w:pPr>
        <w:spacing w:after="0" w:line="9" w:lineRule="exact"/>
        <w:rPr>
          <w:sz w:val="20"/>
          <w:szCs w:val="20"/>
          <w:color w:val="auto"/>
        </w:rPr>
      </w:pPr>
    </w:p>
    <w:p>
      <w:pPr>
        <w:ind w:left="1900" w:hanging="265"/>
        <w:spacing w:after="0"/>
        <w:tabs>
          <w:tab w:leader="none" w:pos="1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Consolidated Statements of Operations,</w:t>
      </w:r>
    </w:p>
    <w:p>
      <w:pPr>
        <w:spacing w:after="0" w:line="9" w:lineRule="exact"/>
        <w:rPr>
          <w:rFonts w:ascii="Arial" w:cs="Arial" w:eastAsia="Arial" w:hAnsi="Arial"/>
          <w:sz w:val="18"/>
          <w:szCs w:val="18"/>
          <w:color w:val="auto"/>
        </w:rPr>
      </w:pPr>
    </w:p>
    <w:p>
      <w:pPr>
        <w:ind w:left="1640" w:right="5480" w:hanging="5"/>
        <w:spacing w:after="0" w:line="281" w:lineRule="auto"/>
        <w:tabs>
          <w:tab w:leader="none" w:pos="1895" w:val="left"/>
        </w:tabs>
        <w:numPr>
          <w:ilvl w:val="1"/>
          <w:numId w:val="33"/>
        </w:numPr>
        <w:rPr>
          <w:rFonts w:ascii="Arial" w:cs="Arial" w:eastAsia="Arial" w:hAnsi="Arial"/>
          <w:sz w:val="16"/>
          <w:szCs w:val="16"/>
          <w:color w:val="auto"/>
        </w:rPr>
      </w:pPr>
      <w:r>
        <w:rPr>
          <w:rFonts w:ascii="Arial" w:cs="Arial" w:eastAsia="Arial" w:hAnsi="Arial"/>
          <w:sz w:val="16"/>
          <w:szCs w:val="16"/>
          <w:color w:val="auto"/>
        </w:rPr>
        <w:t>the Consolidated Statements of Comprehensive Income (Loss), (4) the Consolidated Statements of Shareholders' Equity, (5) the Consolidated Statements of Cash Flows, and</w:t>
      </w:r>
    </w:p>
    <w:p>
      <w:pPr>
        <w:spacing w:after="0" w:line="2" w:lineRule="exact"/>
        <w:rPr>
          <w:rFonts w:ascii="Arial" w:cs="Arial" w:eastAsia="Arial" w:hAnsi="Arial"/>
          <w:sz w:val="16"/>
          <w:szCs w:val="16"/>
          <w:color w:val="auto"/>
        </w:rPr>
      </w:pPr>
    </w:p>
    <w:p>
      <w:pPr>
        <w:ind w:left="340" w:right="5360" w:firstLine="1295"/>
        <w:spacing w:after="0" w:line="306" w:lineRule="auto"/>
        <w:tabs>
          <w:tab w:leader="none" w:pos="1898"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related notes to the Consolidated Financial Statements * Management contract or compensatory plan or arrangement.</w:t>
      </w:r>
    </w:p>
    <w:p>
      <w:pPr>
        <w:ind w:left="560" w:hanging="228"/>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Submitted pursuant to Rule 405 and 406T of Regulation S-T.</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Furnished herewith.</w:t>
      </w:r>
    </w:p>
    <w:p>
      <w:pPr>
        <w:spacing w:after="0" w:line="2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permitted by Item 601(b)(4)(iii)(A) of Regulation S-K, the Company has not filed with this Annual Report on Form 10-K certain instruments defining the rights of holders of long-term debt of the Company and its subsidiaries because the total amount of securities authorized under any of such instruments does not exceed 10% of the total assets of the Company and its subsidiaries on a consolidated basis. We will furnish a copy of any of such instruments to the Securities and Exchange Commission upon request.</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will furnish to any requesting shareholder a copy of any of the above named exhibits upon the payment of our reasonable expenses of obtaining, duplicating and mailing the requested exhibits. All requests for copies of exhibits should be made in writing to our U.S. Investor Relations Department at 2000 St James Place, Houston, TX 77056.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378"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 Schedules</w:t>
      </w:r>
    </w:p>
    <w:p>
      <w:pPr>
        <w:spacing w:after="0" w:line="23"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Valuation and qualifying accounts and allowances.</w:t>
      </w:r>
    </w:p>
    <w:p>
      <w:pPr>
        <w:spacing w:after="0" w:line="20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VALUATION AND QUALIFYING ACCOUNTS AND ALLOWANCES</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FOR THE THREE YEARS ENDED DECEMBER 31,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800" w:type="dxa"/>
            <w:vAlign w:val="bottom"/>
          </w:tcPr>
          <w:p>
            <w:pPr>
              <w:jc w:val="center"/>
              <w:ind w:left="113"/>
              <w:spacing w:after="0"/>
              <w:rPr>
                <w:sz w:val="20"/>
                <w:szCs w:val="20"/>
                <w:color w:val="auto"/>
              </w:rPr>
            </w:pPr>
            <w:r>
              <w:rPr>
                <w:rFonts w:ascii="Arial" w:cs="Arial" w:eastAsia="Arial" w:hAnsi="Arial"/>
                <w:sz w:val="16"/>
                <w:szCs w:val="16"/>
                <w:b w:val="1"/>
                <w:bCs w:val="1"/>
                <w:color w:val="auto"/>
                <w:w w:val="89"/>
              </w:rPr>
              <w:t>Balance at</w:t>
            </w:r>
          </w:p>
        </w:tc>
        <w:tc>
          <w:tcPr>
            <w:tcW w:w="1340" w:type="dxa"/>
            <w:vAlign w:val="bottom"/>
          </w:tcPr>
          <w:p>
            <w:pPr>
              <w:spacing w:after="0"/>
              <w:rPr>
                <w:sz w:val="18"/>
                <w:szCs w:val="18"/>
                <w:color w:val="auto"/>
              </w:rPr>
            </w:pPr>
          </w:p>
        </w:tc>
        <w:tc>
          <w:tcPr>
            <w:tcW w:w="136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(Recovery)</w:t>
            </w:r>
          </w:p>
        </w:tc>
        <w:tc>
          <w:tcPr>
            <w:tcW w:w="1600" w:type="dxa"/>
            <w:vAlign w:val="bottom"/>
          </w:tcPr>
          <w:p>
            <w:pPr>
              <w:spacing w:after="0"/>
              <w:rPr>
                <w:sz w:val="18"/>
                <w:szCs w:val="18"/>
                <w:color w:val="auto"/>
              </w:rPr>
            </w:pPr>
          </w:p>
        </w:tc>
        <w:tc>
          <w:tcPr>
            <w:tcW w:w="1200" w:type="dxa"/>
            <w:vAlign w:val="bottom"/>
          </w:tcPr>
          <w:p>
            <w:pPr>
              <w:jc w:val="right"/>
              <w:ind w:right="173"/>
              <w:spacing w:after="0"/>
              <w:rPr>
                <w:sz w:val="20"/>
                <w:szCs w:val="20"/>
                <w:color w:val="auto"/>
              </w:rPr>
            </w:pPr>
            <w:r>
              <w:rPr>
                <w:rFonts w:ascii="Arial" w:cs="Arial" w:eastAsia="Arial" w:hAnsi="Arial"/>
                <w:sz w:val="16"/>
                <w:szCs w:val="16"/>
                <w:b w:val="1"/>
                <w:bCs w:val="1"/>
                <w:color w:val="auto"/>
              </w:rPr>
              <w:t>Balance at</w:t>
            </w:r>
          </w:p>
        </w:tc>
      </w:tr>
      <w:tr>
        <w:trPr>
          <w:trHeight w:val="270"/>
        </w:trPr>
        <w:tc>
          <w:tcPr>
            <w:tcW w:w="4120" w:type="dxa"/>
            <w:vAlign w:val="bottom"/>
          </w:tcPr>
          <w:p>
            <w:pPr>
              <w:spacing w:after="0"/>
              <w:rPr>
                <w:sz w:val="23"/>
                <w:szCs w:val="23"/>
                <w:color w:val="auto"/>
              </w:rPr>
            </w:pPr>
          </w:p>
        </w:tc>
        <w:tc>
          <w:tcPr>
            <w:tcW w:w="1800" w:type="dxa"/>
            <w:vAlign w:val="bottom"/>
          </w:tcPr>
          <w:p>
            <w:pPr>
              <w:jc w:val="center"/>
              <w:ind w:left="93"/>
              <w:spacing w:after="0"/>
              <w:rPr>
                <w:sz w:val="20"/>
                <w:szCs w:val="20"/>
                <w:color w:val="auto"/>
              </w:rPr>
            </w:pPr>
            <w:r>
              <w:rPr>
                <w:rFonts w:ascii="Arial" w:cs="Arial" w:eastAsia="Arial" w:hAnsi="Arial"/>
                <w:sz w:val="16"/>
                <w:szCs w:val="16"/>
                <w:b w:val="1"/>
                <w:bCs w:val="1"/>
                <w:color w:val="auto"/>
                <w:w w:val="89"/>
              </w:rPr>
              <w:t>Beginning</w:t>
            </w:r>
          </w:p>
        </w:tc>
        <w:tc>
          <w:tcPr>
            <w:tcW w:w="1340" w:type="dxa"/>
            <w:vAlign w:val="bottom"/>
          </w:tcPr>
          <w:p>
            <w:pPr>
              <w:spacing w:after="0"/>
              <w:rPr>
                <w:sz w:val="23"/>
                <w:szCs w:val="23"/>
                <w:color w:val="auto"/>
              </w:rPr>
            </w:pPr>
          </w:p>
        </w:tc>
        <w:tc>
          <w:tcPr>
            <w:tcW w:w="136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and</w:t>
            </w:r>
          </w:p>
        </w:tc>
        <w:tc>
          <w:tcPr>
            <w:tcW w:w="1600" w:type="dxa"/>
            <w:vAlign w:val="bottom"/>
          </w:tcPr>
          <w:p>
            <w:pPr>
              <w:jc w:val="right"/>
              <w:ind w:right="592"/>
              <w:spacing w:after="0"/>
              <w:rPr>
                <w:sz w:val="20"/>
                <w:szCs w:val="20"/>
                <w:color w:val="auto"/>
              </w:rPr>
            </w:pPr>
            <w:r>
              <w:rPr>
                <w:rFonts w:ascii="Arial" w:cs="Arial" w:eastAsia="Arial" w:hAnsi="Arial"/>
                <w:sz w:val="16"/>
                <w:szCs w:val="16"/>
                <w:b w:val="1"/>
                <w:bCs w:val="1"/>
                <w:color w:val="auto"/>
              </w:rPr>
              <w:t>Other</w:t>
            </w:r>
          </w:p>
        </w:tc>
        <w:tc>
          <w:tcPr>
            <w:tcW w:w="1200" w:type="dxa"/>
            <w:vAlign w:val="bottom"/>
          </w:tcPr>
          <w:p>
            <w:pPr>
              <w:jc w:val="right"/>
              <w:ind w:right="293"/>
              <w:spacing w:after="0"/>
              <w:rPr>
                <w:sz w:val="20"/>
                <w:szCs w:val="20"/>
                <w:color w:val="auto"/>
              </w:rPr>
            </w:pPr>
            <w:r>
              <w:rPr>
                <w:rFonts w:ascii="Arial" w:cs="Arial" w:eastAsia="Arial" w:hAnsi="Arial"/>
                <w:sz w:val="16"/>
                <w:szCs w:val="16"/>
                <w:b w:val="1"/>
                <w:bCs w:val="1"/>
                <w:color w:val="auto"/>
              </w:rPr>
              <w:t>End of</w:t>
            </w:r>
          </w:p>
        </w:tc>
      </w:tr>
      <w:tr>
        <w:trPr>
          <w:trHeight w:val="331"/>
        </w:trPr>
        <w:tc>
          <w:tcPr>
            <w:tcW w:w="412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(Dollars in millions)</w:t>
            </w:r>
          </w:p>
        </w:tc>
        <w:tc>
          <w:tcPr>
            <w:tcW w:w="1800" w:type="dxa"/>
            <w:vAlign w:val="bottom"/>
          </w:tcPr>
          <w:p>
            <w:pPr>
              <w:jc w:val="center"/>
              <w:ind w:left="113"/>
              <w:spacing w:after="0"/>
              <w:rPr>
                <w:sz w:val="20"/>
                <w:szCs w:val="20"/>
                <w:color w:val="auto"/>
              </w:rPr>
            </w:pPr>
            <w:r>
              <w:rPr>
                <w:rFonts w:ascii="Arial" w:cs="Arial" w:eastAsia="Arial" w:hAnsi="Arial"/>
                <w:sz w:val="16"/>
                <w:szCs w:val="16"/>
                <w:b w:val="1"/>
                <w:bCs w:val="1"/>
                <w:color w:val="auto"/>
                <w:w w:val="92"/>
              </w:rPr>
              <w:t>of Period</w:t>
            </w:r>
          </w:p>
        </w:tc>
        <w:tc>
          <w:tcPr>
            <w:tcW w:w="1340" w:type="dxa"/>
            <w:vAlign w:val="bottom"/>
          </w:tcPr>
          <w:p>
            <w:pPr>
              <w:jc w:val="right"/>
              <w:ind w:right="371"/>
              <w:spacing w:after="0"/>
              <w:rPr>
                <w:sz w:val="20"/>
                <w:szCs w:val="20"/>
                <w:color w:val="auto"/>
              </w:rPr>
            </w:pPr>
            <w:r>
              <w:rPr>
                <w:rFonts w:ascii="Arial" w:cs="Arial" w:eastAsia="Arial" w:hAnsi="Arial"/>
                <w:sz w:val="16"/>
                <w:szCs w:val="16"/>
                <w:b w:val="1"/>
                <w:bCs w:val="1"/>
                <w:color w:val="auto"/>
              </w:rPr>
              <w:t>Expense</w:t>
            </w:r>
          </w:p>
        </w:tc>
        <w:tc>
          <w:tcPr>
            <w:tcW w:w="1360" w:type="dxa"/>
            <w:vAlign w:val="bottom"/>
          </w:tcPr>
          <w:p>
            <w:pPr>
              <w:jc w:val="center"/>
              <w:ind w:right="53"/>
              <w:spacing w:after="0"/>
              <w:rPr>
                <w:sz w:val="20"/>
                <w:szCs w:val="20"/>
                <w:color w:val="auto"/>
              </w:rPr>
            </w:pPr>
            <w:r>
              <w:rPr>
                <w:rFonts w:ascii="Arial" w:cs="Arial" w:eastAsia="Arial" w:hAnsi="Arial"/>
                <w:sz w:val="16"/>
                <w:szCs w:val="16"/>
                <w:b w:val="1"/>
                <w:bCs w:val="1"/>
                <w:color w:val="auto"/>
                <w:w w:val="89"/>
              </w:rPr>
              <w:t>Additions</w:t>
            </w:r>
          </w:p>
        </w:tc>
        <w:tc>
          <w:tcPr>
            <w:tcW w:w="1600" w:type="dxa"/>
            <w:vAlign w:val="bottom"/>
          </w:tcPr>
          <w:p>
            <w:pPr>
              <w:jc w:val="right"/>
              <w:ind w:right="252"/>
              <w:spacing w:after="0"/>
              <w:rPr>
                <w:sz w:val="20"/>
                <w:szCs w:val="20"/>
                <w:color w:val="auto"/>
              </w:rPr>
            </w:pPr>
            <w:r>
              <w:rPr>
                <w:rFonts w:ascii="Arial" w:cs="Arial" w:eastAsia="Arial" w:hAnsi="Arial"/>
                <w:sz w:val="16"/>
                <w:szCs w:val="16"/>
                <w:b w:val="1"/>
                <w:bCs w:val="1"/>
                <w:color w:val="auto"/>
                <w:w w:val="95"/>
              </w:rPr>
              <w:t xml:space="preserve">Reductions </w:t>
            </w:r>
            <w:r>
              <w:rPr>
                <w:rFonts w:ascii="Arial" w:cs="Arial" w:eastAsia="Arial" w:hAnsi="Arial"/>
                <w:sz w:val="21"/>
                <w:szCs w:val="21"/>
                <w:b w:val="1"/>
                <w:bCs w:val="1"/>
                <w:color w:val="auto"/>
                <w:w w:val="95"/>
                <w:vertAlign w:val="superscript"/>
              </w:rPr>
              <w:t>(a) (b)</w:t>
            </w:r>
          </w:p>
        </w:tc>
        <w:tc>
          <w:tcPr>
            <w:tcW w:w="1200" w:type="dxa"/>
            <w:vAlign w:val="bottom"/>
          </w:tcPr>
          <w:p>
            <w:pPr>
              <w:jc w:val="right"/>
              <w:ind w:right="313"/>
              <w:spacing w:after="0"/>
              <w:rPr>
                <w:sz w:val="20"/>
                <w:szCs w:val="20"/>
                <w:color w:val="auto"/>
              </w:rPr>
            </w:pPr>
            <w:r>
              <w:rPr>
                <w:rFonts w:ascii="Arial" w:cs="Arial" w:eastAsia="Arial" w:hAnsi="Arial"/>
                <w:sz w:val="16"/>
                <w:szCs w:val="16"/>
                <w:b w:val="1"/>
                <w:bCs w:val="1"/>
                <w:color w:val="auto"/>
              </w:rPr>
              <w:t>Period</w:t>
            </w:r>
          </w:p>
        </w:tc>
      </w:tr>
      <w:tr>
        <w:trPr>
          <w:trHeight w:val="134"/>
        </w:trPr>
        <w:tc>
          <w:tcPr>
            <w:tcW w:w="412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2015:</w:t>
            </w:r>
          </w:p>
        </w:tc>
        <w:tc>
          <w:tcPr>
            <w:tcW w:w="1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Allowance for uncollectible accounts receivable</w:t>
            </w:r>
          </w:p>
        </w:tc>
        <w:tc>
          <w:tcPr>
            <w:tcW w:w="1800" w:type="dxa"/>
            <w:vAlign w:val="bottom"/>
          </w:tcPr>
          <w:p>
            <w:pPr>
              <w:jc w:val="right"/>
              <w:ind w:right="213"/>
              <w:spacing w:after="0"/>
              <w:rPr>
                <w:sz w:val="20"/>
                <w:szCs w:val="20"/>
                <w:color w:val="auto"/>
              </w:rPr>
            </w:pPr>
            <w:r>
              <w:rPr>
                <w:rFonts w:ascii="Arial" w:cs="Arial" w:eastAsia="Arial" w:hAnsi="Arial"/>
                <w:sz w:val="18"/>
                <w:szCs w:val="18"/>
                <w:color w:val="auto"/>
              </w:rPr>
              <w:t>108</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48</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113</w:t>
            </w:r>
          </w:p>
        </w:tc>
      </w:tr>
      <w:tr>
        <w:trPr>
          <w:trHeight w:val="27"/>
        </w:trPr>
        <w:tc>
          <w:tcPr>
            <w:tcW w:w="4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8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732</w:t>
            </w: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159</w:t>
            </w:r>
          </w:p>
        </w:tc>
        <w:tc>
          <w:tcPr>
            <w:tcW w:w="1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868</w:t>
            </w:r>
          </w:p>
        </w:tc>
      </w:tr>
      <w:tr>
        <w:trPr>
          <w:trHeight w:val="324"/>
        </w:trPr>
        <w:tc>
          <w:tcPr>
            <w:tcW w:w="4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2014:</w:t>
            </w:r>
          </w:p>
        </w:tc>
        <w:tc>
          <w:tcPr>
            <w:tcW w:w="1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Allowance for uncollectible accounts receivable</w:t>
            </w:r>
          </w:p>
        </w:tc>
        <w:tc>
          <w:tcPr>
            <w:tcW w:w="1800" w:type="dxa"/>
            <w:vAlign w:val="bottom"/>
          </w:tcPr>
          <w:p>
            <w:pPr>
              <w:jc w:val="right"/>
              <w:ind w:right="213"/>
              <w:spacing w:after="0"/>
              <w:rPr>
                <w:sz w:val="20"/>
                <w:szCs w:val="20"/>
                <w:color w:val="auto"/>
              </w:rPr>
            </w:pPr>
            <w:r>
              <w:rPr>
                <w:rFonts w:ascii="Arial" w:cs="Arial" w:eastAsia="Arial" w:hAnsi="Arial"/>
                <w:sz w:val="18"/>
                <w:szCs w:val="18"/>
                <w:color w:val="auto"/>
              </w:rPr>
              <w:t>106</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32</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(4)</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(26)</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108</w:t>
            </w:r>
          </w:p>
        </w:tc>
      </w:tr>
      <w:tr>
        <w:trPr>
          <w:trHeight w:val="27"/>
        </w:trPr>
        <w:tc>
          <w:tcPr>
            <w:tcW w:w="4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8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554</w:t>
            </w:r>
          </w:p>
        </w:tc>
        <w:tc>
          <w:tcPr>
            <w:tcW w:w="13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222</w:t>
            </w:r>
          </w:p>
        </w:tc>
        <w:tc>
          <w:tcPr>
            <w:tcW w:w="1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732</w:t>
            </w:r>
          </w:p>
        </w:tc>
      </w:tr>
      <w:tr>
        <w:trPr>
          <w:trHeight w:val="324"/>
        </w:trPr>
        <w:tc>
          <w:tcPr>
            <w:tcW w:w="4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 Ended December 31, 2013:</w:t>
            </w:r>
          </w:p>
        </w:tc>
        <w:tc>
          <w:tcPr>
            <w:tcW w:w="1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Allowance for uncollectible accounts receivable</w:t>
            </w:r>
          </w:p>
        </w:tc>
        <w:tc>
          <w:tcPr>
            <w:tcW w:w="1800" w:type="dxa"/>
            <w:vAlign w:val="bottom"/>
          </w:tcPr>
          <w:p>
            <w:pPr>
              <w:jc w:val="right"/>
              <w:ind w:right="213"/>
              <w:spacing w:after="0"/>
              <w:rPr>
                <w:sz w:val="20"/>
                <w:szCs w:val="20"/>
                <w:color w:val="auto"/>
              </w:rPr>
            </w:pPr>
            <w:r>
              <w:rPr>
                <w:rFonts w:ascii="Arial" w:cs="Arial" w:eastAsia="Arial" w:hAnsi="Arial"/>
                <w:sz w:val="18"/>
                <w:szCs w:val="18"/>
                <w:color w:val="auto"/>
              </w:rPr>
              <w:t>84</w:t>
            </w:r>
          </w:p>
        </w:tc>
        <w:tc>
          <w:tcPr>
            <w:tcW w:w="1340" w:type="dxa"/>
            <w:vAlign w:val="bottom"/>
          </w:tcPr>
          <w:p>
            <w:pPr>
              <w:jc w:val="right"/>
              <w:ind w:right="151"/>
              <w:spacing w:after="0"/>
              <w:rPr>
                <w:sz w:val="20"/>
                <w:szCs w:val="20"/>
                <w:color w:val="auto"/>
              </w:rPr>
            </w:pPr>
            <w:r>
              <w:rPr>
                <w:rFonts w:ascii="Arial" w:cs="Arial" w:eastAsia="Arial" w:hAnsi="Arial"/>
                <w:sz w:val="18"/>
                <w:szCs w:val="18"/>
                <w:color w:val="auto"/>
              </w:rPr>
              <w:t>102</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1600" w:type="dxa"/>
            <w:vAlign w:val="bottom"/>
          </w:tcPr>
          <w:p>
            <w:pPr>
              <w:jc w:val="right"/>
              <w:ind w:right="112"/>
              <w:spacing w:after="0"/>
              <w:rPr>
                <w:sz w:val="20"/>
                <w:szCs w:val="20"/>
                <w:color w:val="auto"/>
              </w:rPr>
            </w:pPr>
            <w:r>
              <w:rPr>
                <w:rFonts w:ascii="Arial" w:cs="Arial" w:eastAsia="Arial" w:hAnsi="Arial"/>
                <w:sz w:val="18"/>
                <w:szCs w:val="18"/>
                <w:color w:val="auto"/>
              </w:rPr>
              <w:t>(68)</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106</w:t>
            </w:r>
          </w:p>
        </w:tc>
      </w:tr>
      <w:tr>
        <w:trPr>
          <w:trHeight w:val="27"/>
        </w:trPr>
        <w:tc>
          <w:tcPr>
            <w:tcW w:w="4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Valuation allowance on deferred tax assets</w:t>
            </w:r>
          </w:p>
        </w:tc>
        <w:tc>
          <w:tcPr>
            <w:tcW w:w="18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317</w:t>
            </w:r>
          </w:p>
        </w:tc>
        <w:tc>
          <w:tcPr>
            <w:tcW w:w="13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264</w:t>
            </w:r>
          </w:p>
        </w:tc>
        <w:tc>
          <w:tcPr>
            <w:tcW w:w="136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(27)</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554</w:t>
            </w:r>
          </w:p>
        </w:tc>
      </w:tr>
      <w:tr>
        <w:trPr>
          <w:trHeight w:val="27"/>
        </w:trPr>
        <w:tc>
          <w:tcPr>
            <w:tcW w:w="4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ind w:left="500" w:hanging="330"/>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Includes write-offs and amounts reclassified to assets held for sale.</w:t>
      </w:r>
    </w:p>
    <w:p>
      <w:pPr>
        <w:spacing w:after="0" w:line="9" w:lineRule="exact"/>
        <w:rPr>
          <w:rFonts w:ascii="Arial" w:cs="Arial" w:eastAsia="Arial" w:hAnsi="Arial"/>
          <w:sz w:val="16"/>
          <w:szCs w:val="16"/>
          <w:color w:val="auto"/>
        </w:rPr>
      </w:pPr>
    </w:p>
    <w:p>
      <w:pPr>
        <w:ind w:left="500" w:hanging="330"/>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reductions in 2015 for valuation allowance on deferred taxes primarily due to currency translation.</w:t>
      </w:r>
    </w:p>
    <w:p>
      <w:pPr>
        <w:spacing w:after="0" w:line="20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All other schedules are omitted because they are not required or because the information is included in the financial statements or the related notes.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39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16, 2016.</w:t>
      </w:r>
    </w:p>
    <w:p>
      <w:pPr>
        <w:spacing w:after="0" w:line="315"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Weatherford International plc</w:t>
      </w:r>
    </w:p>
    <w:p>
      <w:pPr>
        <w:spacing w:after="0" w:line="378" w:lineRule="exact"/>
        <w:rPr>
          <w:sz w:val="20"/>
          <w:szCs w:val="20"/>
          <w:color w:val="auto"/>
        </w:rPr>
      </w:pPr>
    </w:p>
    <w:p>
      <w:pPr>
        <w:jc w:val="center"/>
        <w:ind w:left="5200"/>
        <w:spacing w:after="0"/>
        <w:rPr>
          <w:sz w:val="20"/>
          <w:szCs w:val="20"/>
          <w:color w:val="auto"/>
        </w:rPr>
      </w:pPr>
      <w:r>
        <w:rPr>
          <w:rFonts w:ascii="Arial" w:cs="Arial" w:eastAsia="Arial" w:hAnsi="Arial"/>
          <w:sz w:val="18"/>
          <w:szCs w:val="18"/>
          <w:u w:val="single" w:color="auto"/>
          <w:color w:val="auto"/>
        </w:rPr>
        <w:t>/s/Bernard J Duroc-Danner</w:t>
      </w:r>
    </w:p>
    <w:p>
      <w:pPr>
        <w:spacing w:after="0" w:line="6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Bernard J. Duroc-Danner</w:t>
      </w:r>
    </w:p>
    <w:p>
      <w:pPr>
        <w:spacing w:after="0" w:line="6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President, Chief Executive Officer,</w:t>
      </w:r>
    </w:p>
    <w:p>
      <w:pPr>
        <w:spacing w:after="0" w:line="6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Chairman of the Board and Director</w:t>
      </w:r>
    </w:p>
    <w:p>
      <w:pPr>
        <w:spacing w:after="0" w:line="6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(Principal Executive Officer)</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70"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740" w:type="dxa"/>
            <w:vAlign w:val="bottom"/>
          </w:tcPr>
          <w:p>
            <w:pPr>
              <w:jc w:val="center"/>
              <w:spacing w:after="0"/>
              <w:rPr>
                <w:sz w:val="20"/>
                <w:szCs w:val="20"/>
                <w:color w:val="auto"/>
              </w:rPr>
            </w:pPr>
            <w:r>
              <w:rPr>
                <w:rFonts w:ascii="Arial" w:cs="Arial" w:eastAsia="Arial" w:hAnsi="Arial"/>
                <w:sz w:val="18"/>
                <w:szCs w:val="18"/>
                <w:color w:val="auto"/>
                <w:w w:val="88"/>
              </w:rPr>
              <w:t>Signatures</w:t>
            </w:r>
          </w:p>
        </w:tc>
        <w:tc>
          <w:tcPr>
            <w:tcW w:w="3960" w:type="dxa"/>
            <w:vAlign w:val="bottom"/>
          </w:tcPr>
          <w:p>
            <w:pPr>
              <w:jc w:val="center"/>
              <w:ind w:right="250"/>
              <w:spacing w:after="0"/>
              <w:rPr>
                <w:sz w:val="20"/>
                <w:szCs w:val="20"/>
                <w:color w:val="auto"/>
              </w:rPr>
            </w:pPr>
            <w:r>
              <w:rPr>
                <w:rFonts w:ascii="Arial" w:cs="Arial" w:eastAsia="Arial" w:hAnsi="Arial"/>
                <w:sz w:val="18"/>
                <w:szCs w:val="18"/>
                <w:color w:val="auto"/>
                <w:w w:val="99"/>
              </w:rPr>
              <w:t>Title</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89"/>
              </w:rPr>
              <w:t>Date</w:t>
            </w:r>
          </w:p>
        </w:tc>
        <w:tc>
          <w:tcPr>
            <w:tcW w:w="0" w:type="dxa"/>
            <w:vAlign w:val="bottom"/>
          </w:tcPr>
          <w:p>
            <w:pPr>
              <w:spacing w:after="0"/>
              <w:rPr>
                <w:sz w:val="1"/>
                <w:szCs w:val="1"/>
                <w:color w:val="auto"/>
              </w:rPr>
            </w:pPr>
          </w:p>
        </w:tc>
      </w:tr>
      <w:tr>
        <w:trPr>
          <w:trHeight w:val="34"/>
        </w:trPr>
        <w:tc>
          <w:tcPr>
            <w:tcW w:w="37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5"/>
        </w:trPr>
        <w:tc>
          <w:tcPr>
            <w:tcW w:w="3740" w:type="dxa"/>
            <w:vAlign w:val="bottom"/>
          </w:tcPr>
          <w:p>
            <w:pPr>
              <w:jc w:val="center"/>
              <w:spacing w:after="0"/>
              <w:rPr>
                <w:sz w:val="20"/>
                <w:szCs w:val="20"/>
                <w:color w:val="auto"/>
              </w:rPr>
            </w:pPr>
            <w:r>
              <w:rPr>
                <w:rFonts w:ascii="Arial" w:cs="Arial" w:eastAsia="Arial" w:hAnsi="Arial"/>
                <w:sz w:val="18"/>
                <w:szCs w:val="18"/>
                <w:color w:val="auto"/>
                <w:w w:val="90"/>
              </w:rPr>
              <w:t>/s/Bernard J. Duroc-Danner</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1"/>
              </w:rPr>
              <w:t>President, Chief Executive Officer,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16, 2016</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vMerge w:val="restart"/>
          </w:tcPr>
          <w:p>
            <w:pPr>
              <w:jc w:val="center"/>
              <w:ind w:right="230"/>
              <w:spacing w:after="0"/>
              <w:rPr>
                <w:sz w:val="20"/>
                <w:szCs w:val="20"/>
                <w:color w:val="auto"/>
              </w:rPr>
            </w:pPr>
            <w:r>
              <w:rPr>
                <w:rFonts w:ascii="Arial" w:cs="Arial" w:eastAsia="Arial" w:hAnsi="Arial"/>
                <w:sz w:val="18"/>
                <w:szCs w:val="18"/>
                <w:color w:val="auto"/>
                <w:w w:val="91"/>
              </w:rPr>
              <w:t>Chairman of the Board and Director</w:t>
            </w: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1"/>
              </w:rPr>
              <w:t>Bernard J. Duroc-Danner</w:t>
            </w:r>
          </w:p>
        </w:tc>
        <w:tc>
          <w:tcPr>
            <w:tcW w:w="396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3960" w:type="dxa"/>
            <w:vAlign w:val="bottom"/>
          </w:tcPr>
          <w:p>
            <w:pPr>
              <w:jc w:val="center"/>
              <w:ind w:right="250"/>
              <w:spacing w:after="0"/>
              <w:rPr>
                <w:sz w:val="20"/>
                <w:szCs w:val="20"/>
                <w:color w:val="auto"/>
              </w:rPr>
            </w:pPr>
            <w:r>
              <w:rPr>
                <w:rFonts w:ascii="Arial" w:cs="Arial" w:eastAsia="Arial" w:hAnsi="Arial"/>
                <w:sz w:val="18"/>
                <w:szCs w:val="18"/>
                <w:color w:val="auto"/>
                <w:w w:val="94"/>
              </w:rPr>
              <w:t>(Principal Executive Officer)</w:t>
            </w: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2"/>
              </w:rPr>
              <w:t>/s/Krishna Shivram</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0"/>
              </w:rPr>
              <w:t>Executive Vice President and</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16, 2016</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vMerge w:val="restart"/>
          </w:tcPr>
          <w:p>
            <w:pPr>
              <w:jc w:val="center"/>
              <w:ind w:right="230"/>
              <w:spacing w:after="0"/>
              <w:rPr>
                <w:sz w:val="20"/>
                <w:szCs w:val="20"/>
                <w:color w:val="auto"/>
              </w:rPr>
            </w:pPr>
            <w:r>
              <w:rPr>
                <w:rFonts w:ascii="Arial" w:cs="Arial" w:eastAsia="Arial" w:hAnsi="Arial"/>
                <w:sz w:val="18"/>
                <w:szCs w:val="18"/>
                <w:color w:val="auto"/>
                <w:w w:val="94"/>
              </w:rPr>
              <w:t>Chief Financial Officer</w:t>
            </w: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3"/>
              </w:rPr>
              <w:t>Krishna Shivram</w:t>
            </w:r>
          </w:p>
        </w:tc>
        <w:tc>
          <w:tcPr>
            <w:tcW w:w="396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4"/>
              </w:rPr>
              <w:t>(Principal Financial Officer)</w:t>
            </w: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6"/>
              </w:rPr>
              <w:t>/s/Doug M. Mills</w:t>
            </w:r>
          </w:p>
        </w:tc>
        <w:tc>
          <w:tcPr>
            <w:tcW w:w="3960" w:type="dxa"/>
            <w:vAlign w:val="bottom"/>
          </w:tcPr>
          <w:p>
            <w:pPr>
              <w:jc w:val="center"/>
              <w:ind w:right="250"/>
              <w:spacing w:after="0"/>
              <w:rPr>
                <w:sz w:val="20"/>
                <w:szCs w:val="20"/>
                <w:color w:val="auto"/>
              </w:rPr>
            </w:pPr>
            <w:r>
              <w:rPr>
                <w:rFonts w:ascii="Arial" w:cs="Arial" w:eastAsia="Arial" w:hAnsi="Arial"/>
                <w:sz w:val="18"/>
                <w:szCs w:val="18"/>
                <w:color w:val="auto"/>
                <w:w w:val="88"/>
              </w:rPr>
              <w:t>Vice President and</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16, 2016</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vMerge w:val="restart"/>
          </w:tcPr>
          <w:p>
            <w:pPr>
              <w:jc w:val="center"/>
              <w:ind w:right="230"/>
              <w:spacing w:after="0"/>
              <w:rPr>
                <w:sz w:val="20"/>
                <w:szCs w:val="20"/>
                <w:color w:val="auto"/>
              </w:rPr>
            </w:pPr>
            <w:r>
              <w:rPr>
                <w:rFonts w:ascii="Arial" w:cs="Arial" w:eastAsia="Arial" w:hAnsi="Arial"/>
                <w:sz w:val="18"/>
                <w:szCs w:val="18"/>
                <w:color w:val="auto"/>
                <w:w w:val="94"/>
              </w:rPr>
              <w:t>Chief Accounting Officer</w:t>
            </w: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9"/>
              </w:rPr>
              <w:t>Doug M. Mills</w:t>
            </w:r>
          </w:p>
        </w:tc>
        <w:tc>
          <w:tcPr>
            <w:tcW w:w="396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40" w:type="dxa"/>
            <w:vAlign w:val="bottom"/>
          </w:tcPr>
          <w:p>
            <w:pPr>
              <w:spacing w:after="0"/>
              <w:rPr>
                <w:sz w:val="23"/>
                <w:szCs w:val="23"/>
                <w:color w:val="auto"/>
              </w:rPr>
            </w:pPr>
          </w:p>
        </w:tc>
        <w:tc>
          <w:tcPr>
            <w:tcW w:w="3960" w:type="dxa"/>
            <w:vAlign w:val="bottom"/>
          </w:tcPr>
          <w:p>
            <w:pPr>
              <w:jc w:val="center"/>
              <w:ind w:right="250"/>
              <w:spacing w:after="0"/>
              <w:rPr>
                <w:sz w:val="20"/>
                <w:szCs w:val="20"/>
                <w:color w:val="auto"/>
              </w:rPr>
            </w:pPr>
            <w:r>
              <w:rPr>
                <w:rFonts w:ascii="Arial" w:cs="Arial" w:eastAsia="Arial" w:hAnsi="Arial"/>
                <w:sz w:val="18"/>
                <w:szCs w:val="18"/>
                <w:color w:val="auto"/>
                <w:w w:val="95"/>
              </w:rPr>
              <w:t>(Principal Accounting Officer)</w:t>
            </w:r>
          </w:p>
        </w:tc>
        <w:tc>
          <w:tcPr>
            <w:tcW w:w="3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2"/>
              </w:rPr>
              <w:t>/s/Mohamed A. Awad</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16, 2016</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2"/>
              </w:rPr>
              <w:t>Mohamed A. Awad</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0"/>
              </w:rPr>
              <w:t>/s/David J. Butters</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16, 2016</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1"/>
              </w:rPr>
              <w:t>David J. Butters</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87"/>
              </w:rPr>
              <w:t>/s/John D. Gass</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16, 2016</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87"/>
              </w:rPr>
              <w:t>John D. Gass</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1"/>
              </w:rPr>
              <w:t>/s/Francis S. Kalman</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16, 2016</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89"/>
              </w:rPr>
              <w:t>Francis S. Kalman</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4"/>
              </w:rPr>
              <w:t>/s/William E. Macaulay</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16, 2016</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3"/>
              </w:rPr>
              <w:t>William E. Macaulay</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89"/>
              </w:rPr>
              <w:t>/s/Robert K. Moses, Jr.</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16, 2016</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0"/>
              </w:rPr>
              <w:t>Robert K. Moses, Jr.</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4"/>
              </w:rPr>
              <w:t>/s/Guillermo Ortiz</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16, 2016</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6"/>
              </w:rPr>
              <w:t>Guillermo Ortiz</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88"/>
              </w:rPr>
              <w:t>/s/Emyr Jones Parry</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16, 2016</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89"/>
              </w:rPr>
              <w:t>Emyr Jones Parry</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40" w:type="dxa"/>
            <w:vAlign w:val="bottom"/>
          </w:tcPr>
          <w:p>
            <w:pPr>
              <w:jc w:val="center"/>
              <w:spacing w:after="0"/>
              <w:rPr>
                <w:sz w:val="20"/>
                <w:szCs w:val="20"/>
                <w:color w:val="auto"/>
              </w:rPr>
            </w:pPr>
            <w:r>
              <w:rPr>
                <w:rFonts w:ascii="Arial" w:cs="Arial" w:eastAsia="Arial" w:hAnsi="Arial"/>
                <w:sz w:val="18"/>
                <w:szCs w:val="18"/>
                <w:color w:val="auto"/>
                <w:w w:val="92"/>
              </w:rPr>
              <w:t>/s/Robert A. Rayne</w:t>
            </w:r>
          </w:p>
        </w:tc>
        <w:tc>
          <w:tcPr>
            <w:tcW w:w="3960" w:type="dxa"/>
            <w:vAlign w:val="bottom"/>
          </w:tcPr>
          <w:p>
            <w:pPr>
              <w:jc w:val="center"/>
              <w:ind w:right="230"/>
              <w:spacing w:after="0"/>
              <w:rPr>
                <w:sz w:val="20"/>
                <w:szCs w:val="20"/>
                <w:color w:val="auto"/>
              </w:rPr>
            </w:pPr>
            <w:r>
              <w:rPr>
                <w:rFonts w:ascii="Arial" w:cs="Arial" w:eastAsia="Arial" w:hAnsi="Arial"/>
                <w:sz w:val="18"/>
                <w:szCs w:val="18"/>
                <w:color w:val="auto"/>
                <w:w w:val="95"/>
              </w:rPr>
              <w:t>Director</w:t>
            </w:r>
          </w:p>
        </w:tc>
        <w:tc>
          <w:tcPr>
            <w:tcW w:w="3320" w:type="dxa"/>
            <w:vAlign w:val="bottom"/>
          </w:tcPr>
          <w:p>
            <w:pPr>
              <w:jc w:val="center"/>
              <w:ind w:right="250"/>
              <w:spacing w:after="0"/>
              <w:rPr>
                <w:sz w:val="20"/>
                <w:szCs w:val="20"/>
                <w:color w:val="auto"/>
              </w:rPr>
            </w:pPr>
            <w:r>
              <w:rPr>
                <w:rFonts w:ascii="Arial" w:cs="Arial" w:eastAsia="Arial" w:hAnsi="Arial"/>
                <w:sz w:val="18"/>
                <w:szCs w:val="18"/>
                <w:color w:val="auto"/>
                <w:w w:val="91"/>
              </w:rPr>
              <w:t>February 16, 2016</w:t>
            </w:r>
          </w:p>
        </w:tc>
        <w:tc>
          <w:tcPr>
            <w:tcW w:w="0" w:type="dxa"/>
            <w:vAlign w:val="bottom"/>
          </w:tcPr>
          <w:p>
            <w:pPr>
              <w:spacing w:after="0"/>
              <w:rPr>
                <w:sz w:val="1"/>
                <w:szCs w:val="1"/>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9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40" w:type="dxa"/>
            <w:vAlign w:val="bottom"/>
          </w:tcPr>
          <w:p>
            <w:pPr>
              <w:jc w:val="center"/>
              <w:spacing w:after="0"/>
              <w:rPr>
                <w:sz w:val="20"/>
                <w:szCs w:val="20"/>
                <w:color w:val="auto"/>
              </w:rPr>
            </w:pPr>
            <w:r>
              <w:rPr>
                <w:rFonts w:ascii="Arial" w:cs="Arial" w:eastAsia="Arial" w:hAnsi="Arial"/>
                <w:sz w:val="18"/>
                <w:szCs w:val="18"/>
                <w:color w:val="auto"/>
                <w:w w:val="90"/>
              </w:rPr>
              <w:t>Robert A. Rayne</w:t>
            </w:r>
          </w:p>
        </w:tc>
        <w:tc>
          <w:tcPr>
            <w:tcW w:w="39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9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395" w:right="23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20"/>
          <w:szCs w:val="20"/>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INCENTIVE PLAN</w:t>
      </w:r>
    </w:p>
    <w:p>
      <w:pPr>
        <w:jc w:val="center"/>
        <w:spacing w:after="0"/>
        <w:rPr>
          <w:sz w:val="20"/>
          <w:szCs w:val="20"/>
          <w:color w:val="auto"/>
        </w:rPr>
      </w:pPr>
      <w:r>
        <w:rPr>
          <w:rFonts w:ascii="Arial" w:cs="Arial" w:eastAsia="Arial" w:hAnsi="Arial"/>
          <w:sz w:val="20"/>
          <w:szCs w:val="20"/>
          <w:b w:val="1"/>
          <w:bCs w:val="1"/>
          <w:color w:val="auto"/>
        </w:rPr>
        <w:t>(as amended and restated on June 17,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SHARE UNIT AWARD AGREEMENT</w:t>
      </w:r>
    </w:p>
    <w:p>
      <w:pPr>
        <w:spacing w:after="0" w:line="200" w:lineRule="exact"/>
        <w:rPr>
          <w:sz w:val="20"/>
          <w:szCs w:val="20"/>
          <w:color w:val="auto"/>
        </w:rPr>
      </w:pPr>
    </w:p>
    <w:p>
      <w:pPr>
        <w:spacing w:after="0" w:line="232"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THIS RESTRICTED SHARE UNIT AWARD AGREEMENT</w:t>
      </w:r>
      <w:r>
        <w:rPr>
          <w:rFonts w:ascii="Arial" w:cs="Arial" w:eastAsia="Arial" w:hAnsi="Arial"/>
          <w:sz w:val="18"/>
          <w:szCs w:val="18"/>
          <w:color w:val="auto"/>
        </w:rPr>
        <w:t>, including any country-specific terms set forth to an appendix attached hereto</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by and between Weatherford International plc, an Irish public limited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who has signed or electronically accepted this Agreement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xml:space="preserve">”), effective as of </w:t>
      </w:r>
      <w:r>
        <w:rPr>
          <w:rFonts w:ascii="Arial" w:cs="Arial" w:eastAsia="Arial" w:hAnsi="Arial"/>
          <w:sz w:val="18"/>
          <w:szCs w:val="18"/>
          <w:b w:val="1"/>
          <w:bCs w:val="1"/>
          <w:color w:val="auto"/>
        </w:rPr>
        <w:t>__________ ___</w:t>
      </w:r>
      <w:r>
        <w:rPr>
          <w:rFonts w:ascii="Arial" w:cs="Arial" w:eastAsia="Arial" w:hAnsi="Arial"/>
          <w:sz w:val="18"/>
          <w:szCs w:val="18"/>
          <w:color w:val="auto"/>
        </w:rPr>
        <w:t>, 20___, pursuant</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to the Weatherford International plc 2010 Omnibus Incentive Plan, as amended and restated on June 17, 2014, and further amended on June 16, 2015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which is incorporated by reference herein in its entirety.</w:t>
      </w:r>
    </w:p>
    <w:p>
      <w:pPr>
        <w:spacing w:after="0" w:line="18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desires to grant to the Holder restricted share units of the Company (the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under the Plan,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and conditions of this Agreement and the Plan; and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Holder desires to have the opportunity to hold the Units subject to the terms and conditions of this Agreement and the Plan;</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mutual covenants and agreements contained herein,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hereto, intending to be legally bound hereby, agree as follows:</w:t>
      </w:r>
    </w:p>
    <w:p>
      <w:pPr>
        <w:spacing w:after="0" w:line="178" w:lineRule="exact"/>
        <w:rPr>
          <w:sz w:val="20"/>
          <w:szCs w:val="20"/>
          <w:color w:val="auto"/>
        </w:rPr>
      </w:pPr>
    </w:p>
    <w:p>
      <w:pPr>
        <w:jc w:val="both"/>
        <w:ind w:left="660" w:hanging="652"/>
        <w:spacing w:after="0" w:line="273" w:lineRule="auto"/>
        <w:tabs>
          <w:tab w:leader="none" w:pos="660" w:val="left"/>
        </w:tabs>
        <w:numPr>
          <w:ilvl w:val="0"/>
          <w:numId w:val="38"/>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Forfeiture Restrictions</w:t>
      </w:r>
      <w:r>
        <w:rPr>
          <w:rFonts w:ascii="Arial" w:cs="Arial" w:eastAsia="Arial" w:hAnsi="Arial"/>
          <w:sz w:val="19"/>
          <w:szCs w:val="19"/>
          <w:color w:val="auto"/>
        </w:rPr>
        <w:t>” shall mean any prohibitions and restrictions set forth herein or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Plan with respect to the sale or other disposition of the Units and the obligation to forfeit such Units to the Company. Capitalized terms not otherwise defined in this Agreement shall have the meanings given to such terms in the Plan.</w:t>
      </w:r>
    </w:p>
    <w:p>
      <w:pPr>
        <w:spacing w:after="0" w:line="172" w:lineRule="exact"/>
        <w:rPr>
          <w:rFonts w:ascii="Arial" w:cs="Arial" w:eastAsia="Arial" w:hAnsi="Arial"/>
          <w:sz w:val="17"/>
          <w:szCs w:val="17"/>
          <w:b w:val="1"/>
          <w:bCs w:val="1"/>
          <w:color w:val="auto"/>
        </w:rPr>
      </w:pPr>
    </w:p>
    <w:p>
      <w:pPr>
        <w:jc w:val="both"/>
        <w:ind w:left="660" w:hanging="652"/>
        <w:spacing w:after="0" w:line="253" w:lineRule="auto"/>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Grant of Units</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as of the date of this Agreement and subject to the terms and conditions of this Agreement and the Plan,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hereby grants to the Holder ___________ Units. The Company and the Holder agree that this Agreement (including any country-specific appendix thereto) shall complete the terms of the Units.</w:t>
      </w:r>
    </w:p>
    <w:p>
      <w:pPr>
        <w:spacing w:after="0" w:line="191" w:lineRule="exact"/>
        <w:rPr>
          <w:rFonts w:ascii="Arial" w:cs="Arial" w:eastAsia="Arial" w:hAnsi="Arial"/>
          <w:sz w:val="18"/>
          <w:szCs w:val="18"/>
          <w:b w:val="1"/>
          <w:bCs w:val="1"/>
          <w:color w:val="auto"/>
        </w:rPr>
      </w:pPr>
    </w:p>
    <w:p>
      <w:pPr>
        <w:jc w:val="both"/>
        <w:ind w:left="660" w:hanging="652"/>
        <w:spacing w:after="0" w:line="248" w:lineRule="auto"/>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Transfer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specified herein or in the Plan, the Units may not be sold, assigned, pledged,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hypothecated or otherwise transferred, encumbered or disposed of. Any such attempted sale, assignment, pledge, exchange, hypothecation, transfer, encumbrance or disposition in violation of this Agreement or the Plan shall be void, and the Company shall not be bound thereby.</w:t>
      </w:r>
    </w:p>
    <w:p>
      <w:pPr>
        <w:spacing w:after="0" w:line="197" w:lineRule="exact"/>
        <w:rPr>
          <w:rFonts w:ascii="Arial" w:cs="Arial" w:eastAsia="Arial" w:hAnsi="Arial"/>
          <w:sz w:val="18"/>
          <w:szCs w:val="18"/>
          <w:b w:val="1"/>
          <w:bCs w:val="1"/>
          <w:color w:val="auto"/>
        </w:rPr>
      </w:pPr>
    </w:p>
    <w:p>
      <w:pPr>
        <w:ind w:left="660" w:hanging="652"/>
        <w:spacing w:after="0"/>
        <w:tabs>
          <w:tab w:leader="none" w:pos="660" w:val="left"/>
        </w:tabs>
        <w:numPr>
          <w:ilvl w:val="0"/>
          <w:numId w:val="38"/>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Vesting or Forfeiture</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left="1300" w:hanging="644"/>
        <w:spacing w:after="0" w:line="291"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8"/>
          <w:szCs w:val="18"/>
          <w:color w:val="auto"/>
        </w:rPr>
        <w:t>Except as specified otherwise in this Section 4, the Units shall be subject to Forfeiture Restrictions. The Forfeiture Restrictions shall lapse as to the Units that are granted hereby in accordance with the following schedule (each such date being a “</w:t>
      </w:r>
      <w:r>
        <w:rPr>
          <w:rFonts w:ascii="Arial" w:cs="Arial" w:eastAsia="Arial" w:hAnsi="Arial"/>
          <w:sz w:val="18"/>
          <w:szCs w:val="18"/>
          <w:b w:val="1"/>
          <w:bCs w:val="1"/>
          <w:i w:val="1"/>
          <w:iCs w:val="1"/>
          <w:color w:val="auto"/>
        </w:rPr>
        <w:t>Vesting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provided that the Units have not been forfeited to the Company prior to such date pursuant to Section 4(c).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74603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RSU Officer Agreement; CIC</w:t>
      </w:r>
    </w:p>
    <w:p>
      <w:pPr>
        <w:sectPr>
          <w:pgSz w:w="11900" w:h="16838" w:orient="portrait"/>
          <w:cols w:equalWidth="0" w:num="1">
            <w:col w:w="11420"/>
          </w:cols>
          <w:pgMar w:left="240" w:top="805" w:right="239" w:bottom="1440" w:gutter="0" w:footer="0" w:header="0"/>
        </w:sectPr>
      </w:pPr>
    </w:p>
    <w:bookmarkStart w:id="107" w:name="page108"/>
    <w:bookmarkEnd w:id="107"/>
    <w:tbl>
      <w:tblPr>
        <w:tblLayout w:type="fixed"/>
        <w:tblInd w:w="2880" w:type="dxa"/>
        <w:tblCellMar>
          <w:top w:w="0" w:type="dxa"/>
          <w:left w:w="0" w:type="dxa"/>
          <w:bottom w:w="0" w:type="dxa"/>
          <w:right w:w="0" w:type="dxa"/>
        </w:tblCellMar>
      </w:tblPr>
      <w:tr>
        <w:trPr>
          <w:trHeight w:val="230"/>
        </w:trPr>
        <w:tc>
          <w:tcPr>
            <w:tcW w:w="106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640" w:type="dxa"/>
            <w:vAlign w:val="bottom"/>
            <w:gridSpan w:val="2"/>
          </w:tcPr>
          <w:p>
            <w:pPr>
              <w:jc w:val="center"/>
              <w:ind w:right="640"/>
              <w:spacing w:after="0"/>
              <w:rPr>
                <w:sz w:val="20"/>
                <w:szCs w:val="20"/>
                <w:color w:val="auto"/>
              </w:rPr>
            </w:pPr>
            <w:r>
              <w:rPr>
                <w:rFonts w:ascii="Arial" w:cs="Arial" w:eastAsia="Arial" w:hAnsi="Arial"/>
                <w:sz w:val="20"/>
                <w:szCs w:val="20"/>
                <w:b w:val="1"/>
                <w:bCs w:val="1"/>
                <w:color w:val="auto"/>
                <w:w w:val="91"/>
              </w:rPr>
              <w:t>Number of</w:t>
            </w:r>
          </w:p>
        </w:tc>
      </w:tr>
      <w:tr>
        <w:trPr>
          <w:trHeight w:val="230"/>
        </w:trPr>
        <w:tc>
          <w:tcPr>
            <w:tcW w:w="1060" w:type="dxa"/>
            <w:vAlign w:val="bottom"/>
          </w:tcPr>
          <w:p>
            <w:pPr>
              <w:spacing w:after="0"/>
              <w:rPr>
                <w:sz w:val="19"/>
                <w:szCs w:val="19"/>
                <w:color w:val="auto"/>
              </w:rPr>
            </w:pPr>
          </w:p>
        </w:tc>
        <w:tc>
          <w:tcPr>
            <w:tcW w:w="4660" w:type="dxa"/>
            <w:vAlign w:val="bottom"/>
            <w:gridSpan w:val="3"/>
          </w:tcPr>
          <w:p>
            <w:pPr>
              <w:jc w:val="center"/>
              <w:ind w:left="2281"/>
              <w:spacing w:after="0"/>
              <w:rPr>
                <w:sz w:val="20"/>
                <w:szCs w:val="20"/>
                <w:color w:val="auto"/>
              </w:rPr>
            </w:pPr>
            <w:r>
              <w:rPr>
                <w:rFonts w:ascii="Arial" w:cs="Arial" w:eastAsia="Arial" w:hAnsi="Arial"/>
                <w:sz w:val="20"/>
                <w:szCs w:val="20"/>
                <w:b w:val="1"/>
                <w:bCs w:val="1"/>
                <w:color w:val="auto"/>
                <w:w w:val="90"/>
              </w:rPr>
              <w:t>Units Subject to Forfeiture</w:t>
            </w:r>
          </w:p>
        </w:tc>
      </w:tr>
      <w:tr>
        <w:trPr>
          <w:trHeight w:val="212"/>
        </w:trPr>
        <w:tc>
          <w:tcPr>
            <w:tcW w:w="1060" w:type="dxa"/>
            <w:vAlign w:val="bottom"/>
          </w:tcPr>
          <w:p>
            <w:pPr>
              <w:spacing w:after="0" w:line="212" w:lineRule="exact"/>
              <w:rPr>
                <w:sz w:val="20"/>
                <w:szCs w:val="20"/>
                <w:color w:val="auto"/>
              </w:rPr>
            </w:pPr>
            <w:r>
              <w:rPr>
                <w:rFonts w:ascii="Arial" w:cs="Arial" w:eastAsia="Arial" w:hAnsi="Arial"/>
                <w:sz w:val="20"/>
                <w:szCs w:val="20"/>
                <w:b w:val="1"/>
                <w:bCs w:val="1"/>
                <w:color w:val="auto"/>
                <w:w w:val="85"/>
              </w:rPr>
              <w:t>Vesting Date</w:t>
            </w:r>
          </w:p>
        </w:tc>
        <w:tc>
          <w:tcPr>
            <w:tcW w:w="3020" w:type="dxa"/>
            <w:vAlign w:val="bottom"/>
          </w:tcPr>
          <w:p>
            <w:pPr>
              <w:spacing w:after="0"/>
              <w:rPr>
                <w:sz w:val="18"/>
                <w:szCs w:val="18"/>
                <w:color w:val="auto"/>
              </w:rPr>
            </w:pPr>
          </w:p>
        </w:tc>
        <w:tc>
          <w:tcPr>
            <w:tcW w:w="1640" w:type="dxa"/>
            <w:vAlign w:val="bottom"/>
            <w:gridSpan w:val="2"/>
          </w:tcPr>
          <w:p>
            <w:pPr>
              <w:jc w:val="center"/>
              <w:ind w:right="640"/>
              <w:spacing w:after="0" w:line="212" w:lineRule="exact"/>
              <w:rPr>
                <w:sz w:val="20"/>
                <w:szCs w:val="20"/>
                <w:color w:val="auto"/>
              </w:rPr>
            </w:pPr>
            <w:r>
              <w:rPr>
                <w:rFonts w:ascii="Arial" w:cs="Arial" w:eastAsia="Arial" w:hAnsi="Arial"/>
                <w:sz w:val="20"/>
                <w:szCs w:val="20"/>
                <w:b w:val="1"/>
                <w:bCs w:val="1"/>
                <w:color w:val="auto"/>
                <w:w w:val="86"/>
              </w:rPr>
              <w:t>Restrictions</w:t>
            </w:r>
          </w:p>
        </w:tc>
      </w:tr>
      <w:tr>
        <w:trPr>
          <w:trHeight w:val="20"/>
        </w:trPr>
        <w:tc>
          <w:tcPr>
            <w:tcW w:w="10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left="1300" w:hanging="644"/>
        <w:spacing w:after="0" w:line="275"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8"/>
          <w:szCs w:val="18"/>
          <w:color w:val="auto"/>
        </w:rPr>
        <w:t>Notwithstanding Section 4(a), if (i) the Holder’s Employment with the Company and its Affiliates is terminated prior to one or more Vesting Dates (1) due to the death or Disability of the Holder, (2) by the Holder for Good Reason (as defined below) or</w:t>
      </w:r>
    </w:p>
    <w:p>
      <w:pPr>
        <w:jc w:val="both"/>
        <w:ind w:left="1300" w:firstLine="5"/>
        <w:spacing w:after="0" w:line="269" w:lineRule="auto"/>
        <w:tabs>
          <w:tab w:leader="none" w:pos="1609" w:val="left"/>
        </w:tabs>
        <w:numPr>
          <w:ilvl w:val="2"/>
          <w:numId w:val="40"/>
        </w:numPr>
        <w:rPr>
          <w:rFonts w:ascii="Arial" w:cs="Arial" w:eastAsia="Arial" w:hAnsi="Arial"/>
          <w:sz w:val="18"/>
          <w:szCs w:val="18"/>
          <w:color w:val="auto"/>
        </w:rPr>
      </w:pPr>
      <w:r>
        <w:rPr>
          <w:rFonts w:ascii="Arial" w:cs="Arial" w:eastAsia="Arial" w:hAnsi="Arial"/>
          <w:sz w:val="18"/>
          <w:szCs w:val="18"/>
          <w:color w:val="auto"/>
        </w:rPr>
        <w:t>by the Company for any reason other than Cause (as defined below) then, in any such event, all remaining Forfeiture Restrictions shall immediately lapse and the Vesting Date shall be deemed to be the date of the termination of the Holder’s Employment or (ii) there is a Change of Control prior to one or more Vesting Dates, then all remaining Forfeiture Restrictions shall immediately lapse and the Vesting Date shall be deemed to be the date immediately preceding such Change of Control. For purposes of this Agreement,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shall have the meaning ascribed thereto in the Plan, except that if the Holder is party to or covered by any change of control agreement or arrangement with the Employer (as defined in Section 8), then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shall have the meaning set forth in such agreement or arrangement to the extent permitted by and otherwise consistent with the Plan. For purposes of this Agreement,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and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have the meanings provided under the Holder’s employment agreement with the Employer, if any, and in the absence of an employment agreement, such terms shall be inapplicable for purposes of this Agreement and any termination of the Holder’s employment other than due to clause (i)(1) of this Section 4(b) shall be governed by Section 4(c) of this Agreement.</w:t>
      </w:r>
    </w:p>
    <w:p>
      <w:pPr>
        <w:spacing w:after="0" w:line="187" w:lineRule="exact"/>
        <w:rPr>
          <w:rFonts w:ascii="Arial" w:cs="Arial" w:eastAsia="Arial" w:hAnsi="Arial"/>
          <w:sz w:val="18"/>
          <w:szCs w:val="18"/>
          <w:color w:val="auto"/>
        </w:rPr>
      </w:pPr>
    </w:p>
    <w:p>
      <w:pPr>
        <w:jc w:val="both"/>
        <w:ind w:left="1300" w:hanging="644"/>
        <w:spacing w:after="0" w:line="276" w:lineRule="auto"/>
        <w:tabs>
          <w:tab w:leader="none" w:pos="1300" w:val="left"/>
        </w:tabs>
        <w:numPr>
          <w:ilvl w:val="1"/>
          <w:numId w:val="40"/>
        </w:numPr>
        <w:rPr>
          <w:rFonts w:ascii="Arial" w:cs="Arial" w:eastAsia="Arial" w:hAnsi="Arial"/>
          <w:sz w:val="16"/>
          <w:szCs w:val="16"/>
          <w:color w:val="auto"/>
        </w:rPr>
      </w:pPr>
      <w:r>
        <w:rPr>
          <w:rFonts w:ascii="Arial" w:cs="Arial" w:eastAsia="Arial" w:hAnsi="Arial"/>
          <w:sz w:val="18"/>
          <w:szCs w:val="18"/>
          <w:color w:val="auto"/>
        </w:rPr>
        <w:t>If the Holder’s Employment is terminated prior to any Vesting Date (other than a termination described in Section 4(b)), then any Forfeiture Restrictions that have not previously lapsed pursuant to the provisions of this Section 4 shall not lapse, and any Units with respect to which the Forfeiture Restrictions have not lapsed shall be forfeited to the Company on the date of the termination of the Holder’s Employment. In the event any Units are forfeited to the Company pursuant to this Agreement, the Company will not be obligated to pay the Holder any consideration whatsoever for the forfeited Units or the underlying Shares (as defined in Section 5), and the Holder will have no rights to receive any consideration for the forfeited Units.</w:t>
      </w:r>
    </w:p>
    <w:p>
      <w:pPr>
        <w:spacing w:after="0" w:line="172" w:lineRule="exact"/>
        <w:rPr>
          <w:rFonts w:ascii="Arial" w:cs="Arial" w:eastAsia="Arial" w:hAnsi="Arial"/>
          <w:sz w:val="16"/>
          <w:szCs w:val="16"/>
          <w:color w:val="auto"/>
        </w:rPr>
      </w:pPr>
    </w:p>
    <w:p>
      <w:pPr>
        <w:jc w:val="both"/>
        <w:ind w:left="660" w:hanging="652"/>
        <w:spacing w:after="0" w:line="253" w:lineRule="auto"/>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No Dividend Equivalents</w:t>
      </w:r>
      <w:r>
        <w:rPr>
          <w:rFonts w:ascii="Arial" w:cs="Arial" w:eastAsia="Arial" w:hAnsi="Arial"/>
          <w:sz w:val="20"/>
          <w:szCs w:val="20"/>
          <w:b w:val="1"/>
          <w:bCs w:val="1"/>
          <w:color w:val="auto"/>
        </w:rPr>
        <w:t xml:space="preserve">. </w:t>
      </w:r>
      <w:r>
        <w:rPr>
          <w:rFonts w:ascii="Arial" w:cs="Arial" w:eastAsia="Arial" w:hAnsi="Arial"/>
          <w:sz w:val="20"/>
          <w:szCs w:val="20"/>
          <w:color w:val="auto"/>
        </w:rPr>
        <w:t>If during the period the Holder holds any Units awarded hereby the Company pays a dividend in cash,</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or otherwise with respect to the Company’s outstanding ordinary shares, nominal value $0.001 per share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the Holder shall receive no dividend equivalent payment with respect to the Holder’s Units.</w:t>
      </w:r>
    </w:p>
    <w:p>
      <w:pPr>
        <w:spacing w:after="0" w:line="191" w:lineRule="exact"/>
        <w:rPr>
          <w:rFonts w:ascii="Arial" w:cs="Arial" w:eastAsia="Arial" w:hAnsi="Arial"/>
          <w:sz w:val="18"/>
          <w:szCs w:val="18"/>
          <w:b w:val="1"/>
          <w:bCs w:val="1"/>
          <w:color w:val="auto"/>
        </w:rPr>
      </w:pPr>
    </w:p>
    <w:p>
      <w:pPr>
        <w:jc w:val="both"/>
        <w:ind w:left="660" w:hanging="652"/>
        <w:spacing w:after="0" w:line="294" w:lineRule="auto"/>
        <w:tabs>
          <w:tab w:leader="none" w:pos="660" w:val="left"/>
        </w:tabs>
        <w:numPr>
          <w:ilvl w:val="0"/>
          <w:numId w:val="41"/>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Delivery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lapse of any Forfeiture Restrictions on each applicable Vesting Date under Section 4,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or cause to be delivered a number of Shares equal to the number of Units with respect to which the Forfeiture Restrictions have lapsed (subject to the satisfaction by the Holder of any Tax-Related Items arising under Section 8 of this Agreement).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74603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RSU Officer Agreement; CIC</w:t>
      </w:r>
    </w:p>
    <w:p>
      <w:pPr>
        <w:sectPr>
          <w:pgSz w:w="11900" w:h="16838" w:orient="portrait"/>
          <w:cols w:equalWidth="0" w:num="1">
            <w:col w:w="11420"/>
          </w:cols>
          <w:pgMar w:left="240" w:top="521" w:right="239" w:bottom="1440" w:gutter="0" w:footer="0" w:header="0"/>
        </w:sectPr>
      </w:pPr>
    </w:p>
    <w:bookmarkStart w:id="108" w:name="page109"/>
    <w:bookmarkEnd w:id="108"/>
    <w:p>
      <w:pPr>
        <w:jc w:val="both"/>
        <w:ind w:left="660" w:hanging="652"/>
        <w:spacing w:after="0" w:line="259" w:lineRule="auto"/>
        <w:tabs>
          <w:tab w:leader="none" w:pos="660" w:val="left"/>
        </w:tabs>
        <w:numPr>
          <w:ilvl w:val="0"/>
          <w:numId w:val="42"/>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Capital Adjustments and Reorganizations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existence of the Units shall not affect in any way the right or power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or its shareholders to make or authorize any or all adjustments, recapitalizations, reorganizations or other changes in the Company’s capital structure or its business, or any acquisition, merger, amalgamation or consolidation of the Company, or any issue of bonds, debentures, preferred or prior preference shares ahead of or affecting the Shares or the rights thereof, or the winding up, dissolution or liquidation of the Company, or any sale or transfer of all or any part of its assets or business, or any other corporate act or proceeding, whether of a similar character or otherwise, including a Change of Control (as defined in the Plan). An adjustment under this provision may have the effect of reducing the price at which Shares may be acquired to less than their nominal value (the “</w:t>
      </w:r>
      <w:r>
        <w:rPr>
          <w:rFonts w:ascii="Arial" w:cs="Arial" w:eastAsia="Arial" w:hAnsi="Arial"/>
          <w:sz w:val="19"/>
          <w:szCs w:val="19"/>
          <w:b w:val="1"/>
          <w:bCs w:val="1"/>
          <w:i w:val="1"/>
          <w:iCs w:val="1"/>
          <w:color w:val="auto"/>
        </w:rPr>
        <w:t>Shortfall</w:t>
      </w:r>
      <w:r>
        <w:rPr>
          <w:rFonts w:ascii="Arial" w:cs="Arial" w:eastAsia="Arial" w:hAnsi="Arial"/>
          <w:sz w:val="19"/>
          <w:szCs w:val="19"/>
          <w:color w:val="auto"/>
        </w:rPr>
        <w:t>”), but only if and to the extent that the Committee shall be authorized to capitalize from the reserves of the Company a sum equal to the Shortfall and to apply that sum in paying up that amount on the Shares.</w:t>
      </w:r>
    </w:p>
    <w:p>
      <w:pPr>
        <w:spacing w:after="0" w:line="187" w:lineRule="exact"/>
        <w:rPr>
          <w:rFonts w:ascii="Arial" w:cs="Arial" w:eastAsia="Arial" w:hAnsi="Arial"/>
          <w:sz w:val="17"/>
          <w:szCs w:val="17"/>
          <w:b w:val="1"/>
          <w:bCs w:val="1"/>
          <w:color w:val="auto"/>
        </w:rPr>
      </w:pPr>
    </w:p>
    <w:p>
      <w:pPr>
        <w:jc w:val="both"/>
        <w:ind w:left="660" w:hanging="652"/>
        <w:spacing w:after="0" w:line="270" w:lineRule="auto"/>
        <w:tabs>
          <w:tab w:leader="none" w:pos="660" w:val="left"/>
        </w:tabs>
        <w:numPr>
          <w:ilvl w:val="0"/>
          <w:numId w:val="42"/>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Responsibility for Taxes &amp;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acknowledges that, regardless of any action taken by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of the Company, as applicable, to the extent the Holder is employed by or seconded to any such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Holder’s participation in the Plan and legally applicable to the Holder or deemed by the Company or the Employer in its discretion to be an appropriate charge to the Holder even if legally applicable to the Company or the Employer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Holder’s responsibility and may exceed the amount actually withheld by the Company or the Employer. The Holder further acknowledges that the Company and/or the Employer (i) make no representations or undertakings regarding the treatment of any Tax-Related Items in connection with any aspect of the Units, including, but not limited to, the grant, vesting or settlement of the Units, the subsequent sale of Shares acquired pursuant to such settlement and the receipt of any dividends and/or any dividend equivalents; and (ii) do not commit to and are under no obligation to structure the terms of the grant or any aspect of the Units to reduce or eliminate the Holder’s liability for Tax-Related Items or achieve any particular tax result. Further, if the Holder is subject to Tax-Related Items in more than one jurisdiction between the date of grant and the date of any relevant taxable or tax withholding event, as applicable, the Holder acknowledges that the Company and/or the Employer (or former Employer, as applicable) may be required to withhold or account for Tax-Related Items in more than one jurisdiction.</w:t>
      </w:r>
    </w:p>
    <w:p>
      <w:pPr>
        <w:spacing w:after="0" w:line="190"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Prior to any relevant taxable or tax withholding event, as applicable, the Holder agrees to make adequate arrangements satisfactory to the Company and/or the Employer to satisfy all Tax-Related Items. In this regard, the Holder authorizes the Company and/or its Affiliates, or their respective agents, at their discretion, to satisfy the obligations with regard to all Tax-Related Items by one or a combination of the following:</w:t>
      </w:r>
    </w:p>
    <w:p>
      <w:pPr>
        <w:spacing w:after="0" w:line="192" w:lineRule="exact"/>
        <w:rPr>
          <w:sz w:val="20"/>
          <w:szCs w:val="20"/>
          <w:color w:val="auto"/>
        </w:rPr>
      </w:pPr>
    </w:p>
    <w:p>
      <w:pPr>
        <w:ind w:left="1300" w:hanging="671"/>
        <w:spacing w:after="0"/>
        <w:tabs>
          <w:tab w:leader="none" w:pos="1300" w:val="left"/>
        </w:tabs>
        <w:numPr>
          <w:ilvl w:val="0"/>
          <w:numId w:val="43"/>
        </w:numPr>
        <w:rPr>
          <w:rFonts w:ascii="Arial" w:cs="Arial" w:eastAsia="Arial" w:hAnsi="Arial"/>
          <w:sz w:val="16"/>
          <w:szCs w:val="16"/>
          <w:color w:val="auto"/>
        </w:rPr>
      </w:pPr>
      <w:r>
        <w:rPr>
          <w:rFonts w:ascii="Arial" w:cs="Arial" w:eastAsia="Arial" w:hAnsi="Arial"/>
          <w:sz w:val="18"/>
          <w:szCs w:val="18"/>
          <w:color w:val="auto"/>
        </w:rPr>
        <w:t>withholding from the Holder’s wages or other cash compensation paid to the Holder by the Company and/or its Affiliates; or</w:t>
      </w:r>
    </w:p>
    <w:p>
      <w:pPr>
        <w:spacing w:after="0" w:line="252" w:lineRule="exact"/>
        <w:rPr>
          <w:rFonts w:ascii="Arial" w:cs="Arial" w:eastAsia="Arial" w:hAnsi="Arial"/>
          <w:sz w:val="16"/>
          <w:szCs w:val="16"/>
          <w:color w:val="auto"/>
        </w:rPr>
      </w:pPr>
    </w:p>
    <w:p>
      <w:pPr>
        <w:jc w:val="both"/>
        <w:ind w:left="1300" w:hanging="671"/>
        <w:spacing w:after="0" w:line="250"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20"/>
          <w:szCs w:val="20"/>
          <w:color w:val="auto"/>
        </w:rPr>
        <w:t>withholding from proceeds of the Shares acquired following the lapse of the Forfeiture Restrictions either through a voluntary sale or through a mandatory sale arranged by the Company (on the Holder’s behalf pursuant to this authorization without further consent); or</w:t>
      </w:r>
    </w:p>
    <w:p>
      <w:pPr>
        <w:spacing w:after="0" w:line="199" w:lineRule="exact"/>
        <w:rPr>
          <w:rFonts w:ascii="Arial" w:cs="Arial" w:eastAsia="Arial" w:hAnsi="Arial"/>
          <w:sz w:val="18"/>
          <w:szCs w:val="18"/>
          <w:color w:val="auto"/>
        </w:rPr>
      </w:pPr>
    </w:p>
    <w:p>
      <w:pPr>
        <w:jc w:val="both"/>
        <w:ind w:left="1300" w:hanging="671"/>
        <w:spacing w:after="0" w:line="250"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20"/>
          <w:szCs w:val="20"/>
          <w:color w:val="auto"/>
        </w:rPr>
        <w:t>withholding in Shares to be delivered upon the lapse of the Forfeiture Restrictions unless the Committee, in its sole discretion, indicates that this method of withholding is not available prior to the applicable taxable or tax withholding event and further provided, that if the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74603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RSU Officer Agreement; CIC</w:t>
      </w:r>
    </w:p>
    <w:p>
      <w:pPr>
        <w:sectPr>
          <w:pgSz w:w="11900" w:h="16838" w:orient="portrait"/>
          <w:cols w:equalWidth="0" w:num="1">
            <w:col w:w="11420"/>
          </w:cols>
          <w:pgMar w:left="240" w:top="360" w:right="239" w:bottom="1440" w:gutter="0" w:footer="0" w:header="0"/>
        </w:sectPr>
      </w:pPr>
    </w:p>
    <w:bookmarkStart w:id="109" w:name="page110"/>
    <w:bookmarkEnd w:id="109"/>
    <w:p>
      <w:pPr>
        <w:jc w:val="both"/>
        <w:ind w:left="1300"/>
        <w:spacing w:after="0" w:line="293" w:lineRule="auto"/>
        <w:rPr>
          <w:sz w:val="20"/>
          <w:szCs w:val="20"/>
          <w:color w:val="auto"/>
        </w:rPr>
      </w:pPr>
      <w:r>
        <w:rPr>
          <w:rFonts w:ascii="Arial" w:cs="Arial" w:eastAsia="Arial" w:hAnsi="Arial"/>
          <w:sz w:val="19"/>
          <w:szCs w:val="19"/>
          <w:color w:val="auto"/>
        </w:rPr>
        <w:t>Holder is a Section 16 officer of the Company under the U.S. Securities and Exchange Act of 1934, as amended, then the Committee (as constituted in accordance with Rule 16b-3 under the Exchange Act) shall establish the method of withholding from alternatives (a)-(c) herein and, if the Committee does not exercise its discretion prior to the Tax-Related Items withholding event, then the Holder shall be entitled to elect the method of withholding from the alternatives above.</w:t>
      </w:r>
    </w:p>
    <w:p>
      <w:pPr>
        <w:spacing w:after="0" w:line="176" w:lineRule="exact"/>
        <w:rPr>
          <w:sz w:val="20"/>
          <w:szCs w:val="20"/>
          <w:color w:val="auto"/>
        </w:rPr>
      </w:pPr>
    </w:p>
    <w:p>
      <w:pPr>
        <w:jc w:val="both"/>
        <w:ind w:left="620"/>
        <w:spacing w:after="0" w:line="243" w:lineRule="auto"/>
        <w:rPr>
          <w:sz w:val="20"/>
          <w:szCs w:val="20"/>
          <w:color w:val="auto"/>
        </w:rPr>
      </w:pPr>
      <w:r>
        <w:rPr>
          <w:rFonts w:ascii="Arial" w:cs="Arial" w:eastAsia="Arial" w:hAnsi="Arial"/>
          <w:sz w:val="20"/>
          <w:szCs w:val="20"/>
          <w:color w:val="auto"/>
        </w:rPr>
        <w:t>Depending on the withholding method, the Company may withhold or account for Tax-Related Items by considering applicable minimum statutory withholding rates or other applicable withholding rates, including maximum applicable rates, in which case the Holder will receive a refund of any over-withheld amount in cash and will have no entitlement to the Share equivalent. If the obligation for Tax-Related Items is satisfied by withholding in Shares, for tax purposes, the Holder is deemed to have been issued the full number of Shares subject to the vested Units, notwithstanding that a number of the Shares are held back solely for the purpose of paying the Tax-Related Items.</w:t>
      </w:r>
    </w:p>
    <w:p>
      <w:pPr>
        <w:spacing w:after="0" w:line="196"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Finally, the Holder agrees to pay to the Company or the Employer any amount of Tax-Related Items that the Company or the Employer may be required to withhold or account for as a result of the Holder’s participation in the Plan that cannot be satisfied by the means previously described. The Company may refuse to issue or deliver the Shares or the proceeds of the sale of Shares, if the Holder fails to comply with his or her obligations in connection with the Tax-Related Items.</w:t>
      </w:r>
    </w:p>
    <w:p>
      <w:pPr>
        <w:spacing w:after="0" w:line="186" w:lineRule="exact"/>
        <w:rPr>
          <w:sz w:val="20"/>
          <w:szCs w:val="20"/>
          <w:color w:val="auto"/>
        </w:rPr>
      </w:pPr>
    </w:p>
    <w:p>
      <w:pPr>
        <w:jc w:val="both"/>
        <w:ind w:left="660" w:hanging="652"/>
        <w:spacing w:after="0" w:line="243" w:lineRule="auto"/>
        <w:tabs>
          <w:tab w:leader="none" w:pos="660" w:val="left"/>
        </w:tabs>
        <w:numPr>
          <w:ilvl w:val="0"/>
          <w:numId w:val="44"/>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Employment or Affiliation Relationship</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 of Units and the Holder’s participation in the Plan shall not create a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or be interpreted as forming an employment or services contract or other affiliation with the Company, the Employer or any Affiliate and shall not interfere with the ability of the Company, the Employer or any Affiliate, as applicable, to terminate the Holder’s Employment. For purposes of this Agreement, the Holder shall be considered to be in the employment of, or affiliated with, the Company, the Employer or its Affiliates as long as the Holder has an active employment or affiliation relationship with the Company, the Employer or any Affiliate. The Committee shall determine any questions as to whether and when there has been a termination of the Holder’s Employment, and the cause of such termination, under the Plan and the Committee’s determination shall be final and binding on all persons.</w:t>
      </w:r>
    </w:p>
    <w:p>
      <w:pPr>
        <w:spacing w:after="0" w:line="203" w:lineRule="exact"/>
        <w:rPr>
          <w:rFonts w:ascii="Arial" w:cs="Arial" w:eastAsia="Arial" w:hAnsi="Arial"/>
          <w:sz w:val="18"/>
          <w:szCs w:val="18"/>
          <w:b w:val="1"/>
          <w:bCs w:val="1"/>
          <w:color w:val="auto"/>
        </w:rPr>
      </w:pPr>
    </w:p>
    <w:p>
      <w:pPr>
        <w:ind w:left="660" w:right="20" w:hanging="652"/>
        <w:spacing w:after="0" w:line="293" w:lineRule="auto"/>
        <w:tabs>
          <w:tab w:leader="none" w:pos="660" w:val="left"/>
        </w:tabs>
        <w:numPr>
          <w:ilvl w:val="0"/>
          <w:numId w:val="44"/>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Voting and Other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The Holder shall have no rights as a shareholder of the Company in respect of the Units, including the right</w:t>
      </w:r>
      <w:r>
        <w:rPr>
          <w:rFonts w:ascii="Arial" w:cs="Arial" w:eastAsia="Arial" w:hAnsi="Arial"/>
          <w:sz w:val="19"/>
          <w:szCs w:val="19"/>
          <w:b w:val="1"/>
          <w:bCs w:val="1"/>
          <w:color w:val="auto"/>
        </w:rPr>
        <w:t xml:space="preserve"> </w:t>
      </w:r>
      <w:r>
        <w:rPr>
          <w:rFonts w:ascii="Arial" w:cs="Arial" w:eastAsia="Arial" w:hAnsi="Arial"/>
          <w:sz w:val="19"/>
          <w:szCs w:val="19"/>
          <w:color w:val="auto"/>
        </w:rPr>
        <w:t>to vote and to receive dividends and other distributions, until delivery of Shares in satisfaction of such Units.</w:t>
      </w:r>
    </w:p>
    <w:p>
      <w:pPr>
        <w:spacing w:after="0" w:line="155" w:lineRule="exact"/>
        <w:rPr>
          <w:rFonts w:ascii="Arial" w:cs="Arial" w:eastAsia="Arial" w:hAnsi="Arial"/>
          <w:sz w:val="17"/>
          <w:szCs w:val="17"/>
          <w:b w:val="1"/>
          <w:bCs w:val="1"/>
          <w:color w:val="auto"/>
        </w:rPr>
      </w:pPr>
    </w:p>
    <w:p>
      <w:pPr>
        <w:jc w:val="both"/>
        <w:ind w:left="660" w:hanging="652"/>
        <w:spacing w:after="0" w:line="256" w:lineRule="auto"/>
        <w:tabs>
          <w:tab w:leader="none" w:pos="660" w:val="left"/>
        </w:tabs>
        <w:numPr>
          <w:ilvl w:val="0"/>
          <w:numId w:val="44"/>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Data Privacy</w:t>
      </w:r>
      <w:r>
        <w:rPr>
          <w:rFonts w:ascii="Arial" w:cs="Arial" w:eastAsia="Arial" w:hAnsi="Arial"/>
          <w:sz w:val="19"/>
          <w:szCs w:val="19"/>
          <w:color w:val="auto"/>
        </w:rPr>
        <w:t>. The Holder hereby explicitly and unambiguously consents to the collection, use and transfer, in electronic or other form,</w:t>
      </w:r>
      <w:r>
        <w:rPr>
          <w:rFonts w:ascii="Arial" w:cs="Arial" w:eastAsia="Arial" w:hAnsi="Arial"/>
          <w:sz w:val="19"/>
          <w:szCs w:val="19"/>
          <w:b w:val="1"/>
          <w:bCs w:val="1"/>
          <w:color w:val="auto"/>
        </w:rPr>
        <w:t xml:space="preserve"> </w:t>
      </w:r>
      <w:r>
        <w:rPr>
          <w:rFonts w:ascii="Arial" w:cs="Arial" w:eastAsia="Arial" w:hAnsi="Arial"/>
          <w:sz w:val="19"/>
          <w:szCs w:val="19"/>
          <w:color w:val="auto"/>
        </w:rPr>
        <w:t>of the Holder’s personal data as described in this Agreement and any other grant materials (“</w:t>
      </w:r>
      <w:r>
        <w:rPr>
          <w:rFonts w:ascii="Arial" w:cs="Arial" w:eastAsia="Arial" w:hAnsi="Arial"/>
          <w:sz w:val="19"/>
          <w:szCs w:val="19"/>
          <w:b w:val="1"/>
          <w:bCs w:val="1"/>
          <w:i w:val="1"/>
          <w:iCs w:val="1"/>
          <w:color w:val="auto"/>
        </w:rPr>
        <w:t>Data</w:t>
      </w:r>
      <w:r>
        <w:rPr>
          <w:rFonts w:ascii="Arial" w:cs="Arial" w:eastAsia="Arial" w:hAnsi="Arial"/>
          <w:sz w:val="19"/>
          <w:szCs w:val="19"/>
          <w:color w:val="auto"/>
        </w:rPr>
        <w:t>”) by and among, as applicable, the Employer, the Company and its Affiliates for the exclusive purpose of implementing, administering and managing the Holder’s participation in the Plan. The Holder understands that the Company and the Employer may hold certain personal information about the Holder, including, but not limited to, the Holder’s name, home address and telephone number, date of birth, social insurance number or other identification number, salary, nationality, job title, any Shares or directorships held in the Company, details of all Units or any other entitlement to Shares awarded, canceled, exercised, vested, unvested or outstanding in the Holder’s favor, for the exclusive purpose of implementing, administering and managing the Plan. The Holder understands that Data will be transferred to Merrill Lynch, or such other stock plan service provider as may be selected by the Company in the future, which is assisting the Company with the implementation, administration and management of the Plan. The Holder understands that the recipients of the Data may be located in Ireland, the United States or elsewhere,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74603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RSU Officer Agreement; CIC</w:t>
      </w:r>
    </w:p>
    <w:p>
      <w:pPr>
        <w:sectPr>
          <w:pgSz w:w="11900" w:h="16838" w:orient="portrait"/>
          <w:cols w:equalWidth="0" w:num="1">
            <w:col w:w="11420"/>
          </w:cols>
          <w:pgMar w:left="240" w:top="379" w:right="239" w:bottom="1440" w:gutter="0" w:footer="0" w:header="0"/>
        </w:sectPr>
      </w:pPr>
    </w:p>
    <w:bookmarkStart w:id="110" w:name="page111"/>
    <w:bookmarkEnd w:id="110"/>
    <w:p>
      <w:pPr>
        <w:jc w:val="both"/>
        <w:ind w:left="660"/>
        <w:spacing w:after="0" w:line="300" w:lineRule="auto"/>
        <w:rPr>
          <w:sz w:val="20"/>
          <w:szCs w:val="20"/>
          <w:color w:val="auto"/>
        </w:rPr>
      </w:pPr>
      <w:r>
        <w:rPr>
          <w:rFonts w:ascii="Arial" w:cs="Arial" w:eastAsia="Arial" w:hAnsi="Arial"/>
          <w:sz w:val="18"/>
          <w:szCs w:val="18"/>
          <w:color w:val="auto"/>
        </w:rPr>
        <w:t>and that the recipients’ country (e.g., the United States) may have different data privacy laws and protections than the Holder’s country. The Holder understands that if he or she resides outside the United States, he or she may request a list with the names and addresses of any potential recipients of the Data by contacting his or her local human resources representative. The Holder authorizes the Company, Merrill Lynch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Holder understands that Data will be held only as long as is necessary to implement, administer and manage the Holder’s participation in the Plan. The Holder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Holder understands that he or she is providing the consents herein on a purely voluntary basis. If the Holder does not consent, or if the Holder later seeks to revoke his or her consent, his or her employment status or service and career with the Employer will not be adversely affected; the only adverse consequence of refusing or withdrawing the Holder’s consent is that the Company would not be able to grant the Holder Units or other equity awards or administer or maintain such awards. Therefore, the Holder understands that refusing or withdrawing his or her consent may affect the Holder’s ability to participate in the Plan. For more information on the consequences of the Holder’s refusal to consent or withdrawal of consent, the Holder understands that he or she may contact his or her local human resources representative.</w:t>
      </w:r>
    </w:p>
    <w:p>
      <w:pPr>
        <w:spacing w:after="0" w:line="176" w:lineRule="exact"/>
        <w:rPr>
          <w:sz w:val="20"/>
          <w:szCs w:val="20"/>
          <w:color w:val="auto"/>
        </w:rPr>
      </w:pPr>
    </w:p>
    <w:p>
      <w:pPr>
        <w:jc w:val="both"/>
        <w:ind w:left="660" w:hanging="652"/>
        <w:spacing w:after="0" w:line="312" w:lineRule="auto"/>
        <w:tabs>
          <w:tab w:leader="none" w:pos="660" w:val="left"/>
        </w:tabs>
        <w:numPr>
          <w:ilvl w:val="0"/>
          <w:numId w:val="45"/>
        </w:numPr>
        <w:rPr>
          <w:rFonts w:ascii="Arial" w:cs="Arial" w:eastAsia="Arial" w:hAnsi="Arial"/>
          <w:sz w:val="15"/>
          <w:szCs w:val="15"/>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instruction, authorization, request or demand required hereunder shall be in writing, and shall be delivered either</w:t>
      </w:r>
      <w:r>
        <w:rPr>
          <w:rFonts w:ascii="Arial" w:cs="Arial" w:eastAsia="Arial" w:hAnsi="Arial"/>
          <w:sz w:val="16"/>
          <w:szCs w:val="16"/>
          <w:b w:val="1"/>
          <w:bCs w:val="1"/>
          <w:color w:val="auto"/>
        </w:rPr>
        <w:t xml:space="preserve"> </w:t>
      </w:r>
      <w:r>
        <w:rPr>
          <w:rFonts w:ascii="Arial" w:cs="Arial" w:eastAsia="Arial" w:hAnsi="Arial"/>
          <w:sz w:val="16"/>
          <w:szCs w:val="16"/>
          <w:color w:val="auto"/>
        </w:rPr>
        <w:t>by personal delivery, by facsimile, by certified or registered mail, return receipt requested, or by courier or delivery service, addressed to the Company at the address indicated below on the execution page of this Agreement, and to the Holder at the Holder’s address indicated in the Company’s register of Plan participants, or at such other address and number as a party shall have previously designated by written notice given to the other party in the manner 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pacing w:after="0" w:line="152" w:lineRule="exact"/>
        <w:rPr>
          <w:rFonts w:ascii="Arial" w:cs="Arial" w:eastAsia="Arial" w:hAnsi="Arial"/>
          <w:sz w:val="15"/>
          <w:szCs w:val="15"/>
          <w:b w:val="1"/>
          <w:bCs w:val="1"/>
          <w:color w:val="auto"/>
        </w:rPr>
      </w:pPr>
    </w:p>
    <w:p>
      <w:pPr>
        <w:jc w:val="both"/>
        <w:ind w:left="660" w:hanging="652"/>
        <w:spacing w:after="0" w:line="257" w:lineRule="auto"/>
        <w:tabs>
          <w:tab w:leader="none" w:pos="660" w:val="left"/>
        </w:tabs>
        <w:numPr>
          <w:ilvl w:val="0"/>
          <w:numId w:val="45"/>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Amendment and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amended from time to time by the Committee in its discretion in any manner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deems appropriate and that is consistent with the terms of the Plan. However, no such amendment shall adversely affect in a material manner any right of the Holder without his/her written consent. Only a written instrument executed and delivered by the party waiving compliance hereof shall make any waiver of the terms or conditions effective. Any waiver granted by the Company shall be effective only if executed and delivered by a duly authorized executive officer of the Company other than the Holder. The failure of any party at any time or times to require performance of any provisions hereof shall in no manner affect the right to enforce the same. No waiver by any party of any term or condition, or the breach of any term or condition contained in this Agreement, in one or more instances, shall be construed as a continuing waiver of any such condition or breach, a waiver of any other condition, or the breach of any other term or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74603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RSU Officer Agreement; CIC</w:t>
      </w:r>
    </w:p>
    <w:p>
      <w:pPr>
        <w:sectPr>
          <w:pgSz w:w="11900" w:h="16838" w:orient="portrait"/>
          <w:cols w:equalWidth="0" w:num="1">
            <w:col w:w="11420"/>
          </w:cols>
          <w:pgMar w:left="240" w:top="379" w:right="239" w:bottom="1440" w:gutter="0" w:footer="0" w:header="0"/>
        </w:sectPr>
      </w:pPr>
    </w:p>
    <w:bookmarkStart w:id="111" w:name="page112"/>
    <w:bookmarkEnd w:id="111"/>
    <w:p>
      <w:pPr>
        <w:jc w:val="both"/>
        <w:ind w:left="660" w:hanging="652"/>
        <w:spacing w:after="0" w:line="266" w:lineRule="auto"/>
        <w:tabs>
          <w:tab w:leader="none" w:pos="660" w:val="left"/>
        </w:tabs>
        <w:numPr>
          <w:ilvl w:val="0"/>
          <w:numId w:val="46"/>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Governing Law and 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validity, construction and effect of the Plan and any rules and regulations relating to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determined in accordance with applicable United States federal law and the laws of the State of Texas, without regard to any conflict of laws principles, except to the extent that the laws of Ireland mandatorily apply. The invalidity of any provision of this Agreement shall not affect any other provision of this Agreement, which shall remain in full force and effect.</w:t>
      </w:r>
    </w:p>
    <w:p>
      <w:pPr>
        <w:spacing w:after="0" w:line="179" w:lineRule="exact"/>
        <w:rPr>
          <w:rFonts w:ascii="Arial" w:cs="Arial" w:eastAsia="Arial" w:hAnsi="Arial"/>
          <w:sz w:val="17"/>
          <w:szCs w:val="17"/>
          <w:b w:val="1"/>
          <w:bCs w:val="1"/>
          <w:color w:val="auto"/>
        </w:rPr>
      </w:pPr>
    </w:p>
    <w:p>
      <w:pPr>
        <w:jc w:val="both"/>
        <w:ind w:left="660" w:hanging="652"/>
        <w:spacing w:after="0" w:line="266" w:lineRule="auto"/>
        <w:tabs>
          <w:tab w:leader="none" w:pos="660" w:val="left"/>
        </w:tabs>
        <w:numPr>
          <w:ilvl w:val="0"/>
          <w:numId w:val="46"/>
        </w:numPr>
        <w:rPr>
          <w:rFonts w:ascii="Arial" w:cs="Arial" w:eastAsia="Arial" w:hAnsi="Arial"/>
          <w:sz w:val="17"/>
          <w:szCs w:val="17"/>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limitations which this Agreement and the Plan impose upon the transferability of the Units,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bind, be enforceable by and inure to the benefit of the Company and its successors and assigns, and to the Holder, his permitted assigns and, upon the Holder’s death, the Holder’s estate and beneficiaries thereof (whether by will or the laws of descent and distribution), executors, administrators, agents, and legal and personal representatives.</w:t>
      </w:r>
    </w:p>
    <w:p>
      <w:pPr>
        <w:spacing w:after="0" w:line="179" w:lineRule="exact"/>
        <w:rPr>
          <w:rFonts w:ascii="Arial" w:cs="Arial" w:eastAsia="Arial" w:hAnsi="Arial"/>
          <w:sz w:val="17"/>
          <w:szCs w:val="17"/>
          <w:b w:val="1"/>
          <w:bCs w:val="1"/>
          <w:color w:val="auto"/>
        </w:rPr>
      </w:pPr>
    </w:p>
    <w:p>
      <w:pPr>
        <w:jc w:val="both"/>
        <w:ind w:left="660" w:hanging="652"/>
        <w:spacing w:after="0" w:line="271" w:lineRule="auto"/>
        <w:tabs>
          <w:tab w:leader="none" w:pos="660" w:val="left"/>
        </w:tabs>
        <w:numPr>
          <w:ilvl w:val="0"/>
          <w:numId w:val="46"/>
        </w:numPr>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Electronic Delivery and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hereby consents and agrees to electronic delivery of any documents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elect to deliver (including, but not limited to, plan documents, prospectus and prospectus supplements, grant or award notifications and agreements, account statements, annual and quarterly reports, and all other forms of communications) in connection with this and any other Award made or offered under the Plan. The Holder understands that, unless revoked by the Holder by giving written notice to the Company pursuant to the Plan, this consent will be effective for the duration of the Agreement. The Holder also understands that he or she will have the right at any time to request that the Company deliver written copies of any and all materials referred to above. The Holder hereby consents to any and all procedures the Company has established or may establish for an electronic signature system for delivery and acceptance of any such documents that the Company may elect to deliver, and agree that his or her electronic signature is the same as, and will have the same force and effect as, his or her manual signature. The Holder hereby consents to receive such documents by electronic delivery and agrees to participate in the Plan through an on-line or electronic system established and maintained by the Company or a third party designated by the Company.</w:t>
      </w:r>
    </w:p>
    <w:p>
      <w:pPr>
        <w:spacing w:after="0" w:line="184" w:lineRule="exact"/>
        <w:rPr>
          <w:rFonts w:ascii="Arial" w:cs="Arial" w:eastAsia="Arial" w:hAnsi="Arial"/>
          <w:sz w:val="16"/>
          <w:szCs w:val="16"/>
          <w:b w:val="1"/>
          <w:bCs w:val="1"/>
          <w:color w:val="auto"/>
        </w:rPr>
      </w:pPr>
    </w:p>
    <w:p>
      <w:pPr>
        <w:ind w:left="660" w:right="20" w:hanging="652"/>
        <w:spacing w:after="0" w:line="267"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two or more counterparts, each of which shall be an original for all purposes but all</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taken together shall constitute but one and the same instrument.</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Acknowledgements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Holder acknowledges and agrees to the following:</w:t>
      </w:r>
    </w:p>
    <w:p>
      <w:pPr>
        <w:spacing w:after="0" w:line="235" w:lineRule="exact"/>
        <w:rPr>
          <w:rFonts w:ascii="Arial" w:cs="Arial" w:eastAsia="Arial" w:hAnsi="Arial"/>
          <w:sz w:val="18"/>
          <w:szCs w:val="18"/>
          <w:b w:val="1"/>
          <w:bCs w:val="1"/>
          <w:color w:val="auto"/>
        </w:rPr>
      </w:pPr>
    </w:p>
    <w:p>
      <w:pPr>
        <w:ind w:left="1300" w:hanging="644"/>
        <w:spacing w:after="0" w:line="260"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90" w:lineRule="exact"/>
        <w:rPr>
          <w:rFonts w:ascii="Arial" w:cs="Arial" w:eastAsia="Arial" w:hAnsi="Arial"/>
          <w:sz w:val="18"/>
          <w:szCs w:val="18"/>
          <w:color w:val="auto"/>
        </w:rPr>
      </w:pPr>
    </w:p>
    <w:p>
      <w:pPr>
        <w:ind w:left="1300" w:right="20" w:hanging="644"/>
        <w:spacing w:after="0" w:line="260" w:lineRule="auto"/>
        <w:tabs>
          <w:tab w:leader="none" w:pos="1300" w:val="left"/>
        </w:tabs>
        <w:numPr>
          <w:ilvl w:val="1"/>
          <w:numId w:val="46"/>
        </w:numPr>
        <w:rPr>
          <w:rFonts w:ascii="Arial" w:cs="Arial" w:eastAsia="Arial" w:hAnsi="Arial"/>
          <w:sz w:val="18"/>
          <w:szCs w:val="18"/>
          <w:color w:val="auto"/>
        </w:rPr>
      </w:pPr>
      <w:r>
        <w:rPr>
          <w:rFonts w:ascii="Arial" w:cs="Arial" w:eastAsia="Arial" w:hAnsi="Arial"/>
          <w:sz w:val="20"/>
          <w:szCs w:val="20"/>
          <w:color w:val="auto"/>
        </w:rPr>
        <w:t>the grant of the Units is voluntary and occasional and does not create any contractual or other right to receive future grants of Units, or benefits in lieu of Units, even if Units have been granted in the past;</w:t>
      </w:r>
    </w:p>
    <w:p>
      <w:pPr>
        <w:spacing w:after="0" w:line="190" w:lineRule="exact"/>
        <w:rPr>
          <w:rFonts w:ascii="Arial" w:cs="Arial" w:eastAsia="Arial" w:hAnsi="Arial"/>
          <w:sz w:val="18"/>
          <w:szCs w:val="18"/>
          <w:color w:val="auto"/>
        </w:rPr>
      </w:pPr>
    </w:p>
    <w:p>
      <w:pPr>
        <w:ind w:left="1300" w:hanging="644"/>
        <w:spacing w:after="0"/>
        <w:tabs>
          <w:tab w:leader="none" w:pos="1300" w:val="left"/>
        </w:tabs>
        <w:numPr>
          <w:ilvl w:val="1"/>
          <w:numId w:val="46"/>
        </w:numPr>
        <w:rPr>
          <w:rFonts w:ascii="Arial" w:cs="Arial" w:eastAsia="Arial" w:hAnsi="Arial"/>
          <w:sz w:val="18"/>
          <w:szCs w:val="18"/>
          <w:color w:val="auto"/>
        </w:rPr>
      </w:pPr>
      <w:r>
        <w:rPr>
          <w:rFonts w:ascii="Arial" w:cs="Arial" w:eastAsia="Arial" w:hAnsi="Arial"/>
          <w:sz w:val="20"/>
          <w:szCs w:val="20"/>
          <w:color w:val="auto"/>
        </w:rPr>
        <w:t>all decisions with respect to future Unit or other grants, if any, will be at the sole discretion of the Company;</w:t>
      </w:r>
    </w:p>
    <w:p>
      <w:pPr>
        <w:spacing w:after="0" w:line="229" w:lineRule="exact"/>
        <w:rPr>
          <w:rFonts w:ascii="Arial" w:cs="Arial" w:eastAsia="Arial" w:hAnsi="Arial"/>
          <w:sz w:val="18"/>
          <w:szCs w:val="18"/>
          <w:color w:val="auto"/>
        </w:rPr>
      </w:pPr>
    </w:p>
    <w:p>
      <w:pPr>
        <w:ind w:left="1300" w:hanging="644"/>
        <w:spacing w:after="0"/>
        <w:tabs>
          <w:tab w:leader="none" w:pos="1300" w:val="left"/>
        </w:tabs>
        <w:numPr>
          <w:ilvl w:val="1"/>
          <w:numId w:val="46"/>
        </w:numPr>
        <w:rPr>
          <w:rFonts w:ascii="Arial" w:cs="Arial" w:eastAsia="Arial" w:hAnsi="Arial"/>
          <w:sz w:val="18"/>
          <w:szCs w:val="18"/>
          <w:color w:val="auto"/>
        </w:rPr>
      </w:pPr>
      <w:r>
        <w:rPr>
          <w:rFonts w:ascii="Arial" w:cs="Arial" w:eastAsia="Arial" w:hAnsi="Arial"/>
          <w:sz w:val="20"/>
          <w:szCs w:val="20"/>
          <w:color w:val="auto"/>
        </w:rPr>
        <w:t>the Holder is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74603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RSU Officer Agreement; CIC</w:t>
      </w:r>
    </w:p>
    <w:p>
      <w:pPr>
        <w:sectPr>
          <w:pgSz w:w="11900" w:h="16838" w:orient="portrait"/>
          <w:cols w:equalWidth="0" w:num="1">
            <w:col w:w="11420"/>
          </w:cols>
          <w:pgMar w:left="240" w:top="360" w:right="239" w:bottom="1440" w:gutter="0" w:footer="0" w:header="0"/>
        </w:sectPr>
      </w:pPr>
    </w:p>
    <w:bookmarkStart w:id="112" w:name="page113"/>
    <w:bookmarkEnd w:id="112"/>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20"/>
          <w:szCs w:val="20"/>
          <w:color w:val="auto"/>
        </w:rPr>
        <w:t>the Units and the Shares subject to the Units are not intended to replace any pension rights or compensation;</w:t>
      </w:r>
    </w:p>
    <w:p>
      <w:pPr>
        <w:spacing w:after="0" w:line="229" w:lineRule="exact"/>
        <w:rPr>
          <w:rFonts w:ascii="Arial" w:cs="Arial" w:eastAsia="Arial" w:hAnsi="Arial"/>
          <w:sz w:val="18"/>
          <w:szCs w:val="18"/>
          <w:color w:val="auto"/>
        </w:rPr>
      </w:pPr>
    </w:p>
    <w:p>
      <w:pPr>
        <w:jc w:val="both"/>
        <w:ind w:left="1300" w:hanging="644"/>
        <w:spacing w:after="0" w:line="269" w:lineRule="auto"/>
        <w:tabs>
          <w:tab w:leader="none" w:pos="1300" w:val="left"/>
        </w:tabs>
        <w:numPr>
          <w:ilvl w:val="0"/>
          <w:numId w:val="47"/>
        </w:numPr>
        <w:rPr>
          <w:rFonts w:ascii="Arial" w:cs="Arial" w:eastAsia="Arial" w:hAnsi="Arial"/>
          <w:sz w:val="17"/>
          <w:szCs w:val="17"/>
          <w:color w:val="auto"/>
        </w:rPr>
      </w:pPr>
      <w:r>
        <w:rPr>
          <w:rFonts w:ascii="Arial" w:cs="Arial" w:eastAsia="Arial" w:hAnsi="Arial"/>
          <w:sz w:val="19"/>
          <w:szCs w:val="19"/>
          <w:color w:val="auto"/>
        </w:rPr>
        <w:t>the Units and the Shares subject to the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3" w:lineRule="exact"/>
        <w:rPr>
          <w:rFonts w:ascii="Arial" w:cs="Arial" w:eastAsia="Arial" w:hAnsi="Arial"/>
          <w:sz w:val="17"/>
          <w:szCs w:val="17"/>
          <w:color w:val="auto"/>
        </w:rPr>
      </w:pPr>
    </w:p>
    <w:p>
      <w:pPr>
        <w:ind w:left="1300" w:hanging="644"/>
        <w:spacing w:after="0"/>
        <w:tabs>
          <w:tab w:leader="none" w:pos="1300" w:val="left"/>
        </w:tabs>
        <w:numPr>
          <w:ilvl w:val="0"/>
          <w:numId w:val="47"/>
        </w:numPr>
        <w:rPr>
          <w:rFonts w:ascii="Arial" w:cs="Arial" w:eastAsia="Arial" w:hAnsi="Arial"/>
          <w:sz w:val="17"/>
          <w:szCs w:val="17"/>
          <w:color w:val="auto"/>
        </w:rPr>
      </w:pPr>
      <w:r>
        <w:rPr>
          <w:rFonts w:ascii="Arial" w:cs="Arial" w:eastAsia="Arial" w:hAnsi="Arial"/>
          <w:sz w:val="19"/>
          <w:szCs w:val="19"/>
          <w:color w:val="auto"/>
        </w:rPr>
        <w:t>the future value of the Shares underlying the Units is unknown, indeterminable and cannot be predicted with certainty;</w:t>
      </w:r>
    </w:p>
    <w:p>
      <w:pPr>
        <w:spacing w:after="0" w:line="240" w:lineRule="exact"/>
        <w:rPr>
          <w:rFonts w:ascii="Arial" w:cs="Arial" w:eastAsia="Arial" w:hAnsi="Arial"/>
          <w:sz w:val="17"/>
          <w:szCs w:val="17"/>
          <w:color w:val="auto"/>
        </w:rPr>
      </w:pPr>
    </w:p>
    <w:p>
      <w:pPr>
        <w:jc w:val="both"/>
        <w:ind w:left="1300" w:hanging="644"/>
        <w:spacing w:after="0" w:line="256" w:lineRule="auto"/>
        <w:tabs>
          <w:tab w:leader="none" w:pos="1300" w:val="left"/>
        </w:tabs>
        <w:numPr>
          <w:ilvl w:val="0"/>
          <w:numId w:val="47"/>
        </w:numPr>
        <w:rPr>
          <w:rFonts w:ascii="Arial" w:cs="Arial" w:eastAsia="Arial" w:hAnsi="Arial"/>
          <w:sz w:val="17"/>
          <w:szCs w:val="17"/>
          <w:color w:val="auto"/>
        </w:rPr>
      </w:pPr>
      <w:r>
        <w:rPr>
          <w:rFonts w:ascii="Arial" w:cs="Arial" w:eastAsia="Arial" w:hAnsi="Arial"/>
          <w:sz w:val="19"/>
          <w:szCs w:val="19"/>
          <w:color w:val="auto"/>
        </w:rPr>
        <w:t>no claim or entitlement to compensation or damages shall arise from forfeiture of the Units resulting from the termination of the Holder’s Employment (for any reason whatsoever whether or not later found to be invalid or in breach of employment laws in the jurisdiction where the Holder is employed or the terms of any employment agreement or arrangement in such jurisdiction, if any), and in consideration of the grant of the Units to which the Holder is otherwise not entitled, the Holder irrevocably agrees never to institute any claim against the Company, any of its Affiliates or the Employer, waives his or her ability, if any, to bring any such claim, and releases the Company, its Affiliates and the Employer from any such claim; if, notwithstanding the foregoing, any such claim is allowed by a court of competent jurisdiction, then, by participating in the Plan, the Holder shall be deemed irrevocably to have agreed not to pursue such claim and agrees to execute any and all documents necessary to request dismissal or withdrawal of such claim;</w:t>
      </w:r>
    </w:p>
    <w:p>
      <w:pPr>
        <w:spacing w:after="0" w:line="198" w:lineRule="exact"/>
        <w:rPr>
          <w:rFonts w:ascii="Arial" w:cs="Arial" w:eastAsia="Arial" w:hAnsi="Arial"/>
          <w:sz w:val="17"/>
          <w:szCs w:val="17"/>
          <w:color w:val="auto"/>
        </w:rPr>
      </w:pPr>
    </w:p>
    <w:p>
      <w:pPr>
        <w:jc w:val="both"/>
        <w:ind w:left="1300" w:hanging="644"/>
        <w:spacing w:after="0" w:line="257" w:lineRule="auto"/>
        <w:tabs>
          <w:tab w:leader="none" w:pos="1300" w:val="left"/>
        </w:tabs>
        <w:numPr>
          <w:ilvl w:val="0"/>
          <w:numId w:val="47"/>
        </w:numPr>
        <w:rPr>
          <w:rFonts w:ascii="Arial" w:cs="Arial" w:eastAsia="Arial" w:hAnsi="Arial"/>
          <w:sz w:val="17"/>
          <w:szCs w:val="17"/>
          <w:color w:val="auto"/>
        </w:rPr>
      </w:pPr>
      <w:r>
        <w:rPr>
          <w:rFonts w:ascii="Arial" w:cs="Arial" w:eastAsia="Arial" w:hAnsi="Arial"/>
          <w:sz w:val="19"/>
          <w:szCs w:val="19"/>
          <w:color w:val="auto"/>
        </w:rPr>
        <w:t>for purposes of the Units and unless otherwise expressly provided in this Agreement or determined by the Company, the Holder’s right to vest in the Units under the Plan, if any, will terminate as of such termination date as determined by the Committee pursuant to Section 9 of this Agreement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Holder’s period of service would not include any contractual notice period or any period of “garden leave” or similar period mandated under employment laws in the jurisdiction where the Holder is employed or the terms of the Holder’s employment agreement or arrangement in such jurisdiction, if any); the Committee shall have the exclusive discretion to determine when the Holder is no longer actively providing services for purposes of the Unit grant (including whether Holder may still be considered to be providing services while on a leave of absence);</w:t>
      </w:r>
    </w:p>
    <w:p>
      <w:pPr>
        <w:spacing w:after="0" w:line="194" w:lineRule="exact"/>
        <w:rPr>
          <w:rFonts w:ascii="Arial" w:cs="Arial" w:eastAsia="Arial" w:hAnsi="Arial"/>
          <w:sz w:val="17"/>
          <w:szCs w:val="17"/>
          <w:color w:val="auto"/>
        </w:rPr>
      </w:pPr>
    </w:p>
    <w:p>
      <w:pPr>
        <w:jc w:val="both"/>
        <w:ind w:left="1300" w:hanging="644"/>
        <w:spacing w:after="0" w:line="291" w:lineRule="auto"/>
        <w:tabs>
          <w:tab w:leader="none" w:pos="1300" w:val="left"/>
        </w:tabs>
        <w:numPr>
          <w:ilvl w:val="0"/>
          <w:numId w:val="47"/>
        </w:numPr>
        <w:rPr>
          <w:rFonts w:ascii="Arial" w:cs="Arial" w:eastAsia="Arial" w:hAnsi="Arial"/>
          <w:sz w:val="16"/>
          <w:szCs w:val="16"/>
          <w:color w:val="auto"/>
        </w:rPr>
      </w:pPr>
      <w:r>
        <w:rPr>
          <w:rFonts w:ascii="Arial" w:cs="Arial" w:eastAsia="Arial" w:hAnsi="Arial"/>
          <w:sz w:val="18"/>
          <w:szCs w:val="18"/>
          <w:color w:val="auto"/>
        </w:rPr>
        <w:t>unless otherwise provided in the Plan or by the Company in its discretion, the Units and the benefits evidenced by this Agreement do not create any entitlement to have the Units or any such benefits transferred to, or assumed by, another company nor be exchanged, cashed out or substituted for, in connection with any corporate transaction affecting Shares;</w:t>
      </w:r>
    </w:p>
    <w:p>
      <w:pPr>
        <w:spacing w:after="0" w:line="165" w:lineRule="exact"/>
        <w:rPr>
          <w:rFonts w:ascii="Arial" w:cs="Arial" w:eastAsia="Arial" w:hAnsi="Arial"/>
          <w:sz w:val="16"/>
          <w:szCs w:val="16"/>
          <w:color w:val="auto"/>
        </w:rPr>
      </w:pPr>
    </w:p>
    <w:p>
      <w:pPr>
        <w:jc w:val="both"/>
        <w:ind w:left="1300" w:hanging="644"/>
        <w:spacing w:after="0" w:line="246"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20"/>
          <w:szCs w:val="20"/>
          <w:color w:val="auto"/>
        </w:rPr>
        <w:t>the Company is not providing any tax, legal or financial advice, nor is the Company making any recommendations regarding the Holder’s participation in the Plan, or the Holder’s acquisition or sale of the underlying Shares. The Holder is hereby advised to consult with his or her own personal tax, legal and financial advisors regarding his or her participation in the Plan before taking any action related to the Plan; and</w:t>
      </w:r>
    </w:p>
    <w:p>
      <w:pPr>
        <w:spacing w:after="0" w:line="205"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20"/>
          <w:szCs w:val="20"/>
          <w:color w:val="auto"/>
        </w:rPr>
        <w:t>the following provisions apply only if the Holder is providing services outside the United States: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74603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RSU Officer Agreement; CIC</w:t>
      </w:r>
    </w:p>
    <w:p>
      <w:pPr>
        <w:sectPr>
          <w:pgSz w:w="11900" w:h="16838" w:orient="portrait"/>
          <w:cols w:equalWidth="0" w:num="1">
            <w:col w:w="11420"/>
          </w:cols>
          <w:pgMar w:left="240" w:top="366" w:right="239" w:bottom="1440" w:gutter="0" w:footer="0" w:header="0"/>
        </w:sectPr>
      </w:pPr>
    </w:p>
    <w:bookmarkStart w:id="113" w:name="page114"/>
    <w:bookmarkEnd w:id="113"/>
    <w:p>
      <w:pPr>
        <w:ind w:left="1920" w:hanging="642"/>
        <w:spacing w:after="0"/>
        <w:tabs>
          <w:tab w:leader="none" w:pos="1920" w:val="left"/>
        </w:tabs>
        <w:numPr>
          <w:ilvl w:val="2"/>
          <w:numId w:val="48"/>
        </w:numPr>
        <w:rPr>
          <w:rFonts w:ascii="Arial" w:cs="Arial" w:eastAsia="Arial" w:hAnsi="Arial"/>
          <w:sz w:val="16"/>
          <w:szCs w:val="16"/>
          <w:color w:val="auto"/>
        </w:rPr>
      </w:pPr>
      <w:r>
        <w:rPr>
          <w:rFonts w:ascii="Arial" w:cs="Arial" w:eastAsia="Arial" w:hAnsi="Arial"/>
          <w:sz w:val="16"/>
          <w:szCs w:val="16"/>
          <w:color w:val="auto"/>
        </w:rPr>
        <w:t>the Units and the Shares subject to the Units are not part of normal or expected compensation or salary for any purpose;</w:t>
      </w:r>
    </w:p>
    <w:p>
      <w:pPr>
        <w:spacing w:after="0" w:line="261" w:lineRule="exact"/>
        <w:rPr>
          <w:rFonts w:ascii="Arial" w:cs="Arial" w:eastAsia="Arial" w:hAnsi="Arial"/>
          <w:sz w:val="16"/>
          <w:szCs w:val="16"/>
          <w:color w:val="auto"/>
        </w:rPr>
      </w:pPr>
    </w:p>
    <w:p>
      <w:pPr>
        <w:jc w:val="both"/>
        <w:ind w:left="1920" w:hanging="642"/>
        <w:spacing w:after="0" w:line="246" w:lineRule="auto"/>
        <w:tabs>
          <w:tab w:leader="none" w:pos="1920" w:val="left"/>
        </w:tabs>
        <w:numPr>
          <w:ilvl w:val="2"/>
          <w:numId w:val="48"/>
        </w:numPr>
        <w:rPr>
          <w:rFonts w:ascii="Arial" w:cs="Arial" w:eastAsia="Arial" w:hAnsi="Arial"/>
          <w:sz w:val="20"/>
          <w:szCs w:val="20"/>
          <w:color w:val="auto"/>
        </w:rPr>
      </w:pPr>
      <w:r>
        <w:rPr>
          <w:rFonts w:ascii="Arial" w:cs="Arial" w:eastAsia="Arial" w:hAnsi="Arial"/>
          <w:sz w:val="20"/>
          <w:szCs w:val="20"/>
          <w:color w:val="auto"/>
        </w:rPr>
        <w:t>The Holder acknowledges and agrees that neither the Company, the Employer nor any Affiliate shall be liable for any foreign exchange rate fluctuation between Holder’s local currency and the United States Dollar that may affect the value of the Units or of any amounts due to the Holder pursuant to the settlement of the Units or the subsequent sale of any Shares acquired upon settlement.</w:t>
      </w:r>
    </w:p>
    <w:p>
      <w:pPr>
        <w:spacing w:after="0" w:line="185" w:lineRule="exact"/>
        <w:rPr>
          <w:rFonts w:ascii="Arial" w:cs="Arial" w:eastAsia="Arial" w:hAnsi="Arial"/>
          <w:sz w:val="20"/>
          <w:szCs w:val="20"/>
          <w:color w:val="auto"/>
        </w:rPr>
      </w:pPr>
    </w:p>
    <w:p>
      <w:pPr>
        <w:ind w:left="660" w:hanging="652"/>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w:t>
      </w:r>
    </w:p>
    <w:p>
      <w:pPr>
        <w:spacing w:after="0" w:line="235" w:lineRule="exact"/>
        <w:rPr>
          <w:rFonts w:ascii="Arial" w:cs="Arial" w:eastAsia="Arial" w:hAnsi="Arial"/>
          <w:sz w:val="18"/>
          <w:szCs w:val="18"/>
          <w:b w:val="1"/>
          <w:bCs w:val="1"/>
          <w:color w:val="auto"/>
        </w:rPr>
      </w:pPr>
    </w:p>
    <w:p>
      <w:pPr>
        <w:jc w:val="both"/>
        <w:ind w:left="1300" w:hanging="644"/>
        <w:spacing w:after="0" w:line="256" w:lineRule="auto"/>
        <w:tabs>
          <w:tab w:leader="none" w:pos="1300" w:val="left"/>
        </w:tabs>
        <w:numPr>
          <w:ilvl w:val="1"/>
          <w:numId w:val="49"/>
        </w:numPr>
        <w:rPr>
          <w:rFonts w:ascii="Arial" w:cs="Arial" w:eastAsia="Arial" w:hAnsi="Arial"/>
          <w:sz w:val="17"/>
          <w:szCs w:val="17"/>
          <w:color w:val="auto"/>
        </w:rPr>
      </w:pPr>
      <w:r>
        <w:rPr>
          <w:rFonts w:ascii="Arial" w:cs="Arial" w:eastAsia="Arial" w:hAnsi="Arial"/>
          <w:sz w:val="19"/>
          <w:szCs w:val="19"/>
          <w:color w:val="auto"/>
        </w:rPr>
        <w:t>The delivery of the Holder’s Shares as described in Section 6 shall be made in accordance with such Section, provided that with respect to delivery due to termination of Employment for reasons other than death, the delivery at such time can be characterized as a “</w:t>
      </w:r>
      <w:r>
        <w:rPr>
          <w:rFonts w:ascii="Arial" w:cs="Arial" w:eastAsia="Arial" w:hAnsi="Arial"/>
          <w:sz w:val="19"/>
          <w:szCs w:val="19"/>
          <w:b w:val="1"/>
          <w:bCs w:val="1"/>
          <w:i w:val="1"/>
          <w:iCs w:val="1"/>
          <w:color w:val="auto"/>
        </w:rPr>
        <w:t>short-term deferral</w:t>
      </w:r>
      <w:r>
        <w:rPr>
          <w:rFonts w:ascii="Arial" w:cs="Arial" w:eastAsia="Arial" w:hAnsi="Arial"/>
          <w:sz w:val="19"/>
          <w:szCs w:val="19"/>
          <w:color w:val="auto"/>
        </w:rPr>
        <w:t>” for purposes of Section 409A or as otherwise exempt from the provisions of Section 409A, or if any portion of the delivery cannot be so characterized, and the Holder is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under Section 409A, such portion of the delivery shall be delayed until the earlier to occur of the Holder’s death or the date that is six months and one day following the Holder’s termination of Employment. For purposes of this Agreement, the terms “</w:t>
      </w:r>
      <w:r>
        <w:rPr>
          <w:rFonts w:ascii="Arial" w:cs="Arial" w:eastAsia="Arial" w:hAnsi="Arial"/>
          <w:sz w:val="19"/>
          <w:szCs w:val="19"/>
          <w:b w:val="1"/>
          <w:bCs w:val="1"/>
          <w:i w:val="1"/>
          <w:iCs w:val="1"/>
          <w:color w:val="auto"/>
        </w:rPr>
        <w:t>terminates</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terminated</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 of employment</w:t>
      </w:r>
      <w:r>
        <w:rPr>
          <w:rFonts w:ascii="Arial" w:cs="Arial" w:eastAsia="Arial" w:hAnsi="Arial"/>
          <w:sz w:val="19"/>
          <w:szCs w:val="19"/>
          <w:color w:val="auto"/>
        </w:rPr>
        <w:t>,” and variations thereof, as used in this Agreement to refer to the Holder’s termination of Employment, are intended to mean a termination of employment that constitutes a “</w:t>
      </w:r>
      <w:r>
        <w:rPr>
          <w:rFonts w:ascii="Arial" w:cs="Arial" w:eastAsia="Arial" w:hAnsi="Arial"/>
          <w:sz w:val="19"/>
          <w:szCs w:val="19"/>
          <w:b w:val="1"/>
          <w:bCs w:val="1"/>
          <w:i w:val="1"/>
          <w:iCs w:val="1"/>
          <w:color w:val="auto"/>
        </w:rPr>
        <w:t>separation from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under Section 409A.</w:t>
      </w:r>
    </w:p>
    <w:p>
      <w:pPr>
        <w:spacing w:after="0" w:line="198" w:lineRule="exact"/>
        <w:rPr>
          <w:rFonts w:ascii="Arial" w:cs="Arial" w:eastAsia="Arial" w:hAnsi="Arial"/>
          <w:sz w:val="17"/>
          <w:szCs w:val="17"/>
          <w:color w:val="auto"/>
        </w:rPr>
      </w:pPr>
    </w:p>
    <w:p>
      <w:pPr>
        <w:jc w:val="both"/>
        <w:ind w:left="1300" w:hanging="644"/>
        <w:spacing w:after="0" w:line="27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8"/>
          <w:szCs w:val="18"/>
          <w:color w:val="auto"/>
        </w:rPr>
        <w:t>This Agreement and the Units provided hereunder are intended to comply with Section 409A to the extent applicable thereto. Notwithstanding any provision of this Agreement to the contrary, this Agreement shall be interpreted and construed consistent with this intent. Although the Company and the Committee intend to administer this Agreement so that it will comply with the requirements of Section 409A, to the extent applicable, neither the Company nor the Committee represents or warrants that this Agreement will comply with Section 409A or any other provision of federal, state, local, or non-United States law. Neither the Company or its Affiliates, nor their respective directors, officers, employees or advisers shall be liable to any Holder (or any other individual claiming a benefit through the Holder) for any tax, interest, or penalties the Holder might owe as a result of participation in the Plan, and the Company and its Affiliates shall have no obligation to indemnify or otherwise protect any Holder from the obligation to pay any taxes pursuant to Section 409A.</w:t>
      </w:r>
    </w:p>
    <w:p>
      <w:pPr>
        <w:spacing w:after="0" w:line="179" w:lineRule="exact"/>
        <w:rPr>
          <w:sz w:val="20"/>
          <w:szCs w:val="20"/>
          <w:color w:val="auto"/>
        </w:rPr>
      </w:pPr>
    </w:p>
    <w:p>
      <w:pPr>
        <w:ind w:left="660" w:hanging="634"/>
        <w:spacing w:after="0" w:line="293" w:lineRule="auto"/>
        <w:tabs>
          <w:tab w:leader="none" w:pos="640" w:val="left"/>
        </w:tabs>
        <w:rPr>
          <w:sz w:val="20"/>
          <w:szCs w:val="20"/>
          <w:color w:val="auto"/>
        </w:rPr>
      </w:pPr>
      <w:r>
        <w:rPr>
          <w:rFonts w:ascii="Arial" w:cs="Arial" w:eastAsia="Arial" w:hAnsi="Arial"/>
          <w:sz w:val="20"/>
          <w:szCs w:val="20"/>
          <w:b w:val="1"/>
          <w:bCs w:val="1"/>
          <w:color w:val="auto"/>
        </w:rPr>
        <w:t>20</w:t>
      </w:r>
      <w:r>
        <w:rPr>
          <w:rFonts w:ascii="Arial" w:cs="Arial" w:eastAsia="Arial" w:hAnsi="Arial"/>
          <w:sz w:val="20"/>
          <w:szCs w:val="20"/>
          <w:b w:val="1"/>
          <w:bCs w:val="1"/>
          <w:i w:val="1"/>
          <w:iCs w:val="1"/>
          <w:color w:val="auto"/>
        </w:rPr>
        <w:t>.</w:t>
      </w:r>
      <w:r>
        <w:rPr>
          <w:sz w:val="20"/>
          <w:szCs w:val="20"/>
          <w:color w:val="auto"/>
        </w:rPr>
        <w:tab/>
      </w: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If the Holder has received this Agreement, or any other document related to the Units and/or the Plan translated into 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language other than English and if the translated version is different than the English version, the English version will control.</w:t>
      </w:r>
    </w:p>
    <w:p>
      <w:pPr>
        <w:spacing w:after="0" w:line="142" w:lineRule="exact"/>
        <w:rPr>
          <w:sz w:val="20"/>
          <w:szCs w:val="20"/>
          <w:color w:val="auto"/>
        </w:rPr>
      </w:pPr>
    </w:p>
    <w:p>
      <w:pPr>
        <w:jc w:val="both"/>
        <w:ind w:left="660" w:hanging="638"/>
        <w:spacing w:after="0" w:line="246" w:lineRule="auto"/>
        <w:tabs>
          <w:tab w:leader="none" w:pos="66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Appendix</w:t>
      </w:r>
      <w:r>
        <w:rPr>
          <w:rFonts w:ascii="Arial" w:cs="Arial" w:eastAsia="Arial" w:hAnsi="Arial"/>
          <w:sz w:val="20"/>
          <w:szCs w:val="20"/>
          <w:color w:val="auto"/>
        </w:rPr>
        <w:t>. Notwithstanding any provisions in this Agreement, the Units shall be subject to any special terms and conditions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any Appendix to this Agreement for the Holder’s country. Moreover, if the Holder relocates to one of the countries included in the Appendix, the special terms and conditions for such country will apply to the Holder, to the extent the Company determines that the application of such terms and conditions is necessary or advisable for legal or administrative reasons. The Appendix constitutes part of this Agreement.</w:t>
      </w:r>
    </w:p>
    <w:p>
      <w:pPr>
        <w:spacing w:after="0" w:line="185" w:lineRule="exact"/>
        <w:rPr>
          <w:rFonts w:ascii="Arial" w:cs="Arial" w:eastAsia="Arial" w:hAnsi="Arial"/>
          <w:sz w:val="20"/>
          <w:szCs w:val="20"/>
          <w:b w:val="1"/>
          <w:bCs w:val="1"/>
          <w:color w:val="auto"/>
        </w:rPr>
      </w:pPr>
    </w:p>
    <w:p>
      <w:pPr>
        <w:ind w:left="660" w:right="20" w:hanging="638"/>
        <w:spacing w:after="0" w:line="267" w:lineRule="auto"/>
        <w:tabs>
          <w:tab w:leader="none" w:pos="66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Holder’s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Units and on any Shares acquired under the Plan,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74603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RSU Officer Agreement; CIC</w:t>
      </w:r>
    </w:p>
    <w:p>
      <w:pPr>
        <w:sectPr>
          <w:pgSz w:w="11900" w:h="16838" w:orient="portrait"/>
          <w:cols w:equalWidth="0" w:num="1">
            <w:col w:w="11420"/>
          </w:cols>
          <w:pgMar w:left="240" w:top="366" w:right="239" w:bottom="1440" w:gutter="0" w:footer="0" w:header="0"/>
        </w:sectPr>
      </w:pPr>
    </w:p>
    <w:bookmarkStart w:id="114" w:name="page115"/>
    <w:bookmarkEnd w:id="114"/>
    <w:p>
      <w:pPr>
        <w:ind w:left="660" w:right="20"/>
        <w:spacing w:after="0" w:line="289" w:lineRule="auto"/>
        <w:rPr>
          <w:sz w:val="20"/>
          <w:szCs w:val="20"/>
          <w:color w:val="auto"/>
        </w:rPr>
      </w:pPr>
      <w:r>
        <w:rPr>
          <w:rFonts w:ascii="Arial" w:cs="Arial" w:eastAsia="Arial" w:hAnsi="Arial"/>
          <w:sz w:val="20"/>
          <w:szCs w:val="20"/>
          <w:color w:val="auto"/>
        </w:rPr>
        <w:t>to the extent the Company determines it is necessary or advisable for legal or administrative reasons, and to require the Holder to sign any additional agreements or undertakings that may be necessary to accomplish the foregoing.</w:t>
      </w:r>
    </w:p>
    <w:p>
      <w:pPr>
        <w:spacing w:after="0" w:line="156" w:lineRule="exact"/>
        <w:rPr>
          <w:sz w:val="20"/>
          <w:szCs w:val="20"/>
          <w:color w:val="auto"/>
        </w:rPr>
      </w:pPr>
    </w:p>
    <w:p>
      <w:pPr>
        <w:jc w:val="both"/>
        <w:ind w:left="660" w:hanging="634"/>
        <w:spacing w:after="0" w:line="253" w:lineRule="auto"/>
        <w:tabs>
          <w:tab w:leader="none" w:pos="640" w:val="left"/>
        </w:tabs>
        <w:rPr>
          <w:sz w:val="20"/>
          <w:szCs w:val="20"/>
          <w:color w:val="auto"/>
        </w:rPr>
      </w:pPr>
      <w:r>
        <w:rPr>
          <w:rFonts w:ascii="Arial" w:cs="Arial" w:eastAsia="Arial" w:hAnsi="Arial"/>
          <w:sz w:val="20"/>
          <w:szCs w:val="20"/>
          <w:b w:val="1"/>
          <w:bCs w:val="1"/>
          <w:color w:val="auto"/>
        </w:rPr>
        <w:t>23</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u w:val="single" w:color="auto"/>
          <w:color w:val="auto"/>
        </w:rPr>
        <w:t>Waiver</w:t>
      </w:r>
      <w:r>
        <w:rPr>
          <w:rFonts w:ascii="Arial" w:cs="Arial" w:eastAsia="Arial" w:hAnsi="Arial"/>
          <w:sz w:val="20"/>
          <w:szCs w:val="20"/>
          <w:color w:val="auto"/>
        </w:rPr>
        <w:t>. The Holder acknowledges that a waiver by the Company of a breach of any provision of this Agreement shall not operate or</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be construed as a waiver of any other provision of this Agreement, or of any subsequent breach by the Holder or any other Plan participants.</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By the Holder’s execution or electronic acceptance of this Agreement (including the country-specific appendix attached hereto) in the manner specified in the Holder’s online account with the Company’s designated broker/stock plan administrator, the Holder and the Company have agreed that the Units are granted under and governed by the terms and conditions of this Agreement (including any country-specific appendix attached hereto) and the Plan.</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74603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9"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2010 Plan; RSU Officer Agreement; CIC</w:t>
      </w:r>
    </w:p>
    <w:p>
      <w:pPr>
        <w:sectPr>
          <w:pgSz w:w="11900" w:h="16838" w:orient="portrait"/>
          <w:cols w:equalWidth="0" w:num="1">
            <w:col w:w="11420"/>
          </w:cols>
          <w:pgMar w:left="240" w:top="379"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0"/>
          <w:szCs w:val="20"/>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Company has caused this Agreement to be duly executed by an officer thereunto duly authorized,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Holder has executed this Agreement, all as of the date first above written.</w:t>
      </w:r>
    </w:p>
    <w:p>
      <w:pPr>
        <w:spacing w:after="0" w:line="200" w:lineRule="exact"/>
        <w:rPr>
          <w:sz w:val="20"/>
          <w:szCs w:val="20"/>
          <w:color w:val="auto"/>
        </w:rPr>
      </w:pPr>
    </w:p>
    <w:p>
      <w:pPr>
        <w:spacing w:after="0" w:line="342"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27305</wp:posOffset>
            </wp:positionV>
            <wp:extent cx="24523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27305</wp:posOffset>
            </wp:positionV>
            <wp:extent cx="24523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4"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27305</wp:posOffset>
            </wp:positionV>
            <wp:extent cx="24523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ADDRESS:</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Bahnhofstrasse 1</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Baar 6340, Switzerland</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Attn: Corporate Secretary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spacing w:after="0"/>
        <w:rPr>
          <w:sz w:val="20"/>
          <w:szCs w:val="20"/>
          <w:color w:val="auto"/>
        </w:rPr>
      </w:pPr>
      <w:r>
        <w:rPr>
          <w:rFonts w:ascii="Arial" w:cs="Arial" w:eastAsia="Arial" w:hAnsi="Arial"/>
          <w:sz w:val="20"/>
          <w:szCs w:val="20"/>
          <w:b w:val="1"/>
          <w:bCs w:val="1"/>
          <w:color w:val="auto"/>
        </w:rPr>
        <w:t>HOLDER: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27305</wp:posOffset>
            </wp:positionV>
            <wp:extent cx="24523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27305</wp:posOffset>
            </wp:positionV>
            <wp:extent cx="24523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ectPr>
          <w:pgSz w:w="11900" w:h="16838" w:orient="portrait"/>
          <w:cols w:equalWidth="0" w:num="1">
            <w:col w:w="11420"/>
          </w:cols>
          <w:pgMar w:left="240" w:top="805" w:right="239" w:bottom="1440" w:gutter="0" w:footer="0" w:header="0"/>
        </w:sectPr>
      </w:pPr>
    </w:p>
    <w:bookmarkStart w:id="116" w:name="page117"/>
    <w:bookmarkEnd w:id="116"/>
    <w:p>
      <w:pPr>
        <w:ind w:left="10300"/>
        <w:spacing w:after="0"/>
        <w:rPr>
          <w:sz w:val="20"/>
          <w:szCs w:val="20"/>
          <w:color w:val="auto"/>
        </w:rPr>
      </w:pPr>
      <w:r>
        <w:rPr>
          <w:rFonts w:ascii="Arial" w:cs="Arial" w:eastAsia="Arial" w:hAnsi="Arial"/>
          <w:sz w:val="18"/>
          <w:szCs w:val="18"/>
          <w:b w:val="1"/>
          <w:bCs w:val="1"/>
          <w:color w:val="auto"/>
        </w:rPr>
        <w:t>Exhibit 10.28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WEATHERFORD INTERNATIONAL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2010 OMNIBUS INCENTIVE PLAN</w:t>
      </w:r>
    </w:p>
    <w:p>
      <w:pPr>
        <w:jc w:val="center"/>
        <w:spacing w:after="0"/>
        <w:rPr>
          <w:sz w:val="20"/>
          <w:szCs w:val="20"/>
          <w:color w:val="auto"/>
        </w:rPr>
      </w:pPr>
      <w:r>
        <w:rPr>
          <w:rFonts w:ascii="Arial" w:cs="Arial" w:eastAsia="Arial" w:hAnsi="Arial"/>
          <w:sz w:val="20"/>
          <w:szCs w:val="20"/>
          <w:b w:val="1"/>
          <w:bCs w:val="1"/>
          <w:color w:val="auto"/>
        </w:rPr>
        <w:t>(as amended and restated on June 17, 2014)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UNITS AWARD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(Shareholder Return)</w:t>
      </w:r>
    </w:p>
    <w:p>
      <w:pPr>
        <w:spacing w:after="0" w:line="20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 xml:space="preserve">THIS PERFORMANCE UNITS AWARD AGREEMENT, </w:t>
      </w:r>
      <w:r>
        <w:rPr>
          <w:rFonts w:ascii="Arial" w:cs="Arial" w:eastAsia="Arial" w:hAnsi="Arial"/>
          <w:sz w:val="18"/>
          <w:szCs w:val="18"/>
          <w:color w:val="auto"/>
        </w:rPr>
        <w:t>including any country-specific terms set forth to an appendix attached hereto</w:t>
      </w:r>
      <w:r>
        <w:rPr>
          <w:rFonts w:ascii="Arial" w:cs="Arial" w:eastAsia="Arial" w:hAnsi="Arial"/>
          <w:sz w:val="18"/>
          <w:szCs w:val="18"/>
          <w:b w:val="1"/>
          <w:bCs w:val="1"/>
          <w:color w:val="auto"/>
        </w:rPr>
        <w:t xml:space="preserve"> </w:t>
      </w:r>
      <w:r>
        <w:rPr>
          <w:rFonts w:ascii="Arial" w:cs="Arial" w:eastAsia="Arial" w:hAnsi="Arial"/>
          <w:sz w:val="18"/>
          <w:szCs w:val="18"/>
          <w:color w:val="auto"/>
        </w:rPr>
        <w:t>(this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and entered into by and between Weatherford International plc, an Irish public limited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individual who has signed or electronically accepted this Agreement (the “</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xml:space="preserve">”) effective as of </w:t>
      </w:r>
      <w:r>
        <w:rPr>
          <w:rFonts w:ascii="Arial" w:cs="Arial" w:eastAsia="Arial" w:hAnsi="Arial"/>
          <w:sz w:val="18"/>
          <w:szCs w:val="18"/>
          <w:b w:val="1"/>
          <w:bCs w:val="1"/>
          <w:color w:val="auto"/>
        </w:rPr>
        <w:t>__________ ___</w:t>
      </w:r>
      <w:r>
        <w:rPr>
          <w:rFonts w:ascii="Arial" w:cs="Arial" w:eastAsia="Arial" w:hAnsi="Arial"/>
          <w:sz w:val="18"/>
          <w:szCs w:val="18"/>
          <w:color w:val="auto"/>
        </w:rPr>
        <w:t>, 20___, pursuant to</w:t>
      </w:r>
    </w:p>
    <w:p>
      <w:pPr>
        <w:spacing w:after="0" w:line="2" w:lineRule="exact"/>
        <w:rPr>
          <w:sz w:val="20"/>
          <w:szCs w:val="20"/>
          <w:color w:val="auto"/>
        </w:rPr>
      </w:pPr>
    </w:p>
    <w:p>
      <w:pPr>
        <w:jc w:val="both"/>
        <w:ind w:right="20"/>
        <w:spacing w:after="0" w:line="244" w:lineRule="auto"/>
        <w:rPr>
          <w:sz w:val="20"/>
          <w:szCs w:val="20"/>
          <w:color w:val="auto"/>
        </w:rPr>
      </w:pPr>
      <w:r>
        <w:rPr>
          <w:rFonts w:ascii="Arial" w:cs="Arial" w:eastAsia="Arial" w:hAnsi="Arial"/>
          <w:sz w:val="20"/>
          <w:szCs w:val="20"/>
          <w:color w:val="auto"/>
        </w:rPr>
        <w:t>the Weatherford International plc 2010 Omnibus Incentive Plan, as amended and restated on June 17, 2014, and further amended on June 16, 2015 (the “</w:t>
      </w:r>
      <w:r>
        <w:rPr>
          <w:rFonts w:ascii="Arial" w:cs="Arial" w:eastAsia="Arial" w:hAnsi="Arial"/>
          <w:sz w:val="20"/>
          <w:szCs w:val="20"/>
          <w:b w:val="1"/>
          <w:bCs w:val="1"/>
          <w:i w:val="1"/>
          <w:iCs w:val="1"/>
          <w:color w:val="auto"/>
        </w:rPr>
        <w:t>Plan</w:t>
      </w:r>
      <w:r>
        <w:rPr>
          <w:rFonts w:ascii="Arial" w:cs="Arial" w:eastAsia="Arial" w:hAnsi="Arial"/>
          <w:sz w:val="20"/>
          <w:szCs w:val="20"/>
          <w:color w:val="auto"/>
        </w:rPr>
        <w:t>”), which is incorporated by reference herein in its entirety.</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desires to grant to the Holder Performance Unit Awards (the “</w:t>
      </w:r>
      <w:r>
        <w:rPr>
          <w:rFonts w:ascii="Arial" w:cs="Arial" w:eastAsia="Arial" w:hAnsi="Arial"/>
          <w:sz w:val="20"/>
          <w:szCs w:val="20"/>
          <w:b w:val="1"/>
          <w:bCs w:val="1"/>
          <w:i w:val="1"/>
          <w:iCs w:val="1"/>
          <w:color w:val="auto"/>
        </w:rPr>
        <w:t>Units</w:t>
      </w:r>
      <w:r>
        <w:rPr>
          <w:rFonts w:ascii="Arial" w:cs="Arial" w:eastAsia="Arial" w:hAnsi="Arial"/>
          <w:sz w:val="20"/>
          <w:szCs w:val="20"/>
          <w:color w:val="auto"/>
        </w:rPr>
        <w:t>”) under the Plan, subject to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this Agreement and the Plan; and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Holder desires to have the opportunity to hold the Units subject to the terms and conditions of this Agreement and the Plan;</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premises, mutual covenants and agreements contained herein, and other good and valuable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consideration, the receipt and sufficiency of which are hereby acknowledged, the parties hereto, intending to be legally bound hereby, agree as follows:</w:t>
      </w:r>
    </w:p>
    <w:p>
      <w:pPr>
        <w:spacing w:after="0" w:line="191" w:lineRule="exact"/>
        <w:rPr>
          <w:sz w:val="20"/>
          <w:szCs w:val="20"/>
          <w:color w:val="auto"/>
        </w:rPr>
      </w:pPr>
    </w:p>
    <w:p>
      <w:pPr>
        <w:jc w:val="both"/>
        <w:ind w:left="660" w:hanging="652"/>
        <w:spacing w:after="0" w:line="273" w:lineRule="auto"/>
        <w:tabs>
          <w:tab w:leader="none" w:pos="660"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Definitions</w:t>
      </w:r>
      <w:r>
        <w:rPr>
          <w:rFonts w:ascii="Arial" w:cs="Arial" w:eastAsia="Arial" w:hAnsi="Arial"/>
          <w:sz w:val="19"/>
          <w:szCs w:val="19"/>
          <w:b w:val="1"/>
          <w:bCs w:val="1"/>
          <w:color w:val="auto"/>
        </w:rPr>
        <w:t xml:space="preserve">. </w:t>
      </w:r>
      <w:r>
        <w:rPr>
          <w:rFonts w:ascii="Arial" w:cs="Arial" w:eastAsia="Arial" w:hAnsi="Arial"/>
          <w:sz w:val="19"/>
          <w:szCs w:val="19"/>
          <w:color w:val="auto"/>
        </w:rPr>
        <w:t>For purposes of this Agreement, “</w:t>
      </w:r>
      <w:r>
        <w:rPr>
          <w:rFonts w:ascii="Arial" w:cs="Arial" w:eastAsia="Arial" w:hAnsi="Arial"/>
          <w:sz w:val="19"/>
          <w:szCs w:val="19"/>
          <w:b w:val="1"/>
          <w:bCs w:val="1"/>
          <w:i w:val="1"/>
          <w:iCs w:val="1"/>
          <w:color w:val="auto"/>
        </w:rPr>
        <w:t>Forfeiture Restrictions</w:t>
      </w:r>
      <w:r>
        <w:rPr>
          <w:rFonts w:ascii="Arial" w:cs="Arial" w:eastAsia="Arial" w:hAnsi="Arial"/>
          <w:sz w:val="19"/>
          <w:szCs w:val="19"/>
          <w:color w:val="auto"/>
        </w:rPr>
        <w:t>” shall mean any prohibitions and restrictions set forth herein or</w:t>
      </w:r>
      <w:r>
        <w:rPr>
          <w:rFonts w:ascii="Arial" w:cs="Arial" w:eastAsia="Arial" w:hAnsi="Arial"/>
          <w:sz w:val="19"/>
          <w:szCs w:val="19"/>
          <w:b w:val="1"/>
          <w:bCs w:val="1"/>
          <w:color w:val="auto"/>
        </w:rPr>
        <w:t xml:space="preserve"> </w:t>
      </w:r>
      <w:r>
        <w:rPr>
          <w:rFonts w:ascii="Arial" w:cs="Arial" w:eastAsia="Arial" w:hAnsi="Arial"/>
          <w:sz w:val="19"/>
          <w:szCs w:val="19"/>
          <w:color w:val="auto"/>
        </w:rPr>
        <w:t>in the Plan with respect to the sale or other disposition of the Units and the obligation to forfeit such Units to the Company. Capitalized terms not otherwise defined in this Agreement shall have the meanings given to such terms in the Plan.</w:t>
      </w:r>
    </w:p>
    <w:p>
      <w:pPr>
        <w:spacing w:after="0" w:line="172" w:lineRule="exact"/>
        <w:rPr>
          <w:rFonts w:ascii="Arial" w:cs="Arial" w:eastAsia="Arial" w:hAnsi="Arial"/>
          <w:sz w:val="19"/>
          <w:szCs w:val="19"/>
          <w:b w:val="1"/>
          <w:bCs w:val="1"/>
          <w:color w:val="auto"/>
        </w:rPr>
      </w:pPr>
    </w:p>
    <w:p>
      <w:pPr>
        <w:jc w:val="both"/>
        <w:ind w:left="660" w:hanging="652"/>
        <w:spacing w:after="0" w:line="271" w:lineRule="auto"/>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Units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the date of this Agreement and subject to the terms and conditions of this Agreement and the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hereby grants to the Holder __________ Units. Each Unit shall, upon vesting pursuant to Section 4 and subject to the Performance Goal set out in Annex A to this Agreement, be convertible into between 0.0 and 2.0 Shares (as defined in Section 5) (such amount being the “</w:t>
      </w:r>
      <w:r>
        <w:rPr>
          <w:rFonts w:ascii="Arial" w:cs="Arial" w:eastAsia="Arial" w:hAnsi="Arial"/>
          <w:sz w:val="18"/>
          <w:szCs w:val="18"/>
          <w:b w:val="1"/>
          <w:bCs w:val="1"/>
          <w:i w:val="1"/>
          <w:iCs w:val="1"/>
          <w:color w:val="auto"/>
        </w:rPr>
        <w:t>Performance Multiplier</w:t>
      </w:r>
      <w:r>
        <w:rPr>
          <w:rFonts w:ascii="Arial" w:cs="Arial" w:eastAsia="Arial" w:hAnsi="Arial"/>
          <w:sz w:val="18"/>
          <w:szCs w:val="18"/>
          <w:color w:val="auto"/>
        </w:rPr>
        <w:t>”), depending on the level of achievement of the Performance Goal during the Performance Measurement Period. The Company and the Holder agree that this Agreement, (including any country-specific appendix thereto) shall complete the terms of the Units. As used herein, “</w:t>
      </w:r>
      <w:r>
        <w:rPr>
          <w:rFonts w:ascii="Arial" w:cs="Arial" w:eastAsia="Arial" w:hAnsi="Arial"/>
          <w:sz w:val="18"/>
          <w:szCs w:val="18"/>
          <w:b w:val="1"/>
          <w:bCs w:val="1"/>
          <w:i w:val="1"/>
          <w:iCs w:val="1"/>
          <w:color w:val="auto"/>
        </w:rPr>
        <w:t>Performance Measurement Period</w:t>
      </w:r>
      <w:r>
        <w:rPr>
          <w:rFonts w:ascii="Arial" w:cs="Arial" w:eastAsia="Arial" w:hAnsi="Arial"/>
          <w:sz w:val="18"/>
          <w:szCs w:val="18"/>
          <w:color w:val="auto"/>
        </w:rPr>
        <w:t xml:space="preserve">” means all NYSE trading days in the last month of each of the years ending </w:t>
      </w:r>
      <w:r>
        <w:rPr>
          <w:rFonts w:ascii="Arial" w:cs="Arial" w:eastAsia="Arial" w:hAnsi="Arial"/>
          <w:sz w:val="18"/>
          <w:szCs w:val="18"/>
          <w:b w:val="1"/>
          <w:bCs w:val="1"/>
          <w:color w:val="auto"/>
        </w:rPr>
        <w:t>_____</w:t>
      </w:r>
      <w:r>
        <w:rPr>
          <w:rFonts w:ascii="Arial" w:cs="Arial" w:eastAsia="Arial" w:hAnsi="Arial"/>
          <w:sz w:val="18"/>
          <w:szCs w:val="18"/>
          <w:color w:val="auto"/>
        </w:rPr>
        <w:t xml:space="preserve">, </w:t>
      </w:r>
      <w:r>
        <w:rPr>
          <w:rFonts w:ascii="Arial" w:cs="Arial" w:eastAsia="Arial" w:hAnsi="Arial"/>
          <w:sz w:val="18"/>
          <w:szCs w:val="18"/>
          <w:b w:val="1"/>
          <w:bCs w:val="1"/>
          <w:color w:val="auto"/>
        </w:rPr>
        <w:t>_____</w:t>
      </w:r>
      <w:r>
        <w:rPr>
          <w:rFonts w:ascii="Arial" w:cs="Arial" w:eastAsia="Arial" w:hAnsi="Arial"/>
          <w:sz w:val="18"/>
          <w:szCs w:val="18"/>
          <w:color w:val="auto"/>
        </w:rPr>
        <w:t xml:space="preserve"> and </w:t>
      </w:r>
      <w:r>
        <w:rPr>
          <w:rFonts w:ascii="Arial" w:cs="Arial" w:eastAsia="Arial" w:hAnsi="Arial"/>
          <w:sz w:val="18"/>
          <w:szCs w:val="18"/>
          <w:b w:val="1"/>
          <w:bCs w:val="1"/>
          <w:color w:val="auto"/>
        </w:rPr>
        <w:t>_____</w:t>
      </w:r>
      <w:r>
        <w:rPr>
          <w:rFonts w:ascii="Arial" w:cs="Arial" w:eastAsia="Arial" w:hAnsi="Arial"/>
          <w:sz w:val="18"/>
          <w:szCs w:val="18"/>
          <w:color w:val="auto"/>
        </w:rPr>
        <w:t>, provided, however, that if any Vesting Date (as defined in Section 4(a) below) occurs pursuant to Section 4(b), then the Performance Measurement Period shall be the 20 NYSE trading days ending on the date immediately preceding the Vesting Date and the Performance Goal and Performance Multiplier shall be calculated using the average closing stock price of the Shares during such period (except where the Vesting Date occurs as a result of a Change of Control pursuant to Section 4(b)(ii), in which case the Performance Multiplier shall be equal to 2.0).</w:t>
      </w:r>
    </w:p>
    <w:p>
      <w:pPr>
        <w:spacing w:after="0" w:line="184" w:lineRule="exact"/>
        <w:rPr>
          <w:rFonts w:ascii="Arial" w:cs="Arial" w:eastAsia="Arial" w:hAnsi="Arial"/>
          <w:sz w:val="18"/>
          <w:szCs w:val="18"/>
          <w:b w:val="1"/>
          <w:bCs w:val="1"/>
          <w:color w:val="auto"/>
        </w:rPr>
      </w:pPr>
    </w:p>
    <w:p>
      <w:pPr>
        <w:ind w:left="660" w:hanging="652"/>
        <w:spacing w:after="0" w:line="267" w:lineRule="auto"/>
        <w:tabs>
          <w:tab w:leader="none" w:pos="66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Transfer Restrictions</w:t>
      </w:r>
      <w:r>
        <w:rPr>
          <w:rFonts w:ascii="Arial" w:cs="Arial" w:eastAsia="Arial" w:hAnsi="Arial"/>
          <w:sz w:val="20"/>
          <w:szCs w:val="20"/>
          <w:b w:val="1"/>
          <w:bCs w:val="1"/>
          <w:color w:val="auto"/>
        </w:rPr>
        <w:t xml:space="preserve">. </w:t>
      </w:r>
      <w:r>
        <w:rPr>
          <w:rFonts w:ascii="Arial" w:cs="Arial" w:eastAsia="Arial" w:hAnsi="Arial"/>
          <w:sz w:val="20"/>
          <w:szCs w:val="20"/>
          <w:color w:val="auto"/>
        </w:rPr>
        <w:t>Except as specified herein or in the Plan, the Units may not be sold, assigned, pledged, exchanged,</w:t>
      </w:r>
      <w:r>
        <w:rPr>
          <w:rFonts w:ascii="Arial" w:cs="Arial" w:eastAsia="Arial" w:hAnsi="Arial"/>
          <w:sz w:val="20"/>
          <w:szCs w:val="20"/>
          <w:b w:val="1"/>
          <w:bCs w:val="1"/>
          <w:color w:val="auto"/>
        </w:rPr>
        <w:t xml:space="preserve"> </w:t>
      </w:r>
      <w:r>
        <w:rPr>
          <w:rFonts w:ascii="Arial" w:cs="Arial" w:eastAsia="Arial" w:hAnsi="Arial"/>
          <w:sz w:val="20"/>
          <w:szCs w:val="20"/>
          <w:color w:val="auto"/>
        </w:rPr>
        <w:t>hypothecated or otherwise transferred, encumbered or disposed of. Any such</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74795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11"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2010 Plan; Officer PUA Agreement; CIC</w:t>
      </w:r>
    </w:p>
    <w:p>
      <w:pPr>
        <w:sectPr>
          <w:pgSz w:w="11900" w:h="16838" w:orient="portrait"/>
          <w:cols w:equalWidth="0" w:num="1">
            <w:col w:w="11420"/>
          </w:cols>
          <w:pgMar w:left="240" w:top="576" w:right="239" w:bottom="1440" w:gutter="0" w:footer="0" w:header="0"/>
        </w:sectPr>
      </w:pPr>
    </w:p>
    <w:bookmarkStart w:id="117" w:name="page118"/>
    <w:bookmarkEnd w:id="117"/>
    <w:p>
      <w:pPr>
        <w:ind w:left="660" w:right="20"/>
        <w:spacing w:after="0" w:line="260" w:lineRule="auto"/>
        <w:rPr>
          <w:sz w:val="20"/>
          <w:szCs w:val="20"/>
          <w:color w:val="auto"/>
        </w:rPr>
      </w:pPr>
      <w:r>
        <w:rPr>
          <w:rFonts w:ascii="Arial" w:cs="Arial" w:eastAsia="Arial" w:hAnsi="Arial"/>
          <w:sz w:val="20"/>
          <w:szCs w:val="20"/>
          <w:color w:val="auto"/>
        </w:rPr>
        <w:t>attempted sale, assignment, pledge, exchange, hypothecation, transfer, encumbrance or disposition in violation of this Agreement or the Plan shall be void, and the Company shall not be bound thereby.</w:t>
      </w:r>
    </w:p>
    <w:p>
      <w:pPr>
        <w:spacing w:after="0" w:line="184"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Vesting or Forfeiture</w:t>
      </w:r>
      <w:r>
        <w:rPr>
          <w:rFonts w:ascii="Arial" w:cs="Arial" w:eastAsia="Arial" w:hAnsi="Arial"/>
          <w:sz w:val="20"/>
          <w:szCs w:val="20"/>
          <w:b w:val="1"/>
          <w:bCs w:val="1"/>
          <w:color w:val="auto"/>
        </w:rPr>
        <w:t>.</w:t>
      </w:r>
    </w:p>
    <w:p>
      <w:pPr>
        <w:spacing w:after="0" w:line="235" w:lineRule="exact"/>
        <w:rPr>
          <w:rFonts w:ascii="Arial" w:cs="Arial" w:eastAsia="Arial" w:hAnsi="Arial"/>
          <w:sz w:val="20"/>
          <w:szCs w:val="20"/>
          <w:b w:val="1"/>
          <w:bCs w:val="1"/>
          <w:color w:val="auto"/>
        </w:rPr>
      </w:pPr>
    </w:p>
    <w:p>
      <w:pPr>
        <w:jc w:val="both"/>
        <w:ind w:left="1140" w:hanging="484"/>
        <w:spacing w:after="0" w:line="291" w:lineRule="auto"/>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Except as specified otherwise in this Section 4, the Units shall be subject to Forfeiture Restrictions. The Forfeiture Restrictions shall lapse as to the Units that are granted hereby in accordance with the following schedule (each such date being a “</w:t>
      </w:r>
      <w:r>
        <w:rPr>
          <w:rFonts w:ascii="Arial" w:cs="Arial" w:eastAsia="Arial" w:hAnsi="Arial"/>
          <w:sz w:val="18"/>
          <w:szCs w:val="18"/>
          <w:b w:val="1"/>
          <w:bCs w:val="1"/>
          <w:i w:val="1"/>
          <w:iCs w:val="1"/>
          <w:color w:val="auto"/>
        </w:rPr>
        <w:t>Vesting</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provided that the Units have not been forfeited to the Company prior to such date pursuant to Section 4(c).</w:t>
      </w:r>
    </w:p>
    <w:p>
      <w:pPr>
        <w:spacing w:after="0" w:line="322" w:lineRule="exact"/>
        <w:rPr>
          <w:sz w:val="20"/>
          <w:szCs w:val="20"/>
          <w:color w:val="auto"/>
        </w:rPr>
      </w:pPr>
    </w:p>
    <w:p>
      <w:pPr>
        <w:ind w:left="2980"/>
        <w:spacing w:after="0"/>
        <w:tabs>
          <w:tab w:leader="none" w:pos="5740" w:val="left"/>
        </w:tabs>
        <w:rPr>
          <w:sz w:val="20"/>
          <w:szCs w:val="20"/>
          <w:color w:val="auto"/>
        </w:rPr>
      </w:pPr>
      <w:r>
        <w:rPr>
          <w:rFonts w:ascii="Arial" w:cs="Arial" w:eastAsia="Arial" w:hAnsi="Arial"/>
          <w:sz w:val="20"/>
          <w:szCs w:val="20"/>
          <w:b w:val="1"/>
          <w:bCs w:val="1"/>
          <w:color w:val="auto"/>
        </w:rPr>
        <w:t>Vesting Date</w:t>
      </w:r>
      <w:r>
        <w:rPr>
          <w:sz w:val="20"/>
          <w:szCs w:val="20"/>
          <w:color w:val="auto"/>
        </w:rPr>
        <w:tab/>
      </w:r>
      <w:r>
        <w:rPr>
          <w:rFonts w:ascii="Arial" w:cs="Arial" w:eastAsia="Arial" w:hAnsi="Arial"/>
          <w:sz w:val="16"/>
          <w:szCs w:val="16"/>
          <w:b w:val="1"/>
          <w:bCs w:val="1"/>
          <w:color w:val="auto"/>
        </w:rPr>
        <w:t>Number of Units Subject to Forfeiture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31115</wp:posOffset>
            </wp:positionV>
            <wp:extent cx="5574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left="1140" w:hanging="484"/>
        <w:spacing w:after="0" w:line="270" w:lineRule="auto"/>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Notwithstanding Section 4(a), if (i) the Holder’s Employment with the Company and its Affiliates is terminated prior to one or more Vesting Dates (1) due to the death or Disability of the Holder, (2) by the Holder for Good Reason (as defined below) or (3) by the Company for any reason other than Cause (as defined below) then, in any such event, all remaining Forfeiture Restrictions shall immediately lapse and the Vesting Date shall be deemed to be the date of the termination of the Holder’s Employment or (ii) there is a Change of Control prior to one or more Vesting Dates, then all remaining Forfeiture Restrictions shall immediately lapse and the Vesting Date shall be deemed to be the date immediately preceding such Change of Control. For purposes of this Agreement,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shall have the meaning ascribed thereto in the Plan, except that if the Holder is party to or covered by any change of control agreement or arrangement with the Employer (as defined in Section 8), then “</w:t>
      </w:r>
      <w:r>
        <w:rPr>
          <w:rFonts w:ascii="Arial" w:cs="Arial" w:eastAsia="Arial" w:hAnsi="Arial"/>
          <w:sz w:val="18"/>
          <w:szCs w:val="18"/>
          <w:b w:val="1"/>
          <w:bCs w:val="1"/>
          <w:i w:val="1"/>
          <w:iCs w:val="1"/>
          <w:color w:val="auto"/>
        </w:rPr>
        <w:t>Change of</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shall have the meaning set forth in such agreement or arrangement to the extent permitted by and otherwise consistent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Plan. For purposes of this Agreement,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and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shall have the meanings provided under the Holder’s employment agreement with the Employer, if any, and in the absence of an employment agreement, such terms shall be inapplicable for purposes of this Agreement and any termination of the Holder’s employment other than due to clause (i)(1) of this Section 4(b) shall be governed by Section 4(c) of this Agreement.</w:t>
      </w:r>
    </w:p>
    <w:p>
      <w:pPr>
        <w:spacing w:after="0" w:line="187" w:lineRule="exact"/>
        <w:rPr>
          <w:rFonts w:ascii="Arial" w:cs="Arial" w:eastAsia="Arial" w:hAnsi="Arial"/>
          <w:sz w:val="18"/>
          <w:szCs w:val="18"/>
          <w:color w:val="auto"/>
        </w:rPr>
      </w:pPr>
    </w:p>
    <w:p>
      <w:pPr>
        <w:jc w:val="both"/>
        <w:ind w:left="1140" w:hanging="484"/>
        <w:spacing w:after="0" w:line="259" w:lineRule="auto"/>
        <w:tabs>
          <w:tab w:leader="none" w:pos="11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If the Holder’s Employment is terminated prior to any Vesting Date (other than a termination described in Section 4(b)), then any Forfeiture Restrictions that have not previously lapsed pursuant to the provisions of this Section 4 shall not lapse, and any Units with respect to which the Forfeiture Restrictions have not lapsed shall be forfeited to the Company on the date of the termination of the Holder’s Employment. In the event any Units are forfeited to the Company pursuant to this Agreement, the Company will not be obligated to pay the Holder any consideration whatsoever for the forfeited Units or the underlying Shares, and the Holder will have no rights to receive any consideration for the forfeited Units.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74795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11"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2010 Plan; Officer PUA Agreement; CIC</w:t>
      </w:r>
    </w:p>
    <w:p>
      <w:pPr>
        <w:sectPr>
          <w:pgSz w:w="11900" w:h="16838" w:orient="portrait"/>
          <w:cols w:equalWidth="0" w:num="1">
            <w:col w:w="11420"/>
          </w:cols>
          <w:pgMar w:left="240" w:top="582" w:right="239" w:bottom="1440" w:gutter="0" w:footer="0" w:header="0"/>
        </w:sectPr>
      </w:pPr>
    </w:p>
    <w:bookmarkStart w:id="118" w:name="page119"/>
    <w:bookmarkEnd w:id="118"/>
    <w:p>
      <w:pPr>
        <w:jc w:val="both"/>
        <w:ind w:left="660" w:hanging="652"/>
        <w:spacing w:after="0" w:line="253" w:lineRule="auto"/>
        <w:tabs>
          <w:tab w:leader="none" w:pos="66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 Dividend Equivalents</w:t>
      </w:r>
      <w:r>
        <w:rPr>
          <w:rFonts w:ascii="Arial" w:cs="Arial" w:eastAsia="Arial" w:hAnsi="Arial"/>
          <w:sz w:val="20"/>
          <w:szCs w:val="20"/>
          <w:color w:val="auto"/>
        </w:rPr>
        <w:t>. If during the period the Holder holds any Units awarded hereby the Company pays a dividend in cash,</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or otherwise with respect to the Company’s outstanding ordinary shares, nominal value $0.001 per share (the “</w:t>
      </w:r>
      <w:r>
        <w:rPr>
          <w:rFonts w:ascii="Arial" w:cs="Arial" w:eastAsia="Arial" w:hAnsi="Arial"/>
          <w:sz w:val="20"/>
          <w:szCs w:val="20"/>
          <w:b w:val="1"/>
          <w:bCs w:val="1"/>
          <w:i w:val="1"/>
          <w:iCs w:val="1"/>
          <w:color w:val="auto"/>
        </w:rPr>
        <w:t>Shares</w:t>
      </w:r>
      <w:r>
        <w:rPr>
          <w:rFonts w:ascii="Arial" w:cs="Arial" w:eastAsia="Arial" w:hAnsi="Arial"/>
          <w:sz w:val="20"/>
          <w:szCs w:val="20"/>
          <w:color w:val="auto"/>
        </w:rPr>
        <w:t>”), the Holder shall receive no dividend equivalent payment with respect to the Holder’s Units.</w:t>
      </w:r>
    </w:p>
    <w:p>
      <w:pPr>
        <w:spacing w:after="0" w:line="191" w:lineRule="exact"/>
        <w:rPr>
          <w:rFonts w:ascii="Arial" w:cs="Arial" w:eastAsia="Arial" w:hAnsi="Arial"/>
          <w:sz w:val="20"/>
          <w:szCs w:val="20"/>
          <w:b w:val="1"/>
          <w:bCs w:val="1"/>
          <w:color w:val="auto"/>
        </w:rPr>
      </w:pPr>
    </w:p>
    <w:p>
      <w:pPr>
        <w:jc w:val="both"/>
        <w:ind w:left="660" w:hanging="652"/>
        <w:spacing w:after="0" w:line="246" w:lineRule="auto"/>
        <w:tabs>
          <w:tab w:leader="none" w:pos="660" w:val="left"/>
        </w:tabs>
        <w:numPr>
          <w:ilvl w:val="0"/>
          <w:numId w:val="5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Delivery of Shares</w:t>
      </w:r>
      <w:r>
        <w:rPr>
          <w:rFonts w:ascii="Arial" w:cs="Arial" w:eastAsia="Arial" w:hAnsi="Arial"/>
          <w:sz w:val="20"/>
          <w:szCs w:val="20"/>
          <w:b w:val="1"/>
          <w:bCs w:val="1"/>
          <w:color w:val="auto"/>
        </w:rPr>
        <w:t xml:space="preserve">. </w:t>
      </w:r>
      <w:r>
        <w:rPr>
          <w:rFonts w:ascii="Arial" w:cs="Arial" w:eastAsia="Arial" w:hAnsi="Arial"/>
          <w:sz w:val="20"/>
          <w:szCs w:val="20"/>
          <w:color w:val="auto"/>
        </w:rPr>
        <w:t>Upon the lapse of any Forfeiture Restrictions on each applicable Vesting Date under Section 4, the Company shall</w:t>
      </w:r>
      <w:r>
        <w:rPr>
          <w:rFonts w:ascii="Arial" w:cs="Arial" w:eastAsia="Arial" w:hAnsi="Arial"/>
          <w:sz w:val="20"/>
          <w:szCs w:val="20"/>
          <w:b w:val="1"/>
          <w:bCs w:val="1"/>
          <w:color w:val="auto"/>
        </w:rPr>
        <w:t xml:space="preserve"> </w:t>
      </w:r>
      <w:r>
        <w:rPr>
          <w:rFonts w:ascii="Arial" w:cs="Arial" w:eastAsia="Arial" w:hAnsi="Arial"/>
          <w:sz w:val="20"/>
          <w:szCs w:val="20"/>
          <w:color w:val="auto"/>
        </w:rPr>
        <w:t>deliver or cause to be delivered a number of Shares equal to the number of Units with respect to which the Forfeiture Restrictions have lapsed multiplied by the applicable Performance Multiplier (subject to the satisfaction by the Holder of any Tax-Related Items arising under Section 8 of this Agreement); provided that if the Performance Multiplier is 0.0, then the Units shall be deemed forfeited on the applicable Vesting Date.</w:t>
      </w:r>
    </w:p>
    <w:p>
      <w:pPr>
        <w:spacing w:after="0" w:line="198" w:lineRule="exact"/>
        <w:rPr>
          <w:rFonts w:ascii="Arial" w:cs="Arial" w:eastAsia="Arial" w:hAnsi="Arial"/>
          <w:sz w:val="20"/>
          <w:szCs w:val="20"/>
          <w:b w:val="1"/>
          <w:bCs w:val="1"/>
          <w:color w:val="auto"/>
        </w:rPr>
      </w:pPr>
    </w:p>
    <w:p>
      <w:pPr>
        <w:jc w:val="both"/>
        <w:ind w:left="660" w:hanging="652"/>
        <w:spacing w:after="0" w:line="257" w:lineRule="auto"/>
        <w:tabs>
          <w:tab w:leader="none" w:pos="660" w:val="left"/>
        </w:tabs>
        <w:numPr>
          <w:ilvl w:val="0"/>
          <w:numId w:val="5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Capital Adjustments and Reorganizations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existence of the Units shall not affect in any way the right or power of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or its shareholders to make or authorize any or all adjustments, recapitalizations, reorganizations or other changes in the Company’s capital structure or its business, or any acquisition, merger, amalgamation or consolidation of the Company, or any issue of bonds, debentures, preferred or prior preference shares ahead of or affecting the Shares or the rights thereof, or the winding up, dissolution or liquidation of the Company, or any sale or transfer of all or any part of its assets or business, or any other corporate act or proceeding, whether of a similar character or otherwise, including a Change of Control (as defined in the Plan). An adjustment under this provision may have the effect of reducing the price at which Shares may be acquired to less than their nominal value (the “</w:t>
      </w:r>
      <w:r>
        <w:rPr>
          <w:rFonts w:ascii="Arial" w:cs="Arial" w:eastAsia="Arial" w:hAnsi="Arial"/>
          <w:sz w:val="19"/>
          <w:szCs w:val="19"/>
          <w:b w:val="1"/>
          <w:bCs w:val="1"/>
          <w:i w:val="1"/>
          <w:iCs w:val="1"/>
          <w:color w:val="auto"/>
        </w:rPr>
        <w:t>Shortfall</w:t>
      </w:r>
      <w:r>
        <w:rPr>
          <w:rFonts w:ascii="Arial" w:cs="Arial" w:eastAsia="Arial" w:hAnsi="Arial"/>
          <w:sz w:val="19"/>
          <w:szCs w:val="19"/>
          <w:color w:val="auto"/>
        </w:rPr>
        <w:t>”), but only if and to the extent that the Committee shall be authorized to capitalize from the reserves of the Company a sum equal to the Shortfall and to apply that sum in paying up that amount on the Shares.</w:t>
      </w:r>
    </w:p>
    <w:p>
      <w:pPr>
        <w:spacing w:after="0" w:line="190" w:lineRule="exact"/>
        <w:rPr>
          <w:rFonts w:ascii="Arial" w:cs="Arial" w:eastAsia="Arial" w:hAnsi="Arial"/>
          <w:sz w:val="19"/>
          <w:szCs w:val="19"/>
          <w:b w:val="1"/>
          <w:bCs w:val="1"/>
          <w:color w:val="auto"/>
        </w:rPr>
      </w:pPr>
    </w:p>
    <w:p>
      <w:pPr>
        <w:jc w:val="both"/>
        <w:ind w:left="660" w:hanging="652"/>
        <w:spacing w:after="0" w:line="270" w:lineRule="auto"/>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Responsibility for Taxes &amp; Withholding</w:t>
      </w:r>
      <w:r>
        <w:rPr>
          <w:rFonts w:ascii="Arial" w:cs="Arial" w:eastAsia="Arial" w:hAnsi="Arial"/>
          <w:sz w:val="18"/>
          <w:szCs w:val="18"/>
          <w:color w:val="auto"/>
        </w:rPr>
        <w:t>. The Holder acknowledges that, regardless of any action taken by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of the Company, as applicable, to the extent the Holder is employed by or seconded to any such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the ultimate liability for all income tax, social insurance, payroll tax, fringe benefits tax, payment on account or other tax-related items related to the Holder’s participation in the Plan and legally applicable to the Holder or deemed by the Company or the Employer in its discretion to be an appropriate charge to the Holder even if legally applicable to the Company or the Employer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is and remains the Holder’s responsibility and may exceed the amount actually withheld by the Company or the Employer. The Holder further acknowledges that the Company and/or the Employer (i) make no representations or undertakings regarding the treatment of any Tax-Related Items in connection with any aspect of the Units, including, but not limited to, the grant, vesting or settlement of the Units, the subsequent sale of Shares acquired pursuant to such settlement and the receipt of any dividends and/or any dividend equivalents; and (ii) do not commit to and are under no obligation to structure the terms of the grant or any aspect of the Units to reduce or eliminate the Holder’s liability for Tax-Related Items or achieve any particular tax result. Further, if the Holder is subject to Tax-Related Items in more than one jurisdiction between the date of grant and the date of any relevant taxable or tax withholding event, as applicable, the Holder acknowledges that the Company and/or the Employer (or former Employer, as applicable) may be required to withhold or account for Tax-Related Items in more than one jurisdiction.</w:t>
      </w:r>
    </w:p>
    <w:p>
      <w:pPr>
        <w:spacing w:after="0" w:line="189" w:lineRule="exact"/>
        <w:rPr>
          <w:rFonts w:ascii="Arial" w:cs="Arial" w:eastAsia="Arial" w:hAnsi="Arial"/>
          <w:sz w:val="18"/>
          <w:szCs w:val="18"/>
          <w:b w:val="1"/>
          <w:bCs w:val="1"/>
          <w:color w:val="auto"/>
        </w:rPr>
      </w:pPr>
    </w:p>
    <w:p>
      <w:pPr>
        <w:jc w:val="both"/>
        <w:ind w:left="660"/>
        <w:spacing w:after="0" w:line="250" w:lineRule="auto"/>
        <w:rPr>
          <w:rFonts w:ascii="Arial" w:cs="Arial" w:eastAsia="Arial" w:hAnsi="Arial"/>
          <w:sz w:val="18"/>
          <w:szCs w:val="18"/>
          <w:b w:val="1"/>
          <w:bCs w:val="1"/>
          <w:color w:val="auto"/>
        </w:rPr>
      </w:pPr>
      <w:r>
        <w:rPr>
          <w:rFonts w:ascii="Arial" w:cs="Arial" w:eastAsia="Arial" w:hAnsi="Arial"/>
          <w:sz w:val="20"/>
          <w:szCs w:val="20"/>
          <w:color w:val="auto"/>
        </w:rPr>
        <w:t>Prior to any relevant taxable or tax withholding event, as applicable, the Holder agrees to make adequate arrangements satisfactory to the Company and/or the Employer to satisfy all Tax-Related Items. In this regard, the Holder authorizes the Company and/or its Affiliates, or their respective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74795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Officer PUA Agreement; CIC</w:t>
      </w:r>
    </w:p>
    <w:p>
      <w:pPr>
        <w:sectPr>
          <w:pgSz w:w="11900" w:h="16838" w:orient="portrait"/>
          <w:cols w:equalWidth="0" w:num="1">
            <w:col w:w="11420"/>
          </w:cols>
          <w:pgMar w:left="240" w:top="805" w:right="239" w:bottom="1440" w:gutter="0" w:footer="0" w:header="0"/>
        </w:sectPr>
      </w:pPr>
    </w:p>
    <w:bookmarkStart w:id="119" w:name="page120"/>
    <w:bookmarkEnd w:id="119"/>
    <w:p>
      <w:pPr>
        <w:ind w:left="660"/>
        <w:spacing w:after="0"/>
        <w:rPr>
          <w:sz w:val="20"/>
          <w:szCs w:val="20"/>
          <w:color w:val="auto"/>
        </w:rPr>
      </w:pPr>
      <w:r>
        <w:rPr>
          <w:rFonts w:ascii="Arial" w:cs="Arial" w:eastAsia="Arial" w:hAnsi="Arial"/>
          <w:sz w:val="18"/>
          <w:szCs w:val="18"/>
          <w:color w:val="auto"/>
        </w:rPr>
        <w:t>agents, at their discretion, to satisfy the obligations with regard to all Tax-Related Items by one or a combination of the following:</w:t>
      </w:r>
    </w:p>
    <w:p>
      <w:pPr>
        <w:spacing w:after="0" w:line="252"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withholding from the Holder’s wages or other cash compensation paid to the Holder by the Company and/or its Affiliates; or</w:t>
      </w:r>
    </w:p>
    <w:p>
      <w:pPr>
        <w:spacing w:after="0" w:line="252"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withholding from proceeds of the Shares acquired following the lapse of the Forfeiture Restrictions either through a voluntary sale or through a mandatory sale arranged by the Company (on the Holder’s behalf pursuant to this authorization without further consent); or</w:t>
      </w:r>
    </w:p>
    <w:p>
      <w:pPr>
        <w:spacing w:after="0" w:line="199" w:lineRule="exact"/>
        <w:rPr>
          <w:rFonts w:ascii="Arial" w:cs="Arial" w:eastAsia="Arial" w:hAnsi="Arial"/>
          <w:sz w:val="20"/>
          <w:szCs w:val="20"/>
          <w:color w:val="auto"/>
        </w:rPr>
      </w:pPr>
    </w:p>
    <w:p>
      <w:pPr>
        <w:jc w:val="both"/>
        <w:ind w:left="1300" w:hanging="644"/>
        <w:spacing w:after="0" w:line="243" w:lineRule="auto"/>
        <w:tabs>
          <w:tab w:leader="none" w:pos="1300" w:val="left"/>
        </w:tabs>
        <w:numPr>
          <w:ilvl w:val="0"/>
          <w:numId w:val="55"/>
        </w:numPr>
        <w:rPr>
          <w:rFonts w:ascii="Arial" w:cs="Arial" w:eastAsia="Arial" w:hAnsi="Arial"/>
          <w:sz w:val="20"/>
          <w:szCs w:val="20"/>
          <w:color w:val="auto"/>
        </w:rPr>
      </w:pPr>
      <w:r>
        <w:rPr>
          <w:rFonts w:ascii="Arial" w:cs="Arial" w:eastAsia="Arial" w:hAnsi="Arial"/>
          <w:sz w:val="20"/>
          <w:szCs w:val="20"/>
          <w:color w:val="auto"/>
        </w:rPr>
        <w:t>withholding in Shares to be delivered upon the lapse of the Forfeiture Restrictions unless the Committee, in its sole discretion, indicates that this method of withholding is not available prior to the applicable taxable or tax withholding event and further provided, that if the Holder is a Section 16 officer of the Company under the U.S. Securities and Exchange Act of 1934, as amended, then the Committee (as constituted in accordance with Rule 16b-3 under the Exchange Act) shall establish the method of withholding from alternatives (a)-(c) herein and, if the Committee does not exercise its discretion prior to the Tax-Related Items withholding event, then the Holder shall be entitled to elect the method of withholding from the alternatives above.</w:t>
      </w:r>
    </w:p>
    <w:p>
      <w:pPr>
        <w:spacing w:after="0" w:line="207" w:lineRule="exact"/>
        <w:rPr>
          <w:sz w:val="20"/>
          <w:szCs w:val="20"/>
          <w:color w:val="auto"/>
        </w:rPr>
      </w:pPr>
    </w:p>
    <w:p>
      <w:pPr>
        <w:jc w:val="both"/>
        <w:ind w:left="620"/>
        <w:spacing w:after="0" w:line="243" w:lineRule="auto"/>
        <w:rPr>
          <w:sz w:val="20"/>
          <w:szCs w:val="20"/>
          <w:color w:val="auto"/>
        </w:rPr>
      </w:pPr>
      <w:r>
        <w:rPr>
          <w:rFonts w:ascii="Arial" w:cs="Arial" w:eastAsia="Arial" w:hAnsi="Arial"/>
          <w:sz w:val="20"/>
          <w:szCs w:val="20"/>
          <w:color w:val="auto"/>
        </w:rPr>
        <w:t>Depending on the withholding method, the Company may withhold or account for Tax-Related Items by considering applicable minimum statutory withholding rates or other applicable withholding rates, including maximum applicable rates, in which case the Holder will receive a refund of any over-withheld amount in cash and will have no entitlement to the Share equivalent. If the obligation for Tax-Related Items is satisfied by withholding in Shares, for tax purposes, the Holder is deemed to have been issued the full number of Shares subject to the vested Units, notwithstanding that a number of the Shares are held back solely for the purpose of paying the Tax-Related Items.</w:t>
      </w:r>
    </w:p>
    <w:p>
      <w:pPr>
        <w:spacing w:after="0" w:line="197" w:lineRule="exact"/>
        <w:rPr>
          <w:sz w:val="20"/>
          <w:szCs w:val="20"/>
          <w:color w:val="auto"/>
        </w:rPr>
      </w:pPr>
    </w:p>
    <w:p>
      <w:pPr>
        <w:jc w:val="both"/>
        <w:ind w:left="620"/>
        <w:spacing w:after="0" w:line="246" w:lineRule="auto"/>
        <w:rPr>
          <w:sz w:val="20"/>
          <w:szCs w:val="20"/>
          <w:color w:val="auto"/>
        </w:rPr>
      </w:pPr>
      <w:r>
        <w:rPr>
          <w:rFonts w:ascii="Arial" w:cs="Arial" w:eastAsia="Arial" w:hAnsi="Arial"/>
          <w:sz w:val="20"/>
          <w:szCs w:val="20"/>
          <w:color w:val="auto"/>
        </w:rPr>
        <w:t>Finally, the Holder agrees to pay to the Company or the Employer any amount of Tax-Related Items that the Company or the Employer may be required to withhold or account for as a result of the Holder’s participation in the Plan that cannot be satisfied by the means previously described. The Company may refuse to issue or deliver the Shares or the proceeds of the sale of Shares, if the Holder fails to comply with his or her obligations in connection with the Tax-Related Items.</w:t>
      </w:r>
    </w:p>
    <w:p>
      <w:pPr>
        <w:spacing w:after="0" w:line="186" w:lineRule="exact"/>
        <w:rPr>
          <w:sz w:val="20"/>
          <w:szCs w:val="20"/>
          <w:color w:val="auto"/>
        </w:rPr>
      </w:pPr>
    </w:p>
    <w:p>
      <w:pPr>
        <w:jc w:val="both"/>
        <w:ind w:left="660" w:hanging="652"/>
        <w:spacing w:after="0" w:line="243" w:lineRule="auto"/>
        <w:tabs>
          <w:tab w:leader="none" w:pos="66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Employment or Affiliation Relationship</w:t>
      </w:r>
      <w:r>
        <w:rPr>
          <w:rFonts w:ascii="Arial" w:cs="Arial" w:eastAsia="Arial" w:hAnsi="Arial"/>
          <w:sz w:val="20"/>
          <w:szCs w:val="20"/>
          <w:b w:val="1"/>
          <w:bCs w:val="1"/>
          <w:color w:val="auto"/>
        </w:rPr>
        <w:t xml:space="preserve">. </w:t>
      </w:r>
      <w:r>
        <w:rPr>
          <w:rFonts w:ascii="Arial" w:cs="Arial" w:eastAsia="Arial" w:hAnsi="Arial"/>
          <w:sz w:val="20"/>
          <w:szCs w:val="20"/>
          <w:color w:val="auto"/>
        </w:rPr>
        <w:t>The grant of Units and the Holder’s participation in the Plan shall not create a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employment or be interpreted as forming an employment or services contract or other affiliation with the Company, the Employer or any Affiliate and shall not interfere with the ability of the Company, the Employer or any Affiliate, as applicable, to terminate the Holder’s Employment. For purposes of this Agreement, the Holder shall be considered to be in the employment of, or affiliated with, the Company, the Employer or its Affiliates as long as the Holder has an active employment or affiliation relationship with the Company, the Employer or any Affiliate. The Committee shall determine any questions as to whether and when there has been a termination of the Holder’s Employment, and the cause of such termination, under the Plan and the Committee’s determination shall be final and binding on all persons.</w:t>
      </w:r>
    </w:p>
    <w:p>
      <w:pPr>
        <w:spacing w:after="0" w:line="189" w:lineRule="exact"/>
        <w:rPr>
          <w:rFonts w:ascii="Arial" w:cs="Arial" w:eastAsia="Arial" w:hAnsi="Arial"/>
          <w:sz w:val="20"/>
          <w:szCs w:val="20"/>
          <w:b w:val="1"/>
          <w:bCs w:val="1"/>
          <w:color w:val="auto"/>
        </w:rPr>
      </w:pPr>
    </w:p>
    <w:p>
      <w:pPr>
        <w:ind w:left="660" w:right="20" w:hanging="652"/>
        <w:spacing w:after="0" w:line="293" w:lineRule="auto"/>
        <w:tabs>
          <w:tab w:leader="none" w:pos="660" w:val="left"/>
        </w:tabs>
        <w:numPr>
          <w:ilvl w:val="0"/>
          <w:numId w:val="5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Voting and Other Rights</w:t>
      </w:r>
      <w:r>
        <w:rPr>
          <w:rFonts w:ascii="Arial" w:cs="Arial" w:eastAsia="Arial" w:hAnsi="Arial"/>
          <w:sz w:val="19"/>
          <w:szCs w:val="19"/>
          <w:b w:val="1"/>
          <w:bCs w:val="1"/>
          <w:color w:val="auto"/>
        </w:rPr>
        <w:t xml:space="preserve">. </w:t>
      </w:r>
      <w:r>
        <w:rPr>
          <w:rFonts w:ascii="Arial" w:cs="Arial" w:eastAsia="Arial" w:hAnsi="Arial"/>
          <w:sz w:val="19"/>
          <w:szCs w:val="19"/>
          <w:color w:val="auto"/>
        </w:rPr>
        <w:t>The Holder shall have no rights as a shareholder of the Company in respect of the Units, including the right</w:t>
      </w:r>
      <w:r>
        <w:rPr>
          <w:rFonts w:ascii="Arial" w:cs="Arial" w:eastAsia="Arial" w:hAnsi="Arial"/>
          <w:sz w:val="19"/>
          <w:szCs w:val="19"/>
          <w:b w:val="1"/>
          <w:bCs w:val="1"/>
          <w:color w:val="auto"/>
        </w:rPr>
        <w:t xml:space="preserve"> </w:t>
      </w:r>
      <w:r>
        <w:rPr>
          <w:rFonts w:ascii="Arial" w:cs="Arial" w:eastAsia="Arial" w:hAnsi="Arial"/>
          <w:sz w:val="19"/>
          <w:szCs w:val="19"/>
          <w:color w:val="auto"/>
        </w:rPr>
        <w:t>to vote and to receive dividends and other distributions, until delivery of Shares in satisfaction of such Units.</w:t>
      </w:r>
    </w:p>
    <w:p>
      <w:pPr>
        <w:spacing w:after="0" w:line="200" w:lineRule="exact"/>
        <w:rPr>
          <w:sz w:val="20"/>
          <w:szCs w:val="20"/>
          <w:color w:val="auto"/>
        </w:rPr>
      </w:pP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74795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Officer PUA Agreement; CIC</w:t>
      </w:r>
    </w:p>
    <w:p>
      <w:pPr>
        <w:sectPr>
          <w:pgSz w:w="11900" w:h="16838" w:orient="portrait"/>
          <w:cols w:equalWidth="0" w:num="1">
            <w:col w:w="11420"/>
          </w:cols>
          <w:pgMar w:left="240" w:top="582" w:right="239" w:bottom="1440" w:gutter="0" w:footer="0" w:header="0"/>
        </w:sectPr>
      </w:pPr>
    </w:p>
    <w:bookmarkStart w:id="120" w:name="page121"/>
    <w:bookmarkEnd w:id="120"/>
    <w:p>
      <w:pPr>
        <w:jc w:val="both"/>
        <w:ind w:left="660" w:hanging="652"/>
        <w:spacing w:after="0" w:line="268" w:lineRule="auto"/>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 The Holder hereby explicitly and unambiguously consents to the collection, use and transfer, in electronic or other form,</w:t>
      </w:r>
      <w:r>
        <w:rPr>
          <w:rFonts w:ascii="Arial" w:cs="Arial" w:eastAsia="Arial" w:hAnsi="Arial"/>
          <w:sz w:val="18"/>
          <w:szCs w:val="18"/>
          <w:b w:val="1"/>
          <w:bCs w:val="1"/>
          <w:color w:val="auto"/>
        </w:rPr>
        <w:t xml:space="preserve"> </w:t>
      </w:r>
      <w:r>
        <w:rPr>
          <w:rFonts w:ascii="Arial" w:cs="Arial" w:eastAsia="Arial" w:hAnsi="Arial"/>
          <w:sz w:val="18"/>
          <w:szCs w:val="18"/>
          <w:color w:val="auto"/>
        </w:rPr>
        <w:t>of the Holder’s personal data as described in this Agreement and any other grant materials (“</w:t>
      </w:r>
      <w:r>
        <w:rPr>
          <w:rFonts w:ascii="Arial" w:cs="Arial" w:eastAsia="Arial" w:hAnsi="Arial"/>
          <w:sz w:val="18"/>
          <w:szCs w:val="18"/>
          <w:b w:val="1"/>
          <w:bCs w:val="1"/>
          <w:i w:val="1"/>
          <w:iCs w:val="1"/>
          <w:color w:val="auto"/>
        </w:rPr>
        <w:t>Data</w:t>
      </w:r>
      <w:r>
        <w:rPr>
          <w:rFonts w:ascii="Arial" w:cs="Arial" w:eastAsia="Arial" w:hAnsi="Arial"/>
          <w:sz w:val="18"/>
          <w:szCs w:val="18"/>
          <w:color w:val="auto"/>
        </w:rPr>
        <w:t>”) by and among, as applicable, the Employer, the Company and its Affiliates for the exclusive purpose of implementing, administering and managing the Holder’s participation in the Plan. The Holder understands that the Company and the Employer may hold certain personal information about the Holder, including, but not limited to, the Holder’s name, home address and telephone number, date of birth, social insurance number or other identification number, salary, nationality, job title, any Shares or directorships held in the Company, details of all Units or any other entitlement to Shares awarded, canceled, exercised, vested, unvested or outstanding in the Holder’s favor, for the exclusive purpose of implementing, administering and managing the Plan. The Holder understands that Data will be transferred to Merrill Lynch, or such other stock plan service provider as may be selected by the Company in the future, which is assisting the Company with the implementation, administration and management of the Plan. The Holder understands that the recipients of the Data may be located in Ireland, the United States or elsewhere, and that the recipients’ country (</w:t>
      </w:r>
      <w:r>
        <w:rPr>
          <w:rFonts w:ascii="Arial" w:cs="Arial" w:eastAsia="Arial" w:hAnsi="Arial"/>
          <w:sz w:val="18"/>
          <w:szCs w:val="18"/>
          <w:i w:val="1"/>
          <w:iCs w:val="1"/>
          <w:color w:val="auto"/>
        </w:rPr>
        <w:t>e.g.</w:t>
      </w:r>
      <w:r>
        <w:rPr>
          <w:rFonts w:ascii="Arial" w:cs="Arial" w:eastAsia="Arial" w:hAnsi="Arial"/>
          <w:sz w:val="18"/>
          <w:szCs w:val="18"/>
          <w:color w:val="auto"/>
        </w:rPr>
        <w:t>, the United States) may have different data privacy laws and protections than the Holder’s country. The Holder understands that if he or she resides outside the United States, he or she may request a list with the names and addresses of any potential recipients of the Data by contacting his or her local human resources representative. The Holder authorizes the Company, Merrill Lynch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The Holder understands that Data will be held only as long as is necessary to implement, administer and manage the Holder’s participation in the Plan. The Holder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Holder understands that he or she is providing the consents herein on a purely voluntary basis. If the Holder does not consent, or if the Holder later seeks to revoke his or her consent, his or her employment status or service and career with the Employer will not be adversely affected; the only adverse consequence of refusing or withdrawing the Holder’s consent is that the Company would not be able to grant the Holder Units or other equity awards or administer or maintain such awards. Therefore, the Holder understands that refusing or withdrawing his or her consent may affect the Holder’s ability to participate in the Plan. For more information on the consequences of the Holder’s refusal to consent or withdrawal of consent, the Holder understands that he or she may contact his or her local human resources representative.</w:t>
      </w:r>
    </w:p>
    <w:p>
      <w:pPr>
        <w:spacing w:after="0" w:line="187" w:lineRule="exact"/>
        <w:rPr>
          <w:rFonts w:ascii="Arial" w:cs="Arial" w:eastAsia="Arial" w:hAnsi="Arial"/>
          <w:sz w:val="18"/>
          <w:szCs w:val="18"/>
          <w:b w:val="1"/>
          <w:bCs w:val="1"/>
          <w:color w:val="auto"/>
        </w:rPr>
      </w:pPr>
    </w:p>
    <w:p>
      <w:pPr>
        <w:jc w:val="both"/>
        <w:ind w:left="660" w:hanging="652"/>
        <w:spacing w:after="0" w:line="312" w:lineRule="auto"/>
        <w:tabs>
          <w:tab w:leader="none" w:pos="660" w:val="left"/>
        </w:tabs>
        <w:numPr>
          <w:ilvl w:val="0"/>
          <w:numId w:val="5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instruction, authorization, request or demand required hereunder shall be in writing, and shall be delivered either</w:t>
      </w:r>
      <w:r>
        <w:rPr>
          <w:rFonts w:ascii="Arial" w:cs="Arial" w:eastAsia="Arial" w:hAnsi="Arial"/>
          <w:sz w:val="16"/>
          <w:szCs w:val="16"/>
          <w:b w:val="1"/>
          <w:bCs w:val="1"/>
          <w:color w:val="auto"/>
        </w:rPr>
        <w:t xml:space="preserve"> </w:t>
      </w:r>
      <w:r>
        <w:rPr>
          <w:rFonts w:ascii="Arial" w:cs="Arial" w:eastAsia="Arial" w:hAnsi="Arial"/>
          <w:sz w:val="16"/>
          <w:szCs w:val="16"/>
          <w:color w:val="auto"/>
        </w:rPr>
        <w:t>by personal delivery, by facsimile, by certified or registered mail, return receipt requested, or by courier or delivery service, addressed to the Company at the address indicated below on the execution page of this Agreement, and to the Holder at the Holder’s address indicated in the Company’s register of Plan participants, or at such other address and number as a party shall have previously designated by written notice given to the other party in the manner hereinabove set forth. Notices shall be deemed given when received, if sent by facsimile (confirmation of such receipt by confirmed facsimile transmission being deemed receipt of communications sent by facsimile means); and when delivered and receipted for (or upon the date of attempted delivery where delivery is refused), if hand-delivered, sent by express courier or delivery service, or sent by certified or registered mail, return receipt requested.</w:t>
      </w: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74795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Officer PUA Agreement; CIC</w:t>
      </w:r>
    </w:p>
    <w:p>
      <w:pPr>
        <w:sectPr>
          <w:pgSz w:w="11900" w:h="16838" w:orient="portrait"/>
          <w:cols w:equalWidth="0" w:num="1">
            <w:col w:w="11420"/>
          </w:cols>
          <w:pgMar w:left="240" w:top="576" w:right="239" w:bottom="1440" w:gutter="0" w:footer="0" w:header="0"/>
        </w:sectPr>
      </w:pPr>
    </w:p>
    <w:bookmarkStart w:id="121" w:name="page122"/>
    <w:bookmarkEnd w:id="121"/>
    <w:p>
      <w:pPr>
        <w:jc w:val="both"/>
        <w:ind w:left="660" w:hanging="652"/>
        <w:spacing w:after="0" w:line="257" w:lineRule="auto"/>
        <w:tabs>
          <w:tab w:leader="none" w:pos="660"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 and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may be amended from time to time by the Committee in its discretion in any manner that it</w:t>
      </w:r>
      <w:r>
        <w:rPr>
          <w:rFonts w:ascii="Arial" w:cs="Arial" w:eastAsia="Arial" w:hAnsi="Arial"/>
          <w:sz w:val="19"/>
          <w:szCs w:val="19"/>
          <w:b w:val="1"/>
          <w:bCs w:val="1"/>
          <w:color w:val="auto"/>
        </w:rPr>
        <w:t xml:space="preserve"> </w:t>
      </w:r>
      <w:r>
        <w:rPr>
          <w:rFonts w:ascii="Arial" w:cs="Arial" w:eastAsia="Arial" w:hAnsi="Arial"/>
          <w:sz w:val="19"/>
          <w:szCs w:val="19"/>
          <w:color w:val="auto"/>
        </w:rPr>
        <w:t>deems appropriate and that is consistent with the terms of the Plan. However, no such amendment shall adversely affect in a material manner any right of the Holder without his/her written consent. Only a written instrument executed and delivered by the party waiving compliance hereof shall make any waiver of the terms or conditions effective. Any waiver granted by the Company shall be effective only if executed and delivered by a duly authorized executive officer of the Company other than the Holder. The failure of any party at any time or times to require performance of any provisions hereof shall in no manner affect the right to enforce the same. No waiver by any party of any term or condition, or the breach of any term or condition contained in this Agreement, in one or more instances, shall be construed as a continuing waiver of any such condition or breach, a waiver of any other condition, or the breach of any other term or condition.</w:t>
      </w:r>
    </w:p>
    <w:p>
      <w:pPr>
        <w:spacing w:after="0" w:line="190" w:lineRule="exact"/>
        <w:rPr>
          <w:rFonts w:ascii="Arial" w:cs="Arial" w:eastAsia="Arial" w:hAnsi="Arial"/>
          <w:sz w:val="19"/>
          <w:szCs w:val="19"/>
          <w:b w:val="1"/>
          <w:bCs w:val="1"/>
          <w:color w:val="auto"/>
        </w:rPr>
      </w:pPr>
    </w:p>
    <w:p>
      <w:pPr>
        <w:jc w:val="both"/>
        <w:ind w:left="660" w:hanging="652"/>
        <w:spacing w:after="0" w:line="266" w:lineRule="auto"/>
        <w:tabs>
          <w:tab w:leader="none" w:pos="660"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Governing Law and 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validity, construction and effect of the Plan and any rules and regulations relating to the Plan</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determined in accordance with applicable United States federal law and the laws of the State of Texas, without regard to any conflict of laws principles, except to the extent that the laws of Ireland mandatorily apply. The invalidity of any provision of this Agreement shall not affect any other provision of this Agreement, which shall remain in full force and effect</w:t>
      </w:r>
    </w:p>
    <w:p>
      <w:pPr>
        <w:spacing w:after="0" w:line="165" w:lineRule="exact"/>
        <w:rPr>
          <w:rFonts w:ascii="Arial" w:cs="Arial" w:eastAsia="Arial" w:hAnsi="Arial"/>
          <w:sz w:val="19"/>
          <w:szCs w:val="19"/>
          <w:b w:val="1"/>
          <w:bCs w:val="1"/>
          <w:color w:val="auto"/>
        </w:rPr>
      </w:pPr>
    </w:p>
    <w:p>
      <w:pPr>
        <w:jc w:val="both"/>
        <w:ind w:left="660" w:hanging="652"/>
        <w:spacing w:after="0" w:line="266" w:lineRule="auto"/>
        <w:tabs>
          <w:tab w:leader="none" w:pos="660" w:val="left"/>
        </w:tabs>
        <w:numPr>
          <w:ilvl w:val="0"/>
          <w:numId w:val="5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Successors and Assigns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limitations which this Agreement and the Plan impose upon the transferability of the Units,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bind, be enforceable by and inure to the benefit of the Company and its successors and assigns, and to the Holder, his permitted assigns and, upon the Holder’s death, the Holder’s estate and beneficiaries thereof (whether by will or the laws of descent and distribution), executors, administrators, agents, and legal and personal representatives.</w:t>
      </w:r>
    </w:p>
    <w:p>
      <w:pPr>
        <w:spacing w:after="0" w:line="179" w:lineRule="exact"/>
        <w:rPr>
          <w:rFonts w:ascii="Arial" w:cs="Arial" w:eastAsia="Arial" w:hAnsi="Arial"/>
          <w:sz w:val="19"/>
          <w:szCs w:val="19"/>
          <w:b w:val="1"/>
          <w:bCs w:val="1"/>
          <w:color w:val="auto"/>
        </w:rPr>
      </w:pPr>
    </w:p>
    <w:p>
      <w:pPr>
        <w:jc w:val="both"/>
        <w:ind w:left="660" w:hanging="652"/>
        <w:spacing w:after="0" w:line="271" w:lineRule="auto"/>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Electronic Delivery and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hereby consents and agrees to electronic delivery of any documents that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may elect to deliver (including, but not limited to, plan documents, prospectus and prospectus supplements, grant or award notifications and agreements, account statements, annual and quarterly reports, and all other forms of communications) in connection with this and any other Award made or offered under the Plan. The Holder understands that, unless revoked by the Holder by giving written notice to the Company pursuant to the Plan, this consent will be effective for the duration of the Agreement. The Holder also understands that he or she will have the right at any time to request that the Company deliver written copies of any and all materials referred to above. The Holder hereby consents to any and all procedures the Company has established or may establish for an electronic signature system for delivery and acceptance of any such documents that the Company may elect to deliver, and agree that his or her electronic signature is the same as, and will have the same force and effect as, his or her manual signature. The Holder hereby consents to receive such documents by electronic delivery and agrees to participate in the Plan through an on-line or electronic system established and maintained by the Company or a third party designated by the Company.</w:t>
      </w:r>
    </w:p>
    <w:p>
      <w:pPr>
        <w:spacing w:after="0" w:line="184" w:lineRule="exact"/>
        <w:rPr>
          <w:rFonts w:ascii="Arial" w:cs="Arial" w:eastAsia="Arial" w:hAnsi="Arial"/>
          <w:sz w:val="18"/>
          <w:szCs w:val="18"/>
          <w:b w:val="1"/>
          <w:bCs w:val="1"/>
          <w:color w:val="auto"/>
        </w:rPr>
      </w:pPr>
    </w:p>
    <w:p>
      <w:pPr>
        <w:ind w:left="660" w:right="20" w:hanging="652"/>
        <w:spacing w:after="0" w:line="267" w:lineRule="auto"/>
        <w:tabs>
          <w:tab w:leader="none" w:pos="66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may be executed in two or more counterparts, each of which shall be an original for all purposes but all</w:t>
      </w:r>
      <w:r>
        <w:rPr>
          <w:rFonts w:ascii="Arial" w:cs="Arial" w:eastAsia="Arial" w:hAnsi="Arial"/>
          <w:sz w:val="20"/>
          <w:szCs w:val="20"/>
          <w:b w:val="1"/>
          <w:bCs w:val="1"/>
          <w:color w:val="auto"/>
        </w:rPr>
        <w:t xml:space="preserve"> </w:t>
      </w:r>
      <w:r>
        <w:rPr>
          <w:rFonts w:ascii="Arial" w:cs="Arial" w:eastAsia="Arial" w:hAnsi="Arial"/>
          <w:sz w:val="20"/>
          <w:szCs w:val="20"/>
          <w:color w:val="auto"/>
        </w:rPr>
        <w:t>of which taken together shall constitute but one and the same instrument.</w:t>
      </w:r>
    </w:p>
    <w:p>
      <w:pPr>
        <w:spacing w:after="0" w:line="177" w:lineRule="exact"/>
        <w:rPr>
          <w:rFonts w:ascii="Arial" w:cs="Arial" w:eastAsia="Arial" w:hAnsi="Arial"/>
          <w:sz w:val="20"/>
          <w:szCs w:val="20"/>
          <w:b w:val="1"/>
          <w:bCs w:val="1"/>
          <w:color w:val="auto"/>
        </w:rPr>
      </w:pPr>
    </w:p>
    <w:p>
      <w:pPr>
        <w:ind w:left="460" w:hanging="452"/>
        <w:spacing w:after="0"/>
        <w:tabs>
          <w:tab w:leader="none" w:pos="46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Acknowledgements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Holder acknowledges and agrees to the following:</w:t>
      </w:r>
    </w:p>
    <w:p>
      <w:pPr>
        <w:spacing w:after="0" w:line="200" w:lineRule="exact"/>
        <w:rPr>
          <w:sz w:val="20"/>
          <w:szCs w:val="20"/>
          <w:color w:val="auto"/>
        </w:rPr>
      </w:pPr>
    </w:p>
    <w:p>
      <w:pPr>
        <w:spacing w:after="0" w:line="2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74795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Officer PUA Agreement; CIC</w:t>
      </w:r>
    </w:p>
    <w:p>
      <w:pPr>
        <w:sectPr>
          <w:pgSz w:w="11900" w:h="16838" w:orient="portrait"/>
          <w:cols w:equalWidth="0" w:num="1">
            <w:col w:w="11420"/>
          </w:cols>
          <w:pgMar w:left="240" w:top="576" w:right="239" w:bottom="1440" w:gutter="0" w:footer="0" w:header="0"/>
        </w:sectPr>
      </w:pPr>
    </w:p>
    <w:bookmarkStart w:id="122" w:name="page123"/>
    <w:bookmarkEnd w:id="122"/>
    <w:p>
      <w:pPr>
        <w:ind w:left="644" w:hanging="644"/>
        <w:spacing w:after="0" w:line="260" w:lineRule="auto"/>
        <w:tabs>
          <w:tab w:leader="none" w:pos="644"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90" w:lineRule="exact"/>
        <w:rPr>
          <w:rFonts w:ascii="Arial" w:cs="Arial" w:eastAsia="Arial" w:hAnsi="Arial"/>
          <w:sz w:val="20"/>
          <w:szCs w:val="20"/>
          <w:color w:val="auto"/>
        </w:rPr>
      </w:pPr>
    </w:p>
    <w:p>
      <w:pPr>
        <w:ind w:left="644" w:right="20" w:hanging="644"/>
        <w:spacing w:after="0" w:line="260" w:lineRule="auto"/>
        <w:tabs>
          <w:tab w:leader="none" w:pos="644"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grant of the Units is voluntary and occasional and does not create any contractual or other right to receive future grants of Units, or benefits in lieu of Units, even if Units have been granted in the past;</w:t>
      </w:r>
    </w:p>
    <w:p>
      <w:pPr>
        <w:spacing w:after="0" w:line="190" w:lineRule="exact"/>
        <w:rPr>
          <w:rFonts w:ascii="Arial" w:cs="Arial" w:eastAsia="Arial" w:hAnsi="Arial"/>
          <w:sz w:val="20"/>
          <w:szCs w:val="20"/>
          <w:color w:val="auto"/>
        </w:rPr>
      </w:pPr>
    </w:p>
    <w:p>
      <w:pPr>
        <w:ind w:left="644" w:hanging="644"/>
        <w:spacing w:after="0"/>
        <w:tabs>
          <w:tab w:leader="none" w:pos="644" w:val="left"/>
        </w:tabs>
        <w:numPr>
          <w:ilvl w:val="0"/>
          <w:numId w:val="59"/>
        </w:numPr>
        <w:rPr>
          <w:rFonts w:ascii="Arial" w:cs="Arial" w:eastAsia="Arial" w:hAnsi="Arial"/>
          <w:sz w:val="20"/>
          <w:szCs w:val="20"/>
          <w:color w:val="auto"/>
        </w:rPr>
      </w:pPr>
      <w:r>
        <w:rPr>
          <w:rFonts w:ascii="Arial" w:cs="Arial" w:eastAsia="Arial" w:hAnsi="Arial"/>
          <w:sz w:val="20"/>
          <w:szCs w:val="20"/>
          <w:color w:val="auto"/>
        </w:rPr>
        <w:t>all decisions with respect to future Unit or other grants, if any, will be at the sole discretion of the Company;</w:t>
      </w:r>
    </w:p>
    <w:p>
      <w:pPr>
        <w:spacing w:after="0" w:line="229" w:lineRule="exact"/>
        <w:rPr>
          <w:rFonts w:ascii="Arial" w:cs="Arial" w:eastAsia="Arial" w:hAnsi="Arial"/>
          <w:sz w:val="20"/>
          <w:szCs w:val="20"/>
          <w:color w:val="auto"/>
        </w:rPr>
      </w:pPr>
    </w:p>
    <w:p>
      <w:pPr>
        <w:ind w:left="644" w:hanging="644"/>
        <w:spacing w:after="0"/>
        <w:tabs>
          <w:tab w:leader="none" w:pos="644"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Holder is voluntarily participating in the Plan;</w:t>
      </w:r>
    </w:p>
    <w:p>
      <w:pPr>
        <w:spacing w:after="0" w:line="229" w:lineRule="exact"/>
        <w:rPr>
          <w:rFonts w:ascii="Arial" w:cs="Arial" w:eastAsia="Arial" w:hAnsi="Arial"/>
          <w:sz w:val="20"/>
          <w:szCs w:val="20"/>
          <w:color w:val="auto"/>
        </w:rPr>
      </w:pPr>
    </w:p>
    <w:p>
      <w:pPr>
        <w:ind w:left="644" w:hanging="644"/>
        <w:spacing w:after="0"/>
        <w:tabs>
          <w:tab w:leader="none" w:pos="644"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Units and the Shares subject to the Units are not intended to replace any pension rights or compensation;</w:t>
      </w:r>
    </w:p>
    <w:p>
      <w:pPr>
        <w:spacing w:after="0" w:line="229" w:lineRule="exact"/>
        <w:rPr>
          <w:rFonts w:ascii="Arial" w:cs="Arial" w:eastAsia="Arial" w:hAnsi="Arial"/>
          <w:sz w:val="20"/>
          <w:szCs w:val="20"/>
          <w:color w:val="auto"/>
        </w:rPr>
      </w:pPr>
    </w:p>
    <w:p>
      <w:pPr>
        <w:jc w:val="both"/>
        <w:ind w:left="644" w:hanging="644"/>
        <w:spacing w:after="0" w:line="269" w:lineRule="auto"/>
        <w:tabs>
          <w:tab w:leader="none" w:pos="644"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Units and the Shares subject to the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83" w:lineRule="exact"/>
        <w:rPr>
          <w:rFonts w:ascii="Arial" w:cs="Arial" w:eastAsia="Arial" w:hAnsi="Arial"/>
          <w:sz w:val="19"/>
          <w:szCs w:val="19"/>
          <w:color w:val="auto"/>
        </w:rPr>
      </w:pPr>
    </w:p>
    <w:p>
      <w:pPr>
        <w:ind w:left="644" w:hanging="644"/>
        <w:spacing w:after="0"/>
        <w:tabs>
          <w:tab w:leader="none" w:pos="644"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future value of the Shares underlying the Units is unknown, indeterminable and cannot be predicted with certainty;</w:t>
      </w:r>
    </w:p>
    <w:p>
      <w:pPr>
        <w:spacing w:after="0" w:line="240" w:lineRule="exact"/>
        <w:rPr>
          <w:rFonts w:ascii="Arial" w:cs="Arial" w:eastAsia="Arial" w:hAnsi="Arial"/>
          <w:sz w:val="19"/>
          <w:szCs w:val="19"/>
          <w:color w:val="auto"/>
        </w:rPr>
      </w:pPr>
    </w:p>
    <w:p>
      <w:pPr>
        <w:jc w:val="both"/>
        <w:ind w:left="644" w:hanging="644"/>
        <w:spacing w:after="0" w:line="256" w:lineRule="auto"/>
        <w:tabs>
          <w:tab w:leader="none" w:pos="644" w:val="left"/>
        </w:tabs>
        <w:numPr>
          <w:ilvl w:val="0"/>
          <w:numId w:val="59"/>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Units resulting from the termination of the Holder’s Employment (for any reason whatsoever whether or not later found to be invalid or in breach of employment laws in the jurisdiction where the Holder is employed or the terms of any employment agreement or arrangement in such jurisdiction, if any), and in consideration of the grant of the Units to which the Holder is otherwise not entitled, the Holder irrevocably agrees never to institute any claim against the Company, any of its Affiliates or the Employer, waives his or her ability, if any, to bring any such claim, and releases the Company, its Affiliates and the Employer from any such claim; if, notwithstanding the foregoing, any such claim is allowed by a court of competent jurisdiction, then, by participating in the Plan, the Holder shall be deemed irrevocably to have agreed not to pursue such claim and agrees to execute any and all documents necessary to request dismissal or withdrawal of such claim;</w:t>
      </w:r>
    </w:p>
    <w:p>
      <w:pPr>
        <w:spacing w:after="0" w:line="198" w:lineRule="exact"/>
        <w:rPr>
          <w:rFonts w:ascii="Arial" w:cs="Arial" w:eastAsia="Arial" w:hAnsi="Arial"/>
          <w:sz w:val="19"/>
          <w:szCs w:val="19"/>
          <w:color w:val="auto"/>
        </w:rPr>
      </w:pPr>
    </w:p>
    <w:p>
      <w:pPr>
        <w:jc w:val="both"/>
        <w:ind w:left="644" w:hanging="644"/>
        <w:spacing w:after="0" w:line="257" w:lineRule="auto"/>
        <w:tabs>
          <w:tab w:leader="none" w:pos="644" w:val="left"/>
        </w:tabs>
        <w:numPr>
          <w:ilvl w:val="0"/>
          <w:numId w:val="59"/>
        </w:numPr>
        <w:rPr>
          <w:rFonts w:ascii="Arial" w:cs="Arial" w:eastAsia="Arial" w:hAnsi="Arial"/>
          <w:sz w:val="19"/>
          <w:szCs w:val="19"/>
          <w:color w:val="auto"/>
        </w:rPr>
      </w:pPr>
      <w:r>
        <w:rPr>
          <w:rFonts w:ascii="Arial" w:cs="Arial" w:eastAsia="Arial" w:hAnsi="Arial"/>
          <w:sz w:val="19"/>
          <w:szCs w:val="19"/>
          <w:color w:val="auto"/>
        </w:rPr>
        <w:t>for purposes of the Units and unless otherwise expressly provided in this Agreement or determined by the Company, the Holder’s right to vest in the Units under the Plan, if any, will terminate as of such termination date as determined by the Committee pursuant to Section 9 of this Agreement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Holder’s period of service would not include any contractual notice period or any period of “garden leave” or similar period mandated under employment laws in the jurisdiction where the Holder is employed or the terms of the Holder’s employment agreement or arrangement in such jurisdiction, if any); the Committee shall have the exclusive discretion to determine when the Holder is no longer actively providing services for purposes of the Unit grant (including whether Holder may still be considered to be providing services while on a leave of absence);</w:t>
      </w:r>
    </w:p>
    <w:p>
      <w:pPr>
        <w:spacing w:after="0" w:line="200" w:lineRule="exact"/>
        <w:rPr>
          <w:sz w:val="20"/>
          <w:szCs w:val="20"/>
          <w:color w:val="auto"/>
        </w:rPr>
      </w:pPr>
    </w:p>
    <w:p>
      <w:pPr>
        <w:spacing w:after="0" w:line="240" w:lineRule="exact"/>
        <w:rPr>
          <w:sz w:val="20"/>
          <w:szCs w:val="20"/>
          <w:color w:val="auto"/>
        </w:rPr>
      </w:pPr>
    </w:p>
    <w:p>
      <w:pPr>
        <w:ind w:left="4"/>
        <w:spacing w:after="0"/>
        <w:rPr>
          <w:sz w:val="20"/>
          <w:szCs w:val="20"/>
          <w:color w:val="auto"/>
        </w:rPr>
      </w:pPr>
      <w:r>
        <w:rPr>
          <w:rFonts w:ascii="Arial" w:cs="Arial" w:eastAsia="Arial" w:hAnsi="Arial"/>
          <w:sz w:val="18"/>
          <w:szCs w:val="18"/>
          <w:color w:val="auto"/>
        </w:rPr>
        <w:t>74795</w:t>
      </w:r>
    </w:p>
    <w:p>
      <w:pPr>
        <w:spacing w:after="0" w:line="2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Officer PUA Agreement; CIC</w:t>
      </w:r>
    </w:p>
    <w:p>
      <w:pPr>
        <w:sectPr>
          <w:pgSz w:w="11900" w:h="16838" w:orient="portrait"/>
          <w:cols w:equalWidth="0" w:num="1">
            <w:col w:w="10764"/>
          </w:cols>
          <w:pgMar w:left="896" w:top="582" w:right="239" w:bottom="1440" w:gutter="0" w:footer="0" w:header="0"/>
        </w:sectPr>
      </w:pPr>
    </w:p>
    <w:bookmarkStart w:id="123" w:name="page124"/>
    <w:bookmarkEnd w:id="123"/>
    <w:p>
      <w:pPr>
        <w:jc w:val="both"/>
        <w:ind w:left="1300" w:hanging="644"/>
        <w:spacing w:after="0" w:line="291" w:lineRule="auto"/>
        <w:tabs>
          <w:tab w:leader="none" w:pos="13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unless otherwise provided in the Plan or by the Company in its discretion, the Units and the benefits evidenced by this Agreement do not create any entitlement to have the Units or any such benefits transferred to, or assumed by, another company nor be exchanged, cashed out or substituted for, in connection with any corporate transaction affecting Shares;</w:t>
      </w:r>
    </w:p>
    <w:p>
      <w:pPr>
        <w:spacing w:after="0" w:line="165" w:lineRule="exact"/>
        <w:rPr>
          <w:rFonts w:ascii="Arial" w:cs="Arial" w:eastAsia="Arial" w:hAnsi="Arial"/>
          <w:sz w:val="18"/>
          <w:szCs w:val="18"/>
          <w:color w:val="auto"/>
        </w:rPr>
      </w:pPr>
    </w:p>
    <w:p>
      <w:pPr>
        <w:jc w:val="both"/>
        <w:ind w:left="1300" w:hanging="644"/>
        <w:spacing w:after="0" w:line="246" w:lineRule="auto"/>
        <w:tabs>
          <w:tab w:leader="none" w:pos="1300" w:val="left"/>
        </w:tabs>
        <w:numPr>
          <w:ilvl w:val="1"/>
          <w:numId w:val="60"/>
        </w:numPr>
        <w:rPr>
          <w:rFonts w:ascii="Arial" w:cs="Arial" w:eastAsia="Arial" w:hAnsi="Arial"/>
          <w:sz w:val="20"/>
          <w:szCs w:val="20"/>
          <w:color w:val="auto"/>
        </w:rPr>
      </w:pPr>
      <w:r>
        <w:rPr>
          <w:rFonts w:ascii="Arial" w:cs="Arial" w:eastAsia="Arial" w:hAnsi="Arial"/>
          <w:sz w:val="20"/>
          <w:szCs w:val="20"/>
          <w:color w:val="auto"/>
        </w:rPr>
        <w:t>the Company is not providing any tax, legal or financial advice, nor is the Company making any recommendations regarding the Holder’s participation in the Plan, or the Holder’s acquisition or sale of the underlying Shares. The Holder is hereby advised to consult with his or her own personal tax, legal and financial advisors regarding his or her participation in the Plan before taking any action related to the Plan; and</w:t>
      </w:r>
    </w:p>
    <w:p>
      <w:pPr>
        <w:spacing w:after="0" w:line="205" w:lineRule="exact"/>
        <w:rPr>
          <w:rFonts w:ascii="Arial" w:cs="Arial" w:eastAsia="Arial" w:hAnsi="Arial"/>
          <w:sz w:val="20"/>
          <w:szCs w:val="20"/>
          <w:color w:val="auto"/>
        </w:rPr>
      </w:pPr>
    </w:p>
    <w:p>
      <w:pPr>
        <w:ind w:left="1300" w:hanging="644"/>
        <w:spacing w:after="0"/>
        <w:tabs>
          <w:tab w:leader="none" w:pos="1300" w:val="left"/>
        </w:tabs>
        <w:numPr>
          <w:ilvl w:val="1"/>
          <w:numId w:val="60"/>
        </w:numPr>
        <w:rPr>
          <w:rFonts w:ascii="Arial" w:cs="Arial" w:eastAsia="Arial" w:hAnsi="Arial"/>
          <w:sz w:val="20"/>
          <w:szCs w:val="20"/>
          <w:color w:val="auto"/>
        </w:rPr>
      </w:pPr>
      <w:r>
        <w:rPr>
          <w:rFonts w:ascii="Arial" w:cs="Arial" w:eastAsia="Arial" w:hAnsi="Arial"/>
          <w:sz w:val="20"/>
          <w:szCs w:val="20"/>
          <w:color w:val="auto"/>
        </w:rPr>
        <w:t>the following provisions apply only if the Holder is providing services outside the United States:</w:t>
      </w:r>
    </w:p>
    <w:p>
      <w:pPr>
        <w:spacing w:after="0" w:line="229" w:lineRule="exact"/>
        <w:rPr>
          <w:rFonts w:ascii="Arial" w:cs="Arial" w:eastAsia="Arial" w:hAnsi="Arial"/>
          <w:sz w:val="20"/>
          <w:szCs w:val="20"/>
          <w:color w:val="auto"/>
        </w:rPr>
      </w:pPr>
    </w:p>
    <w:p>
      <w:pPr>
        <w:ind w:left="1680" w:hanging="375"/>
        <w:spacing w:after="0"/>
        <w:tabs>
          <w:tab w:leader="none" w:pos="1680" w:val="left"/>
        </w:tabs>
        <w:numPr>
          <w:ilvl w:val="2"/>
          <w:numId w:val="60"/>
        </w:numPr>
        <w:rPr>
          <w:rFonts w:ascii="Arial" w:cs="Arial" w:eastAsia="Arial" w:hAnsi="Arial"/>
          <w:sz w:val="18"/>
          <w:szCs w:val="18"/>
          <w:color w:val="auto"/>
        </w:rPr>
      </w:pPr>
      <w:r>
        <w:rPr>
          <w:rFonts w:ascii="Arial" w:cs="Arial" w:eastAsia="Arial" w:hAnsi="Arial"/>
          <w:sz w:val="18"/>
          <w:szCs w:val="18"/>
          <w:color w:val="auto"/>
        </w:rPr>
        <w:t>the Units and the Shares subject to the Units are not part of normal or expected compensation or salary for any purpose;</w:t>
      </w:r>
    </w:p>
    <w:p>
      <w:pPr>
        <w:spacing w:after="0" w:line="238" w:lineRule="exact"/>
        <w:rPr>
          <w:rFonts w:ascii="Arial" w:cs="Arial" w:eastAsia="Arial" w:hAnsi="Arial"/>
          <w:sz w:val="18"/>
          <w:szCs w:val="18"/>
          <w:color w:val="auto"/>
        </w:rPr>
      </w:pPr>
    </w:p>
    <w:p>
      <w:pPr>
        <w:jc w:val="both"/>
        <w:ind w:left="1300" w:firstLine="5"/>
        <w:spacing w:after="0" w:line="246" w:lineRule="auto"/>
        <w:tabs>
          <w:tab w:leader="none" w:pos="1802" w:val="left"/>
        </w:tabs>
        <w:numPr>
          <w:ilvl w:val="2"/>
          <w:numId w:val="60"/>
        </w:numPr>
        <w:rPr>
          <w:rFonts w:ascii="Arial" w:cs="Arial" w:eastAsia="Arial" w:hAnsi="Arial"/>
          <w:sz w:val="20"/>
          <w:szCs w:val="20"/>
          <w:color w:val="auto"/>
        </w:rPr>
      </w:pPr>
      <w:r>
        <w:rPr>
          <w:rFonts w:ascii="Arial" w:cs="Arial" w:eastAsia="Arial" w:hAnsi="Arial"/>
          <w:sz w:val="20"/>
          <w:szCs w:val="20"/>
          <w:color w:val="auto"/>
        </w:rPr>
        <w:t>The Holder acknowledges and agrees that neither the Company, the Employer nor any Affiliate shall be liable for any foreign exchange rate fluctuation between Holder’s local currency and the United States Dollar that may affect the value of the Units or of any amounts due to the Holder pursuant to the settlement of the Units or the subsequent sale of any Shares acquired upon settlement.</w:t>
      </w:r>
    </w:p>
    <w:p>
      <w:pPr>
        <w:spacing w:after="0" w:line="185" w:lineRule="exact"/>
        <w:rPr>
          <w:rFonts w:ascii="Arial" w:cs="Arial" w:eastAsia="Arial" w:hAnsi="Arial"/>
          <w:sz w:val="20"/>
          <w:szCs w:val="20"/>
          <w:color w:val="auto"/>
        </w:rPr>
      </w:pPr>
    </w:p>
    <w:p>
      <w:pPr>
        <w:ind w:left="460" w:hanging="452"/>
        <w:spacing w:after="0"/>
        <w:tabs>
          <w:tab w:leader="none" w:pos="46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b w:val="1"/>
          <w:bCs w:val="1"/>
          <w:color w:val="auto"/>
        </w:rPr>
        <w:t>.</w:t>
      </w:r>
    </w:p>
    <w:p>
      <w:pPr>
        <w:spacing w:after="0" w:line="235" w:lineRule="exact"/>
        <w:rPr>
          <w:sz w:val="20"/>
          <w:szCs w:val="20"/>
          <w:color w:val="auto"/>
        </w:rPr>
      </w:pPr>
    </w:p>
    <w:p>
      <w:pPr>
        <w:jc w:val="both"/>
        <w:ind w:left="1300" w:hanging="644"/>
        <w:spacing w:after="0" w:line="256" w:lineRule="auto"/>
        <w:tabs>
          <w:tab w:leader="none" w:pos="130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delivery of the Holder’s Shares as described in Section 6 shall be made in accordance with such Section, provided that with respect to delivery due to termination of Employment for reasons other than death, the delivery at such time can be characterized as a “</w:t>
      </w:r>
      <w:r>
        <w:rPr>
          <w:rFonts w:ascii="Arial" w:cs="Arial" w:eastAsia="Arial" w:hAnsi="Arial"/>
          <w:sz w:val="19"/>
          <w:szCs w:val="19"/>
          <w:b w:val="1"/>
          <w:bCs w:val="1"/>
          <w:i w:val="1"/>
          <w:iCs w:val="1"/>
          <w:color w:val="auto"/>
        </w:rPr>
        <w:t>short-term deferral</w:t>
      </w:r>
      <w:r>
        <w:rPr>
          <w:rFonts w:ascii="Arial" w:cs="Arial" w:eastAsia="Arial" w:hAnsi="Arial"/>
          <w:sz w:val="19"/>
          <w:szCs w:val="19"/>
          <w:color w:val="auto"/>
        </w:rPr>
        <w:t>” for purposes of Section 409A or as otherwise exempt from the provisions of Section 409A, or if any portion of the delivery cannot be so characterized, and the Holder is a “</w:t>
      </w:r>
      <w:r>
        <w:rPr>
          <w:rFonts w:ascii="Arial" w:cs="Arial" w:eastAsia="Arial" w:hAnsi="Arial"/>
          <w:sz w:val="19"/>
          <w:szCs w:val="19"/>
          <w:b w:val="1"/>
          <w:bCs w:val="1"/>
          <w:i w:val="1"/>
          <w:iCs w:val="1"/>
          <w:color w:val="auto"/>
        </w:rPr>
        <w:t>specified employee</w:t>
      </w:r>
      <w:r>
        <w:rPr>
          <w:rFonts w:ascii="Arial" w:cs="Arial" w:eastAsia="Arial" w:hAnsi="Arial"/>
          <w:sz w:val="19"/>
          <w:szCs w:val="19"/>
          <w:color w:val="auto"/>
        </w:rPr>
        <w:t>” under Section 409A, such portion of the delivery shall be delayed until the earlier to occur of the Holder’s death or the date that is six months and one day following the Holder’s termination of Employment. For purposes of this Agreement, the terms “</w:t>
      </w:r>
      <w:r>
        <w:rPr>
          <w:rFonts w:ascii="Arial" w:cs="Arial" w:eastAsia="Arial" w:hAnsi="Arial"/>
          <w:sz w:val="19"/>
          <w:szCs w:val="19"/>
          <w:b w:val="1"/>
          <w:bCs w:val="1"/>
          <w:i w:val="1"/>
          <w:iCs w:val="1"/>
          <w:color w:val="auto"/>
        </w:rPr>
        <w:t>terminates</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terminated</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w:t>
      </w:r>
      <w:r>
        <w:rPr>
          <w:rFonts w:ascii="Arial" w:cs="Arial" w:eastAsia="Arial" w:hAnsi="Arial"/>
          <w:sz w:val="19"/>
          <w:szCs w:val="19"/>
          <w:color w:val="auto"/>
        </w:rPr>
        <w:t>,” “</w:t>
      </w:r>
      <w:r>
        <w:rPr>
          <w:rFonts w:ascii="Arial" w:cs="Arial" w:eastAsia="Arial" w:hAnsi="Arial"/>
          <w:sz w:val="19"/>
          <w:szCs w:val="19"/>
          <w:b w:val="1"/>
          <w:bCs w:val="1"/>
          <w:i w:val="1"/>
          <w:iCs w:val="1"/>
          <w:color w:val="auto"/>
        </w:rPr>
        <w:t>termination of employment</w:t>
      </w:r>
      <w:r>
        <w:rPr>
          <w:rFonts w:ascii="Arial" w:cs="Arial" w:eastAsia="Arial" w:hAnsi="Arial"/>
          <w:sz w:val="19"/>
          <w:szCs w:val="19"/>
          <w:color w:val="auto"/>
        </w:rPr>
        <w:t>,” and variations thereof, as used in this Agreement to refer to the Holder’s termination of Employment, are intended to mean a termination of employment that constitutes a “</w:t>
      </w:r>
      <w:r>
        <w:rPr>
          <w:rFonts w:ascii="Arial" w:cs="Arial" w:eastAsia="Arial" w:hAnsi="Arial"/>
          <w:sz w:val="19"/>
          <w:szCs w:val="19"/>
          <w:b w:val="1"/>
          <w:bCs w:val="1"/>
          <w:i w:val="1"/>
          <w:iCs w:val="1"/>
          <w:color w:val="auto"/>
        </w:rPr>
        <w:t>separation from</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under Section 409A.</w:t>
      </w:r>
    </w:p>
    <w:p>
      <w:pPr>
        <w:spacing w:after="0" w:line="76" w:lineRule="exact"/>
        <w:rPr>
          <w:rFonts w:ascii="Arial" w:cs="Arial" w:eastAsia="Arial" w:hAnsi="Arial"/>
          <w:sz w:val="19"/>
          <w:szCs w:val="19"/>
          <w:color w:val="auto"/>
        </w:rPr>
      </w:pPr>
    </w:p>
    <w:p>
      <w:pPr>
        <w:jc w:val="both"/>
        <w:ind w:left="1300" w:hanging="644"/>
        <w:spacing w:after="0" w:line="272"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Agreement and the Units provided hereunder are intended to comply with Section 409A to the extent applicable thereto. Notwithstanding any provision of this Agreement to the contrary, this Agreement shall be interpreted and construed consistent with this intent. Although the Company and the Committee intend to administer this Agreement so that it will comply with the requirements of Section 409A, to the extent applicable, neither the Company nor the Committee represents or warrants that this Agreement will comply with Section 409A or any other provision of federal, state, local, or non-United States law. Neither the Company or its Affiliates, nor their respective directors, officers, employees or advisers shall be liable to any Holder (or any other individual claiming a benefit through the Holder) for any tax, interest, or penalties the Holder might owe as a result of participation in the Plan, and the Company and its Affiliates shall have no obligation to indemnify or otherwise protect any Holder from the obligation to pay any taxes pursuant to Section 409A.</w:t>
      </w: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74795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2010 Plan; Officer PUA Agreement; CIC</w:t>
      </w:r>
    </w:p>
    <w:p>
      <w:pPr>
        <w:sectPr>
          <w:pgSz w:w="11900" w:h="16838" w:orient="portrait"/>
          <w:cols w:equalWidth="0" w:num="1">
            <w:col w:w="11420"/>
          </w:cols>
          <w:pgMar w:left="240" w:top="582" w:right="239" w:bottom="1440" w:gutter="0" w:footer="0" w:header="0"/>
        </w:sectPr>
      </w:pPr>
    </w:p>
    <w:bookmarkStart w:id="124" w:name="page125"/>
    <w:bookmarkEnd w:id="124"/>
    <w:p>
      <w:pPr>
        <w:ind w:left="660" w:hanging="634"/>
        <w:spacing w:after="0" w:line="293" w:lineRule="auto"/>
        <w:tabs>
          <w:tab w:leader="none" w:pos="640" w:val="left"/>
        </w:tabs>
        <w:rPr>
          <w:sz w:val="20"/>
          <w:szCs w:val="20"/>
          <w:color w:val="auto"/>
        </w:rPr>
      </w:pPr>
      <w:r>
        <w:rPr>
          <w:rFonts w:ascii="Arial" w:cs="Arial" w:eastAsia="Arial" w:hAnsi="Arial"/>
          <w:sz w:val="20"/>
          <w:szCs w:val="20"/>
          <w:b w:val="1"/>
          <w:bCs w:val="1"/>
          <w:color w:val="auto"/>
        </w:rPr>
        <w:t>20</w:t>
      </w:r>
      <w:r>
        <w:rPr>
          <w:rFonts w:ascii="Arial" w:cs="Arial" w:eastAsia="Arial" w:hAnsi="Arial"/>
          <w:sz w:val="20"/>
          <w:szCs w:val="20"/>
          <w:b w:val="1"/>
          <w:bCs w:val="1"/>
          <w:i w:val="1"/>
          <w:iCs w:val="1"/>
          <w:color w:val="auto"/>
        </w:rPr>
        <w:t>.</w:t>
      </w:r>
      <w:r>
        <w:rPr>
          <w:sz w:val="20"/>
          <w:szCs w:val="20"/>
          <w:color w:val="auto"/>
        </w:rPr>
        <w:tab/>
      </w:r>
      <w:r>
        <w:rPr>
          <w:rFonts w:ascii="Arial" w:cs="Arial" w:eastAsia="Arial" w:hAnsi="Arial"/>
          <w:sz w:val="19"/>
          <w:szCs w:val="19"/>
          <w:b w:val="1"/>
          <w:bCs w:val="1"/>
          <w:u w:val="single" w:color="auto"/>
          <w:color w:val="auto"/>
        </w:rPr>
        <w:t>Language</w:t>
      </w:r>
      <w:r>
        <w:rPr>
          <w:rFonts w:ascii="Arial" w:cs="Arial" w:eastAsia="Arial" w:hAnsi="Arial"/>
          <w:sz w:val="19"/>
          <w:szCs w:val="19"/>
          <w:color w:val="auto"/>
        </w:rPr>
        <w:t>. If the Holder has received this Agreement, or any other document related to the Units and/or the Plan translated into a</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language other than English and if the translated version is different than the English version, the English version will control.</w:t>
      </w:r>
    </w:p>
    <w:p>
      <w:pPr>
        <w:spacing w:after="0" w:line="155" w:lineRule="exact"/>
        <w:rPr>
          <w:sz w:val="20"/>
          <w:szCs w:val="20"/>
          <w:color w:val="auto"/>
        </w:rPr>
      </w:pPr>
    </w:p>
    <w:p>
      <w:pPr>
        <w:jc w:val="both"/>
        <w:ind w:left="660" w:hanging="638"/>
        <w:spacing w:after="0" w:line="246" w:lineRule="auto"/>
        <w:tabs>
          <w:tab w:leader="none" w:pos="66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Appendix</w:t>
      </w:r>
      <w:r>
        <w:rPr>
          <w:rFonts w:ascii="Arial" w:cs="Arial" w:eastAsia="Arial" w:hAnsi="Arial"/>
          <w:sz w:val="20"/>
          <w:szCs w:val="20"/>
          <w:color w:val="auto"/>
        </w:rPr>
        <w:t>. Notwithstanding any provisions in this Agreement, the Units shall be subject to any special terms and conditions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any Appendix to this Agreement for the Holder’s country. Moreover, if the Holder relocates to one of the countries included in the Appendix, the special terms and conditions for such country will apply to the Holder, to the extent the Company determines that the application of such terms and conditions is necessary or advisable for legal or administrative reasons. The Appendix constitutes part of this Agreement.</w:t>
      </w:r>
    </w:p>
    <w:p>
      <w:pPr>
        <w:spacing w:after="0" w:line="198" w:lineRule="exact"/>
        <w:rPr>
          <w:rFonts w:ascii="Arial" w:cs="Arial" w:eastAsia="Arial" w:hAnsi="Arial"/>
          <w:sz w:val="20"/>
          <w:szCs w:val="20"/>
          <w:b w:val="1"/>
          <w:bCs w:val="1"/>
          <w:color w:val="auto"/>
        </w:rPr>
      </w:pPr>
    </w:p>
    <w:p>
      <w:pPr>
        <w:jc w:val="both"/>
        <w:ind w:left="660" w:hanging="638"/>
        <w:spacing w:after="0" w:line="248" w:lineRule="auto"/>
        <w:tabs>
          <w:tab w:leader="none" w:pos="66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Holder’s participation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Plan, on the Units and on any Shares acquired under the Plan, to the extent the Company determines it is necessary or advisable for legal or administrative reasons, and to require the Holder to sign any additional agreements or undertakings that may be necessary to accomplish the foregoing.</w:t>
      </w:r>
    </w:p>
    <w:p>
      <w:pPr>
        <w:spacing w:after="0" w:line="197" w:lineRule="exact"/>
        <w:rPr>
          <w:sz w:val="20"/>
          <w:szCs w:val="20"/>
          <w:color w:val="auto"/>
        </w:rPr>
      </w:pPr>
    </w:p>
    <w:p>
      <w:pPr>
        <w:jc w:val="both"/>
        <w:ind w:left="660" w:hanging="634"/>
        <w:spacing w:after="0" w:line="253" w:lineRule="auto"/>
        <w:tabs>
          <w:tab w:leader="none" w:pos="640" w:val="left"/>
        </w:tabs>
        <w:rPr>
          <w:sz w:val="20"/>
          <w:szCs w:val="20"/>
          <w:color w:val="auto"/>
        </w:rPr>
      </w:pPr>
      <w:r>
        <w:rPr>
          <w:rFonts w:ascii="Arial" w:cs="Arial" w:eastAsia="Arial" w:hAnsi="Arial"/>
          <w:sz w:val="20"/>
          <w:szCs w:val="20"/>
          <w:b w:val="1"/>
          <w:bCs w:val="1"/>
          <w:color w:val="auto"/>
        </w:rPr>
        <w:t>23</w:t>
      </w:r>
      <w:r>
        <w:rPr>
          <w:rFonts w:ascii="Arial" w:cs="Arial" w:eastAsia="Arial" w:hAnsi="Arial"/>
          <w:sz w:val="20"/>
          <w:szCs w:val="20"/>
          <w:color w:val="auto"/>
        </w:rPr>
        <w:t>.</w:t>
      </w:r>
      <w:r>
        <w:rPr>
          <w:sz w:val="20"/>
          <w:szCs w:val="20"/>
          <w:color w:val="auto"/>
        </w:rPr>
        <w:tab/>
      </w:r>
      <w:r>
        <w:rPr>
          <w:rFonts w:ascii="Arial" w:cs="Arial" w:eastAsia="Arial" w:hAnsi="Arial"/>
          <w:sz w:val="20"/>
          <w:szCs w:val="20"/>
          <w:b w:val="1"/>
          <w:bCs w:val="1"/>
          <w:u w:val="single" w:color="auto"/>
          <w:color w:val="auto"/>
        </w:rPr>
        <w:t>Waiver</w:t>
      </w:r>
      <w:r>
        <w:rPr>
          <w:rFonts w:ascii="Arial" w:cs="Arial" w:eastAsia="Arial" w:hAnsi="Arial"/>
          <w:sz w:val="20"/>
          <w:szCs w:val="20"/>
          <w:color w:val="auto"/>
        </w:rPr>
        <w:t>. The Holder acknowledges that a waiver by the Company of a breach of any provision of this Agreement shall not operate or</w:t>
      </w:r>
      <w:r>
        <w:rPr>
          <w:rFonts w:ascii="Arial" w:cs="Arial" w:eastAsia="Arial" w:hAnsi="Arial"/>
          <w:sz w:val="20"/>
          <w:szCs w:val="20"/>
          <w:b w:val="1"/>
          <w:bCs w:val="1"/>
          <w:u w:val="single" w:color="auto"/>
          <w:color w:val="auto"/>
        </w:rPr>
        <w:t xml:space="preserve"> </w:t>
      </w:r>
      <w:r>
        <w:rPr>
          <w:rFonts w:ascii="Arial" w:cs="Arial" w:eastAsia="Arial" w:hAnsi="Arial"/>
          <w:sz w:val="20"/>
          <w:szCs w:val="20"/>
          <w:color w:val="auto"/>
        </w:rPr>
        <w:t>be construed as a waiver of any other provision of this Agreement, or of any subsequent breach by the Holder or any other Plan participants.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By the Holder’s execution or electronic acceptance of this Agreement (including the country-specific appendix attached hereto) in the manner specified in the Holder’s online account with the Company’s designated broker/stock plan administrator, the Holder and the Company have agreed that the Units are granted under and governed by the terms and conditions of this Agreement (including any country-specific appendix attached hereto) and the Plan.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74795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11" w:lineRule="exact"/>
        <w:rPr>
          <w:sz w:val="20"/>
          <w:szCs w:val="20"/>
          <w:color w:val="auto"/>
        </w:rPr>
      </w:pPr>
    </w:p>
    <w:p>
      <w:pPr>
        <w:ind w:left="8440"/>
        <w:spacing w:after="0"/>
        <w:rPr>
          <w:sz w:val="20"/>
          <w:szCs w:val="20"/>
          <w:color w:val="auto"/>
        </w:rPr>
      </w:pPr>
      <w:r>
        <w:rPr>
          <w:rFonts w:ascii="Arial" w:cs="Arial" w:eastAsia="Arial" w:hAnsi="Arial"/>
          <w:sz w:val="16"/>
          <w:szCs w:val="16"/>
          <w:color w:val="auto"/>
        </w:rPr>
        <w:t>2010 Plan; Officer PUA Agreement; CIC</w:t>
      </w:r>
    </w:p>
    <w:p>
      <w:pPr>
        <w:sectPr>
          <w:pgSz w:w="11900" w:h="16838" w:orient="portrait"/>
          <w:cols w:equalWidth="0" w:num="1">
            <w:col w:w="11420"/>
          </w:cols>
          <w:pgMar w:left="240" w:top="576" w:right="239" w:bottom="1440" w:gutter="0" w:footer="0" w:header="0"/>
        </w:sectPr>
      </w:pPr>
    </w:p>
    <w:bookmarkStart w:id="125" w:name="page126"/>
    <w:bookmarkEnd w:id="125"/>
    <w:p>
      <w:pPr>
        <w:spacing w:after="0" w:line="267" w:lineRule="auto"/>
        <w:rPr>
          <w:sz w:val="20"/>
          <w:szCs w:val="20"/>
          <w:color w:val="auto"/>
        </w:rPr>
      </w:pPr>
      <w:r>
        <w:rPr>
          <w:rFonts w:ascii="Arial" w:cs="Arial" w:eastAsia="Arial" w:hAnsi="Arial"/>
          <w:sz w:val="20"/>
          <w:szCs w:val="20"/>
          <w:b w:val="1"/>
          <w:bCs w:val="1"/>
          <w:color w:val="auto"/>
        </w:rPr>
        <w:t xml:space="preserve">IN WITNESS WHEREOF, </w:t>
      </w:r>
      <w:r>
        <w:rPr>
          <w:rFonts w:ascii="Arial" w:cs="Arial" w:eastAsia="Arial" w:hAnsi="Arial"/>
          <w:sz w:val="20"/>
          <w:szCs w:val="20"/>
          <w:color w:val="auto"/>
        </w:rPr>
        <w:t>the Company has caused this Agreement to be duly executed by an officer thereunto duly authorized, and the</w:t>
      </w:r>
      <w:r>
        <w:rPr>
          <w:rFonts w:ascii="Arial" w:cs="Arial" w:eastAsia="Arial" w:hAnsi="Arial"/>
          <w:sz w:val="20"/>
          <w:szCs w:val="20"/>
          <w:b w:val="1"/>
          <w:bCs w:val="1"/>
          <w:color w:val="auto"/>
        </w:rPr>
        <w:t xml:space="preserve"> </w:t>
      </w:r>
      <w:r>
        <w:rPr>
          <w:rFonts w:ascii="Arial" w:cs="Arial" w:eastAsia="Arial" w:hAnsi="Arial"/>
          <w:sz w:val="20"/>
          <w:szCs w:val="20"/>
          <w:color w:val="auto"/>
        </w:rPr>
        <w:t>Holder has executed this Agreement, all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27305</wp:posOffset>
            </wp:positionV>
            <wp:extent cx="24523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27305</wp:posOffset>
            </wp:positionV>
            <wp:extent cx="24523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4" w:lineRule="exact"/>
        <w:rPr>
          <w:sz w:val="20"/>
          <w:szCs w:val="20"/>
          <w:color w:val="auto"/>
        </w:rPr>
      </w:pPr>
    </w:p>
    <w:p>
      <w:pPr>
        <w:jc w:val="center"/>
        <w:ind w:right="-279"/>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27305</wp:posOffset>
            </wp:positionV>
            <wp:extent cx="24523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ADDRESS:</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Bahnhofstrasse 1</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Baar 6340, Switzerland</w:t>
      </w:r>
    </w:p>
    <w:p>
      <w:pPr>
        <w:spacing w:after="0" w:line="54"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Attn: Corporate Secretary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420"/>
        <w:spacing w:after="0"/>
        <w:rPr>
          <w:sz w:val="20"/>
          <w:szCs w:val="20"/>
          <w:color w:val="auto"/>
        </w:rPr>
      </w:pPr>
      <w:r>
        <w:rPr>
          <w:rFonts w:ascii="Arial" w:cs="Arial" w:eastAsia="Arial" w:hAnsi="Arial"/>
          <w:sz w:val="20"/>
          <w:szCs w:val="20"/>
          <w:b w:val="1"/>
          <w:bCs w:val="1"/>
          <w:color w:val="auto"/>
        </w:rPr>
        <w:t>HOLDER: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4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27305</wp:posOffset>
            </wp:positionV>
            <wp:extent cx="24523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4" w:lineRule="exact"/>
        <w:rPr>
          <w:sz w:val="20"/>
          <w:szCs w:val="20"/>
          <w:color w:val="auto"/>
        </w:rPr>
      </w:pPr>
    </w:p>
    <w:p>
      <w:pPr>
        <w:jc w:val="center"/>
        <w:ind w:right="-379"/>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27305</wp:posOffset>
            </wp:positionV>
            <wp:extent cx="24523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(Signature page to the Performance Units Award Agreement)</w:t>
      </w:r>
    </w:p>
    <w:p>
      <w:pPr>
        <w:sectPr>
          <w:pgSz w:w="11900" w:h="16838" w:orient="portrait"/>
          <w:cols w:equalWidth="0" w:num="1">
            <w:col w:w="10980"/>
          </w:cols>
          <w:pgMar w:left="240" w:top="576" w:right="679" w:bottom="1440" w:gutter="0" w:footer="0" w:header="0"/>
        </w:sectPr>
      </w:pPr>
    </w:p>
    <w:bookmarkStart w:id="126" w:name="page127"/>
    <w:bookmarkEnd w:id="126"/>
    <w:p>
      <w:pPr>
        <w:jc w:val="center"/>
        <w:ind w:right="20"/>
        <w:spacing w:after="0"/>
        <w:rPr>
          <w:sz w:val="20"/>
          <w:szCs w:val="20"/>
          <w:color w:val="auto"/>
        </w:rPr>
      </w:pPr>
      <w:r>
        <w:rPr>
          <w:rFonts w:ascii="Arial" w:cs="Arial" w:eastAsia="Arial" w:hAnsi="Arial"/>
          <w:sz w:val="29"/>
          <w:szCs w:val="29"/>
          <w:b w:val="1"/>
          <w:bCs w:val="1"/>
          <w:color w:val="auto"/>
        </w:rPr>
        <w:t>Appendix A - Performance Goal</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Goal used to determine the extent of conversion of the Units into Shares will be Weatherford’s closing stock price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Shares (“</w:t>
      </w:r>
      <w:r>
        <w:rPr>
          <w:rFonts w:ascii="Arial" w:cs="Arial" w:eastAsia="Arial" w:hAnsi="Arial"/>
          <w:sz w:val="18"/>
          <w:szCs w:val="18"/>
          <w:u w:val="single" w:color="auto"/>
          <w:color w:val="auto"/>
        </w:rPr>
        <w:t>Stock Price</w:t>
      </w:r>
      <w:r>
        <w:rPr>
          <w:rFonts w:ascii="Arial" w:cs="Arial" w:eastAsia="Arial" w:hAnsi="Arial"/>
          <w:sz w:val="18"/>
          <w:szCs w:val="18"/>
          <w:color w:val="auto"/>
        </w:rPr>
        <w:t xml:space="preserve">”) averaged for all trading days in the last month of each calendar year ending </w:t>
      </w:r>
      <w:r>
        <w:rPr>
          <w:rFonts w:ascii="Arial" w:cs="Arial" w:eastAsia="Arial" w:hAnsi="Arial"/>
          <w:sz w:val="16"/>
          <w:szCs w:val="16"/>
          <w:color w:val="auto"/>
        </w:rPr>
        <w:t>_____</w:t>
      </w:r>
      <w:r>
        <w:rPr>
          <w:rFonts w:ascii="Arial" w:cs="Arial" w:eastAsia="Arial" w:hAnsi="Arial"/>
          <w:sz w:val="18"/>
          <w:szCs w:val="18"/>
          <w:color w:val="auto"/>
        </w:rPr>
        <w:t xml:space="preserve">, </w:t>
      </w:r>
      <w:r>
        <w:rPr>
          <w:rFonts w:ascii="Arial" w:cs="Arial" w:eastAsia="Arial" w:hAnsi="Arial"/>
          <w:sz w:val="16"/>
          <w:szCs w:val="16"/>
          <w:color w:val="auto"/>
        </w:rPr>
        <w:t>_____</w:t>
      </w:r>
      <w:r>
        <w:rPr>
          <w:rFonts w:ascii="Arial" w:cs="Arial" w:eastAsia="Arial" w:hAnsi="Arial"/>
          <w:sz w:val="18"/>
          <w:szCs w:val="18"/>
          <w:color w:val="auto"/>
        </w:rPr>
        <w:t xml:space="preserve"> and </w:t>
      </w:r>
      <w:r>
        <w:rPr>
          <w:rFonts w:ascii="Arial" w:cs="Arial" w:eastAsia="Arial" w:hAnsi="Arial"/>
          <w:sz w:val="16"/>
          <w:szCs w:val="16"/>
          <w:color w:val="auto"/>
        </w:rPr>
        <w:t>_____</w:t>
      </w:r>
      <w:r>
        <w:rPr>
          <w:rFonts w:ascii="Arial" w:cs="Arial" w:eastAsia="Arial" w:hAnsi="Arial"/>
          <w:sz w:val="18"/>
          <w:szCs w:val="18"/>
          <w:color w:val="auto"/>
        </w:rPr>
        <w:t xml:space="preserve"> as set forth below:</w:t>
      </w: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760" w:type="dxa"/>
            <w:vAlign w:val="bottom"/>
            <w:tcBorders>
              <w:top w:val="single" w:sz="8" w:color="auto"/>
              <w:left w:val="single" w:sz="8" w:color="auto"/>
              <w:right w:val="single" w:sz="8" w:color="auto"/>
            </w:tcBorders>
          </w:tcPr>
          <w:p>
            <w:pPr>
              <w:spacing w:after="0"/>
              <w:rPr>
                <w:sz w:val="20"/>
                <w:szCs w:val="20"/>
                <w:color w:val="auto"/>
              </w:rPr>
            </w:pPr>
          </w:p>
        </w:tc>
        <w:tc>
          <w:tcPr>
            <w:tcW w:w="13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Conversion</w:t>
            </w:r>
          </w:p>
        </w:tc>
        <w:tc>
          <w:tcPr>
            <w:tcW w:w="7300" w:type="dxa"/>
            <w:vAlign w:val="bottom"/>
            <w:tcBorders>
              <w:top w:val="single" w:sz="8" w:color="auto"/>
              <w:right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0"/>
              </w:rPr>
              <w:t>Average Weatherford International plc closing Stock Price ($ per share) on each trading day</w:t>
            </w:r>
          </w:p>
        </w:tc>
      </w:tr>
      <w:tr>
        <w:trPr>
          <w:trHeight w:val="234"/>
        </w:trPr>
        <w:tc>
          <w:tcPr>
            <w:tcW w:w="2760" w:type="dxa"/>
            <w:vAlign w:val="bottom"/>
            <w:tcBorders>
              <w:left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Performance Goal</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Percentage*</w:t>
            </w:r>
          </w:p>
        </w:tc>
        <w:tc>
          <w:tcPr>
            <w:tcW w:w="730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in December in the calendar year ending:</w:t>
            </w:r>
          </w:p>
        </w:tc>
      </w:tr>
      <w:tr>
        <w:trPr>
          <w:trHeight w:val="27"/>
        </w:trPr>
        <w:tc>
          <w:tcPr>
            <w:tcW w:w="2760" w:type="dxa"/>
            <w:vAlign w:val="bottom"/>
            <w:tcBorders>
              <w:left w:val="single" w:sz="8" w:color="auto"/>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r>
      <w:tr>
        <w:trPr>
          <w:trHeight w:val="264"/>
        </w:trPr>
        <w:tc>
          <w:tcPr>
            <w:tcW w:w="2760" w:type="dxa"/>
            <w:vAlign w:val="bottom"/>
            <w:tcBorders>
              <w:left w:val="single" w:sz="8" w:color="auto"/>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right w:val="single" w:sz="8" w:color="auto"/>
            </w:tcBorders>
          </w:tcPr>
          <w:p>
            <w:pPr>
              <w:spacing w:after="0"/>
              <w:rPr>
                <w:sz w:val="22"/>
                <w:szCs w:val="22"/>
                <w:color w:val="auto"/>
              </w:rPr>
            </w:pPr>
          </w:p>
        </w:tc>
        <w:tc>
          <w:tcPr>
            <w:tcW w:w="2500" w:type="dxa"/>
            <w:vAlign w:val="bottom"/>
            <w:tcBorders>
              <w:bottom w:val="single" w:sz="8" w:color="auto"/>
              <w:right w:val="single" w:sz="8" w:color="auto"/>
            </w:tcBorders>
          </w:tcPr>
          <w:p>
            <w:pPr>
              <w:spacing w:after="0"/>
              <w:rPr>
                <w:sz w:val="22"/>
                <w:szCs w:val="22"/>
                <w:color w:val="auto"/>
              </w:rPr>
            </w:pPr>
          </w:p>
        </w:tc>
        <w:tc>
          <w:tcPr>
            <w:tcW w:w="2500" w:type="dxa"/>
            <w:vAlign w:val="bottom"/>
            <w:tcBorders>
              <w:bottom w:val="single" w:sz="8" w:color="auto"/>
              <w:right w:val="single" w:sz="8" w:color="auto"/>
            </w:tcBorders>
          </w:tcPr>
          <w:p>
            <w:pPr>
              <w:spacing w:after="0"/>
              <w:rPr>
                <w:sz w:val="22"/>
                <w:szCs w:val="22"/>
                <w:color w:val="auto"/>
              </w:rPr>
            </w:pPr>
          </w:p>
        </w:tc>
      </w:tr>
      <w:tr>
        <w:trPr>
          <w:trHeight w:val="264"/>
        </w:trPr>
        <w:tc>
          <w:tcPr>
            <w:tcW w:w="2760" w:type="dxa"/>
            <w:vAlign w:val="bottom"/>
            <w:tcBorders>
              <w:left w:val="single" w:sz="8" w:color="auto"/>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right w:val="single" w:sz="8" w:color="auto"/>
            </w:tcBorders>
          </w:tcPr>
          <w:p>
            <w:pPr>
              <w:spacing w:after="0"/>
              <w:rPr>
                <w:sz w:val="22"/>
                <w:szCs w:val="22"/>
                <w:color w:val="auto"/>
              </w:rPr>
            </w:pPr>
          </w:p>
        </w:tc>
        <w:tc>
          <w:tcPr>
            <w:tcW w:w="2500" w:type="dxa"/>
            <w:vAlign w:val="bottom"/>
            <w:tcBorders>
              <w:bottom w:val="single" w:sz="8" w:color="auto"/>
              <w:right w:val="single" w:sz="8" w:color="auto"/>
            </w:tcBorders>
          </w:tcPr>
          <w:p>
            <w:pPr>
              <w:spacing w:after="0"/>
              <w:rPr>
                <w:sz w:val="22"/>
                <w:szCs w:val="22"/>
                <w:color w:val="auto"/>
              </w:rPr>
            </w:pPr>
          </w:p>
        </w:tc>
        <w:tc>
          <w:tcPr>
            <w:tcW w:w="2500" w:type="dxa"/>
            <w:vAlign w:val="bottom"/>
            <w:tcBorders>
              <w:bottom w:val="single" w:sz="8" w:color="auto"/>
              <w:right w:val="single" w:sz="8" w:color="auto"/>
            </w:tcBorders>
          </w:tcPr>
          <w:p>
            <w:pPr>
              <w:spacing w:after="0"/>
              <w:rPr>
                <w:sz w:val="22"/>
                <w:szCs w:val="22"/>
                <w:color w:val="auto"/>
              </w:rPr>
            </w:pPr>
          </w:p>
        </w:tc>
      </w:tr>
      <w:tr>
        <w:trPr>
          <w:trHeight w:val="264"/>
        </w:trPr>
        <w:tc>
          <w:tcPr>
            <w:tcW w:w="2760" w:type="dxa"/>
            <w:vAlign w:val="bottom"/>
            <w:tcBorders>
              <w:left w:val="single" w:sz="8" w:color="auto"/>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right w:val="single" w:sz="8" w:color="auto"/>
            </w:tcBorders>
          </w:tcPr>
          <w:p>
            <w:pPr>
              <w:spacing w:after="0"/>
              <w:rPr>
                <w:sz w:val="22"/>
                <w:szCs w:val="22"/>
                <w:color w:val="auto"/>
              </w:rPr>
            </w:pPr>
          </w:p>
        </w:tc>
        <w:tc>
          <w:tcPr>
            <w:tcW w:w="2500" w:type="dxa"/>
            <w:vAlign w:val="bottom"/>
            <w:tcBorders>
              <w:bottom w:val="single" w:sz="8" w:color="auto"/>
              <w:right w:val="single" w:sz="8" w:color="auto"/>
            </w:tcBorders>
          </w:tcPr>
          <w:p>
            <w:pPr>
              <w:spacing w:after="0"/>
              <w:rPr>
                <w:sz w:val="22"/>
                <w:szCs w:val="22"/>
                <w:color w:val="auto"/>
              </w:rPr>
            </w:pPr>
          </w:p>
        </w:tc>
        <w:tc>
          <w:tcPr>
            <w:tcW w:w="2500" w:type="dxa"/>
            <w:vAlign w:val="bottom"/>
            <w:tcBorders>
              <w:bottom w:val="single" w:sz="8" w:color="auto"/>
              <w:right w:val="single" w:sz="8" w:color="auto"/>
            </w:tcBorders>
          </w:tcPr>
          <w:p>
            <w:pPr>
              <w:spacing w:after="0"/>
              <w:rPr>
                <w:sz w:val="22"/>
                <w:szCs w:val="22"/>
                <w:color w:val="auto"/>
              </w:rPr>
            </w:pPr>
          </w:p>
        </w:tc>
      </w:tr>
      <w:tr>
        <w:trPr>
          <w:trHeight w:val="264"/>
        </w:trPr>
        <w:tc>
          <w:tcPr>
            <w:tcW w:w="2760" w:type="dxa"/>
            <w:vAlign w:val="bottom"/>
            <w:tcBorders>
              <w:left w:val="single" w:sz="8" w:color="auto"/>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right w:val="single" w:sz="8" w:color="auto"/>
            </w:tcBorders>
          </w:tcPr>
          <w:p>
            <w:pPr>
              <w:spacing w:after="0"/>
              <w:rPr>
                <w:sz w:val="22"/>
                <w:szCs w:val="22"/>
                <w:color w:val="auto"/>
              </w:rPr>
            </w:pPr>
          </w:p>
        </w:tc>
        <w:tc>
          <w:tcPr>
            <w:tcW w:w="2500" w:type="dxa"/>
            <w:vAlign w:val="bottom"/>
            <w:tcBorders>
              <w:bottom w:val="single" w:sz="8" w:color="auto"/>
              <w:right w:val="single" w:sz="8" w:color="auto"/>
            </w:tcBorders>
          </w:tcPr>
          <w:p>
            <w:pPr>
              <w:spacing w:after="0"/>
              <w:rPr>
                <w:sz w:val="22"/>
                <w:szCs w:val="22"/>
                <w:color w:val="auto"/>
              </w:rPr>
            </w:pPr>
          </w:p>
        </w:tc>
        <w:tc>
          <w:tcPr>
            <w:tcW w:w="2500" w:type="dxa"/>
            <w:vAlign w:val="bottom"/>
            <w:tcBorders>
              <w:bottom w:val="single" w:sz="8" w:color="auto"/>
              <w:right w:val="single" w:sz="8" w:color="auto"/>
            </w:tcBorders>
          </w:tcPr>
          <w:p>
            <w:pPr>
              <w:spacing w:after="0"/>
              <w:rPr>
                <w:sz w:val="22"/>
                <w:szCs w:val="22"/>
                <w:color w:val="auto"/>
              </w:rPr>
            </w:pPr>
          </w:p>
        </w:tc>
      </w:tr>
      <w:tr>
        <w:trPr>
          <w:trHeight w:val="264"/>
        </w:trPr>
        <w:tc>
          <w:tcPr>
            <w:tcW w:w="2760" w:type="dxa"/>
            <w:vAlign w:val="bottom"/>
            <w:tcBorders>
              <w:left w:val="single" w:sz="8" w:color="auto"/>
              <w:bottom w:val="single" w:sz="8" w:color="auto"/>
              <w:right w:val="single" w:sz="8" w:color="auto"/>
            </w:tcBorders>
          </w:tcPr>
          <w:p>
            <w:pPr>
              <w:spacing w:after="0"/>
              <w:rPr>
                <w:sz w:val="22"/>
                <w:szCs w:val="22"/>
                <w:color w:val="auto"/>
              </w:rPr>
            </w:pPr>
          </w:p>
        </w:tc>
        <w:tc>
          <w:tcPr>
            <w:tcW w:w="1380" w:type="dxa"/>
            <w:vAlign w:val="bottom"/>
            <w:tcBorders>
              <w:bottom w:val="single" w:sz="8" w:color="auto"/>
              <w:right w:val="single" w:sz="8" w:color="auto"/>
            </w:tcBorders>
          </w:tcPr>
          <w:p>
            <w:pPr>
              <w:spacing w:after="0"/>
              <w:rPr>
                <w:sz w:val="22"/>
                <w:szCs w:val="22"/>
                <w:color w:val="auto"/>
              </w:rPr>
            </w:pPr>
          </w:p>
        </w:tc>
        <w:tc>
          <w:tcPr>
            <w:tcW w:w="2300" w:type="dxa"/>
            <w:vAlign w:val="bottom"/>
            <w:tcBorders>
              <w:bottom w:val="single" w:sz="8" w:color="auto"/>
              <w:right w:val="single" w:sz="8" w:color="auto"/>
            </w:tcBorders>
          </w:tcPr>
          <w:p>
            <w:pPr>
              <w:spacing w:after="0"/>
              <w:rPr>
                <w:sz w:val="22"/>
                <w:szCs w:val="22"/>
                <w:color w:val="auto"/>
              </w:rPr>
            </w:pPr>
          </w:p>
        </w:tc>
        <w:tc>
          <w:tcPr>
            <w:tcW w:w="2500" w:type="dxa"/>
            <w:vAlign w:val="bottom"/>
            <w:tcBorders>
              <w:bottom w:val="single" w:sz="8" w:color="auto"/>
              <w:right w:val="single" w:sz="8" w:color="auto"/>
            </w:tcBorders>
          </w:tcPr>
          <w:p>
            <w:pPr>
              <w:spacing w:after="0"/>
              <w:rPr>
                <w:sz w:val="22"/>
                <w:szCs w:val="22"/>
                <w:color w:val="auto"/>
              </w:rPr>
            </w:pPr>
          </w:p>
        </w:tc>
        <w:tc>
          <w:tcPr>
            <w:tcW w:w="2500" w:type="dxa"/>
            <w:vAlign w:val="bottom"/>
            <w:tcBorders>
              <w:bottom w:val="single" w:sz="8" w:color="auto"/>
              <w:right w:val="single" w:sz="8" w:color="auto"/>
            </w:tcBorders>
          </w:tcPr>
          <w:p>
            <w:pPr>
              <w:spacing w:after="0"/>
              <w:rPr>
                <w:sz w:val="22"/>
                <w:szCs w:val="22"/>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*Will be interpolated for intermediate results within the stock price range shown.</w:t>
      </w:r>
    </w:p>
    <w:p>
      <w:pPr>
        <w:sectPr>
          <w:pgSz w:w="11900" w:h="16838" w:orient="portrait"/>
          <w:cols w:equalWidth="0" w:num="1">
            <w:col w:w="11440"/>
          </w:cols>
          <w:pgMar w:left="240" w:top="775" w:right="219" w:bottom="1440" w:gutter="0" w:footer="0" w:header="0"/>
        </w:sectPr>
      </w:pPr>
    </w:p>
    <w:bookmarkStart w:id="127" w:name="page128"/>
    <w:bookmarkEnd w:id="127"/>
    <w:p>
      <w:pPr>
        <w:ind w:left="10300"/>
        <w:spacing w:after="0"/>
        <w:rPr>
          <w:sz w:val="20"/>
          <w:szCs w:val="20"/>
          <w:color w:val="auto"/>
        </w:rPr>
      </w:pPr>
      <w:r>
        <w:rPr>
          <w:rFonts w:ascii="Arial" w:cs="Arial" w:eastAsia="Arial" w:hAnsi="Arial"/>
          <w:sz w:val="18"/>
          <w:szCs w:val="18"/>
          <w:b w:val="1"/>
          <w:bCs w:val="1"/>
          <w:color w:val="auto"/>
        </w:rPr>
        <w:t>Exhibit 10.33</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AMENDED AND RESTATED EXECUTIVE EMPLOYMENT AGREEMENT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This Amended and Restated Executive Employment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entered into as of the date set forth on the signature page hereto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 Weatherford Management Company Switzerland LLC, a Swiss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individual signing as “Executive” on the signature page hereto (the “</w:t>
      </w:r>
      <w:r>
        <w:rPr>
          <w:rFonts w:ascii="Arial" w:cs="Arial" w:eastAsia="Arial" w:hAnsi="Arial"/>
          <w:sz w:val="19"/>
          <w:szCs w:val="19"/>
          <w:u w:val="single" w:color="auto"/>
          <w:color w:val="auto"/>
        </w:rPr>
        <w:t>Executive</w:t>
      </w:r>
      <w:r>
        <w:rPr>
          <w:rFonts w:ascii="Arial" w:cs="Arial" w:eastAsia="Arial" w:hAnsi="Arial"/>
          <w:sz w:val="19"/>
          <w:szCs w:val="19"/>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WHEREAS, the Company is a wholly-owned subsidiary of Weatherford International plc, an Irish public limited company and the publicly traded holding company of the Weatherford group of companies (“</w:t>
      </w:r>
      <w:r>
        <w:rPr>
          <w:rFonts w:ascii="Arial" w:cs="Arial" w:eastAsia="Arial" w:hAnsi="Arial"/>
          <w:sz w:val="20"/>
          <w:szCs w:val="20"/>
          <w:u w:val="single" w:color="auto"/>
          <w:color w:val="auto"/>
        </w:rPr>
        <w:t>Weatherford Ireland</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WHEREAS, the Board of Directors of Weatherford Ireland has previously determined that it is in the best interests of Weatherford Ireland and its shareholders to induce and/or retain the employment of the Executive by the Company, as contracting party, for the long-term benefit of Weatherford Ireland and its Affiliate companies (collectively, the “</w:t>
      </w:r>
      <w:r>
        <w:rPr>
          <w:rFonts w:ascii="Arial" w:cs="Arial" w:eastAsia="Arial" w:hAnsi="Arial"/>
          <w:sz w:val="19"/>
          <w:szCs w:val="19"/>
          <w:u w:val="single" w:color="auto"/>
          <w:color w:val="auto"/>
        </w:rPr>
        <w:t>Affiliated Companies</w:t>
      </w:r>
      <w:r>
        <w:rPr>
          <w:rFonts w:ascii="Arial" w:cs="Arial" w:eastAsia="Arial" w:hAnsi="Arial"/>
          <w:sz w:val="19"/>
          <w:szCs w:val="19"/>
          <w:color w:val="auto"/>
        </w:rPr>
        <w:t>”);</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Company desires to continue to employ the Executive on the terms set forth below to provide services to Weatherford Ireland and its Affiliated Companies, and the Executive is willing to accept such continued employment and provide such services on the terms set forth in this Agreement; and</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following the effective date of this Agreement, the Executive will be seconded to the employment of Weatherford U.S.,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L.P.</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parties hereto do hereby agree that:</w:t>
      </w:r>
    </w:p>
    <w:p>
      <w:pPr>
        <w:spacing w:after="0" w:line="177" w:lineRule="exact"/>
        <w:rPr>
          <w:sz w:val="20"/>
          <w:szCs w:val="20"/>
          <w:color w:val="auto"/>
        </w:rPr>
      </w:pPr>
    </w:p>
    <w:p>
      <w:pPr>
        <w:ind w:left="660" w:hanging="328"/>
        <w:spacing w:after="0"/>
        <w:tabs>
          <w:tab w:leader="none" w:pos="660" w:val="left"/>
        </w:tabs>
        <w:numPr>
          <w:ilvl w:val="1"/>
          <w:numId w:val="64"/>
        </w:numPr>
        <w:rPr>
          <w:rFonts w:ascii="Arial" w:cs="Arial" w:eastAsia="Arial" w:hAnsi="Arial"/>
          <w:sz w:val="18"/>
          <w:szCs w:val="18"/>
          <w:color w:val="auto"/>
        </w:rPr>
      </w:pPr>
      <w:r>
        <w:rPr>
          <w:rFonts w:ascii="Arial" w:cs="Arial" w:eastAsia="Arial" w:hAnsi="Arial"/>
          <w:sz w:val="20"/>
          <w:szCs w:val="20"/>
          <w:u w:val="single" w:color="auto"/>
          <w:color w:val="auto"/>
        </w:rPr>
        <w:t>Certain Definitions</w:t>
      </w:r>
      <w:r>
        <w:rPr>
          <w:rFonts w:ascii="Arial" w:cs="Arial" w:eastAsia="Arial" w:hAnsi="Arial"/>
          <w:sz w:val="20"/>
          <w:szCs w:val="20"/>
          <w:color w:val="auto"/>
        </w:rPr>
        <w:t>.</w:t>
      </w:r>
    </w:p>
    <w:p>
      <w:pPr>
        <w:spacing w:after="0" w:line="242" w:lineRule="exact"/>
        <w:rPr>
          <w:rFonts w:ascii="Arial" w:cs="Arial" w:eastAsia="Arial" w:hAnsi="Arial"/>
          <w:sz w:val="18"/>
          <w:szCs w:val="18"/>
          <w:color w:val="auto"/>
        </w:rPr>
      </w:pPr>
    </w:p>
    <w:p>
      <w:pPr>
        <w:ind w:left="1500" w:hanging="844"/>
        <w:spacing w:after="0"/>
        <w:tabs>
          <w:tab w:leader="none" w:pos="1500" w:val="left"/>
        </w:tabs>
        <w:numPr>
          <w:ilvl w:val="2"/>
          <w:numId w:val="6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shall have the meaning set forth in Rule 12b-2 promulgated under Section 12 of the Exchange Act.</w:t>
      </w:r>
    </w:p>
    <w:p>
      <w:pPr>
        <w:spacing w:after="0" w:line="256" w:lineRule="exact"/>
        <w:rPr>
          <w:rFonts w:ascii="Arial" w:cs="Arial" w:eastAsia="Arial" w:hAnsi="Arial"/>
          <w:sz w:val="18"/>
          <w:szCs w:val="18"/>
          <w:color w:val="auto"/>
        </w:rPr>
      </w:pPr>
    </w:p>
    <w:p>
      <w:pPr>
        <w:ind w:firstLine="656"/>
        <w:spacing w:after="0" w:line="289" w:lineRule="auto"/>
        <w:tabs>
          <w:tab w:leader="none" w:pos="1506" w:val="left"/>
        </w:tabs>
        <w:numPr>
          <w:ilvl w:val="2"/>
          <w:numId w:val="64"/>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Annual Bonus</w:t>
      </w:r>
      <w:r>
        <w:rPr>
          <w:rFonts w:ascii="Arial" w:cs="Arial" w:eastAsia="Arial" w:hAnsi="Arial"/>
          <w:sz w:val="20"/>
          <w:szCs w:val="20"/>
          <w:color w:val="auto"/>
        </w:rPr>
        <w:t>” shall mean the Executive’s annual bonus under the then-current annual incentive plan of the Weatherford Ireland and any of its Affiliated Companies.</w:t>
      </w:r>
    </w:p>
    <w:p>
      <w:pPr>
        <w:spacing w:after="0" w:line="188" w:lineRule="exact"/>
        <w:rPr>
          <w:rFonts w:ascii="Arial" w:cs="Arial" w:eastAsia="Arial" w:hAnsi="Arial"/>
          <w:sz w:val="18"/>
          <w:szCs w:val="18"/>
          <w:color w:val="auto"/>
        </w:rPr>
      </w:pPr>
    </w:p>
    <w:p>
      <w:pPr>
        <w:jc w:val="both"/>
        <w:ind w:firstLine="656"/>
        <w:spacing w:after="0" w:line="297" w:lineRule="auto"/>
        <w:tabs>
          <w:tab w:leader="none" w:pos="1496" w:val="left"/>
        </w:tabs>
        <w:numPr>
          <w:ilvl w:val="2"/>
          <w:numId w:val="64"/>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Bonus Amount</w:t>
      </w:r>
      <w:r>
        <w:rPr>
          <w:rFonts w:ascii="Arial" w:cs="Arial" w:eastAsia="Arial" w:hAnsi="Arial"/>
          <w:sz w:val="18"/>
          <w:szCs w:val="18"/>
          <w:color w:val="auto"/>
        </w:rPr>
        <w:t>” shall mean the amount of the Annual Bonus, if any, paid or provided in any form (whether in cash, securities or any combination thereof) by the Company or any Affiliated Company to or for the benefit of the Executive for services rendered or labor performed during a fiscal year of the Company (it being understood that if an Annual Bonus is paid in multiple installments for a year, all such installments shall be aggregated as a single payment for that year in determining the Annual Bonus Amount). The Executive’s Annual Bonus Amount shall be determined by including any portion thereof that the Executive could have received in cash or securities in lieu of</w:t>
      </w:r>
    </w:p>
    <w:p>
      <w:pPr>
        <w:spacing w:after="0" w:line="2" w:lineRule="exact"/>
        <w:rPr>
          <w:rFonts w:ascii="Arial" w:cs="Arial" w:eastAsia="Arial" w:hAnsi="Arial"/>
          <w:sz w:val="16"/>
          <w:szCs w:val="16"/>
          <w:color w:val="auto"/>
        </w:rPr>
      </w:pPr>
    </w:p>
    <w:p>
      <w:pPr>
        <w:jc w:val="both"/>
        <w:ind w:firstLine="8"/>
        <w:spacing w:after="0" w:line="278" w:lineRule="auto"/>
        <w:tabs>
          <w:tab w:leader="none" w:pos="2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elective deferrals made by the Executive pursuant to all nonqualified deferred compensation plans or (ii) elective contributions made on the Executive’s behalf by the Company pursuant to a qualified cash or deferred arrangement (as defined in section 401(k) of the Code) or pursuant to a plan maintained under section 125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Executive Employment Agreement</w:t>
      </w:r>
    </w:p>
    <w:p>
      <w:pPr>
        <w:sectPr>
          <w:pgSz w:w="11900" w:h="16838" w:orient="portrait"/>
          <w:cols w:equalWidth="0" w:num="1">
            <w:col w:w="11420"/>
          </w:cols>
          <w:pgMar w:left="240" w:top="805" w:right="239" w:bottom="1440" w:gutter="0" w:footer="0" w:header="0"/>
        </w:sectPr>
      </w:pPr>
    </w:p>
    <w:bookmarkStart w:id="128" w:name="page129"/>
    <w:bookmarkEnd w:id="128"/>
    <w:p>
      <w:pPr>
        <w:ind w:left="1520" w:hanging="864"/>
        <w:spacing w:after="0"/>
        <w:tabs>
          <w:tab w:leader="none" w:pos="1520" w:val="left"/>
        </w:tabs>
        <w:numPr>
          <w:ilvl w:val="0"/>
          <w:numId w:val="66"/>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Multiple</w:t>
      </w:r>
      <w:r>
        <w:rPr>
          <w:rFonts w:ascii="Arial" w:cs="Arial" w:eastAsia="Arial" w:hAnsi="Arial"/>
          <w:sz w:val="20"/>
          <w:szCs w:val="20"/>
          <w:color w:val="auto"/>
        </w:rPr>
        <w:t>” shall mean the number identified as such on the signature page hereto.</w:t>
      </w:r>
    </w:p>
    <w:p>
      <w:pPr>
        <w:spacing w:after="0" w:line="256" w:lineRule="exact"/>
        <w:rPr>
          <w:rFonts w:ascii="Arial" w:cs="Arial" w:eastAsia="Arial" w:hAnsi="Arial"/>
          <w:sz w:val="18"/>
          <w:szCs w:val="18"/>
          <w:color w:val="auto"/>
        </w:rPr>
      </w:pPr>
    </w:p>
    <w:p>
      <w:pPr>
        <w:ind w:left="1500" w:hanging="844"/>
        <w:spacing w:after="0"/>
        <w:tabs>
          <w:tab w:leader="none" w:pos="1500" w:val="left"/>
        </w:tabs>
        <w:numPr>
          <w:ilvl w:val="0"/>
          <w:numId w:val="66"/>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w:t>
      </w:r>
      <w:r>
        <w:rPr>
          <w:rFonts w:ascii="Arial" w:cs="Arial" w:eastAsia="Arial" w:hAnsi="Arial"/>
          <w:sz w:val="20"/>
          <w:szCs w:val="20"/>
          <w:color w:val="auto"/>
        </w:rPr>
        <w:t>” shall have the meaning set forth in Rule 13d-3 under the Exchange Act.</w:t>
      </w:r>
    </w:p>
    <w:p>
      <w:pPr>
        <w:spacing w:after="0" w:line="256" w:lineRule="exact"/>
        <w:rPr>
          <w:rFonts w:ascii="Arial" w:cs="Arial" w:eastAsia="Arial" w:hAnsi="Arial"/>
          <w:sz w:val="18"/>
          <w:szCs w:val="18"/>
          <w:color w:val="auto"/>
        </w:rPr>
      </w:pPr>
    </w:p>
    <w:p>
      <w:pPr>
        <w:ind w:left="1480" w:hanging="824"/>
        <w:spacing w:after="0"/>
        <w:tabs>
          <w:tab w:leader="none" w:pos="1480" w:val="left"/>
        </w:tabs>
        <w:numPr>
          <w:ilvl w:val="0"/>
          <w:numId w:val="66"/>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shall mean the Board of Directors of Weatherford Ireland.</w:t>
      </w:r>
    </w:p>
    <w:p>
      <w:pPr>
        <w:spacing w:after="0" w:line="256" w:lineRule="exact"/>
        <w:rPr>
          <w:rFonts w:ascii="Arial" w:cs="Arial" w:eastAsia="Arial" w:hAnsi="Arial"/>
          <w:sz w:val="18"/>
          <w:szCs w:val="18"/>
          <w:color w:val="auto"/>
        </w:rPr>
      </w:pPr>
    </w:p>
    <w:p>
      <w:pPr>
        <w:ind w:left="1520" w:hanging="864"/>
        <w:spacing w:after="0"/>
        <w:tabs>
          <w:tab w:leader="none" w:pos="1520" w:val="left"/>
        </w:tabs>
        <w:numPr>
          <w:ilvl w:val="0"/>
          <w:numId w:val="66"/>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Cause</w:t>
      </w:r>
      <w:r>
        <w:rPr>
          <w:rFonts w:ascii="Arial" w:cs="Arial" w:eastAsia="Arial" w:hAnsi="Arial"/>
          <w:sz w:val="20"/>
          <w:szCs w:val="20"/>
          <w:color w:val="auto"/>
        </w:rPr>
        <w:t>” shall mean:</w:t>
      </w:r>
    </w:p>
    <w:p>
      <w:pPr>
        <w:spacing w:after="0" w:line="256" w:lineRule="exact"/>
        <w:rPr>
          <w:rFonts w:ascii="Arial" w:cs="Arial" w:eastAsia="Arial" w:hAnsi="Arial"/>
          <w:sz w:val="18"/>
          <w:szCs w:val="18"/>
          <w:color w:val="auto"/>
        </w:rPr>
      </w:pPr>
    </w:p>
    <w:p>
      <w:pPr>
        <w:jc w:val="both"/>
        <w:ind w:firstLine="1305"/>
        <w:spacing w:after="0" w:line="273" w:lineRule="auto"/>
        <w:tabs>
          <w:tab w:leader="none" w:pos="2115" w:val="left"/>
        </w:tabs>
        <w:numPr>
          <w:ilvl w:val="1"/>
          <w:numId w:val="66"/>
        </w:numPr>
        <w:rPr>
          <w:rFonts w:ascii="Arial" w:cs="Arial" w:eastAsia="Arial" w:hAnsi="Arial"/>
          <w:sz w:val="18"/>
          <w:szCs w:val="18"/>
          <w:color w:val="auto"/>
        </w:rPr>
      </w:pPr>
      <w:r>
        <w:rPr>
          <w:rFonts w:ascii="Arial" w:cs="Arial" w:eastAsia="Arial" w:hAnsi="Arial"/>
          <w:sz w:val="20"/>
          <w:szCs w:val="20"/>
          <w:color w:val="auto"/>
        </w:rPr>
        <w:t xml:space="preserve">the willful and continued failure of the Executive to substantially perform the Executive’s duties with the Company (other than any such failure resulting from incapacity due to physical or mental illness or anticipated failure after the issuance of a Notice of Breach for Good Reason by the Executive pursuant to </w:t>
      </w:r>
      <w:r>
        <w:rPr>
          <w:rFonts w:ascii="Arial" w:cs="Arial" w:eastAsia="Arial" w:hAnsi="Arial"/>
          <w:sz w:val="20"/>
          <w:szCs w:val="20"/>
          <w:u w:val="single" w:color="auto"/>
          <w:color w:val="auto"/>
        </w:rPr>
        <w:t>Section 4(d</w:t>
      </w:r>
      <w:r>
        <w:rPr>
          <w:rFonts w:ascii="Arial" w:cs="Arial" w:eastAsia="Arial" w:hAnsi="Arial"/>
          <w:sz w:val="20"/>
          <w:szCs w:val="20"/>
          <w:color w:val="auto"/>
        </w:rPr>
        <w:t>)), after a written demand for substantial performance is delivered to the Executive by the Board which specifically identifies the manner in which the Executive has not substantially performed the Executive’s duties; or</w:t>
      </w:r>
    </w:p>
    <w:p>
      <w:pPr>
        <w:spacing w:after="0" w:line="204" w:lineRule="exact"/>
        <w:rPr>
          <w:rFonts w:ascii="Arial" w:cs="Arial" w:eastAsia="Arial" w:hAnsi="Arial"/>
          <w:sz w:val="18"/>
          <w:szCs w:val="18"/>
          <w:color w:val="auto"/>
        </w:rPr>
      </w:pPr>
    </w:p>
    <w:p>
      <w:pPr>
        <w:ind w:firstLine="1305"/>
        <w:spacing w:after="0" w:line="289" w:lineRule="auto"/>
        <w:tabs>
          <w:tab w:leader="none" w:pos="2165" w:val="left"/>
        </w:tabs>
        <w:numPr>
          <w:ilvl w:val="1"/>
          <w:numId w:val="66"/>
        </w:numPr>
        <w:rPr>
          <w:rFonts w:ascii="Arial" w:cs="Arial" w:eastAsia="Arial" w:hAnsi="Arial"/>
          <w:sz w:val="18"/>
          <w:szCs w:val="18"/>
          <w:color w:val="auto"/>
        </w:rPr>
      </w:pPr>
      <w:r>
        <w:rPr>
          <w:rFonts w:ascii="Arial" w:cs="Arial" w:eastAsia="Arial" w:hAnsi="Arial"/>
          <w:sz w:val="20"/>
          <w:szCs w:val="20"/>
          <w:color w:val="auto"/>
        </w:rPr>
        <w:t>the Executive willfully engaging in illegal conduct or gross misconduct which is materially and demonstrably injurious to Weatherford Ireland or any of its Affiliated Companies.</w:t>
      </w:r>
    </w:p>
    <w:p>
      <w:pPr>
        <w:spacing w:after="0" w:line="17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No act, or failure to act, on the part of the Executive shall be considered “</w:t>
      </w:r>
      <w:r>
        <w:rPr>
          <w:rFonts w:ascii="Arial" w:cs="Arial" w:eastAsia="Arial" w:hAnsi="Arial"/>
          <w:sz w:val="20"/>
          <w:szCs w:val="20"/>
          <w:u w:val="single" w:color="auto"/>
          <w:color w:val="auto"/>
        </w:rPr>
        <w:t>willful</w:t>
      </w:r>
      <w:r>
        <w:rPr>
          <w:rFonts w:ascii="Arial" w:cs="Arial" w:eastAsia="Arial" w:hAnsi="Arial"/>
          <w:sz w:val="20"/>
          <w:szCs w:val="20"/>
          <w:color w:val="auto"/>
        </w:rPr>
        <w:t>” unless it is done, or omitted to be done, by the Executive in bad faith or without reasonable belief that the Executive’s action or omission was in the best interests of the Company or Weatherford Ireland. Any act, or failure to act, based upon authority given pursuant to a resolution duly adopted by the Board or upon the instructions of the Chief Executive Officer of Weatherford Ireland or based upon the duly informed advice of outside or inside counsel for Weatherford Ireland shall be conclusively presumed to be done, or omitted to be done, by the Executive in good faith and in the best interests of the Company and Weatherford Ireland. The cessation of employment of the Executive shall not be deemed to be for Cause unless and until there shall have been delivered to the Executive a copy of a resolution duly adopted by the affirmative vote of not less than three-quarters (3/4) of the entire membership of the Board at a meeting of the Board called and held for such purpose (after reasonable notice is provided to the Executive, and the Executive is given an opportunity, together with counsel, to be heard before the Board), finding that, in the good faith opinion of the Board, the Executive is guilty of the conduct described in subparagraph (i) or (ii) above, and specifying the particulars thereof in detail.</w:t>
      </w:r>
    </w:p>
    <w:p>
      <w:pPr>
        <w:spacing w:after="0" w:line="215" w:lineRule="exact"/>
        <w:rPr>
          <w:sz w:val="20"/>
          <w:szCs w:val="20"/>
          <w:color w:val="auto"/>
        </w:rPr>
      </w:pPr>
    </w:p>
    <w:p>
      <w:pPr>
        <w:ind w:left="1520" w:hanging="864"/>
        <w:spacing w:after="0"/>
        <w:tabs>
          <w:tab w:leader="none" w:pos="1520" w:val="left"/>
        </w:tabs>
        <w:numPr>
          <w:ilvl w:val="0"/>
          <w:numId w:val="67"/>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be deemed to have occurred if any event set forth in any one of the following paragraphs shall</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have occurred:</w:t>
      </w:r>
    </w:p>
    <w:p>
      <w:pPr>
        <w:spacing w:after="0" w:line="256" w:lineRule="exact"/>
        <w:rPr>
          <w:rFonts w:ascii="Arial" w:cs="Arial" w:eastAsia="Arial" w:hAnsi="Arial"/>
          <w:sz w:val="16"/>
          <w:szCs w:val="16"/>
          <w:color w:val="auto"/>
        </w:rPr>
      </w:pPr>
    </w:p>
    <w:p>
      <w:pPr>
        <w:jc w:val="both"/>
        <w:ind w:firstLine="1305"/>
        <w:spacing w:after="0" w:line="273" w:lineRule="auto"/>
        <w:tabs>
          <w:tab w:leader="none" w:pos="2115" w:val="left"/>
        </w:tabs>
        <w:numPr>
          <w:ilvl w:val="1"/>
          <w:numId w:val="67"/>
        </w:numPr>
        <w:rPr>
          <w:rFonts w:ascii="Arial" w:cs="Arial" w:eastAsia="Arial" w:hAnsi="Arial"/>
          <w:sz w:val="18"/>
          <w:szCs w:val="18"/>
          <w:color w:val="auto"/>
        </w:rPr>
      </w:pPr>
      <w:r>
        <w:rPr>
          <w:rFonts w:ascii="Arial" w:cs="Arial" w:eastAsia="Arial" w:hAnsi="Arial"/>
          <w:sz w:val="20"/>
          <w:szCs w:val="20"/>
          <w:color w:val="auto"/>
        </w:rPr>
        <w:t>any Person is or becomes the Beneficial Owner, directly or indirectly, of twenty percent (20%) or more of either (A) the then outstanding ordinary shares of Weatherford Ireland (the “</w:t>
      </w:r>
      <w:r>
        <w:rPr>
          <w:rFonts w:ascii="Arial" w:cs="Arial" w:eastAsia="Arial" w:hAnsi="Arial"/>
          <w:sz w:val="20"/>
          <w:szCs w:val="20"/>
          <w:u w:val="single" w:color="auto"/>
          <w:color w:val="auto"/>
        </w:rPr>
        <w:t>Outstanding Ordinary Shares</w:t>
      </w:r>
      <w:r>
        <w:rPr>
          <w:rFonts w:ascii="Arial" w:cs="Arial" w:eastAsia="Arial" w:hAnsi="Arial"/>
          <w:sz w:val="20"/>
          <w:szCs w:val="20"/>
          <w:color w:val="auto"/>
        </w:rPr>
        <w:t>”) or (B) the combined voting power of the then outstanding voting securities of Weatherford Ireland entitled to vote generally in the election of directors (the “</w:t>
      </w:r>
      <w:r>
        <w:rPr>
          <w:rFonts w:ascii="Arial" w:cs="Arial" w:eastAsia="Arial" w:hAnsi="Arial"/>
          <w:sz w:val="20"/>
          <w:szCs w:val="20"/>
          <w:u w:val="single" w:color="auto"/>
          <w:color w:val="auto"/>
        </w:rPr>
        <w:t>Outstanding Voting Securities</w:t>
      </w:r>
      <w:r>
        <w:rPr>
          <w:rFonts w:ascii="Arial" w:cs="Arial" w:eastAsia="Arial" w:hAnsi="Arial"/>
          <w:sz w:val="20"/>
          <w:szCs w:val="20"/>
          <w:color w:val="auto"/>
        </w:rPr>
        <w:t>”), excluding any Person who becomes such a Beneficial Owner in connection with a transaction that complies with clauses (A), (B) and (C) of paragraph (iii) below;</w:t>
      </w:r>
    </w:p>
    <w:p>
      <w:pPr>
        <w:spacing w:after="0" w:line="204" w:lineRule="exact"/>
        <w:rPr>
          <w:rFonts w:ascii="Arial" w:cs="Arial" w:eastAsia="Arial" w:hAnsi="Arial"/>
          <w:sz w:val="18"/>
          <w:szCs w:val="18"/>
          <w:color w:val="auto"/>
        </w:rPr>
      </w:pPr>
    </w:p>
    <w:p>
      <w:pPr>
        <w:jc w:val="both"/>
        <w:ind w:firstLine="1305"/>
        <w:spacing w:after="0" w:line="273" w:lineRule="auto"/>
        <w:tabs>
          <w:tab w:leader="none" w:pos="2165" w:val="left"/>
        </w:tabs>
        <w:numPr>
          <w:ilvl w:val="1"/>
          <w:numId w:val="67"/>
        </w:numPr>
        <w:rPr>
          <w:rFonts w:ascii="Arial" w:cs="Arial" w:eastAsia="Arial" w:hAnsi="Arial"/>
          <w:sz w:val="18"/>
          <w:szCs w:val="18"/>
          <w:color w:val="auto"/>
        </w:rPr>
      </w:pPr>
      <w:r>
        <w:rPr>
          <w:rFonts w:ascii="Arial" w:cs="Arial" w:eastAsia="Arial" w:hAnsi="Arial"/>
          <w:sz w:val="20"/>
          <w:szCs w:val="20"/>
          <w:color w:val="auto"/>
        </w:rPr>
        <w:t>individuals, who, as of the Effective Date, constitute the Board (the “</w:t>
      </w:r>
      <w:r>
        <w:rPr>
          <w:rFonts w:ascii="Arial" w:cs="Arial" w:eastAsia="Arial" w:hAnsi="Arial"/>
          <w:sz w:val="20"/>
          <w:szCs w:val="20"/>
          <w:u w:val="single" w:color="auto"/>
          <w:color w:val="auto"/>
        </w:rPr>
        <w:t>Incumbent Board</w:t>
      </w:r>
      <w:r>
        <w:rPr>
          <w:rFonts w:ascii="Arial" w:cs="Arial" w:eastAsia="Arial" w:hAnsi="Arial"/>
          <w:sz w:val="20"/>
          <w:szCs w:val="20"/>
          <w:color w:val="auto"/>
        </w:rPr>
        <w:t xml:space="preserve">”) cease for any reason to constitute at least two-thirds (2/3) of the Board;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any individual becoming a director subsequent to the Effective Date whose election, or nomination for election by Weatherford Ireland’s shareholders, was approved by a vote of at least two-thirds (2/3) of the Incumbent Board shall be considered as though such individual was a member of the Incumbent Board, but excluding, for this purpose, any such individual whose initial assumption of office occurs as a result of an actual or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140" w:hanging="111"/>
        <w:spacing w:after="0"/>
        <w:tabs>
          <w:tab w:leader="none" w:pos="9140" w:val="left"/>
        </w:tabs>
        <w:numPr>
          <w:ilvl w:val="2"/>
          <w:numId w:val="67"/>
        </w:numPr>
        <w:rPr>
          <w:rFonts w:ascii="Arial" w:cs="Arial" w:eastAsia="Arial" w:hAnsi="Arial"/>
          <w:sz w:val="16"/>
          <w:szCs w:val="16"/>
          <w:color w:val="auto"/>
        </w:rPr>
      </w:pPr>
      <w:r>
        <w:rPr>
          <w:rFonts w:ascii="Arial" w:cs="Arial" w:eastAsia="Arial" w:hAnsi="Arial"/>
          <w:sz w:val="14"/>
          <w:szCs w:val="14"/>
          <w:color w:val="auto"/>
        </w:rPr>
        <w:t>Executive Employment Agreement</w:t>
      </w:r>
    </w:p>
    <w:p>
      <w:pPr>
        <w:spacing w:after="0" w:line="28"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6"/>
          <w:szCs w:val="16"/>
          <w:color w:val="auto"/>
        </w:rPr>
        <w:t>2</w:t>
      </w:r>
    </w:p>
    <w:p>
      <w:pPr>
        <w:sectPr>
          <w:pgSz w:w="11900" w:h="16838" w:orient="portrait"/>
          <w:cols w:equalWidth="0" w:num="1">
            <w:col w:w="11420"/>
          </w:cols>
          <w:pgMar w:left="240" w:top="379" w:right="239" w:bottom="1440" w:gutter="0" w:footer="0" w:header="0"/>
        </w:sectPr>
      </w:pPr>
    </w:p>
    <w:bookmarkStart w:id="129" w:name="page130"/>
    <w:bookmarkEnd w:id="129"/>
    <w:p>
      <w:pPr>
        <w:ind w:right="20"/>
        <w:spacing w:after="0" w:line="289" w:lineRule="auto"/>
        <w:rPr>
          <w:sz w:val="20"/>
          <w:szCs w:val="20"/>
          <w:color w:val="auto"/>
        </w:rPr>
      </w:pPr>
      <w:r>
        <w:rPr>
          <w:rFonts w:ascii="Arial" w:cs="Arial" w:eastAsia="Arial" w:hAnsi="Arial"/>
          <w:sz w:val="20"/>
          <w:szCs w:val="20"/>
          <w:color w:val="auto"/>
        </w:rPr>
        <w:t>threatened election contest with respect to the election or removal of directors or any other actual or threatened solicitation of proxies or consents by or on behalf of a Person other than the Board;</w:t>
      </w:r>
    </w:p>
    <w:p>
      <w:pPr>
        <w:spacing w:after="0" w:line="189" w:lineRule="exact"/>
        <w:rPr>
          <w:sz w:val="20"/>
          <w:szCs w:val="20"/>
          <w:color w:val="auto"/>
        </w:rPr>
      </w:pPr>
    </w:p>
    <w:p>
      <w:pPr>
        <w:jc w:val="both"/>
        <w:ind w:firstLine="1305"/>
        <w:spacing w:after="0" w:line="283" w:lineRule="auto"/>
        <w:tabs>
          <w:tab w:leader="none" w:pos="2215" w:val="left"/>
        </w:tabs>
        <w:numPr>
          <w:ilvl w:val="1"/>
          <w:numId w:val="68"/>
        </w:numPr>
        <w:rPr>
          <w:rFonts w:ascii="Arial" w:cs="Arial" w:eastAsia="Arial" w:hAnsi="Arial"/>
          <w:sz w:val="17"/>
          <w:szCs w:val="17"/>
          <w:color w:val="auto"/>
        </w:rPr>
      </w:pPr>
      <w:r>
        <w:rPr>
          <w:rFonts w:ascii="Arial" w:cs="Arial" w:eastAsia="Arial" w:hAnsi="Arial"/>
          <w:sz w:val="19"/>
          <w:szCs w:val="19"/>
          <w:color w:val="auto"/>
        </w:rPr>
        <w:t>the consummation of an acquisition, reorganization, reincorporation, redomestication, merger, amalgamation, consolidation, plan or scheme of arrangement, exchange offer, business combination or similar transaction of Weatherford Ireland or any of its Subsidiaries or the sale, transfer or other disposition of all or substantially all of the Weatherford Ireland Assets (any of which, a “</w:t>
      </w:r>
      <w:r>
        <w:rPr>
          <w:rFonts w:ascii="Arial" w:cs="Arial" w:eastAsia="Arial" w:hAnsi="Arial"/>
          <w:sz w:val="19"/>
          <w:szCs w:val="19"/>
          <w:u w:val="single" w:color="auto"/>
          <w:color w:val="auto"/>
        </w:rPr>
        <w:t>Corporate</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Transaction</w:t>
      </w:r>
      <w:r>
        <w:rPr>
          <w:rFonts w:ascii="Arial" w:cs="Arial" w:eastAsia="Arial" w:hAnsi="Arial"/>
          <w:sz w:val="19"/>
          <w:szCs w:val="19"/>
          <w:color w:val="auto"/>
        </w:rPr>
        <w:t>”), unless, following such Corporate Transaction or series of related Corporate Transactions, as the case may be, (A) all of the individuals and Entities who were the Beneficial Owners, respectively, of the Outstanding Ordinary Shares and Outstanding Voting Securities immediately prior to such Corporate Transaction own or beneficially own, directly or indirectly, more than sixty-six and two-thirds percent (66-2/3%) of, respectively, the Outstanding Ordinary Shares and the combined voting power of the Outstanding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Weatherford Ireland or all or substantially all of the Weatherford Ireland Assets either directly or through one (1) or more Subsidiaries or Entities) in substantially the same proportions as their ownership, immediately prior to such Corporate Transaction, of the Outstanding Ordinary Shares and the Outstanding Voting Securities, as the case may be, (B) no Person (excluding any Entity resulting from such Corporate Transaction or any employee benefit plan (or related trust) of Weatherford Ireland or such Entity resulting from such Corporate Transaction) beneficially owns, directly or indirectly, twenty percent (20%) or more of, respectively, the then outstanding shares of common stock of the Entity resulting from such Corporate Transaction or the combined voting power of the then outstanding voting securities of such Entity except to the extent that such ownership existed prior to the Corporate Transaction and (C) at least two-thirds (2/3) of the members of the board of directors (or other governing body) of the Entity resulting from such Corporate Transaction were members of the Incumbent Board at the time of the approval of such Corporate Transaction; or</w:t>
      </w:r>
    </w:p>
    <w:p>
      <w:pPr>
        <w:spacing w:after="0" w:line="210" w:lineRule="exact"/>
        <w:rPr>
          <w:rFonts w:ascii="Arial" w:cs="Arial" w:eastAsia="Arial" w:hAnsi="Arial"/>
          <w:sz w:val="17"/>
          <w:szCs w:val="17"/>
          <w:color w:val="auto"/>
        </w:rPr>
      </w:pPr>
    </w:p>
    <w:p>
      <w:pPr>
        <w:jc w:val="both"/>
        <w:ind w:right="20" w:firstLine="1305"/>
        <w:spacing w:after="0" w:line="322" w:lineRule="auto"/>
        <w:tabs>
          <w:tab w:leader="none" w:pos="2205" w:val="left"/>
        </w:tabs>
        <w:numPr>
          <w:ilvl w:val="1"/>
          <w:numId w:val="68"/>
        </w:numPr>
        <w:rPr>
          <w:rFonts w:ascii="Arial" w:cs="Arial" w:eastAsia="Arial" w:hAnsi="Arial"/>
          <w:sz w:val="16"/>
          <w:szCs w:val="16"/>
          <w:color w:val="auto"/>
        </w:rPr>
      </w:pPr>
      <w:r>
        <w:rPr>
          <w:rFonts w:ascii="Arial" w:cs="Arial" w:eastAsia="Arial" w:hAnsi="Arial"/>
          <w:sz w:val="18"/>
          <w:szCs w:val="18"/>
          <w:color w:val="auto"/>
        </w:rPr>
        <w:t>approval or adoption by the Board or the shareholders of Weatherford Ireland of a plan or proposal which could result directly or indirectly in the liquidation, transfer, sale or other disposal of all or substantially all of the Weatherford Ireland Assets or the dissolution of Weatherford Ireland, excluding any transaction that complies with clauses (A), (B) and (C) of paragraph (iii) above.</w:t>
      </w:r>
    </w:p>
    <w:p>
      <w:pPr>
        <w:spacing w:after="0" w:line="166" w:lineRule="exact"/>
        <w:rPr>
          <w:rFonts w:ascii="Arial" w:cs="Arial" w:eastAsia="Arial" w:hAnsi="Arial"/>
          <w:sz w:val="16"/>
          <w:szCs w:val="16"/>
          <w:color w:val="auto"/>
        </w:rPr>
      </w:pPr>
    </w:p>
    <w:p>
      <w:pPr>
        <w:ind w:left="1480" w:hanging="824"/>
        <w:spacing w:after="0"/>
        <w:tabs>
          <w:tab w:leader="none" w:pos="1480" w:val="left"/>
        </w:tabs>
        <w:numPr>
          <w:ilvl w:val="0"/>
          <w:numId w:val="69"/>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shall mean the Internal Revenue Code of 1986, as amended.</w:t>
      </w:r>
    </w:p>
    <w:p>
      <w:pPr>
        <w:spacing w:after="0" w:line="256" w:lineRule="exact"/>
        <w:rPr>
          <w:rFonts w:ascii="Arial" w:cs="Arial" w:eastAsia="Arial" w:hAnsi="Arial"/>
          <w:sz w:val="18"/>
          <w:szCs w:val="18"/>
          <w:color w:val="auto"/>
        </w:rPr>
      </w:pPr>
    </w:p>
    <w:p>
      <w:pPr>
        <w:ind w:right="20" w:firstLine="656"/>
        <w:spacing w:after="0" w:line="289" w:lineRule="auto"/>
        <w:tabs>
          <w:tab w:leader="none" w:pos="1466" w:val="left"/>
        </w:tabs>
        <w:numPr>
          <w:ilvl w:val="0"/>
          <w:numId w:val="69"/>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shall have the meaning set forth in the preamble, and shall include (but not be limited to) any Entity into which the Company is merged, consolidated or amalgamated.</w:t>
      </w:r>
    </w:p>
    <w:p>
      <w:pPr>
        <w:spacing w:after="0" w:line="188" w:lineRule="exact"/>
        <w:rPr>
          <w:rFonts w:ascii="Arial" w:cs="Arial" w:eastAsia="Arial" w:hAnsi="Arial"/>
          <w:sz w:val="18"/>
          <w:szCs w:val="18"/>
          <w:color w:val="auto"/>
        </w:rPr>
      </w:pPr>
    </w:p>
    <w:p>
      <w:pPr>
        <w:jc w:val="both"/>
        <w:ind w:firstLine="656"/>
        <w:spacing w:after="0" w:line="278" w:lineRule="auto"/>
        <w:tabs>
          <w:tab w:leader="none" w:pos="1506" w:val="left"/>
        </w:tabs>
        <w:numPr>
          <w:ilvl w:val="0"/>
          <w:numId w:val="69"/>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Disability</w:t>
      </w:r>
      <w:r>
        <w:rPr>
          <w:rFonts w:ascii="Arial" w:cs="Arial" w:eastAsia="Arial" w:hAnsi="Arial"/>
          <w:sz w:val="20"/>
          <w:szCs w:val="20"/>
          <w:color w:val="auto"/>
        </w:rPr>
        <w:t>” shall mean the absence of the Executive from performance of the Executive’s duties with the Company on a substantial basis for one hundred twenty (120) calendar days within any 12 month period as a result of incapacity due to mental or physical illness.</w:t>
      </w:r>
    </w:p>
    <w:p>
      <w:pPr>
        <w:spacing w:after="0" w:line="200" w:lineRule="exact"/>
        <w:rPr>
          <w:rFonts w:ascii="Arial" w:cs="Arial" w:eastAsia="Arial" w:hAnsi="Arial"/>
          <w:sz w:val="18"/>
          <w:szCs w:val="18"/>
          <w:color w:val="auto"/>
        </w:rPr>
      </w:pPr>
    </w:p>
    <w:p>
      <w:pPr>
        <w:jc w:val="both"/>
        <w:ind w:firstLine="656"/>
        <w:spacing w:after="0" w:line="310" w:lineRule="auto"/>
        <w:tabs>
          <w:tab w:leader="none" w:pos="1466" w:val="left"/>
        </w:tabs>
        <w:numPr>
          <w:ilvl w:val="0"/>
          <w:numId w:val="69"/>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Employment Period</w:t>
      </w:r>
      <w:r>
        <w:rPr>
          <w:rFonts w:ascii="Arial" w:cs="Arial" w:eastAsia="Arial" w:hAnsi="Arial"/>
          <w:sz w:val="18"/>
          <w:szCs w:val="18"/>
          <w:color w:val="auto"/>
        </w:rPr>
        <w:t xml:space="preserve">” shall mean the period commencing on the Effective Date and ending on the third anniversary of the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commencing on the third anniversary of the Effective Date and on each subsequent annual anniversary of such date (such date and each annual anniversary thereof shall be hereinafter referred to as the “</w:t>
      </w:r>
      <w:r>
        <w:rPr>
          <w:rFonts w:ascii="Arial" w:cs="Arial" w:eastAsia="Arial" w:hAnsi="Arial"/>
          <w:sz w:val="18"/>
          <w:szCs w:val="18"/>
          <w:u w:val="single" w:color="auto"/>
          <w:color w:val="auto"/>
        </w:rPr>
        <w:t>Renewal Date</w:t>
      </w:r>
      <w:r>
        <w:rPr>
          <w:rFonts w:ascii="Arial" w:cs="Arial" w:eastAsia="Arial" w:hAnsi="Arial"/>
          <w:sz w:val="18"/>
          <w:szCs w:val="18"/>
          <w:color w:val="auto"/>
        </w:rPr>
        <w:t>”), unless previously terminated, the Employment Period shall be automatically extended so as to terminate one (1) year after such Renewal Date, unless at least 120 days prior to the Renewal Date the Company shall give notice to the Executive that the Employment Period shall not be so extended.</w:t>
      </w:r>
    </w:p>
    <w:p>
      <w:pPr>
        <w:spacing w:after="0" w:line="200" w:lineRule="exact"/>
        <w:rPr>
          <w:rFonts w:ascii="Arial" w:cs="Arial" w:eastAsia="Arial" w:hAnsi="Arial"/>
          <w:sz w:val="16"/>
          <w:szCs w:val="16"/>
          <w:color w:val="auto"/>
        </w:rPr>
      </w:pPr>
    </w:p>
    <w:p>
      <w:pPr>
        <w:spacing w:after="0" w:line="212" w:lineRule="exact"/>
        <w:rPr>
          <w:rFonts w:ascii="Arial" w:cs="Arial" w:eastAsia="Arial" w:hAnsi="Arial"/>
          <w:sz w:val="16"/>
          <w:szCs w:val="16"/>
          <w:color w:val="auto"/>
        </w:rPr>
      </w:pPr>
    </w:p>
    <w:p>
      <w:pPr>
        <w:ind w:left="9140" w:hanging="111"/>
        <w:spacing w:after="0"/>
        <w:tabs>
          <w:tab w:leader="none" w:pos="9140" w:val="left"/>
        </w:tabs>
        <w:numPr>
          <w:ilvl w:val="2"/>
          <w:numId w:val="69"/>
        </w:numPr>
        <w:rPr>
          <w:rFonts w:ascii="Arial" w:cs="Arial" w:eastAsia="Arial" w:hAnsi="Arial"/>
          <w:sz w:val="16"/>
          <w:szCs w:val="16"/>
          <w:color w:val="auto"/>
        </w:rPr>
      </w:pPr>
      <w:r>
        <w:rPr>
          <w:rFonts w:ascii="Arial" w:cs="Arial" w:eastAsia="Arial" w:hAnsi="Arial"/>
          <w:sz w:val="14"/>
          <w:szCs w:val="14"/>
          <w:color w:val="auto"/>
        </w:rPr>
        <w:t>Executive Employment Agreement</w:t>
      </w:r>
    </w:p>
    <w:p>
      <w:pPr>
        <w:spacing w:after="0" w:line="28"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6"/>
          <w:szCs w:val="16"/>
          <w:color w:val="auto"/>
        </w:rPr>
        <w:t>3</w:t>
      </w:r>
    </w:p>
    <w:p>
      <w:pPr>
        <w:sectPr>
          <w:pgSz w:w="11900" w:h="16838" w:orient="portrait"/>
          <w:cols w:equalWidth="0" w:num="1">
            <w:col w:w="11420"/>
          </w:cols>
          <w:pgMar w:left="240" w:top="379" w:right="239" w:bottom="1440" w:gutter="0" w:footer="0" w:header="0"/>
        </w:sectPr>
      </w:pPr>
    </w:p>
    <w:bookmarkStart w:id="130" w:name="page131"/>
    <w:bookmarkEnd w:id="130"/>
    <w:p>
      <w:pPr>
        <w:ind w:firstLine="656"/>
        <w:spacing w:after="0" w:line="289" w:lineRule="auto"/>
        <w:tabs>
          <w:tab w:leader="none" w:pos="1556" w:val="left"/>
        </w:tabs>
        <w:numPr>
          <w:ilvl w:val="0"/>
          <w:numId w:val="70"/>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Entity</w:t>
      </w:r>
      <w:r>
        <w:rPr>
          <w:rFonts w:ascii="Arial" w:cs="Arial" w:eastAsia="Arial" w:hAnsi="Arial"/>
          <w:sz w:val="20"/>
          <w:szCs w:val="20"/>
          <w:color w:val="auto"/>
        </w:rPr>
        <w:t>” shall mean any corporation, partnership, association, joint-stock company, limited liability company, trust, unincorporated organization or other business entity.</w:t>
      </w:r>
    </w:p>
    <w:p>
      <w:pPr>
        <w:spacing w:after="0" w:line="188" w:lineRule="exact"/>
        <w:rPr>
          <w:rFonts w:ascii="Arial" w:cs="Arial" w:eastAsia="Arial" w:hAnsi="Arial"/>
          <w:sz w:val="18"/>
          <w:szCs w:val="18"/>
          <w:color w:val="auto"/>
        </w:rPr>
      </w:pPr>
    </w:p>
    <w:p>
      <w:pPr>
        <w:ind w:left="1520" w:hanging="864"/>
        <w:spacing w:after="0"/>
        <w:tabs>
          <w:tab w:leader="none" w:pos="1520" w:val="left"/>
        </w:tabs>
        <w:numPr>
          <w:ilvl w:val="0"/>
          <w:numId w:val="70"/>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shall mean the U.S. Securities Exchange Act of 1934, as amended from time to time.</w:t>
      </w:r>
    </w:p>
    <w:p>
      <w:pPr>
        <w:spacing w:after="0" w:line="256" w:lineRule="exact"/>
        <w:rPr>
          <w:rFonts w:ascii="Arial" w:cs="Arial" w:eastAsia="Arial" w:hAnsi="Arial"/>
          <w:sz w:val="18"/>
          <w:szCs w:val="18"/>
          <w:color w:val="auto"/>
        </w:rPr>
      </w:pPr>
    </w:p>
    <w:p>
      <w:pPr>
        <w:ind w:left="1520" w:hanging="864"/>
        <w:spacing w:after="0"/>
        <w:tabs>
          <w:tab w:leader="none" w:pos="1520" w:val="left"/>
        </w:tabs>
        <w:numPr>
          <w:ilvl w:val="0"/>
          <w:numId w:val="70"/>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Good Reason</w:t>
      </w:r>
      <w:r>
        <w:rPr>
          <w:rFonts w:ascii="Arial" w:cs="Arial" w:eastAsia="Arial" w:hAnsi="Arial"/>
          <w:sz w:val="20"/>
          <w:szCs w:val="20"/>
          <w:color w:val="auto"/>
        </w:rPr>
        <w:t>” shall mean the occurrence of any of the following:</w:t>
      </w:r>
    </w:p>
    <w:p>
      <w:pPr>
        <w:spacing w:after="0" w:line="256" w:lineRule="exact"/>
        <w:rPr>
          <w:rFonts w:ascii="Arial" w:cs="Arial" w:eastAsia="Arial" w:hAnsi="Arial"/>
          <w:sz w:val="18"/>
          <w:szCs w:val="18"/>
          <w:color w:val="auto"/>
        </w:rPr>
      </w:pPr>
    </w:p>
    <w:p>
      <w:pPr>
        <w:jc w:val="both"/>
        <w:ind w:firstLine="1305"/>
        <w:spacing w:after="0" w:line="302" w:lineRule="auto"/>
        <w:tabs>
          <w:tab w:leader="none" w:pos="2115" w:val="left"/>
        </w:tabs>
        <w:numPr>
          <w:ilvl w:val="1"/>
          <w:numId w:val="70"/>
        </w:numPr>
        <w:rPr>
          <w:rFonts w:ascii="Arial" w:cs="Arial" w:eastAsia="Arial" w:hAnsi="Arial"/>
          <w:sz w:val="16"/>
          <w:szCs w:val="16"/>
          <w:color w:val="auto"/>
        </w:rPr>
      </w:pPr>
      <w:r>
        <w:rPr>
          <w:rFonts w:ascii="Arial" w:cs="Arial" w:eastAsia="Arial" w:hAnsi="Arial"/>
          <w:sz w:val="18"/>
          <w:szCs w:val="18"/>
          <w:color w:val="auto"/>
        </w:rPr>
        <w:t xml:space="preserve">the assignment to the Executive of any position, authority, duties or responsibilities materially inconsistent with the Executive’s position (including offices, titles and reporting requirements), authority, duties or responsibilities as contemplated by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or any other action by the Company, Weatherford Ireland or any Subsidiary which results in a material diminution in such position, authority, duties or responsibilities (including, in connection with a Change of Control or other Corporate Transaction in which Weatherford Ireland’s ordinary shares may cease to be publicly traded, Executive being assigned to any position (including offices, titles and reporting requirements), authority, duties or responsibilities that are not at or with the ultimate parent company engaged in the business of the successor to Weatherford Ireland or the corporation or other Entity surviving or resulting from such Corporate Transaction), excluding for this purpose an isolated, insubstantial and inadvertent action not taken in bad faith and which is remedied by Weatherford Ireland or the Company promptly after receipt of notice thereof given by the Executive;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alteration by the Company or Weatherford Ireland of Executive’s position, authority, duties or responsibilities shall not constitute Good Reason if the Executive continues to report directly to a Senior Vice President, an Executive Vice President or more senior executive officer of Weatherford Ireland;</w:t>
      </w:r>
    </w:p>
    <w:p>
      <w:pPr>
        <w:spacing w:after="0" w:line="187" w:lineRule="exact"/>
        <w:rPr>
          <w:rFonts w:ascii="Arial" w:cs="Arial" w:eastAsia="Arial" w:hAnsi="Arial"/>
          <w:sz w:val="16"/>
          <w:szCs w:val="16"/>
          <w:color w:val="auto"/>
        </w:rPr>
      </w:pPr>
    </w:p>
    <w:p>
      <w:pPr>
        <w:jc w:val="both"/>
        <w:ind w:firstLine="1305"/>
        <w:spacing w:after="0" w:line="267" w:lineRule="auto"/>
        <w:tabs>
          <w:tab w:leader="none" w:pos="2165" w:val="left"/>
        </w:tabs>
        <w:numPr>
          <w:ilvl w:val="1"/>
          <w:numId w:val="70"/>
        </w:numPr>
        <w:rPr>
          <w:rFonts w:ascii="Arial" w:cs="Arial" w:eastAsia="Arial" w:hAnsi="Arial"/>
          <w:sz w:val="18"/>
          <w:szCs w:val="18"/>
          <w:color w:val="auto"/>
        </w:rPr>
      </w:pPr>
      <w:r>
        <w:rPr>
          <w:rFonts w:ascii="Arial" w:cs="Arial" w:eastAsia="Arial" w:hAnsi="Arial"/>
          <w:sz w:val="20"/>
          <w:szCs w:val="20"/>
          <w:color w:val="auto"/>
        </w:rPr>
        <w:t xml:space="preserve">any material failure by the Company or any Subsidiary to comply with any of the provisions of this Agreement (including, without limitation, its obligations under </w:t>
      </w:r>
      <w:r>
        <w:rPr>
          <w:rFonts w:ascii="Arial" w:cs="Arial" w:eastAsia="Arial" w:hAnsi="Arial"/>
          <w:sz w:val="20"/>
          <w:szCs w:val="20"/>
          <w:u w:val="single" w:color="auto"/>
          <w:color w:val="auto"/>
        </w:rPr>
        <w:t>Section 3(a</w:t>
      </w:r>
      <w:r>
        <w:rPr>
          <w:rFonts w:ascii="Arial" w:cs="Arial" w:eastAsia="Arial" w:hAnsi="Arial"/>
          <w:sz w:val="20"/>
          <w:szCs w:val="20"/>
          <w:color w:val="auto"/>
        </w:rPr>
        <w:t>)), other than an isolated, insubstantial and inadvertent failure not occurring in bad faith and which is remedied by the Company or any Subsidiary, as appropriate, promptly after receipt of notice thereof given by the Executive; or</w:t>
      </w:r>
    </w:p>
    <w:p>
      <w:pPr>
        <w:spacing w:after="0" w:line="2" w:lineRule="exact"/>
        <w:rPr>
          <w:rFonts w:ascii="Arial" w:cs="Arial" w:eastAsia="Arial" w:hAnsi="Arial"/>
          <w:sz w:val="18"/>
          <w:szCs w:val="18"/>
          <w:color w:val="auto"/>
        </w:rPr>
      </w:pPr>
    </w:p>
    <w:p>
      <w:pPr>
        <w:ind w:left="2220" w:hanging="915"/>
        <w:spacing w:after="0"/>
        <w:tabs>
          <w:tab w:leader="none" w:pos="2220" w:val="left"/>
        </w:tabs>
        <w:numPr>
          <w:ilvl w:val="1"/>
          <w:numId w:val="70"/>
        </w:numPr>
        <w:rPr>
          <w:rFonts w:ascii="Arial" w:cs="Arial" w:eastAsia="Arial" w:hAnsi="Arial"/>
          <w:sz w:val="18"/>
          <w:szCs w:val="18"/>
          <w:color w:val="auto"/>
        </w:rPr>
      </w:pPr>
      <w:r>
        <w:rPr>
          <w:rFonts w:ascii="Arial" w:cs="Arial" w:eastAsia="Arial" w:hAnsi="Arial"/>
          <w:sz w:val="20"/>
          <w:szCs w:val="20"/>
          <w:color w:val="auto"/>
        </w:rPr>
        <w:t>[reserved];</w:t>
      </w:r>
    </w:p>
    <w:p>
      <w:pPr>
        <w:spacing w:after="0" w:line="256" w:lineRule="exact"/>
        <w:rPr>
          <w:rFonts w:ascii="Arial" w:cs="Arial" w:eastAsia="Arial" w:hAnsi="Arial"/>
          <w:sz w:val="18"/>
          <w:szCs w:val="18"/>
          <w:color w:val="auto"/>
        </w:rPr>
      </w:pPr>
    </w:p>
    <w:p>
      <w:pPr>
        <w:ind w:left="2220" w:hanging="915"/>
        <w:spacing w:after="0"/>
        <w:tabs>
          <w:tab w:leader="none" w:pos="2220" w:val="left"/>
        </w:tabs>
        <w:numPr>
          <w:ilvl w:val="1"/>
          <w:numId w:val="70"/>
        </w:numPr>
        <w:rPr>
          <w:rFonts w:ascii="Arial" w:cs="Arial" w:eastAsia="Arial" w:hAnsi="Arial"/>
          <w:sz w:val="16"/>
          <w:szCs w:val="16"/>
          <w:color w:val="auto"/>
        </w:rPr>
      </w:pPr>
      <w:r>
        <w:rPr>
          <w:rFonts w:ascii="Arial" w:cs="Arial" w:eastAsia="Arial" w:hAnsi="Arial"/>
          <w:sz w:val="18"/>
          <w:szCs w:val="18"/>
          <w:color w:val="auto"/>
        </w:rPr>
        <w:t xml:space="preserve">any failure by the Company to comply with and satisfy </w:t>
      </w:r>
      <w:r>
        <w:rPr>
          <w:rFonts w:ascii="Arial" w:cs="Arial" w:eastAsia="Arial" w:hAnsi="Arial"/>
          <w:sz w:val="18"/>
          <w:szCs w:val="18"/>
          <w:u w:val="single" w:color="auto"/>
          <w:color w:val="auto"/>
        </w:rPr>
        <w:t>Section 13(c)</w:t>
      </w:r>
      <w:r>
        <w:rPr>
          <w:rFonts w:ascii="Arial" w:cs="Arial" w:eastAsia="Arial" w:hAnsi="Arial"/>
          <w:sz w:val="18"/>
          <w:szCs w:val="18"/>
          <w:color w:val="auto"/>
        </w:rPr>
        <w:t xml:space="preserve"> (regarding assumption of this Agreement by a</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successor); or</w:t>
      </w:r>
    </w:p>
    <w:p>
      <w:pPr>
        <w:spacing w:after="0" w:line="256" w:lineRule="exact"/>
        <w:rPr>
          <w:rFonts w:ascii="Arial" w:cs="Arial" w:eastAsia="Arial" w:hAnsi="Arial"/>
          <w:sz w:val="16"/>
          <w:szCs w:val="16"/>
          <w:color w:val="auto"/>
        </w:rPr>
      </w:pPr>
    </w:p>
    <w:p>
      <w:pPr>
        <w:ind w:left="2160" w:hanging="855"/>
        <w:spacing w:after="0"/>
        <w:tabs>
          <w:tab w:leader="none" w:pos="2160" w:val="left"/>
        </w:tabs>
        <w:numPr>
          <w:ilvl w:val="1"/>
          <w:numId w:val="70"/>
        </w:numPr>
        <w:rPr>
          <w:rFonts w:ascii="Arial" w:cs="Arial" w:eastAsia="Arial" w:hAnsi="Arial"/>
          <w:sz w:val="18"/>
          <w:szCs w:val="18"/>
          <w:color w:val="auto"/>
        </w:rPr>
      </w:pPr>
      <w:r>
        <w:rPr>
          <w:rFonts w:ascii="Arial" w:cs="Arial" w:eastAsia="Arial" w:hAnsi="Arial"/>
          <w:sz w:val="20"/>
          <w:szCs w:val="20"/>
          <w:color w:val="auto"/>
        </w:rPr>
        <w:t>the Company’s giving of notice to the Executive that the Employment Period shall not be extended.</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that no such event described in (i) through (iv) above shall constitute “Good Reason” if the Company cures such event within thirty</w:t>
      </w:r>
    </w:p>
    <w:p>
      <w:pPr>
        <w:spacing w:after="0" w:line="39" w:lineRule="exact"/>
        <w:rPr>
          <w:sz w:val="20"/>
          <w:szCs w:val="20"/>
          <w:color w:val="auto"/>
        </w:rPr>
      </w:pPr>
    </w:p>
    <w:p>
      <w:pPr>
        <w:jc w:val="both"/>
        <w:ind w:firstLine="8"/>
        <w:spacing w:after="0" w:line="241" w:lineRule="auto"/>
        <w:tabs>
          <w:tab w:leader="none" w:pos="383" w:val="left"/>
        </w:tabs>
        <w:numPr>
          <w:ilvl w:val="0"/>
          <w:numId w:val="71"/>
        </w:numPr>
        <w:rPr>
          <w:rFonts w:ascii="Arial" w:cs="Arial" w:eastAsia="Arial" w:hAnsi="Arial"/>
          <w:sz w:val="20"/>
          <w:szCs w:val="20"/>
          <w:color w:val="auto"/>
        </w:rPr>
      </w:pPr>
      <w:r>
        <w:rPr>
          <w:rFonts w:ascii="Arial" w:cs="Arial" w:eastAsia="Arial" w:hAnsi="Arial"/>
          <w:sz w:val="20"/>
          <w:szCs w:val="20"/>
          <w:color w:val="auto"/>
        </w:rPr>
        <w:t xml:space="preserve">days following the Company’s receipt of a Notice of Breach asserting that such event constitutes Good Reason; and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that no event described in (i) through (iv) above shall constitute “Good Reason” unless the Company receives a Notice of Breach within ninety (90) days following the date such Executive obtains actual knowledge of such event (or such longer period as Executive and the Company may agree to allow for reasonable investigation and remedy of such event).</w:t>
      </w:r>
    </w:p>
    <w:p>
      <w:pPr>
        <w:spacing w:after="0" w:line="208" w:lineRule="exact"/>
        <w:rPr>
          <w:rFonts w:ascii="Arial" w:cs="Arial" w:eastAsia="Arial" w:hAnsi="Arial"/>
          <w:sz w:val="20"/>
          <w:szCs w:val="20"/>
          <w:color w:val="auto"/>
        </w:rPr>
      </w:pPr>
    </w:p>
    <w:p>
      <w:pPr>
        <w:ind w:left="1520" w:hanging="864"/>
        <w:spacing w:after="0"/>
        <w:tabs>
          <w:tab w:leader="none" w:pos="1520" w:val="left"/>
        </w:tabs>
        <w:numPr>
          <w:ilvl w:val="1"/>
          <w:numId w:val="71"/>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shall mean the U.S. Internal Revenue Service.</w:t>
      </w:r>
    </w:p>
    <w:p>
      <w:pPr>
        <w:spacing w:after="0" w:line="256" w:lineRule="exact"/>
        <w:rPr>
          <w:rFonts w:ascii="Arial" w:cs="Arial" w:eastAsia="Arial" w:hAnsi="Arial"/>
          <w:sz w:val="18"/>
          <w:szCs w:val="18"/>
          <w:color w:val="auto"/>
        </w:rPr>
      </w:pPr>
    </w:p>
    <w:p>
      <w:pPr>
        <w:jc w:val="both"/>
        <w:ind w:firstLine="656"/>
        <w:spacing w:after="0" w:line="274" w:lineRule="auto"/>
        <w:tabs>
          <w:tab w:leader="none" w:pos="1506" w:val="left"/>
        </w:tabs>
        <w:numPr>
          <w:ilvl w:val="1"/>
          <w:numId w:val="71"/>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shall have the meaning given in Section 3(a)(9) of the Exchange Act, as modified and used in Sections 13(d) and 14(d) thereof, except that such term shall not include (i) Weatherford Ireland or any of its Subsidiaries, (ii) a trustee or other fiduciary holding securities under a Benefit Plan of Weatherford Ireland or any of its Affiliated Companies, (iii) an underwriter temporarily holding securities pursuant to an</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9140" w:hanging="111"/>
        <w:spacing w:after="0"/>
        <w:tabs>
          <w:tab w:leader="none" w:pos="9140" w:val="left"/>
        </w:tabs>
        <w:numPr>
          <w:ilvl w:val="2"/>
          <w:numId w:val="71"/>
        </w:numPr>
        <w:rPr>
          <w:rFonts w:ascii="Arial" w:cs="Arial" w:eastAsia="Arial" w:hAnsi="Arial"/>
          <w:sz w:val="16"/>
          <w:szCs w:val="16"/>
          <w:color w:val="auto"/>
        </w:rPr>
      </w:pPr>
      <w:r>
        <w:rPr>
          <w:rFonts w:ascii="Arial" w:cs="Arial" w:eastAsia="Arial" w:hAnsi="Arial"/>
          <w:sz w:val="14"/>
          <w:szCs w:val="14"/>
          <w:color w:val="auto"/>
        </w:rPr>
        <w:t>Executive Employment Agreement</w:t>
      </w:r>
    </w:p>
    <w:p>
      <w:pPr>
        <w:spacing w:after="0" w:line="28"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6"/>
          <w:szCs w:val="16"/>
          <w:color w:val="auto"/>
        </w:rPr>
        <w:t>4</w:t>
      </w:r>
    </w:p>
    <w:p>
      <w:pPr>
        <w:sectPr>
          <w:pgSz w:w="11900" w:h="16838" w:orient="portrait"/>
          <w:cols w:equalWidth="0" w:num="1">
            <w:col w:w="11420"/>
          </w:cols>
          <w:pgMar w:left="240" w:top="379" w:right="239" w:bottom="1440" w:gutter="0" w:footer="0" w:header="0"/>
        </w:sectPr>
      </w:pPr>
    </w:p>
    <w:bookmarkStart w:id="131" w:name="page132"/>
    <w:bookmarkEnd w:id="131"/>
    <w:p>
      <w:pPr>
        <w:spacing w:after="0" w:line="289" w:lineRule="auto"/>
        <w:rPr>
          <w:sz w:val="20"/>
          <w:szCs w:val="20"/>
          <w:color w:val="auto"/>
        </w:rPr>
      </w:pPr>
      <w:r>
        <w:rPr>
          <w:rFonts w:ascii="Arial" w:cs="Arial" w:eastAsia="Arial" w:hAnsi="Arial"/>
          <w:sz w:val="20"/>
          <w:szCs w:val="20"/>
          <w:color w:val="auto"/>
        </w:rPr>
        <w:t>offering by Weatherford Ireland of such securities, or (iv) a corporation or other Entity owned, directly or indirectly, by the shareholders of Weatherford Ireland in the same proportions as their ownership of ordinary shares of Weatherford Ireland.</w:t>
      </w:r>
    </w:p>
    <w:p>
      <w:pPr>
        <w:spacing w:after="0" w:line="189" w:lineRule="exact"/>
        <w:rPr>
          <w:sz w:val="20"/>
          <w:szCs w:val="20"/>
          <w:color w:val="auto"/>
        </w:rPr>
      </w:pPr>
    </w:p>
    <w:p>
      <w:pPr>
        <w:ind w:left="1480" w:hanging="824"/>
        <w:spacing w:after="0"/>
        <w:tabs>
          <w:tab w:leader="none" w:pos="1480" w:val="left"/>
        </w:tabs>
        <w:numPr>
          <w:ilvl w:val="1"/>
          <w:numId w:val="72"/>
        </w:numPr>
        <w:rPr>
          <w:rFonts w:ascii="Arial" w:cs="Arial" w:eastAsia="Arial" w:hAnsi="Arial"/>
          <w:sz w:val="17"/>
          <w:szCs w:val="17"/>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Section 409A</w:t>
      </w:r>
      <w:r>
        <w:rPr>
          <w:rFonts w:ascii="Arial" w:cs="Arial" w:eastAsia="Arial" w:hAnsi="Arial"/>
          <w:sz w:val="19"/>
          <w:szCs w:val="19"/>
          <w:color w:val="auto"/>
        </w:rPr>
        <w:t>” means Section 409A of the Code and the final Department of Treasury regulations issued thereunder.</w:t>
      </w:r>
    </w:p>
    <w:p>
      <w:pPr>
        <w:spacing w:after="0" w:line="267" w:lineRule="exact"/>
        <w:rPr>
          <w:rFonts w:ascii="Arial" w:cs="Arial" w:eastAsia="Arial" w:hAnsi="Arial"/>
          <w:sz w:val="17"/>
          <w:szCs w:val="17"/>
          <w:color w:val="auto"/>
        </w:rPr>
      </w:pPr>
    </w:p>
    <w:p>
      <w:pPr>
        <w:ind w:left="1500" w:hanging="844"/>
        <w:spacing w:after="0"/>
        <w:tabs>
          <w:tab w:leader="none" w:pos="1500" w:val="left"/>
        </w:tabs>
        <w:numPr>
          <w:ilvl w:val="1"/>
          <w:numId w:val="72"/>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Section 409A Amounts</w:t>
      </w:r>
      <w:r>
        <w:rPr>
          <w:rFonts w:ascii="Arial" w:cs="Arial" w:eastAsia="Arial" w:hAnsi="Arial"/>
          <w:sz w:val="20"/>
          <w:szCs w:val="20"/>
          <w:color w:val="auto"/>
        </w:rPr>
        <w:t>” means those amounts that are deferred compensation subject to Section 409A.</w:t>
      </w:r>
    </w:p>
    <w:p>
      <w:pPr>
        <w:spacing w:after="0" w:line="256" w:lineRule="exact"/>
        <w:rPr>
          <w:rFonts w:ascii="Arial" w:cs="Arial" w:eastAsia="Arial" w:hAnsi="Arial"/>
          <w:sz w:val="18"/>
          <w:szCs w:val="18"/>
          <w:color w:val="auto"/>
        </w:rPr>
      </w:pPr>
    </w:p>
    <w:p>
      <w:pPr>
        <w:ind w:left="1480" w:hanging="824"/>
        <w:spacing w:after="0"/>
        <w:tabs>
          <w:tab w:leader="none" w:pos="1480" w:val="left"/>
        </w:tabs>
        <w:numPr>
          <w:ilvl w:val="1"/>
          <w:numId w:val="72"/>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Separation From Service</w:t>
      </w:r>
      <w:r>
        <w:rPr>
          <w:rFonts w:ascii="Arial" w:cs="Arial" w:eastAsia="Arial" w:hAnsi="Arial"/>
          <w:sz w:val="20"/>
          <w:szCs w:val="20"/>
          <w:color w:val="auto"/>
        </w:rPr>
        <w:t>” shall have the meaning ascribed to such term in Section 409A.</w:t>
      </w:r>
    </w:p>
    <w:p>
      <w:pPr>
        <w:spacing w:after="0" w:line="256" w:lineRule="exact"/>
        <w:rPr>
          <w:rFonts w:ascii="Arial" w:cs="Arial" w:eastAsia="Arial" w:hAnsi="Arial"/>
          <w:sz w:val="18"/>
          <w:szCs w:val="18"/>
          <w:color w:val="auto"/>
        </w:rPr>
      </w:pPr>
    </w:p>
    <w:p>
      <w:pPr>
        <w:ind w:left="1520" w:hanging="864"/>
        <w:spacing w:after="0"/>
        <w:tabs>
          <w:tab w:leader="none" w:pos="1520" w:val="left"/>
        </w:tabs>
        <w:numPr>
          <w:ilvl w:val="1"/>
          <w:numId w:val="72"/>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Employee</w:t>
      </w:r>
      <w:r>
        <w:rPr>
          <w:rFonts w:ascii="Arial" w:cs="Arial" w:eastAsia="Arial" w:hAnsi="Arial"/>
          <w:sz w:val="20"/>
          <w:szCs w:val="20"/>
          <w:color w:val="auto"/>
        </w:rPr>
        <w:t>” shall have the meaning ascribed to such term in Section 409A.</w:t>
      </w:r>
    </w:p>
    <w:p>
      <w:pPr>
        <w:spacing w:after="0" w:line="256" w:lineRule="exact"/>
        <w:rPr>
          <w:rFonts w:ascii="Arial" w:cs="Arial" w:eastAsia="Arial" w:hAnsi="Arial"/>
          <w:sz w:val="18"/>
          <w:szCs w:val="18"/>
          <w:color w:val="auto"/>
        </w:rPr>
      </w:pPr>
    </w:p>
    <w:p>
      <w:pPr>
        <w:jc w:val="both"/>
        <w:ind w:firstLine="656"/>
        <w:spacing w:after="0" w:line="278" w:lineRule="auto"/>
        <w:tabs>
          <w:tab w:leader="none" w:pos="1506" w:val="left"/>
        </w:tabs>
        <w:numPr>
          <w:ilvl w:val="1"/>
          <w:numId w:val="72"/>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shall mean any majority-owned subsidiary of Weatherford Ireland or any majority-owned subsidiary thereof, or any other Entity in which Weatherford Ireland owns, directly or indirectly, a significant financial interest provided that the Chief Executive Officer of Weatherford Ireland designates such Entity to be a Subsidiary for the purposes of this Agreement.</w:t>
      </w:r>
    </w:p>
    <w:p>
      <w:pPr>
        <w:spacing w:after="0" w:line="200" w:lineRule="exact"/>
        <w:rPr>
          <w:rFonts w:ascii="Arial" w:cs="Arial" w:eastAsia="Arial" w:hAnsi="Arial"/>
          <w:sz w:val="18"/>
          <w:szCs w:val="18"/>
          <w:color w:val="auto"/>
        </w:rPr>
      </w:pPr>
    </w:p>
    <w:p>
      <w:pPr>
        <w:ind w:firstLine="656"/>
        <w:spacing w:after="0" w:line="347" w:lineRule="auto"/>
        <w:tabs>
          <w:tab w:leader="none" w:pos="1546" w:val="left"/>
        </w:tabs>
        <w:numPr>
          <w:ilvl w:val="1"/>
          <w:numId w:val="72"/>
        </w:numPr>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Weatherford Ireland</w:t>
      </w:r>
      <w:r>
        <w:rPr>
          <w:rFonts w:ascii="Arial" w:cs="Arial" w:eastAsia="Arial" w:hAnsi="Arial"/>
          <w:sz w:val="18"/>
          <w:szCs w:val="18"/>
          <w:color w:val="auto"/>
        </w:rPr>
        <w:t>” shall have the meaning set forth in the recitals, and shall include (but not be limited to) any Entity into which Weatherford Ireland is merged, consolidated or amalgamated, or any Entity otherwise resulting from a Corporate Transaction.</w:t>
      </w:r>
    </w:p>
    <w:p>
      <w:pPr>
        <w:spacing w:after="0" w:line="144" w:lineRule="exact"/>
        <w:rPr>
          <w:rFonts w:ascii="Arial" w:cs="Arial" w:eastAsia="Arial" w:hAnsi="Arial"/>
          <w:sz w:val="16"/>
          <w:szCs w:val="16"/>
          <w:color w:val="auto"/>
        </w:rPr>
      </w:pPr>
    </w:p>
    <w:p>
      <w:pPr>
        <w:ind w:firstLine="656"/>
        <w:spacing w:after="0" w:line="289" w:lineRule="auto"/>
        <w:tabs>
          <w:tab w:leader="none" w:pos="1506" w:val="left"/>
        </w:tabs>
        <w:numPr>
          <w:ilvl w:val="1"/>
          <w:numId w:val="72"/>
        </w:numPr>
        <w:rPr>
          <w:rFonts w:ascii="Arial" w:cs="Arial" w:eastAsia="Arial" w:hAnsi="Arial"/>
          <w:sz w:val="18"/>
          <w:szCs w:val="18"/>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Weatherford Ireland Assets</w:t>
      </w:r>
      <w:r>
        <w:rPr>
          <w:rFonts w:ascii="Arial" w:cs="Arial" w:eastAsia="Arial" w:hAnsi="Arial"/>
          <w:sz w:val="20"/>
          <w:szCs w:val="20"/>
          <w:color w:val="auto"/>
        </w:rPr>
        <w:t>” shall mean the assets (of any kind) owned by Weatherford Ireland, including, without limitation, the securities of any Subsidiaries and any of the assets owned by any Subsidiaries.</w:t>
      </w:r>
    </w:p>
    <w:p>
      <w:pPr>
        <w:spacing w:after="0" w:line="188" w:lineRule="exact"/>
        <w:rPr>
          <w:rFonts w:ascii="Arial" w:cs="Arial" w:eastAsia="Arial" w:hAnsi="Arial"/>
          <w:sz w:val="18"/>
          <w:szCs w:val="18"/>
          <w:color w:val="auto"/>
        </w:rPr>
      </w:pPr>
    </w:p>
    <w:p>
      <w:pPr>
        <w:jc w:val="both"/>
        <w:ind w:firstLine="8"/>
        <w:spacing w:after="0" w:line="286" w:lineRule="auto"/>
        <w:tabs>
          <w:tab w:leader="none" w:pos="783" w:val="left"/>
        </w:tabs>
        <w:numPr>
          <w:ilvl w:val="0"/>
          <w:numId w:val="73"/>
        </w:numPr>
        <w:rPr>
          <w:rFonts w:ascii="Arial" w:cs="Arial" w:eastAsia="Arial" w:hAnsi="Arial"/>
          <w:sz w:val="17"/>
          <w:szCs w:val="17"/>
          <w:color w:val="auto"/>
        </w:rPr>
      </w:pPr>
      <w:r>
        <w:rPr>
          <w:rFonts w:ascii="Arial" w:cs="Arial" w:eastAsia="Arial" w:hAnsi="Arial"/>
          <w:sz w:val="19"/>
          <w:szCs w:val="19"/>
          <w:u w:val="single" w:color="auto"/>
          <w:color w:val="auto"/>
        </w:rPr>
        <w:t>Employment Period</w:t>
      </w:r>
      <w:r>
        <w:rPr>
          <w:rFonts w:ascii="Arial" w:cs="Arial" w:eastAsia="Arial" w:hAnsi="Arial"/>
          <w:sz w:val="19"/>
          <w:szCs w:val="19"/>
          <w:color w:val="auto"/>
        </w:rPr>
        <w:t>. The Company hereby agrees that the Company will continue to employ the Executive, and the Executive hereby agrees to continue to be employed by the Company subject to the terms and conditions of this Agreement during the Employment Period. During the Employment Period, Executive expressly agrees that Executive may be seconded to the employment of Weatherford U.S., L.P. (or such other Affiliate as specifically agreed by the Executive) (the “</w:t>
      </w:r>
      <w:r>
        <w:rPr>
          <w:rFonts w:ascii="Arial" w:cs="Arial" w:eastAsia="Arial" w:hAnsi="Arial"/>
          <w:sz w:val="19"/>
          <w:szCs w:val="19"/>
          <w:u w:val="single" w:color="auto"/>
          <w:color w:val="auto"/>
        </w:rPr>
        <w:t>Seconded Affiliate Company</w:t>
      </w:r>
      <w:r>
        <w:rPr>
          <w:rFonts w:ascii="Arial" w:cs="Arial" w:eastAsia="Arial" w:hAnsi="Arial"/>
          <w:sz w:val="19"/>
          <w:szCs w:val="19"/>
          <w:color w:val="auto"/>
        </w:rPr>
        <w:t>”), but without prejudice to the Company’s or Weatherford Ireland’s obligations or the Executive’s rights under this Agreement. The Executive shall carry out Executive’s duties as if they were duties to be performed on behalf of the Company. Each Seconded Affiliate Company shall be subject to all of the obligations and agreements of the Company under this Agreement and the Company shall be responsible for actions and inactions of the Seconded Affiliate Company. Any breach or failure to abide by the terms and conditions of this Agreement by a Seconded Affiliate Company shall be deemed to constitute a breach or failure to abide by the Company.</w:t>
      </w:r>
    </w:p>
    <w:p>
      <w:pPr>
        <w:spacing w:after="0" w:line="195" w:lineRule="exact"/>
        <w:rPr>
          <w:rFonts w:ascii="Arial" w:cs="Arial" w:eastAsia="Arial" w:hAnsi="Arial"/>
          <w:sz w:val="17"/>
          <w:szCs w:val="17"/>
          <w:color w:val="auto"/>
        </w:rPr>
      </w:pPr>
    </w:p>
    <w:p>
      <w:pPr>
        <w:ind w:left="800" w:hanging="792"/>
        <w:spacing w:after="0"/>
        <w:tabs>
          <w:tab w:leader="none" w:pos="800" w:val="left"/>
        </w:tabs>
        <w:numPr>
          <w:ilvl w:val="0"/>
          <w:numId w:val="73"/>
        </w:numPr>
        <w:rPr>
          <w:rFonts w:ascii="Arial" w:cs="Arial" w:eastAsia="Arial" w:hAnsi="Arial"/>
          <w:sz w:val="18"/>
          <w:szCs w:val="18"/>
          <w:color w:val="auto"/>
        </w:rPr>
      </w:pPr>
      <w:r>
        <w:rPr>
          <w:rFonts w:ascii="Arial" w:cs="Arial" w:eastAsia="Arial" w:hAnsi="Arial"/>
          <w:sz w:val="20"/>
          <w:szCs w:val="20"/>
          <w:u w:val="single" w:color="auto"/>
          <w:color w:val="auto"/>
        </w:rPr>
        <w:t>Terms of Employment</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ind w:left="1500" w:hanging="844"/>
        <w:spacing w:after="0"/>
        <w:tabs>
          <w:tab w:leader="none" w:pos="1500" w:val="left"/>
        </w:tabs>
        <w:numPr>
          <w:ilvl w:val="1"/>
          <w:numId w:val="73"/>
        </w:numPr>
        <w:rPr>
          <w:rFonts w:ascii="Arial" w:cs="Arial" w:eastAsia="Arial" w:hAnsi="Arial"/>
          <w:sz w:val="18"/>
          <w:szCs w:val="18"/>
          <w:color w:val="auto"/>
        </w:rPr>
      </w:pPr>
      <w:r>
        <w:rPr>
          <w:rFonts w:ascii="Arial" w:cs="Arial" w:eastAsia="Arial" w:hAnsi="Arial"/>
          <w:sz w:val="20"/>
          <w:szCs w:val="20"/>
          <w:color w:val="auto"/>
        </w:rPr>
        <w:t>Position and Duties.</w:t>
      </w:r>
    </w:p>
    <w:p>
      <w:pPr>
        <w:spacing w:after="0" w:line="256" w:lineRule="exact"/>
        <w:rPr>
          <w:rFonts w:ascii="Arial" w:cs="Arial" w:eastAsia="Arial" w:hAnsi="Arial"/>
          <w:sz w:val="18"/>
          <w:szCs w:val="18"/>
          <w:color w:val="auto"/>
        </w:rPr>
      </w:pPr>
    </w:p>
    <w:p>
      <w:pPr>
        <w:ind w:right="20" w:firstLine="1305"/>
        <w:spacing w:after="0" w:line="347" w:lineRule="auto"/>
        <w:tabs>
          <w:tab w:leader="none" w:pos="2115" w:val="left"/>
        </w:tabs>
        <w:numPr>
          <w:ilvl w:val="2"/>
          <w:numId w:val="73"/>
        </w:numPr>
        <w:rPr>
          <w:rFonts w:ascii="Arial" w:cs="Arial" w:eastAsia="Arial" w:hAnsi="Arial"/>
          <w:sz w:val="16"/>
          <w:szCs w:val="16"/>
          <w:color w:val="auto"/>
        </w:rPr>
      </w:pPr>
      <w:r>
        <w:rPr>
          <w:rFonts w:ascii="Arial" w:cs="Arial" w:eastAsia="Arial" w:hAnsi="Arial"/>
          <w:sz w:val="18"/>
          <w:szCs w:val="18"/>
          <w:color w:val="auto"/>
        </w:rPr>
        <w:t>During the Employment Period, the Executive’s position with the Company (including offices, titles, reporting requirements, authority, duties and responsibilities) shall be as identified on the signature page hereto or as shall be revised by the Company</w:t>
      </w:r>
      <w:r>
        <w:rPr>
          <w:rFonts w:ascii="Arial" w:cs="Arial" w:eastAsia="Arial" w:hAnsi="Arial"/>
          <w:sz w:val="18"/>
          <w:szCs w:val="18"/>
          <w:i w:val="1"/>
          <w:iCs w:val="1"/>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9140" w:hanging="111"/>
        <w:spacing w:after="0"/>
        <w:tabs>
          <w:tab w:leader="none" w:pos="9140" w:val="left"/>
        </w:tabs>
        <w:numPr>
          <w:ilvl w:val="3"/>
          <w:numId w:val="73"/>
        </w:numPr>
        <w:rPr>
          <w:rFonts w:ascii="Arial" w:cs="Arial" w:eastAsia="Arial" w:hAnsi="Arial"/>
          <w:sz w:val="16"/>
          <w:szCs w:val="16"/>
          <w:color w:val="auto"/>
        </w:rPr>
      </w:pPr>
      <w:r>
        <w:rPr>
          <w:rFonts w:ascii="Arial" w:cs="Arial" w:eastAsia="Arial" w:hAnsi="Arial"/>
          <w:sz w:val="14"/>
          <w:szCs w:val="14"/>
          <w:color w:val="auto"/>
        </w:rPr>
        <w:t>Executive Employment Agreement</w:t>
      </w:r>
    </w:p>
    <w:p>
      <w:pPr>
        <w:spacing w:after="0" w:line="28"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6"/>
          <w:szCs w:val="16"/>
          <w:color w:val="auto"/>
        </w:rPr>
        <w:t>5</w:t>
      </w:r>
    </w:p>
    <w:p>
      <w:pPr>
        <w:sectPr>
          <w:pgSz w:w="11900" w:h="16838" w:orient="portrait"/>
          <w:cols w:equalWidth="0" w:num="1">
            <w:col w:w="11420"/>
          </w:cols>
          <w:pgMar w:left="240" w:top="379" w:right="239" w:bottom="1440" w:gutter="0" w:footer="0" w:header="0"/>
        </w:sectPr>
      </w:pPr>
    </w:p>
    <w:bookmarkStart w:id="132" w:name="page133"/>
    <w:bookmarkEnd w:id="132"/>
    <w:p>
      <w:pPr>
        <w:jc w:val="both"/>
        <w:ind w:left="-656" w:firstLine="1305"/>
        <w:spacing w:after="0" w:line="285" w:lineRule="auto"/>
        <w:tabs>
          <w:tab w:leader="none" w:pos="1508" w:val="left"/>
        </w:tabs>
        <w:numPr>
          <w:ilvl w:val="1"/>
          <w:numId w:val="74"/>
        </w:numPr>
        <w:rPr>
          <w:rFonts w:ascii="Arial" w:cs="Arial" w:eastAsia="Arial" w:hAnsi="Arial"/>
          <w:sz w:val="17"/>
          <w:szCs w:val="17"/>
          <w:color w:val="auto"/>
        </w:rPr>
      </w:pPr>
      <w:r>
        <w:rPr>
          <w:rFonts w:ascii="Arial" w:cs="Arial" w:eastAsia="Arial" w:hAnsi="Arial"/>
          <w:sz w:val="19"/>
          <w:szCs w:val="19"/>
          <w:color w:val="auto"/>
        </w:rPr>
        <w:t>During the Employment Period, and excluding any periods of vacation and sick leave to which the Executive is entitled, the Executive agrees to devote reasonable attention and time during normal business hours to the business and affairs of the Company and Weatherford Ireland and its Affiliated Companies, as applicable,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in clause (A), (B), and (C) together do not significantly interfere with the performance of the Executive’s responsibilities as an employee of the Company in accordance with this Agreement. It is expressly understood and agreed that to the extent that such activities have been conducted by the Executive prior to the date hereof, the continued conduct of such activities (or the conduct of activities similar in nature and scope thereto) subsequent to the date hereof shall not thereafter be deemed to interfere with the performance of the Executive’s responsibilities hereunder.</w:t>
      </w:r>
    </w:p>
    <w:p>
      <w:pPr>
        <w:spacing w:after="0" w:line="198" w:lineRule="exact"/>
        <w:rPr>
          <w:rFonts w:ascii="Arial" w:cs="Arial" w:eastAsia="Arial" w:hAnsi="Arial"/>
          <w:sz w:val="17"/>
          <w:szCs w:val="17"/>
          <w:color w:val="auto"/>
        </w:rPr>
      </w:pPr>
    </w:p>
    <w:p>
      <w:pPr>
        <w:ind w:left="864" w:hanging="864"/>
        <w:spacing w:after="0"/>
        <w:tabs>
          <w:tab w:leader="none" w:pos="864" w:val="left"/>
        </w:tabs>
        <w:numPr>
          <w:ilvl w:val="0"/>
          <w:numId w:val="75"/>
        </w:numPr>
        <w:rPr>
          <w:rFonts w:ascii="Arial" w:cs="Arial" w:eastAsia="Arial" w:hAnsi="Arial"/>
          <w:sz w:val="18"/>
          <w:szCs w:val="18"/>
          <w:color w:val="auto"/>
        </w:rPr>
      </w:pPr>
      <w:r>
        <w:rPr>
          <w:rFonts w:ascii="Arial" w:cs="Arial" w:eastAsia="Arial" w:hAnsi="Arial"/>
          <w:sz w:val="20"/>
          <w:szCs w:val="20"/>
          <w:color w:val="auto"/>
        </w:rPr>
        <w:t>Compensation.</w:t>
      </w:r>
    </w:p>
    <w:p>
      <w:pPr>
        <w:spacing w:after="0" w:line="256" w:lineRule="exact"/>
        <w:rPr>
          <w:rFonts w:ascii="Arial" w:cs="Arial" w:eastAsia="Arial" w:hAnsi="Arial"/>
          <w:sz w:val="18"/>
          <w:szCs w:val="18"/>
          <w:color w:val="auto"/>
        </w:rPr>
      </w:pPr>
    </w:p>
    <w:p>
      <w:pPr>
        <w:jc w:val="both"/>
        <w:ind w:left="-656" w:firstLine="1305"/>
        <w:spacing w:after="0" w:line="271" w:lineRule="auto"/>
        <w:tabs>
          <w:tab w:leader="none" w:pos="1458" w:val="left"/>
        </w:tabs>
        <w:numPr>
          <w:ilvl w:val="1"/>
          <w:numId w:val="75"/>
        </w:numPr>
        <w:rPr>
          <w:rFonts w:ascii="Arial" w:cs="Arial" w:eastAsia="Arial" w:hAnsi="Arial"/>
          <w:sz w:val="18"/>
          <w:szCs w:val="18"/>
          <w:color w:val="auto"/>
        </w:rPr>
      </w:pPr>
      <w:r>
        <w:rPr>
          <w:rFonts w:ascii="Arial" w:cs="Arial" w:eastAsia="Arial" w:hAnsi="Arial"/>
          <w:sz w:val="20"/>
          <w:szCs w:val="20"/>
          <w:color w:val="auto"/>
        </w:rPr>
        <w:t>Base Salary. During the Employment Period, the Executive shall receive an annual base salary equal to the current base salary being received by the Executive (“</w:t>
      </w:r>
      <w:r>
        <w:rPr>
          <w:rFonts w:ascii="Arial" w:cs="Arial" w:eastAsia="Arial" w:hAnsi="Arial"/>
          <w:sz w:val="20"/>
          <w:szCs w:val="20"/>
          <w:u w:val="single" w:color="auto"/>
          <w:color w:val="auto"/>
        </w:rPr>
        <w:t>Annual Base Salary</w:t>
      </w:r>
      <w:r>
        <w:rPr>
          <w:rFonts w:ascii="Arial" w:cs="Arial" w:eastAsia="Arial" w:hAnsi="Arial"/>
          <w:sz w:val="20"/>
          <w:szCs w:val="20"/>
          <w:color w:val="auto"/>
        </w:rPr>
        <w:t xml:space="preserve">”), which shall be paid at a monthly rate. During the Employment Period, the Annual Base Salary shall be reviewed no more than twelve (12) months after the last salary increase awarded to the Executive prior to the date hereof and thereafter at least annually;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a salary increase shall not necessarily be awarded as a result of such review. Any increase in Annual Base Salary may not serve to limit or reduce any other obligation to the Executive under this Agreement. Annual Base Salary shall not be reduced. The term “Annual Base Salary” as utilized in this Agreement shall refer to Annual Base Salary as may be in effect from time to time.</w:t>
      </w:r>
    </w:p>
    <w:p>
      <w:pPr>
        <w:spacing w:after="0" w:line="208" w:lineRule="exact"/>
        <w:rPr>
          <w:sz w:val="20"/>
          <w:szCs w:val="20"/>
          <w:color w:val="auto"/>
        </w:rPr>
      </w:pPr>
    </w:p>
    <w:p>
      <w:pPr>
        <w:jc w:val="both"/>
        <w:ind w:left="-656" w:firstLine="1305"/>
        <w:spacing w:after="0" w:line="267" w:lineRule="auto"/>
        <w:tabs>
          <w:tab w:leader="none" w:pos="1508" w:val="left"/>
        </w:tabs>
        <w:numPr>
          <w:ilvl w:val="0"/>
          <w:numId w:val="76"/>
        </w:numPr>
        <w:rPr>
          <w:rFonts w:ascii="Arial" w:cs="Arial" w:eastAsia="Arial" w:hAnsi="Arial"/>
          <w:sz w:val="18"/>
          <w:szCs w:val="18"/>
          <w:color w:val="auto"/>
        </w:rPr>
      </w:pPr>
      <w:r>
        <w:rPr>
          <w:rFonts w:ascii="Arial" w:cs="Arial" w:eastAsia="Arial" w:hAnsi="Arial"/>
          <w:sz w:val="20"/>
          <w:szCs w:val="20"/>
          <w:color w:val="auto"/>
        </w:rPr>
        <w:t>Annual Bonus. The Executive shall be eligible for an Annual Bonus for each fiscal year ending during the Employment Period on the same basis as other executive officers under Weatherford Ireland’s then-current executive officer annual incentive program. Each such Annual Bonus shall be paid no later than two and a half (2½) months after the end of the fiscal year for which the Annual Bonus is awarded.</w:t>
      </w:r>
    </w:p>
    <w:p>
      <w:pPr>
        <w:spacing w:after="0" w:line="2" w:lineRule="exact"/>
        <w:rPr>
          <w:rFonts w:ascii="Arial" w:cs="Arial" w:eastAsia="Arial" w:hAnsi="Arial"/>
          <w:sz w:val="18"/>
          <w:szCs w:val="18"/>
          <w:color w:val="auto"/>
        </w:rPr>
      </w:pPr>
    </w:p>
    <w:p>
      <w:pPr>
        <w:jc w:val="both"/>
        <w:ind w:left="-656" w:firstLine="1305"/>
        <w:spacing w:after="0" w:line="278" w:lineRule="auto"/>
        <w:tabs>
          <w:tab w:leader="none" w:pos="1558" w:val="left"/>
        </w:tabs>
        <w:numPr>
          <w:ilvl w:val="0"/>
          <w:numId w:val="76"/>
        </w:numPr>
        <w:rPr>
          <w:rFonts w:ascii="Arial" w:cs="Arial" w:eastAsia="Arial" w:hAnsi="Arial"/>
          <w:sz w:val="18"/>
          <w:szCs w:val="18"/>
          <w:color w:val="auto"/>
        </w:rPr>
      </w:pPr>
      <w:r>
        <w:rPr>
          <w:rFonts w:ascii="Arial" w:cs="Arial" w:eastAsia="Arial" w:hAnsi="Arial"/>
          <w:sz w:val="20"/>
          <w:szCs w:val="20"/>
          <w:color w:val="auto"/>
        </w:rPr>
        <w:t>Incentive, Savings and Retirement Plans. During the Employment Period, the Executive shall be entitled to participate in all incentive, savings and retirement plans, practices, policies and programs in which similarly situated executive officers of Weatherford Ireland and its Affiliated Companies participate.</w:t>
      </w:r>
    </w:p>
    <w:p>
      <w:pPr>
        <w:spacing w:after="0" w:line="200" w:lineRule="exact"/>
        <w:rPr>
          <w:rFonts w:ascii="Arial" w:cs="Arial" w:eastAsia="Arial" w:hAnsi="Arial"/>
          <w:sz w:val="18"/>
          <w:szCs w:val="18"/>
          <w:color w:val="auto"/>
        </w:rPr>
      </w:pPr>
    </w:p>
    <w:p>
      <w:pPr>
        <w:jc w:val="both"/>
        <w:ind w:left="-656" w:firstLine="1305"/>
        <w:spacing w:after="0" w:line="286" w:lineRule="auto"/>
        <w:tabs>
          <w:tab w:leader="none" w:pos="1548" w:val="left"/>
        </w:tabs>
        <w:numPr>
          <w:ilvl w:val="0"/>
          <w:numId w:val="76"/>
        </w:numPr>
        <w:rPr>
          <w:rFonts w:ascii="Arial" w:cs="Arial" w:eastAsia="Arial" w:hAnsi="Arial"/>
          <w:sz w:val="17"/>
          <w:szCs w:val="17"/>
          <w:color w:val="auto"/>
        </w:rPr>
      </w:pPr>
      <w:r>
        <w:rPr>
          <w:rFonts w:ascii="Arial" w:cs="Arial" w:eastAsia="Arial" w:hAnsi="Arial"/>
          <w:sz w:val="19"/>
          <w:szCs w:val="19"/>
          <w:color w:val="auto"/>
        </w:rPr>
        <w:t>Welfare Benefit Plans. During the Employment Period, the Executive and/or the Executive’s family, as the case may be, shall be eligible to participate in and shall receive all benefits under and participate in all welfare benefit and retirement plans, practices, policies and programs provided by Weatherford Ireland and its Affiliated Companies (including, without limitation, medical, prescription, dental, disability, salary continuance, employee life, group life, accidental death and travel accident insurance plans and programs) in which similarly situated executive officers of Weatherford Ireland and its Affiliated Companies participate or which they receive. For the avoidance of doubt, Executive shall not participate in any “closed,” “frozen” or “suspended” plans or receive any compensation or benefits related to such plans, unless Executive is participating or receiving a related benefit as of the Effective Date in which case such participation or related benefit shall continue pursuant to the existing terms.</w:t>
      </w:r>
    </w:p>
    <w:p>
      <w:pPr>
        <w:spacing w:after="0" w:line="200" w:lineRule="exact"/>
        <w:rPr>
          <w:rFonts w:ascii="Arial" w:cs="Arial" w:eastAsia="Arial" w:hAnsi="Arial"/>
          <w:sz w:val="17"/>
          <w:szCs w:val="17"/>
          <w:color w:val="auto"/>
        </w:rPr>
      </w:pPr>
    </w:p>
    <w:p>
      <w:pPr>
        <w:spacing w:after="0" w:line="236" w:lineRule="exact"/>
        <w:rPr>
          <w:rFonts w:ascii="Arial" w:cs="Arial" w:eastAsia="Arial" w:hAnsi="Arial"/>
          <w:sz w:val="17"/>
          <w:szCs w:val="17"/>
          <w:color w:val="auto"/>
        </w:rPr>
      </w:pPr>
    </w:p>
    <w:p>
      <w:pPr>
        <w:ind w:left="8484" w:hanging="111"/>
        <w:spacing w:after="0"/>
        <w:tabs>
          <w:tab w:leader="none" w:pos="8484" w:val="left"/>
        </w:tabs>
        <w:numPr>
          <w:ilvl w:val="1"/>
          <w:numId w:val="76"/>
        </w:numPr>
        <w:rPr>
          <w:rFonts w:ascii="Arial" w:cs="Arial" w:eastAsia="Arial" w:hAnsi="Arial"/>
          <w:sz w:val="16"/>
          <w:szCs w:val="16"/>
          <w:color w:val="auto"/>
        </w:rPr>
      </w:pPr>
      <w:r>
        <w:rPr>
          <w:rFonts w:ascii="Arial" w:cs="Arial" w:eastAsia="Arial" w:hAnsi="Arial"/>
          <w:sz w:val="14"/>
          <w:szCs w:val="14"/>
          <w:color w:val="auto"/>
        </w:rPr>
        <w:t>Executive Employment Agreement</w:t>
      </w:r>
    </w:p>
    <w:p>
      <w:pPr>
        <w:spacing w:after="0" w:line="28" w:lineRule="exact"/>
        <w:rPr>
          <w:rFonts w:ascii="Arial" w:cs="Arial" w:eastAsia="Arial" w:hAnsi="Arial"/>
          <w:sz w:val="16"/>
          <w:szCs w:val="16"/>
          <w:color w:val="auto"/>
        </w:rPr>
      </w:pPr>
    </w:p>
    <w:p>
      <w:pPr>
        <w:ind w:left="5024"/>
        <w:spacing w:after="0"/>
        <w:rPr>
          <w:rFonts w:ascii="Arial" w:cs="Arial" w:eastAsia="Arial" w:hAnsi="Arial"/>
          <w:sz w:val="16"/>
          <w:szCs w:val="16"/>
          <w:color w:val="auto"/>
        </w:rPr>
      </w:pPr>
      <w:r>
        <w:rPr>
          <w:rFonts w:ascii="Arial" w:cs="Arial" w:eastAsia="Arial" w:hAnsi="Arial"/>
          <w:sz w:val="16"/>
          <w:szCs w:val="16"/>
          <w:color w:val="auto"/>
        </w:rPr>
        <w:t>6</w:t>
      </w:r>
    </w:p>
    <w:p>
      <w:pPr>
        <w:sectPr>
          <w:pgSz w:w="11900" w:h="16838" w:orient="portrait"/>
          <w:cols w:equalWidth="0" w:num="1">
            <w:col w:w="10764"/>
          </w:cols>
          <w:pgMar w:left="896" w:top="379" w:right="239" w:bottom="1440" w:gutter="0" w:footer="0" w:header="0"/>
        </w:sectPr>
      </w:pPr>
    </w:p>
    <w:bookmarkStart w:id="133" w:name="page134"/>
    <w:bookmarkEnd w:id="133"/>
    <w:p>
      <w:pPr>
        <w:ind w:right="20" w:firstLine="1305"/>
        <w:spacing w:after="0" w:line="289" w:lineRule="auto"/>
        <w:tabs>
          <w:tab w:leader="none" w:pos="2155" w:val="left"/>
        </w:tabs>
        <w:numPr>
          <w:ilvl w:val="2"/>
          <w:numId w:val="77"/>
        </w:numPr>
        <w:rPr>
          <w:rFonts w:ascii="Arial" w:cs="Arial" w:eastAsia="Arial" w:hAnsi="Arial"/>
          <w:sz w:val="18"/>
          <w:szCs w:val="18"/>
          <w:color w:val="auto"/>
        </w:rPr>
      </w:pPr>
      <w:r>
        <w:rPr>
          <w:rFonts w:ascii="Arial" w:cs="Arial" w:eastAsia="Arial" w:hAnsi="Arial"/>
          <w:sz w:val="20"/>
          <w:szCs w:val="20"/>
          <w:color w:val="auto"/>
        </w:rPr>
        <w:t>Fringe Benefits. During the Employment Period, the Executive shall be entitled to receive such fringe benefits as similarly situated executive officers of Weatherford Ireland and its Affiliated Companies receive.</w:t>
      </w:r>
    </w:p>
    <w:p>
      <w:pPr>
        <w:spacing w:after="0" w:line="188" w:lineRule="exact"/>
        <w:rPr>
          <w:rFonts w:ascii="Arial" w:cs="Arial" w:eastAsia="Arial" w:hAnsi="Arial"/>
          <w:sz w:val="18"/>
          <w:szCs w:val="18"/>
          <w:color w:val="auto"/>
        </w:rPr>
      </w:pPr>
    </w:p>
    <w:p>
      <w:pPr>
        <w:jc w:val="both"/>
        <w:ind w:firstLine="1305"/>
        <w:spacing w:after="0" w:line="278" w:lineRule="auto"/>
        <w:tabs>
          <w:tab w:leader="none" w:pos="2205" w:val="left"/>
        </w:tabs>
        <w:numPr>
          <w:ilvl w:val="2"/>
          <w:numId w:val="77"/>
        </w:numPr>
        <w:rPr>
          <w:rFonts w:ascii="Arial" w:cs="Arial" w:eastAsia="Arial" w:hAnsi="Arial"/>
          <w:sz w:val="18"/>
          <w:szCs w:val="18"/>
          <w:color w:val="auto"/>
        </w:rPr>
      </w:pPr>
      <w:r>
        <w:rPr>
          <w:rFonts w:ascii="Arial" w:cs="Arial" w:eastAsia="Arial" w:hAnsi="Arial"/>
          <w:sz w:val="20"/>
          <w:szCs w:val="20"/>
          <w:color w:val="auto"/>
        </w:rPr>
        <w:t>Expenses. During the Employment Period, the Executive shall be entitled to receive prompt reimbursement for all reasonable expenses incurred by the Executive in accordance with the most favorable policies, practices and procedures of Weatherford Ireland and its Affiliated Companies in effect for the Executive on the date hereof.</w:t>
      </w:r>
    </w:p>
    <w:p>
      <w:pPr>
        <w:spacing w:after="0" w:line="200" w:lineRule="exact"/>
        <w:rPr>
          <w:rFonts w:ascii="Arial" w:cs="Arial" w:eastAsia="Arial" w:hAnsi="Arial"/>
          <w:sz w:val="18"/>
          <w:szCs w:val="18"/>
          <w:color w:val="auto"/>
        </w:rPr>
      </w:pPr>
    </w:p>
    <w:p>
      <w:pPr>
        <w:ind w:right="20" w:firstLine="1305"/>
        <w:spacing w:after="0" w:line="347" w:lineRule="auto"/>
        <w:tabs>
          <w:tab w:leader="none" w:pos="2255" w:val="left"/>
        </w:tabs>
        <w:numPr>
          <w:ilvl w:val="2"/>
          <w:numId w:val="77"/>
        </w:numPr>
        <w:rPr>
          <w:rFonts w:ascii="Arial" w:cs="Arial" w:eastAsia="Arial" w:hAnsi="Arial"/>
          <w:sz w:val="16"/>
          <w:szCs w:val="16"/>
          <w:color w:val="auto"/>
        </w:rPr>
      </w:pPr>
      <w:r>
        <w:rPr>
          <w:rFonts w:ascii="Arial" w:cs="Arial" w:eastAsia="Arial" w:hAnsi="Arial"/>
          <w:sz w:val="18"/>
          <w:szCs w:val="18"/>
          <w:color w:val="auto"/>
        </w:rPr>
        <w:t>Vacation. During the Employment Period, the Executive shall be entitled to at least four weeks paid vacation or such greater amount of paid vacation as may be applicable to the executive officers of Weatherford Ireland and its Affiliated Companies.</w:t>
      </w:r>
    </w:p>
    <w:p>
      <w:pPr>
        <w:spacing w:after="0" w:line="144" w:lineRule="exact"/>
        <w:rPr>
          <w:rFonts w:ascii="Arial" w:cs="Arial" w:eastAsia="Arial" w:hAnsi="Arial"/>
          <w:sz w:val="16"/>
          <w:szCs w:val="16"/>
          <w:color w:val="auto"/>
        </w:rPr>
      </w:pPr>
    </w:p>
    <w:p>
      <w:pPr>
        <w:jc w:val="both"/>
        <w:ind w:firstLine="1305"/>
        <w:spacing w:after="0" w:line="278" w:lineRule="auto"/>
        <w:tabs>
          <w:tab w:leader="none" w:pos="2305" w:val="left"/>
        </w:tabs>
        <w:numPr>
          <w:ilvl w:val="2"/>
          <w:numId w:val="77"/>
        </w:numPr>
        <w:rPr>
          <w:rFonts w:ascii="Arial" w:cs="Arial" w:eastAsia="Arial" w:hAnsi="Arial"/>
          <w:sz w:val="18"/>
          <w:szCs w:val="18"/>
          <w:color w:val="auto"/>
        </w:rPr>
      </w:pPr>
      <w:r>
        <w:rPr>
          <w:rFonts w:ascii="Arial" w:cs="Arial" w:eastAsia="Arial" w:hAnsi="Arial"/>
          <w:sz w:val="20"/>
          <w:szCs w:val="20"/>
          <w:color w:val="auto"/>
        </w:rPr>
        <w:t>Deferred Compensation Plan. During the Employment Period, the Executive, if participating as of the Effective Date, shall be entitled to continue to participate in any deferred compensation or similar plans of Weatherford Ireland and its Affiliated Companies.</w:t>
      </w:r>
    </w:p>
    <w:p>
      <w:pPr>
        <w:spacing w:after="0" w:line="200" w:lineRule="exact"/>
        <w:rPr>
          <w:rFonts w:ascii="Arial" w:cs="Arial" w:eastAsia="Arial" w:hAnsi="Arial"/>
          <w:sz w:val="18"/>
          <w:szCs w:val="18"/>
          <w:color w:val="auto"/>
        </w:rPr>
      </w:pPr>
    </w:p>
    <w:p>
      <w:pPr>
        <w:jc w:val="both"/>
        <w:ind w:firstLine="656"/>
        <w:spacing w:after="0" w:line="274" w:lineRule="auto"/>
        <w:tabs>
          <w:tab w:leader="none" w:pos="1496" w:val="left"/>
        </w:tabs>
        <w:numPr>
          <w:ilvl w:val="1"/>
          <w:numId w:val="78"/>
        </w:numPr>
        <w:rPr>
          <w:rFonts w:ascii="Arial" w:cs="Arial" w:eastAsia="Arial" w:hAnsi="Arial"/>
          <w:sz w:val="18"/>
          <w:szCs w:val="18"/>
          <w:color w:val="auto"/>
        </w:rPr>
      </w:pPr>
      <w:r>
        <w:rPr>
          <w:rFonts w:ascii="Arial" w:cs="Arial" w:eastAsia="Arial" w:hAnsi="Arial"/>
          <w:sz w:val="20"/>
          <w:szCs w:val="20"/>
          <w:color w:val="auto"/>
        </w:rPr>
        <w:t>Termination of Prior Agreements. The Executive acknowledges and agrees that this Agreement is being executed in replacement of any and all prior employment agreements existing between the Executive, the Company, Weatherford Ireland or any Affiliated Company (the “</w:t>
      </w:r>
      <w:r>
        <w:rPr>
          <w:rFonts w:ascii="Arial" w:cs="Arial" w:eastAsia="Arial" w:hAnsi="Arial"/>
          <w:sz w:val="20"/>
          <w:szCs w:val="20"/>
          <w:u w:val="single" w:color="auto"/>
          <w:color w:val="auto"/>
        </w:rPr>
        <w:t>Prior Agreements”</w:t>
      </w:r>
      <w:r>
        <w:rPr>
          <w:rFonts w:ascii="Arial" w:cs="Arial" w:eastAsia="Arial" w:hAnsi="Arial"/>
          <w:sz w:val="20"/>
          <w:szCs w:val="20"/>
          <w:color w:val="auto"/>
        </w:rPr>
        <w:t>). As a result, the Executive and the Company agree that the Prior Agreements are hereby terminated and of no further force and effect.</w:t>
      </w:r>
    </w:p>
    <w:p>
      <w:pPr>
        <w:spacing w:after="0" w:line="205" w:lineRule="exact"/>
        <w:rPr>
          <w:rFonts w:ascii="Arial" w:cs="Arial" w:eastAsia="Arial" w:hAnsi="Arial"/>
          <w:sz w:val="18"/>
          <w:szCs w:val="18"/>
          <w:color w:val="auto"/>
        </w:rPr>
      </w:pPr>
    </w:p>
    <w:p>
      <w:pPr>
        <w:ind w:left="800" w:hanging="792"/>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firstLine="656"/>
        <w:spacing w:after="0" w:line="286" w:lineRule="auto"/>
        <w:tabs>
          <w:tab w:leader="none" w:pos="1496" w:val="left"/>
        </w:tabs>
        <w:numPr>
          <w:ilvl w:val="1"/>
          <w:numId w:val="79"/>
        </w:numPr>
        <w:rPr>
          <w:rFonts w:ascii="Arial" w:cs="Arial" w:eastAsia="Arial" w:hAnsi="Arial"/>
          <w:sz w:val="17"/>
          <w:szCs w:val="17"/>
          <w:color w:val="auto"/>
        </w:rPr>
      </w:pPr>
      <w:r>
        <w:rPr>
          <w:rFonts w:ascii="Arial" w:cs="Arial" w:eastAsia="Arial" w:hAnsi="Arial"/>
          <w:sz w:val="19"/>
          <w:szCs w:val="19"/>
          <w:color w:val="auto"/>
        </w:rPr>
        <w:t xml:space="preserve">Death or Disability. The Executive’s employment shall terminate automatically upon the Executive’s death during the Employment Period. If the Company determines in good faith that the Disability of the Executive has occurred during the Employment Period, it may provide the Executive with written notice in accordance with </w:t>
      </w:r>
      <w:r>
        <w:rPr>
          <w:rFonts w:ascii="Arial" w:cs="Arial" w:eastAsia="Arial" w:hAnsi="Arial"/>
          <w:sz w:val="19"/>
          <w:szCs w:val="19"/>
          <w:u w:val="single" w:color="auto"/>
          <w:color w:val="auto"/>
        </w:rPr>
        <w:t>Section 14(b)</w:t>
      </w:r>
      <w:r>
        <w:rPr>
          <w:rFonts w:ascii="Arial" w:cs="Arial" w:eastAsia="Arial" w:hAnsi="Arial"/>
          <w:sz w:val="19"/>
          <w:szCs w:val="19"/>
          <w:color w:val="auto"/>
        </w:rPr>
        <w:t xml:space="preserve"> of its intention to terminate the Executive’s employment. In such event, the Executive’s employment with the Company shall terminate effective thirty (30) days after receipt of such notice by the Executive (the “Disability Effective Date”), provided that within the thirty (30)-day period after such receipt, the Executive shall not have returned to full-time performance of the Executive’s duties. In addition, if a physician selected by the Executive determines that the Disability of the Executive has occurred, the Executive (or Executive’s representative) may provide the Company with written notice in accordance with </w:t>
      </w:r>
      <w:r>
        <w:rPr>
          <w:rFonts w:ascii="Arial" w:cs="Arial" w:eastAsia="Arial" w:hAnsi="Arial"/>
          <w:sz w:val="19"/>
          <w:szCs w:val="19"/>
          <w:u w:val="single" w:color="auto"/>
          <w:color w:val="auto"/>
        </w:rPr>
        <w:t>Section 14(b)</w:t>
      </w:r>
      <w:r>
        <w:rPr>
          <w:rFonts w:ascii="Arial" w:cs="Arial" w:eastAsia="Arial" w:hAnsi="Arial"/>
          <w:sz w:val="19"/>
          <w:szCs w:val="19"/>
          <w:color w:val="auto"/>
        </w:rPr>
        <w:t xml:space="preserve"> of the Executive’s intention to terminate Executive’s employment. In such event, the Disability Effective Date shall be thirty (30) days after receipt of such notice by the Company.</w:t>
      </w:r>
    </w:p>
    <w:p>
      <w:pPr>
        <w:spacing w:after="0" w:line="195" w:lineRule="exact"/>
        <w:rPr>
          <w:rFonts w:ascii="Arial" w:cs="Arial" w:eastAsia="Arial" w:hAnsi="Arial"/>
          <w:sz w:val="17"/>
          <w:szCs w:val="17"/>
          <w:color w:val="auto"/>
        </w:rPr>
      </w:pPr>
    </w:p>
    <w:p>
      <w:pPr>
        <w:ind w:left="1520" w:hanging="864"/>
        <w:spacing w:after="0"/>
        <w:tabs>
          <w:tab w:leader="none" w:pos="1520" w:val="left"/>
        </w:tabs>
        <w:numPr>
          <w:ilvl w:val="1"/>
          <w:numId w:val="79"/>
        </w:numPr>
        <w:rPr>
          <w:rFonts w:ascii="Arial" w:cs="Arial" w:eastAsia="Arial" w:hAnsi="Arial"/>
          <w:sz w:val="17"/>
          <w:szCs w:val="17"/>
          <w:color w:val="auto"/>
        </w:rPr>
      </w:pPr>
      <w:r>
        <w:rPr>
          <w:rFonts w:ascii="Arial" w:cs="Arial" w:eastAsia="Arial" w:hAnsi="Arial"/>
          <w:sz w:val="19"/>
          <w:szCs w:val="19"/>
          <w:color w:val="auto"/>
        </w:rPr>
        <w:t>Cause. The Company may terminate the Executive’s employment during the Employment Period for Cause or without</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20"/>
          <w:szCs w:val="20"/>
          <w:color w:val="auto"/>
        </w:rPr>
        <w:t>Cause.</w:t>
      </w:r>
    </w:p>
    <w:p>
      <w:pPr>
        <w:spacing w:after="0" w:line="256" w:lineRule="exact"/>
        <w:rPr>
          <w:rFonts w:ascii="Arial" w:cs="Arial" w:eastAsia="Arial" w:hAnsi="Arial"/>
          <w:sz w:val="17"/>
          <w:szCs w:val="17"/>
          <w:color w:val="auto"/>
        </w:rPr>
      </w:pPr>
    </w:p>
    <w:p>
      <w:pPr>
        <w:ind w:firstLine="656"/>
        <w:spacing w:after="0" w:line="289" w:lineRule="auto"/>
        <w:tabs>
          <w:tab w:leader="none" w:pos="1496" w:val="left"/>
        </w:tabs>
        <w:numPr>
          <w:ilvl w:val="1"/>
          <w:numId w:val="79"/>
        </w:numPr>
        <w:rPr>
          <w:rFonts w:ascii="Arial" w:cs="Arial" w:eastAsia="Arial" w:hAnsi="Arial"/>
          <w:sz w:val="18"/>
          <w:szCs w:val="18"/>
          <w:color w:val="auto"/>
        </w:rPr>
      </w:pPr>
      <w:r>
        <w:rPr>
          <w:rFonts w:ascii="Arial" w:cs="Arial" w:eastAsia="Arial" w:hAnsi="Arial"/>
          <w:sz w:val="20"/>
          <w:szCs w:val="20"/>
          <w:color w:val="auto"/>
        </w:rPr>
        <w:t>Good Reason. The Executive’s employment may be terminated by the Executive at any time during the Employment Period for Good Reason or without Good Reason.</w:t>
      </w:r>
    </w:p>
    <w:p>
      <w:pPr>
        <w:spacing w:after="0" w:line="188" w:lineRule="exact"/>
        <w:rPr>
          <w:rFonts w:ascii="Arial" w:cs="Arial" w:eastAsia="Arial" w:hAnsi="Arial"/>
          <w:sz w:val="18"/>
          <w:szCs w:val="18"/>
          <w:color w:val="auto"/>
        </w:rPr>
      </w:pPr>
    </w:p>
    <w:p>
      <w:pPr>
        <w:jc w:val="both"/>
        <w:ind w:firstLine="656"/>
        <w:spacing w:after="0" w:line="273" w:lineRule="auto"/>
        <w:tabs>
          <w:tab w:leader="none" w:pos="1506" w:val="left"/>
        </w:tabs>
        <w:numPr>
          <w:ilvl w:val="1"/>
          <w:numId w:val="79"/>
        </w:numPr>
        <w:rPr>
          <w:rFonts w:ascii="Arial" w:cs="Arial" w:eastAsia="Arial" w:hAnsi="Arial"/>
          <w:sz w:val="18"/>
          <w:szCs w:val="18"/>
          <w:color w:val="auto"/>
        </w:rPr>
      </w:pPr>
      <w:r>
        <w:rPr>
          <w:rFonts w:ascii="Arial" w:cs="Arial" w:eastAsia="Arial" w:hAnsi="Arial"/>
          <w:sz w:val="20"/>
          <w:szCs w:val="20"/>
          <w:color w:val="auto"/>
        </w:rPr>
        <w:t xml:space="preserve">Notice of Breach and Notice of Termination. Any termination during the Employment Period by the Company or by the Executive shall be communicated by notice in writing to the other party hereto given in accordance with </w:t>
      </w:r>
      <w:r>
        <w:rPr>
          <w:rFonts w:ascii="Arial" w:cs="Arial" w:eastAsia="Arial" w:hAnsi="Arial"/>
          <w:sz w:val="20"/>
          <w:szCs w:val="20"/>
          <w:u w:val="single" w:color="auto"/>
          <w:color w:val="auto"/>
        </w:rPr>
        <w:t>Section 14(b)</w:t>
      </w:r>
      <w:r>
        <w:rPr>
          <w:rFonts w:ascii="Arial" w:cs="Arial" w:eastAsia="Arial" w:hAnsi="Arial"/>
          <w:sz w:val="20"/>
          <w:szCs w:val="20"/>
          <w:color w:val="auto"/>
        </w:rPr>
        <w:t>. For purposes of this Agreement, a “</w:t>
      </w:r>
      <w:r>
        <w:rPr>
          <w:rFonts w:ascii="Arial" w:cs="Arial" w:eastAsia="Arial" w:hAnsi="Arial"/>
          <w:sz w:val="20"/>
          <w:szCs w:val="20"/>
          <w:u w:val="single" w:color="auto"/>
          <w:color w:val="auto"/>
        </w:rPr>
        <w:t>Notice of Breach</w:t>
      </w:r>
      <w:r>
        <w:rPr>
          <w:rFonts w:ascii="Arial" w:cs="Arial" w:eastAsia="Arial" w:hAnsi="Arial"/>
          <w:sz w:val="20"/>
          <w:szCs w:val="20"/>
          <w:color w:val="auto"/>
        </w:rPr>
        <w:t>” means a written notice from the Executive to the Company which (i) indicates the specific provision in this Agreement that the Executive contends the Company has breached, and (ii) to the extent applicable, sets forth in reasonable detail the facts and circumstances the Executive claims provide the basis for the breach.</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140" w:hanging="111"/>
        <w:spacing w:after="0"/>
        <w:tabs>
          <w:tab w:leader="none" w:pos="9140" w:val="left"/>
        </w:tabs>
        <w:numPr>
          <w:ilvl w:val="3"/>
          <w:numId w:val="79"/>
        </w:numPr>
        <w:rPr>
          <w:rFonts w:ascii="Arial" w:cs="Arial" w:eastAsia="Arial" w:hAnsi="Arial"/>
          <w:sz w:val="16"/>
          <w:szCs w:val="16"/>
          <w:color w:val="auto"/>
        </w:rPr>
      </w:pPr>
      <w:r>
        <w:rPr>
          <w:rFonts w:ascii="Arial" w:cs="Arial" w:eastAsia="Arial" w:hAnsi="Arial"/>
          <w:sz w:val="14"/>
          <w:szCs w:val="14"/>
          <w:color w:val="auto"/>
        </w:rPr>
        <w:t>Executive Employment Agreement</w:t>
      </w:r>
    </w:p>
    <w:p>
      <w:pPr>
        <w:spacing w:after="0" w:line="28"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6"/>
          <w:szCs w:val="16"/>
          <w:color w:val="auto"/>
        </w:rPr>
        <w:t>7</w:t>
      </w:r>
    </w:p>
    <w:p>
      <w:pPr>
        <w:sectPr>
          <w:pgSz w:w="11900" w:h="16838" w:orient="portrait"/>
          <w:cols w:equalWidth="0" w:num="1">
            <w:col w:w="11420"/>
          </w:cols>
          <w:pgMar w:left="240" w:top="379" w:right="239" w:bottom="1440" w:gutter="0" w:footer="0" w:header="0"/>
        </w:sectPr>
      </w:pPr>
    </w:p>
    <w:bookmarkStart w:id="134" w:name="page135"/>
    <w:bookmarkEnd w:id="134"/>
    <w:p>
      <w:pPr>
        <w:jc w:val="both"/>
        <w:spacing w:after="0" w:line="286" w:lineRule="auto"/>
        <w:rPr>
          <w:sz w:val="20"/>
          <w:szCs w:val="20"/>
          <w:color w:val="auto"/>
        </w:rPr>
      </w:pPr>
      <w:r>
        <w:rPr>
          <w:rFonts w:ascii="Arial" w:cs="Arial" w:eastAsia="Arial" w:hAnsi="Arial"/>
          <w:sz w:val="19"/>
          <w:szCs w:val="19"/>
          <w:color w:val="auto"/>
        </w:rPr>
        <w:t>For purposes of this Agreement, a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means a written notice which (i) indicates the specific termination provision in this Agreement relied upon, (ii) to the extent applicable,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in the case of a notice by the Company, shall be not more than 120 days after the giving of such notice). The failure by the Executive or the Company to set forth any fact or circumstance which contributes to a showing of Good Reason or Cause shall not waive any right of the Executive or the Company, respectively, from asserting such fact or circumstance in enforcing the Executive’s or the Company’s rights hereunder. If a breach exists and a Notice of Breach is timely delivered hereunder, it shall automatically later become a Notice of Termination if the Company fails to cure the event described in the Notice of Breach within thirty (30) days of receipt of the Notice of Breach.</w:t>
      </w:r>
    </w:p>
    <w:p>
      <w:pPr>
        <w:spacing w:after="0" w:line="196" w:lineRule="exact"/>
        <w:rPr>
          <w:sz w:val="20"/>
          <w:szCs w:val="20"/>
          <w:color w:val="auto"/>
        </w:rPr>
      </w:pPr>
    </w:p>
    <w:p>
      <w:pPr>
        <w:ind w:left="1500" w:hanging="844"/>
        <w:spacing w:after="0"/>
        <w:tabs>
          <w:tab w:leader="none" w:pos="1500" w:val="left"/>
        </w:tabs>
        <w:numPr>
          <w:ilvl w:val="1"/>
          <w:numId w:val="80"/>
        </w:numPr>
        <w:rPr>
          <w:rFonts w:ascii="Arial" w:cs="Arial" w:eastAsia="Arial" w:hAnsi="Arial"/>
          <w:sz w:val="18"/>
          <w:szCs w:val="18"/>
          <w:color w:val="auto"/>
        </w:rPr>
      </w:pPr>
      <w:r>
        <w:rPr>
          <w:rFonts w:ascii="Arial" w:cs="Arial" w:eastAsia="Arial" w:hAnsi="Arial"/>
          <w:sz w:val="20"/>
          <w:szCs w:val="20"/>
          <w:color w:val="auto"/>
        </w:rPr>
        <w:t>Date of Termination. “</w:t>
      </w:r>
      <w:r>
        <w:rPr>
          <w:rFonts w:ascii="Arial" w:cs="Arial" w:eastAsia="Arial" w:hAnsi="Arial"/>
          <w:sz w:val="20"/>
          <w:szCs w:val="20"/>
          <w:u w:val="single" w:color="auto"/>
          <w:color w:val="auto"/>
        </w:rPr>
        <w:t>Date of Termination</w:t>
      </w:r>
      <w:r>
        <w:rPr>
          <w:rFonts w:ascii="Arial" w:cs="Arial" w:eastAsia="Arial" w:hAnsi="Arial"/>
          <w:sz w:val="20"/>
          <w:szCs w:val="20"/>
          <w:color w:val="auto"/>
        </w:rPr>
        <w:t>” shall mean:</w:t>
      </w:r>
    </w:p>
    <w:p>
      <w:pPr>
        <w:spacing w:after="0" w:line="256" w:lineRule="exact"/>
        <w:rPr>
          <w:rFonts w:ascii="Arial" w:cs="Arial" w:eastAsia="Arial" w:hAnsi="Arial"/>
          <w:sz w:val="18"/>
          <w:szCs w:val="18"/>
          <w:color w:val="auto"/>
        </w:rPr>
      </w:pPr>
    </w:p>
    <w:p>
      <w:pPr>
        <w:jc w:val="both"/>
        <w:ind w:firstLine="1305"/>
        <w:spacing w:after="0" w:line="273" w:lineRule="auto"/>
        <w:tabs>
          <w:tab w:leader="none" w:pos="2115" w:val="left"/>
        </w:tabs>
        <w:numPr>
          <w:ilvl w:val="2"/>
          <w:numId w:val="80"/>
        </w:numPr>
        <w:rPr>
          <w:rFonts w:ascii="Arial" w:cs="Arial" w:eastAsia="Arial" w:hAnsi="Arial"/>
          <w:sz w:val="18"/>
          <w:szCs w:val="18"/>
          <w:color w:val="auto"/>
        </w:rPr>
      </w:pPr>
      <w:r>
        <w:rPr>
          <w:rFonts w:ascii="Arial" w:cs="Arial" w:eastAsia="Arial" w:hAnsi="Arial"/>
          <w:sz w:val="20"/>
          <w:szCs w:val="20"/>
          <w:color w:val="auto"/>
        </w:rPr>
        <w:t xml:space="preserve">if the Executive’s employment is terminated other than by reason of death or Disability, the date of receipt of the Notice of Termination or any later date specified therein (or, in the event the Executive has a Separation From Service without the delivery of a Notice of Termination, then the date of such Separation From Service), as the case may be;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case of a termination by the Executive for Good Reason, such Notice of Breach shall be deemed void if the Company cures the matter giving rise to Good Reason pursuant to the proviso in Section 1(o); and</w:t>
      </w:r>
    </w:p>
    <w:p>
      <w:pPr>
        <w:spacing w:after="0" w:line="204" w:lineRule="exact"/>
        <w:rPr>
          <w:rFonts w:ascii="Arial" w:cs="Arial" w:eastAsia="Arial" w:hAnsi="Arial"/>
          <w:sz w:val="18"/>
          <w:szCs w:val="18"/>
          <w:color w:val="auto"/>
        </w:rPr>
      </w:pPr>
    </w:p>
    <w:p>
      <w:pPr>
        <w:ind w:firstLine="1305"/>
        <w:spacing w:after="0" w:line="289" w:lineRule="auto"/>
        <w:tabs>
          <w:tab w:leader="none" w:pos="2165" w:val="left"/>
        </w:tabs>
        <w:numPr>
          <w:ilvl w:val="2"/>
          <w:numId w:val="80"/>
        </w:numPr>
        <w:rPr>
          <w:rFonts w:ascii="Arial" w:cs="Arial" w:eastAsia="Arial" w:hAnsi="Arial"/>
          <w:sz w:val="18"/>
          <w:szCs w:val="18"/>
          <w:color w:val="auto"/>
        </w:rPr>
      </w:pPr>
      <w:r>
        <w:rPr>
          <w:rFonts w:ascii="Arial" w:cs="Arial" w:eastAsia="Arial" w:hAnsi="Arial"/>
          <w:sz w:val="20"/>
          <w:szCs w:val="20"/>
          <w:color w:val="auto"/>
        </w:rPr>
        <w:t>if the Executive’s employment is terminated by reason of death or Disability, the Date of Termination shall be the date of death of the Executive or the Disability Effective Date, as the case may be.</w:t>
      </w:r>
    </w:p>
    <w:p>
      <w:pPr>
        <w:spacing w:after="0" w:line="188" w:lineRule="exact"/>
        <w:rPr>
          <w:rFonts w:ascii="Arial" w:cs="Arial" w:eastAsia="Arial" w:hAnsi="Arial"/>
          <w:sz w:val="18"/>
          <w:szCs w:val="18"/>
          <w:color w:val="auto"/>
        </w:rPr>
      </w:pPr>
    </w:p>
    <w:p>
      <w:pPr>
        <w:ind w:left="800" w:hanging="792"/>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20"/>
          <w:szCs w:val="20"/>
          <w:u w:val="single" w:color="auto"/>
          <w:color w:val="auto"/>
        </w:rPr>
        <w:t>Obligations of the Company Upon Termination</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firstLine="656"/>
        <w:spacing w:after="0" w:line="305" w:lineRule="auto"/>
        <w:tabs>
          <w:tab w:leader="none" w:pos="1496" w:val="left"/>
        </w:tabs>
        <w:numPr>
          <w:ilvl w:val="1"/>
          <w:numId w:val="81"/>
        </w:numPr>
        <w:rPr>
          <w:rFonts w:ascii="Arial" w:cs="Arial" w:eastAsia="Arial" w:hAnsi="Arial"/>
          <w:sz w:val="16"/>
          <w:szCs w:val="16"/>
          <w:color w:val="auto"/>
        </w:rPr>
      </w:pPr>
      <w:r>
        <w:rPr>
          <w:rFonts w:ascii="Arial" w:cs="Arial" w:eastAsia="Arial" w:hAnsi="Arial"/>
          <w:sz w:val="18"/>
          <w:szCs w:val="18"/>
          <w:color w:val="auto"/>
        </w:rPr>
        <w:t>Benefit Obligation and Accrued Obligation Defined. For purposes of this Agreement, “</w:t>
      </w:r>
      <w:r>
        <w:rPr>
          <w:rFonts w:ascii="Arial" w:cs="Arial" w:eastAsia="Arial" w:hAnsi="Arial"/>
          <w:sz w:val="18"/>
          <w:szCs w:val="18"/>
          <w:u w:val="single" w:color="auto"/>
          <w:color w:val="auto"/>
        </w:rPr>
        <w:t>Benefit Obligation</w:t>
      </w:r>
      <w:r>
        <w:rPr>
          <w:rFonts w:ascii="Arial" w:cs="Arial" w:eastAsia="Arial" w:hAnsi="Arial"/>
          <w:sz w:val="18"/>
          <w:szCs w:val="18"/>
          <w:color w:val="auto"/>
        </w:rPr>
        <w:t>” shall mean all benefits to which the Executive (or Executive’s designated beneficiary or legal representative, as applicable) is entitled or vested (or becomes entitled or vested as a result of termination) under the terms of all employee benefit and compensation plans, agreements, arrangements, programs, policies, practices, contracts or agreements of Weatherford Ireland and its Affiliated Companies (collectively, “</w:t>
      </w:r>
      <w:r>
        <w:rPr>
          <w:rFonts w:ascii="Arial" w:cs="Arial" w:eastAsia="Arial" w:hAnsi="Arial"/>
          <w:sz w:val="18"/>
          <w:szCs w:val="18"/>
          <w:u w:val="single" w:color="auto"/>
          <w:color w:val="auto"/>
        </w:rPr>
        <w:t>Benefit Plans</w:t>
      </w:r>
      <w:r>
        <w:rPr>
          <w:rFonts w:ascii="Arial" w:cs="Arial" w:eastAsia="Arial" w:hAnsi="Arial"/>
          <w:sz w:val="18"/>
          <w:szCs w:val="18"/>
          <w:color w:val="auto"/>
        </w:rPr>
        <w:t>”) in which the Executive is a participant as of the Date of Termination and to the extent not theretofore paid or provided. “</w:t>
      </w:r>
      <w:r>
        <w:rPr>
          <w:rFonts w:ascii="Arial" w:cs="Arial" w:eastAsia="Arial" w:hAnsi="Arial"/>
          <w:sz w:val="18"/>
          <w:szCs w:val="18"/>
          <w:u w:val="single" w:color="auto"/>
          <w:color w:val="auto"/>
        </w:rPr>
        <w:t>Accrued Obligation</w:t>
      </w:r>
      <w:r>
        <w:rPr>
          <w:rFonts w:ascii="Arial" w:cs="Arial" w:eastAsia="Arial" w:hAnsi="Arial"/>
          <w:sz w:val="18"/>
          <w:szCs w:val="18"/>
          <w:color w:val="auto"/>
        </w:rPr>
        <w:t>” means the sum of (i) the Executive’s Annual Base Salary through the Date of Termination for periods through but not following Executive’s Separation From Service and (ii) any accrued vacation pay earned by the Executive, in each case, to the extent not theretofore paid.</w:t>
      </w:r>
    </w:p>
    <w:p>
      <w:pPr>
        <w:spacing w:after="0" w:line="184" w:lineRule="exact"/>
        <w:rPr>
          <w:rFonts w:ascii="Arial" w:cs="Arial" w:eastAsia="Arial" w:hAnsi="Arial"/>
          <w:sz w:val="16"/>
          <w:szCs w:val="16"/>
          <w:color w:val="auto"/>
        </w:rPr>
      </w:pPr>
    </w:p>
    <w:p>
      <w:pPr>
        <w:jc w:val="both"/>
        <w:ind w:firstLine="656"/>
        <w:spacing w:after="0" w:line="278" w:lineRule="auto"/>
        <w:tabs>
          <w:tab w:leader="none" w:pos="1506" w:val="left"/>
        </w:tabs>
        <w:numPr>
          <w:ilvl w:val="1"/>
          <w:numId w:val="81"/>
        </w:numPr>
        <w:rPr>
          <w:rFonts w:ascii="Arial" w:cs="Arial" w:eastAsia="Arial" w:hAnsi="Arial"/>
          <w:sz w:val="18"/>
          <w:szCs w:val="18"/>
          <w:color w:val="auto"/>
        </w:rPr>
      </w:pPr>
      <w:r>
        <w:rPr>
          <w:rFonts w:ascii="Arial" w:cs="Arial" w:eastAsia="Arial" w:hAnsi="Arial"/>
          <w:sz w:val="20"/>
          <w:szCs w:val="20"/>
          <w:color w:val="auto"/>
        </w:rPr>
        <w:t>Death, Disability, Good Reason or Other than For Cause. If, during the Employment Period, the Executive’s employment is terminated by reason of the Executive’s death or Disability, by the Company for any reason other than for Cause or by the Executive for Good Reason:</w:t>
      </w:r>
    </w:p>
    <w:p>
      <w:pPr>
        <w:spacing w:after="0" w:line="200" w:lineRule="exact"/>
        <w:rPr>
          <w:rFonts w:ascii="Arial" w:cs="Arial" w:eastAsia="Arial" w:hAnsi="Arial"/>
          <w:sz w:val="18"/>
          <w:szCs w:val="18"/>
          <w:color w:val="auto"/>
        </w:rPr>
      </w:pPr>
    </w:p>
    <w:p>
      <w:pPr>
        <w:jc w:val="both"/>
        <w:ind w:firstLine="1305"/>
        <w:spacing w:after="0" w:line="290" w:lineRule="auto"/>
        <w:tabs>
          <w:tab w:leader="none" w:pos="2115" w:val="left"/>
        </w:tabs>
        <w:numPr>
          <w:ilvl w:val="2"/>
          <w:numId w:val="81"/>
        </w:numPr>
        <w:rPr>
          <w:rFonts w:ascii="Arial" w:cs="Arial" w:eastAsia="Arial" w:hAnsi="Arial"/>
          <w:sz w:val="17"/>
          <w:szCs w:val="17"/>
          <w:color w:val="auto"/>
        </w:rPr>
      </w:pPr>
      <w:r>
        <w:rPr>
          <w:rFonts w:ascii="Arial" w:cs="Arial" w:eastAsia="Arial" w:hAnsi="Arial"/>
          <w:sz w:val="19"/>
          <w:szCs w:val="19"/>
          <w:color w:val="auto"/>
        </w:rPr>
        <w:t>The Company shall, subject to the Executive’s execution of a release of claims in favor of Weatherford Ireland and its Affiliated Companies and its their respective Officers and Directors in a form provided by the Company, pay (or cause to be paid) to the Executive (or Executive’s heirs, beneficiaries or representatives as applicable), (A) in a lump sum in cash (I) the Accrued Obligation within thirty (30) days after the Date of Termination and (II) the Benefit Obligation at the times specified in and in accordance with the terms of the applicable Benefit Plans, and (B) at the times specified in clause (iv), the following amounts:</w:t>
      </w:r>
    </w:p>
    <w:p>
      <w:pPr>
        <w:spacing w:after="0" w:line="200" w:lineRule="exact"/>
        <w:rPr>
          <w:rFonts w:ascii="Arial" w:cs="Arial" w:eastAsia="Arial" w:hAnsi="Arial"/>
          <w:sz w:val="17"/>
          <w:szCs w:val="17"/>
          <w:color w:val="auto"/>
        </w:rPr>
      </w:pPr>
    </w:p>
    <w:p>
      <w:pPr>
        <w:spacing w:after="0" w:line="229" w:lineRule="exact"/>
        <w:rPr>
          <w:rFonts w:ascii="Arial" w:cs="Arial" w:eastAsia="Arial" w:hAnsi="Arial"/>
          <w:sz w:val="17"/>
          <w:szCs w:val="17"/>
          <w:color w:val="auto"/>
        </w:rPr>
      </w:pPr>
    </w:p>
    <w:p>
      <w:pPr>
        <w:ind w:left="9140" w:hanging="111"/>
        <w:spacing w:after="0"/>
        <w:tabs>
          <w:tab w:leader="none" w:pos="9140" w:val="left"/>
        </w:tabs>
        <w:numPr>
          <w:ilvl w:val="3"/>
          <w:numId w:val="81"/>
        </w:numPr>
        <w:rPr>
          <w:rFonts w:ascii="Arial" w:cs="Arial" w:eastAsia="Arial" w:hAnsi="Arial"/>
          <w:sz w:val="16"/>
          <w:szCs w:val="16"/>
          <w:color w:val="auto"/>
        </w:rPr>
      </w:pPr>
      <w:r>
        <w:rPr>
          <w:rFonts w:ascii="Arial" w:cs="Arial" w:eastAsia="Arial" w:hAnsi="Arial"/>
          <w:sz w:val="14"/>
          <w:szCs w:val="14"/>
          <w:color w:val="auto"/>
        </w:rPr>
        <w:t>Executive Employment Agreement</w:t>
      </w:r>
    </w:p>
    <w:p>
      <w:pPr>
        <w:spacing w:after="0" w:line="28"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6"/>
          <w:szCs w:val="16"/>
          <w:color w:val="auto"/>
        </w:rPr>
        <w:t>8</w:t>
      </w:r>
    </w:p>
    <w:p>
      <w:pPr>
        <w:sectPr>
          <w:pgSz w:w="11900" w:h="16838" w:orient="portrait"/>
          <w:cols w:equalWidth="0" w:num="1">
            <w:col w:w="11420"/>
          </w:cols>
          <w:pgMar w:left="240" w:top="379" w:right="239" w:bottom="1440" w:gutter="0" w:footer="0" w:header="0"/>
        </w:sectPr>
      </w:pPr>
    </w:p>
    <w:bookmarkStart w:id="135" w:name="page136"/>
    <w:bookmarkEnd w:id="135"/>
    <w:p>
      <w:pPr>
        <w:ind w:left="-8" w:firstLine="1953"/>
        <w:spacing w:after="0" w:line="260" w:lineRule="auto"/>
        <w:tabs>
          <w:tab w:leader="none" w:pos="2431" w:val="left"/>
        </w:tabs>
        <w:numPr>
          <w:ilvl w:val="0"/>
          <w:numId w:val="82"/>
        </w:numPr>
        <w:rPr>
          <w:rFonts w:ascii="Arial" w:cs="Arial" w:eastAsia="Arial" w:hAnsi="Arial"/>
          <w:sz w:val="20"/>
          <w:szCs w:val="20"/>
          <w:color w:val="auto"/>
        </w:rPr>
      </w:pPr>
      <w:r>
        <w:rPr>
          <w:rFonts w:ascii="Arial" w:cs="Arial" w:eastAsia="Arial" w:hAnsi="Arial"/>
          <w:sz w:val="20"/>
          <w:szCs w:val="20"/>
          <w:color w:val="auto"/>
        </w:rPr>
        <w:t>an amount equal to the Executive’s Annual Base Salary through the Date of Termination for periods following Executive’s Separation From Service to the extent not theretofore paid;</w:t>
      </w:r>
    </w:p>
    <w:p>
      <w:pPr>
        <w:spacing w:after="0" w:line="177" w:lineRule="exact"/>
        <w:rPr>
          <w:sz w:val="20"/>
          <w:szCs w:val="20"/>
          <w:color w:val="auto"/>
        </w:rPr>
      </w:pPr>
    </w:p>
    <w:p>
      <w:pPr>
        <w:jc w:val="both"/>
        <w:ind w:left="-8" w:firstLine="1953"/>
        <w:spacing w:after="0" w:line="246" w:lineRule="auto"/>
        <w:tabs>
          <w:tab w:leader="none" w:pos="2470" w:val="left"/>
        </w:tabs>
        <w:numPr>
          <w:ilvl w:val="0"/>
          <w:numId w:val="83"/>
        </w:numPr>
        <w:rPr>
          <w:rFonts w:ascii="Arial" w:cs="Arial" w:eastAsia="Arial" w:hAnsi="Arial"/>
          <w:sz w:val="20"/>
          <w:szCs w:val="20"/>
          <w:color w:val="auto"/>
        </w:rPr>
      </w:pPr>
      <w:r>
        <w:rPr>
          <w:rFonts w:ascii="Arial" w:cs="Arial" w:eastAsia="Arial" w:hAnsi="Arial"/>
          <w:sz w:val="20"/>
          <w:szCs w:val="20"/>
          <w:color w:val="auto"/>
        </w:rPr>
        <w:t>an amount equal to the product of (i) the Annual Bonus Amount that would be payable in respect of the fiscal year during which the termination occurs (and annualized for any fiscal year consisting of less than twelve (12) months) based on actual performance for the full fiscal year and (ii) a fraction, the numerator of which is the number of days in the current fiscal year through the Date of Termination, and the denominator of which is three hundred sixty-five (365); and</w:t>
      </w:r>
    </w:p>
    <w:p>
      <w:pPr>
        <w:spacing w:after="0" w:line="192" w:lineRule="exact"/>
        <w:rPr>
          <w:sz w:val="20"/>
          <w:szCs w:val="20"/>
          <w:color w:val="auto"/>
        </w:rPr>
      </w:pPr>
    </w:p>
    <w:p>
      <w:pPr>
        <w:jc w:val="both"/>
        <w:ind w:left="-8" w:firstLine="1953"/>
        <w:spacing w:after="0" w:line="263" w:lineRule="auto"/>
        <w:tabs>
          <w:tab w:leader="none" w:pos="2604" w:val="left"/>
        </w:tabs>
        <w:numPr>
          <w:ilvl w:val="2"/>
          <w:numId w:val="84"/>
        </w:numPr>
        <w:rPr>
          <w:rFonts w:ascii="Arial" w:cs="Arial" w:eastAsia="Arial" w:hAnsi="Arial"/>
          <w:sz w:val="19"/>
          <w:szCs w:val="19"/>
          <w:color w:val="auto"/>
        </w:rPr>
      </w:pPr>
      <w:r>
        <w:rPr>
          <w:rFonts w:ascii="Arial" w:cs="Arial" w:eastAsia="Arial" w:hAnsi="Arial"/>
          <w:sz w:val="19"/>
          <w:szCs w:val="19"/>
          <w:color w:val="auto"/>
        </w:rPr>
        <w:t>an amount equal to the Applicable Multiple (or, in the event of a termination due to death or Disability or pursuant to clause (v) of the definition of “Good Reason” the Company’s failure to extend the Employment Period then the number “one” shall be substituted for the Applicable Multiple) times the sum of (i) the Annual Base Salary received by the Executive as of the Date of Termination and (ii) the Executive’s target Annual Bonus for the fiscal year during which the termination occurs.</w:t>
      </w:r>
    </w:p>
    <w:p>
      <w:pPr>
        <w:spacing w:after="0" w:line="190" w:lineRule="exact"/>
        <w:rPr>
          <w:rFonts w:ascii="Arial" w:cs="Arial" w:eastAsia="Arial" w:hAnsi="Arial"/>
          <w:sz w:val="19"/>
          <w:szCs w:val="19"/>
          <w:color w:val="auto"/>
        </w:rPr>
      </w:pPr>
    </w:p>
    <w:p>
      <w:pPr>
        <w:jc w:val="both"/>
        <w:ind w:left="-8" w:firstLine="1305"/>
        <w:spacing w:after="0" w:line="297" w:lineRule="auto"/>
        <w:tabs>
          <w:tab w:leader="none" w:pos="2157" w:val="left"/>
        </w:tabs>
        <w:numPr>
          <w:ilvl w:val="1"/>
          <w:numId w:val="85"/>
        </w:numPr>
        <w:rPr>
          <w:rFonts w:ascii="Arial" w:cs="Arial" w:eastAsia="Arial" w:hAnsi="Arial"/>
          <w:sz w:val="16"/>
          <w:szCs w:val="16"/>
          <w:color w:val="auto"/>
        </w:rPr>
      </w:pPr>
      <w:r>
        <w:rPr>
          <w:rFonts w:ascii="Arial" w:cs="Arial" w:eastAsia="Arial" w:hAnsi="Arial"/>
          <w:sz w:val="18"/>
          <w:szCs w:val="18"/>
          <w:color w:val="auto"/>
        </w:rPr>
        <w:t xml:space="preserve">For a period of time equal to one year multiplied by the Applicable Multiple from the Executive’s Date of Termination, or such longer period as may be provided by the terms of the appropriate plan, program, practice or policy, the Company shall continue dental and health benefits to the Executive and the Executive’s family equal to those which would have been provided to them in accordance with the dental and health insurance plans, programs, practices and policies described in </w:t>
      </w:r>
      <w:r>
        <w:rPr>
          <w:rFonts w:ascii="Arial" w:cs="Arial" w:eastAsia="Arial" w:hAnsi="Arial"/>
          <w:sz w:val="18"/>
          <w:szCs w:val="18"/>
          <w:u w:val="single" w:color="auto"/>
          <w:color w:val="auto"/>
        </w:rPr>
        <w:t>Section 3(b)(iv</w:t>
      </w:r>
      <w:r>
        <w:rPr>
          <w:rFonts w:ascii="Arial" w:cs="Arial" w:eastAsia="Arial" w:hAnsi="Arial"/>
          <w:sz w:val="18"/>
          <w:szCs w:val="18"/>
          <w:color w:val="auto"/>
        </w:rPr>
        <w:t xml:space="preserve">) if the Executive’s employment had not been terminated;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with respect to any of such dental and health insurance plans, programs, practices or policies requiring an employee contribution, the Executive (or Executive’s heirs or beneficiaries as applicable) shall continue to pay the monthly employee contribution for same, and provided further, that if the Executive becomes re-employed by another employer and is eligible to receive dental and health insurance benefits under another employer provided plan, the dental and health insurance benefits described herein shall be secondary to those provided under such other plan during such applicable period of eligibility. If any of the dental and health insurance benefits specified in this </w:t>
      </w:r>
      <w:r>
        <w:rPr>
          <w:rFonts w:ascii="Arial" w:cs="Arial" w:eastAsia="Arial" w:hAnsi="Arial"/>
          <w:sz w:val="18"/>
          <w:szCs w:val="18"/>
          <w:u w:val="single" w:color="auto"/>
          <w:color w:val="auto"/>
        </w:rPr>
        <w:t>Section 5(b)(ii</w:t>
      </w:r>
      <w:r>
        <w:rPr>
          <w:rFonts w:ascii="Arial" w:cs="Arial" w:eastAsia="Arial" w:hAnsi="Arial"/>
          <w:sz w:val="18"/>
          <w:szCs w:val="18"/>
          <w:color w:val="auto"/>
        </w:rPr>
        <w:t xml:space="preserve">) are taxable to the Executive and are not exempt from Section 409A, the following provisions shall apply to the reimbursement or provision of such benefits. The Executive shall be eligible for reimbursement on an in-kind basis, during the period described in the first sentence of this </w:t>
      </w:r>
      <w:r>
        <w:rPr>
          <w:rFonts w:ascii="Arial" w:cs="Arial" w:eastAsia="Arial" w:hAnsi="Arial"/>
          <w:sz w:val="18"/>
          <w:szCs w:val="18"/>
          <w:u w:val="single" w:color="auto"/>
          <w:color w:val="auto"/>
        </w:rPr>
        <w:t>Section 5(b)(ii)</w:t>
      </w:r>
      <w:r>
        <w:rPr>
          <w:rFonts w:ascii="Arial" w:cs="Arial" w:eastAsia="Arial" w:hAnsi="Arial"/>
          <w:sz w:val="18"/>
          <w:szCs w:val="18"/>
          <w:color w:val="auto"/>
        </w:rPr>
        <w:t xml:space="preserve">. The amount of such benefit expenses eligible for reimbursement or the in-kind benefits provided under this </w:t>
      </w:r>
      <w:r>
        <w:rPr>
          <w:rFonts w:ascii="Arial" w:cs="Arial" w:eastAsia="Arial" w:hAnsi="Arial"/>
          <w:sz w:val="18"/>
          <w:szCs w:val="18"/>
          <w:u w:val="single" w:color="auto"/>
          <w:color w:val="auto"/>
        </w:rPr>
        <w:t>Section 5(b)(ii</w:t>
      </w:r>
      <w:r>
        <w:rPr>
          <w:rFonts w:ascii="Arial" w:cs="Arial" w:eastAsia="Arial" w:hAnsi="Arial"/>
          <w:sz w:val="18"/>
          <w:szCs w:val="18"/>
          <w:color w:val="auto"/>
        </w:rPr>
        <w:t xml:space="preserve">), during the Executive’s taxable year will not affect the expenses eligible for reimbursement, or the benefits to be provided, in any other taxable year (with the exception of applicable lifetime maximums applicable to medical expenses or medical benefits described in Section 105(b) of the Code). The Executive’s right to reimbursement or direct provision of benefits under this </w:t>
      </w:r>
      <w:r>
        <w:rPr>
          <w:rFonts w:ascii="Arial" w:cs="Arial" w:eastAsia="Arial" w:hAnsi="Arial"/>
          <w:sz w:val="18"/>
          <w:szCs w:val="18"/>
          <w:u w:val="single" w:color="auto"/>
          <w:color w:val="auto"/>
        </w:rPr>
        <w:t>Section 5(b)(ii</w:t>
      </w:r>
      <w:r>
        <w:rPr>
          <w:rFonts w:ascii="Arial" w:cs="Arial" w:eastAsia="Arial" w:hAnsi="Arial"/>
          <w:sz w:val="18"/>
          <w:szCs w:val="18"/>
          <w:color w:val="auto"/>
        </w:rPr>
        <w:t xml:space="preserve">) is not subject to liquidation or exchange for another benefit. To the extent that the benefits provided to the Executive pursuant to this </w:t>
      </w:r>
      <w:r>
        <w:rPr>
          <w:rFonts w:ascii="Arial" w:cs="Arial" w:eastAsia="Arial" w:hAnsi="Arial"/>
          <w:sz w:val="18"/>
          <w:szCs w:val="18"/>
          <w:u w:val="single" w:color="auto"/>
          <w:color w:val="auto"/>
        </w:rPr>
        <w:t>Section 5(b)(ii</w:t>
      </w:r>
      <w:r>
        <w:rPr>
          <w:rFonts w:ascii="Arial" w:cs="Arial" w:eastAsia="Arial" w:hAnsi="Arial"/>
          <w:sz w:val="18"/>
          <w:szCs w:val="18"/>
          <w:color w:val="auto"/>
        </w:rPr>
        <w:t xml:space="preserve">) are taxable to the Executive and are not otherwise exempt from Section 409A, any reimbursement amounts to which the Executive would otherwise be entitled under this </w:t>
      </w:r>
      <w:r>
        <w:rPr>
          <w:rFonts w:ascii="Arial" w:cs="Arial" w:eastAsia="Arial" w:hAnsi="Arial"/>
          <w:sz w:val="18"/>
          <w:szCs w:val="18"/>
          <w:u w:val="single" w:color="auto"/>
          <w:color w:val="auto"/>
        </w:rPr>
        <w:t>Section 5(b)(ii</w:t>
      </w:r>
      <w:r>
        <w:rPr>
          <w:rFonts w:ascii="Arial" w:cs="Arial" w:eastAsia="Arial" w:hAnsi="Arial"/>
          <w:sz w:val="18"/>
          <w:szCs w:val="18"/>
          <w:color w:val="auto"/>
        </w:rPr>
        <w:t xml:space="preserve">) during the first six (6) months following the date of the Executive’s Separation From Service shall be accumulated and paid to the Executive on the date that is six (6) months following the date of Executive’s Separation From Service. All reimbursements by the Company under this </w:t>
      </w:r>
      <w:r>
        <w:rPr>
          <w:rFonts w:ascii="Arial" w:cs="Arial" w:eastAsia="Arial" w:hAnsi="Arial"/>
          <w:sz w:val="18"/>
          <w:szCs w:val="18"/>
          <w:u w:val="single" w:color="auto"/>
          <w:color w:val="auto"/>
        </w:rPr>
        <w:t>Section 5(b)(ii</w:t>
      </w:r>
      <w:r>
        <w:rPr>
          <w:rFonts w:ascii="Arial" w:cs="Arial" w:eastAsia="Arial" w:hAnsi="Arial"/>
          <w:sz w:val="18"/>
          <w:szCs w:val="18"/>
          <w:color w:val="auto"/>
        </w:rPr>
        <w:t>) shall be paid no later than the earlier of</w:t>
      </w:r>
    </w:p>
    <w:p>
      <w:pPr>
        <w:spacing w:after="0" w:line="9" w:lineRule="exact"/>
        <w:rPr>
          <w:rFonts w:ascii="Arial" w:cs="Arial" w:eastAsia="Arial" w:hAnsi="Arial"/>
          <w:sz w:val="16"/>
          <w:szCs w:val="16"/>
          <w:color w:val="auto"/>
        </w:rPr>
      </w:pPr>
    </w:p>
    <w:p>
      <w:pPr>
        <w:ind w:left="-8" w:right="20" w:firstLine="8"/>
        <w:spacing w:after="0" w:line="289" w:lineRule="auto"/>
        <w:tabs>
          <w:tab w:leader="none" w:pos="241"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time periods described above and (ii) the last day of the Executive’s taxable year following the taxable year in which the expense was incurred by the Executive.</w:t>
      </w:r>
    </w:p>
    <w:p>
      <w:pPr>
        <w:spacing w:after="0" w:line="188" w:lineRule="exact"/>
        <w:rPr>
          <w:rFonts w:ascii="Arial" w:cs="Arial" w:eastAsia="Arial" w:hAnsi="Arial"/>
          <w:sz w:val="20"/>
          <w:szCs w:val="20"/>
          <w:color w:val="auto"/>
        </w:rPr>
      </w:pPr>
    </w:p>
    <w:p>
      <w:pPr>
        <w:jc w:val="both"/>
        <w:ind w:left="-8" w:firstLine="1305"/>
        <w:spacing w:after="0" w:line="274" w:lineRule="auto"/>
        <w:tabs>
          <w:tab w:leader="none" w:pos="2207" w:val="left"/>
        </w:tabs>
        <w:numPr>
          <w:ilvl w:val="1"/>
          <w:numId w:val="86"/>
        </w:numPr>
        <w:rPr>
          <w:rFonts w:ascii="Arial" w:cs="Arial" w:eastAsia="Arial" w:hAnsi="Arial"/>
          <w:sz w:val="18"/>
          <w:szCs w:val="18"/>
          <w:color w:val="auto"/>
        </w:rPr>
      </w:pPr>
      <w:r>
        <w:rPr>
          <w:rFonts w:ascii="Arial" w:cs="Arial" w:eastAsia="Arial" w:hAnsi="Arial"/>
          <w:sz w:val="20"/>
          <w:szCs w:val="20"/>
          <w:color w:val="auto"/>
        </w:rPr>
        <w:t>The Company shall, at its sole expense as incurred, provide the Executive with reasonable outplacement services (up to a maximum of $35,000) from a provider selected by the Company. The Company shall directly pay the provider the fees for such outplacement services. The period during which such outplacement services shall be provided to the Executive at the expense of the Company shall</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9132" w:hanging="111"/>
        <w:spacing w:after="0"/>
        <w:tabs>
          <w:tab w:leader="none" w:pos="9132" w:val="left"/>
        </w:tabs>
        <w:numPr>
          <w:ilvl w:val="3"/>
          <w:numId w:val="86"/>
        </w:numPr>
        <w:rPr>
          <w:rFonts w:ascii="Arial" w:cs="Arial" w:eastAsia="Arial" w:hAnsi="Arial"/>
          <w:sz w:val="16"/>
          <w:szCs w:val="16"/>
          <w:color w:val="auto"/>
        </w:rPr>
      </w:pPr>
      <w:r>
        <w:rPr>
          <w:rFonts w:ascii="Arial" w:cs="Arial" w:eastAsia="Arial" w:hAnsi="Arial"/>
          <w:sz w:val="14"/>
          <w:szCs w:val="14"/>
          <w:color w:val="auto"/>
        </w:rPr>
        <w:t>Executive Employment Agreement</w:t>
      </w:r>
    </w:p>
    <w:p>
      <w:pPr>
        <w:spacing w:after="0" w:line="28" w:lineRule="exact"/>
        <w:rPr>
          <w:rFonts w:ascii="Arial" w:cs="Arial" w:eastAsia="Arial" w:hAnsi="Arial"/>
          <w:sz w:val="16"/>
          <w:szCs w:val="16"/>
          <w:color w:val="auto"/>
        </w:rPr>
      </w:pPr>
    </w:p>
    <w:p>
      <w:pPr>
        <w:ind w:left="5672"/>
        <w:spacing w:after="0"/>
        <w:rPr>
          <w:rFonts w:ascii="Arial" w:cs="Arial" w:eastAsia="Arial" w:hAnsi="Arial"/>
          <w:sz w:val="16"/>
          <w:szCs w:val="16"/>
          <w:color w:val="auto"/>
        </w:rPr>
      </w:pPr>
      <w:r>
        <w:rPr>
          <w:rFonts w:ascii="Arial" w:cs="Arial" w:eastAsia="Arial" w:hAnsi="Arial"/>
          <w:sz w:val="16"/>
          <w:szCs w:val="16"/>
          <w:color w:val="auto"/>
        </w:rPr>
        <w:t>9</w:t>
      </w:r>
    </w:p>
    <w:p>
      <w:pPr>
        <w:sectPr>
          <w:pgSz w:w="11900" w:h="16838" w:orient="portrait"/>
          <w:cols w:equalWidth="0" w:num="1">
            <w:col w:w="11412"/>
          </w:cols>
          <w:pgMar w:left="248" w:top="366" w:right="239" w:bottom="1440" w:gutter="0" w:footer="0" w:header="0"/>
        </w:sectPr>
      </w:pPr>
    </w:p>
    <w:bookmarkStart w:id="136" w:name="page137"/>
    <w:bookmarkEnd w:id="136"/>
    <w:p>
      <w:pPr>
        <w:spacing w:after="0" w:line="289" w:lineRule="auto"/>
        <w:rPr>
          <w:sz w:val="20"/>
          <w:szCs w:val="20"/>
          <w:color w:val="auto"/>
        </w:rPr>
      </w:pPr>
      <w:r>
        <w:rPr>
          <w:rFonts w:ascii="Arial" w:cs="Arial" w:eastAsia="Arial" w:hAnsi="Arial"/>
          <w:sz w:val="20"/>
          <w:szCs w:val="20"/>
          <w:color w:val="auto"/>
        </w:rPr>
        <w:t>not extend beyond the last day of the second taxable year of the Executive following the taxable year of the Executive during which Executive incurs a Separation From Service.</w:t>
      </w:r>
    </w:p>
    <w:p>
      <w:pPr>
        <w:spacing w:after="0" w:line="189" w:lineRule="exact"/>
        <w:rPr>
          <w:sz w:val="20"/>
          <w:szCs w:val="20"/>
          <w:color w:val="auto"/>
        </w:rPr>
      </w:pPr>
    </w:p>
    <w:p>
      <w:pPr>
        <w:ind w:left="2220" w:hanging="915"/>
        <w:spacing w:after="0"/>
        <w:tabs>
          <w:tab w:leader="none" w:pos="2220" w:val="left"/>
        </w:tabs>
        <w:numPr>
          <w:ilvl w:val="2"/>
          <w:numId w:val="87"/>
        </w:numPr>
        <w:rPr>
          <w:rFonts w:ascii="Arial" w:cs="Arial" w:eastAsia="Arial" w:hAnsi="Arial"/>
          <w:sz w:val="17"/>
          <w:szCs w:val="17"/>
          <w:color w:val="auto"/>
        </w:rPr>
      </w:pPr>
      <w:r>
        <w:rPr>
          <w:rFonts w:ascii="Arial" w:cs="Arial" w:eastAsia="Arial" w:hAnsi="Arial"/>
          <w:sz w:val="19"/>
          <w:szCs w:val="19"/>
          <w:color w:val="auto"/>
        </w:rPr>
        <w:t xml:space="preserve">The Company shall pay or provide to the Executive the amounts or benefits specified in </w:t>
      </w:r>
      <w:r>
        <w:rPr>
          <w:rFonts w:ascii="Arial" w:cs="Arial" w:eastAsia="Arial" w:hAnsi="Arial"/>
          <w:sz w:val="19"/>
          <w:szCs w:val="19"/>
          <w:u w:val="single" w:color="auto"/>
          <w:color w:val="auto"/>
        </w:rPr>
        <w:t>Section 5(b)(i)</w:t>
      </w:r>
      <w:r>
        <w:rPr>
          <w:rFonts w:ascii="Arial" w:cs="Arial" w:eastAsia="Arial" w:hAnsi="Arial"/>
          <w:sz w:val="19"/>
          <w:szCs w:val="19"/>
          <w:color w:val="auto"/>
        </w:rPr>
        <w:t xml:space="preserve"> thirty</w:t>
      </w:r>
    </w:p>
    <w:p>
      <w:pPr>
        <w:spacing w:after="0" w:line="38" w:lineRule="exact"/>
        <w:rPr>
          <w:rFonts w:ascii="Arial" w:cs="Arial" w:eastAsia="Arial" w:hAnsi="Arial"/>
          <w:sz w:val="17"/>
          <w:szCs w:val="17"/>
          <w:color w:val="auto"/>
        </w:rPr>
      </w:pPr>
    </w:p>
    <w:p>
      <w:pPr>
        <w:jc w:val="both"/>
        <w:ind w:firstLine="8"/>
        <w:spacing w:after="0" w:line="274" w:lineRule="auto"/>
        <w:tabs>
          <w:tab w:leader="none" w:pos="393" w:val="left"/>
        </w:tabs>
        <w:numPr>
          <w:ilvl w:val="0"/>
          <w:numId w:val="88"/>
        </w:numPr>
        <w:rPr>
          <w:rFonts w:ascii="Arial" w:cs="Arial" w:eastAsia="Arial" w:hAnsi="Arial"/>
          <w:sz w:val="20"/>
          <w:szCs w:val="20"/>
          <w:color w:val="auto"/>
        </w:rPr>
      </w:pPr>
      <w:r>
        <w:rPr>
          <w:rFonts w:ascii="Arial" w:cs="Arial" w:eastAsia="Arial" w:hAnsi="Arial"/>
          <w:sz w:val="20"/>
          <w:szCs w:val="20"/>
          <w:color w:val="auto"/>
        </w:rPr>
        <w:t>days following the date of the Executive’s Separation From Service if Executive is not a Specified Employee on the date of Executive’s Separation From Service or on the date that is six (6) months following the date of Executive’s Separation From Service if Executive is a Specified Employee; provided, however, that the pro-rata bonus payment described under Section 5(b)(i)(II) shall be paid at the time when the Annual Bonus for such year would normally be paid pursuant to Section 3(b)(ii).</w:t>
      </w:r>
    </w:p>
    <w:p>
      <w:pPr>
        <w:spacing w:after="0" w:line="205" w:lineRule="exact"/>
        <w:rPr>
          <w:rFonts w:ascii="Arial" w:cs="Arial" w:eastAsia="Arial" w:hAnsi="Arial"/>
          <w:sz w:val="20"/>
          <w:szCs w:val="20"/>
          <w:color w:val="auto"/>
        </w:rPr>
      </w:pPr>
    </w:p>
    <w:p>
      <w:pPr>
        <w:jc w:val="both"/>
        <w:ind w:firstLine="1305"/>
        <w:spacing w:after="0" w:line="278" w:lineRule="auto"/>
        <w:tabs>
          <w:tab w:leader="none" w:pos="2155" w:val="left"/>
        </w:tabs>
        <w:numPr>
          <w:ilvl w:val="2"/>
          <w:numId w:val="88"/>
        </w:numPr>
        <w:rPr>
          <w:rFonts w:ascii="Arial" w:cs="Arial" w:eastAsia="Arial" w:hAnsi="Arial"/>
          <w:sz w:val="18"/>
          <w:szCs w:val="18"/>
          <w:color w:val="auto"/>
        </w:rPr>
      </w:pPr>
      <w:r>
        <w:rPr>
          <w:rFonts w:ascii="Arial" w:cs="Arial" w:eastAsia="Arial" w:hAnsi="Arial"/>
          <w:sz w:val="20"/>
          <w:szCs w:val="20"/>
          <w:color w:val="auto"/>
        </w:rPr>
        <w:t xml:space="preserve">If the Executive is a Specified Employee, on the date that is six (6) months following the Executive’s Separation From Service, the Company shall pay to the Executive, in addition to the amounts reflected in clause (iv), an amount equal to the interest that would be earned on the amounts specified in </w:t>
      </w:r>
      <w:r>
        <w:rPr>
          <w:rFonts w:ascii="Arial" w:cs="Arial" w:eastAsia="Arial" w:hAnsi="Arial"/>
          <w:sz w:val="20"/>
          <w:szCs w:val="20"/>
          <w:u w:val="single" w:color="auto"/>
          <w:color w:val="auto"/>
        </w:rPr>
        <w:t>Section 5(b)(i)</w:t>
      </w:r>
      <w:r>
        <w:rPr>
          <w:rFonts w:ascii="Arial" w:cs="Arial" w:eastAsia="Arial" w:hAnsi="Arial"/>
          <w:sz w:val="20"/>
          <w:szCs w:val="20"/>
          <w:color w:val="auto"/>
        </w:rPr>
        <w:t>.</w:t>
      </w:r>
    </w:p>
    <w:p>
      <w:pPr>
        <w:spacing w:after="0" w:line="200" w:lineRule="exact"/>
        <w:rPr>
          <w:rFonts w:ascii="Arial" w:cs="Arial" w:eastAsia="Arial" w:hAnsi="Arial"/>
          <w:sz w:val="18"/>
          <w:szCs w:val="18"/>
          <w:color w:val="auto"/>
        </w:rPr>
      </w:pPr>
    </w:p>
    <w:p>
      <w:pPr>
        <w:jc w:val="both"/>
        <w:ind w:firstLine="656"/>
        <w:spacing w:after="0" w:line="288" w:lineRule="auto"/>
        <w:tabs>
          <w:tab w:leader="none" w:pos="1496" w:val="left"/>
        </w:tabs>
        <w:numPr>
          <w:ilvl w:val="1"/>
          <w:numId w:val="88"/>
        </w:numPr>
        <w:rPr>
          <w:rFonts w:ascii="Arial" w:cs="Arial" w:eastAsia="Arial" w:hAnsi="Arial"/>
          <w:sz w:val="17"/>
          <w:szCs w:val="17"/>
          <w:color w:val="auto"/>
        </w:rPr>
      </w:pPr>
      <w:r>
        <w:rPr>
          <w:rFonts w:ascii="Arial" w:cs="Arial" w:eastAsia="Arial" w:hAnsi="Arial"/>
          <w:sz w:val="19"/>
          <w:szCs w:val="19"/>
          <w:color w:val="auto"/>
        </w:rPr>
        <w:t>Cause. If the Executive’s employment is terminated for Cause during and prior to the expiration of the Employment Period, this Agreement shall terminate without further obligations to the Executive, other than the obligation to pay to the Executive (i) (A) the Accrued Obligation and (B) the Benefit Obligation in accordance with the terms of the applicable Benefit Plans, and (ii) Executive’s Annual Base Salary through the Date of Termination for periods following Executive’s Separation From Service on the date that is thirty (30) days following the date of the Executive’s Separation From Service if Executive is not a Specified Employee or on the date that is six (6) months following the date of Executive’s Separation From Service if Executive’s is a Specified Employee.</w:t>
      </w:r>
    </w:p>
    <w:p>
      <w:pPr>
        <w:spacing w:after="0" w:line="196" w:lineRule="exact"/>
        <w:rPr>
          <w:rFonts w:ascii="Arial" w:cs="Arial" w:eastAsia="Arial" w:hAnsi="Arial"/>
          <w:sz w:val="17"/>
          <w:szCs w:val="17"/>
          <w:color w:val="auto"/>
        </w:rPr>
      </w:pPr>
    </w:p>
    <w:p>
      <w:pPr>
        <w:jc w:val="both"/>
        <w:ind w:firstLine="656"/>
        <w:spacing w:after="0" w:line="297" w:lineRule="auto"/>
        <w:tabs>
          <w:tab w:leader="none" w:pos="1506" w:val="left"/>
        </w:tabs>
        <w:numPr>
          <w:ilvl w:val="1"/>
          <w:numId w:val="88"/>
        </w:numPr>
        <w:rPr>
          <w:rFonts w:ascii="Arial" w:cs="Arial" w:eastAsia="Arial" w:hAnsi="Arial"/>
          <w:sz w:val="16"/>
          <w:szCs w:val="16"/>
          <w:color w:val="auto"/>
        </w:rPr>
      </w:pPr>
      <w:r>
        <w:rPr>
          <w:rFonts w:ascii="Arial" w:cs="Arial" w:eastAsia="Arial" w:hAnsi="Arial"/>
          <w:sz w:val="18"/>
          <w:szCs w:val="18"/>
          <w:color w:val="auto"/>
        </w:rPr>
        <w:t xml:space="preserve">Termination by Executive Other Than for Good Reason. If the Executive voluntarily terminates Executive’s employment during and prior to the expiration of the Employment Period for any reason other than for Good Reason, the Executive’s employment shall terminate without further obligations to the Executive, other than the obligation to pay to the Executive (i) the Accrued Obligation, (ii) the Benefit Obligation, (iii) Executive’s Annual Base Salary through the Date of Termination for periods following Executive’s Separation From Service, and (iv) the rights provided in </w:t>
      </w:r>
      <w:r>
        <w:rPr>
          <w:rFonts w:ascii="Arial" w:cs="Arial" w:eastAsia="Arial" w:hAnsi="Arial"/>
          <w:sz w:val="18"/>
          <w:szCs w:val="18"/>
          <w:u w:val="single" w:color="auto"/>
          <w:color w:val="auto"/>
        </w:rPr>
        <w:t>Section 6</w:t>
      </w:r>
      <w:r>
        <w:rPr>
          <w:rFonts w:ascii="Arial" w:cs="Arial" w:eastAsia="Arial" w:hAnsi="Arial"/>
          <w:sz w:val="18"/>
          <w:szCs w:val="18"/>
          <w:color w:val="auto"/>
        </w:rPr>
        <w:t>. The Accrued Obligation shall be paid to the Executive in a lump sum in cash within thirty</w:t>
      </w:r>
    </w:p>
    <w:p>
      <w:pPr>
        <w:spacing w:after="0" w:line="2" w:lineRule="exact"/>
        <w:rPr>
          <w:rFonts w:ascii="Arial" w:cs="Arial" w:eastAsia="Arial" w:hAnsi="Arial"/>
          <w:sz w:val="16"/>
          <w:szCs w:val="16"/>
          <w:color w:val="auto"/>
        </w:rPr>
      </w:pPr>
    </w:p>
    <w:p>
      <w:pPr>
        <w:jc w:val="both"/>
        <w:ind w:firstLine="8"/>
        <w:spacing w:after="0" w:line="274" w:lineRule="auto"/>
        <w:tabs>
          <w:tab w:leader="none" w:pos="390" w:val="left"/>
        </w:tabs>
        <w:numPr>
          <w:ilvl w:val="0"/>
          <w:numId w:val="89"/>
        </w:numPr>
        <w:rPr>
          <w:rFonts w:ascii="Arial" w:cs="Arial" w:eastAsia="Arial" w:hAnsi="Arial"/>
          <w:sz w:val="20"/>
          <w:szCs w:val="20"/>
          <w:color w:val="auto"/>
        </w:rPr>
      </w:pPr>
      <w:r>
        <w:rPr>
          <w:rFonts w:ascii="Arial" w:cs="Arial" w:eastAsia="Arial" w:hAnsi="Arial"/>
          <w:sz w:val="20"/>
          <w:szCs w:val="20"/>
          <w:color w:val="auto"/>
        </w:rPr>
        <w:t>days after the Date of Termination and the Benefit Obligation shall be paid in accordance with the terms of the applicable Benefit Plans. The Company shall pay to the Executive the amount specified in clause (iii) on the date that is thirty (30) days following the date of the Executive’s Separation From Service if Executive is not a Specified Employee or on the date that is six (6) months following the date of Executive’s Separation From Service if Executive is a Specified Employee.</w:t>
      </w:r>
    </w:p>
    <w:p>
      <w:pPr>
        <w:spacing w:after="0" w:line="206" w:lineRule="exact"/>
        <w:rPr>
          <w:sz w:val="20"/>
          <w:szCs w:val="20"/>
          <w:color w:val="auto"/>
        </w:rPr>
      </w:pPr>
    </w:p>
    <w:p>
      <w:pPr>
        <w:jc w:val="both"/>
        <w:ind w:firstLine="8"/>
        <w:spacing w:after="0" w:line="303" w:lineRule="auto"/>
        <w:tabs>
          <w:tab w:leader="none" w:pos="783" w:val="left"/>
        </w:tabs>
        <w:numPr>
          <w:ilvl w:val="0"/>
          <w:numId w:val="90"/>
        </w:numPr>
        <w:rPr>
          <w:rFonts w:ascii="Arial" w:cs="Arial" w:eastAsia="Arial" w:hAnsi="Arial"/>
          <w:sz w:val="16"/>
          <w:szCs w:val="16"/>
          <w:color w:val="auto"/>
        </w:rPr>
      </w:pPr>
      <w:r>
        <w:rPr>
          <w:rFonts w:ascii="Arial" w:cs="Arial" w:eastAsia="Arial" w:hAnsi="Arial"/>
          <w:sz w:val="18"/>
          <w:szCs w:val="18"/>
          <w:u w:val="single" w:color="auto"/>
          <w:color w:val="auto"/>
        </w:rPr>
        <w:t>Other Rights</w:t>
      </w:r>
      <w:r>
        <w:rPr>
          <w:rFonts w:ascii="Arial" w:cs="Arial" w:eastAsia="Arial" w:hAnsi="Arial"/>
          <w:sz w:val="18"/>
          <w:szCs w:val="18"/>
          <w:color w:val="auto"/>
        </w:rPr>
        <w:t>. Except as provided herein, nothing in this Agreement shall prevent or limit the Executive’s continuing or future participation in any plan, program, policy or practice provided by Weatherford Ireland or its Affiliated Companies and for which the Executive may qualify, nor shall anything herein limit or otherwise affect such rights as the Executive may have under any plan, contract or agreement with Weatherford Ireland or any of its Affiliated Companies. Except as otherwise expressly provided herein, amounts which are vested benefits, which vest according to the terms of this Agreement or which the Executive is otherwise entitled to receive under any Benefit Plans or any other plan, policy, practice or program of or any contract or agreement with the Weatherford Ireland or any of its Affiliated Companies prior to, at or subsequent to the Date of Termination shall be payable in accordance with such plan, policy, practice, program, contract or agreement. If any severance payments are required to be paid to the Executive in conjunction with severance of employment under federal, state or local law, the severance payments paid to the Executive under this Agreement will be deemed to be in satisfaction of any such statutorily required</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9140" w:hanging="111"/>
        <w:spacing w:after="0"/>
        <w:tabs>
          <w:tab w:leader="none" w:pos="9140" w:val="left"/>
        </w:tabs>
        <w:numPr>
          <w:ilvl w:val="1"/>
          <w:numId w:val="90"/>
        </w:numPr>
        <w:rPr>
          <w:rFonts w:ascii="Arial" w:cs="Arial" w:eastAsia="Arial" w:hAnsi="Arial"/>
          <w:sz w:val="16"/>
          <w:szCs w:val="16"/>
          <w:color w:val="auto"/>
        </w:rPr>
      </w:pPr>
      <w:r>
        <w:rPr>
          <w:rFonts w:ascii="Arial" w:cs="Arial" w:eastAsia="Arial" w:hAnsi="Arial"/>
          <w:sz w:val="14"/>
          <w:szCs w:val="14"/>
          <w:color w:val="auto"/>
        </w:rPr>
        <w:t>Executive Employment Agreement</w:t>
      </w:r>
    </w:p>
    <w:p>
      <w:pPr>
        <w:spacing w:after="0" w:line="28" w:lineRule="exact"/>
        <w:rPr>
          <w:rFonts w:ascii="Arial" w:cs="Arial" w:eastAsia="Arial" w:hAnsi="Arial"/>
          <w:sz w:val="16"/>
          <w:szCs w:val="16"/>
          <w:color w:val="auto"/>
        </w:rPr>
      </w:pPr>
    </w:p>
    <w:p>
      <w:pPr>
        <w:ind w:left="5640"/>
        <w:spacing w:after="0"/>
        <w:rPr>
          <w:rFonts w:ascii="Arial" w:cs="Arial" w:eastAsia="Arial" w:hAnsi="Arial"/>
          <w:sz w:val="16"/>
          <w:szCs w:val="16"/>
          <w:color w:val="auto"/>
        </w:rPr>
      </w:pPr>
      <w:r>
        <w:rPr>
          <w:rFonts w:ascii="Arial" w:cs="Arial" w:eastAsia="Arial" w:hAnsi="Arial"/>
          <w:sz w:val="16"/>
          <w:szCs w:val="16"/>
          <w:color w:val="auto"/>
        </w:rPr>
        <w:t>10</w:t>
      </w:r>
    </w:p>
    <w:p>
      <w:pPr>
        <w:sectPr>
          <w:pgSz w:w="11900" w:h="16838" w:orient="portrait"/>
          <w:cols w:equalWidth="0" w:num="1">
            <w:col w:w="11420"/>
          </w:cols>
          <w:pgMar w:left="240" w:top="379" w:right="239" w:bottom="1440" w:gutter="0" w:footer="0" w:header="0"/>
        </w:sectPr>
      </w:pPr>
    </w:p>
    <w:bookmarkStart w:id="137" w:name="page138"/>
    <w:bookmarkEnd w:id="137"/>
    <w:p>
      <w:pPr>
        <w:ind w:right="20"/>
        <w:spacing w:after="0" w:line="289" w:lineRule="auto"/>
        <w:rPr>
          <w:sz w:val="20"/>
          <w:szCs w:val="20"/>
          <w:color w:val="auto"/>
        </w:rPr>
      </w:pPr>
      <w:r>
        <w:rPr>
          <w:rFonts w:ascii="Arial" w:cs="Arial" w:eastAsia="Arial" w:hAnsi="Arial"/>
          <w:sz w:val="20"/>
          <w:szCs w:val="20"/>
          <w:color w:val="auto"/>
        </w:rPr>
        <w:t>benefit obligations to the extent that doing so would not result in an acceleration of payment of nonqualified deferred compensation that is prohibited under Section 409A.</w:t>
      </w:r>
    </w:p>
    <w:p>
      <w:pPr>
        <w:spacing w:after="0" w:line="189" w:lineRule="exact"/>
        <w:rPr>
          <w:sz w:val="20"/>
          <w:szCs w:val="20"/>
          <w:color w:val="auto"/>
        </w:rPr>
      </w:pPr>
    </w:p>
    <w:p>
      <w:pPr>
        <w:ind w:left="800" w:hanging="792"/>
        <w:spacing w:after="0"/>
        <w:tabs>
          <w:tab w:leader="none" w:pos="800" w:val="left"/>
        </w:tabs>
        <w:numPr>
          <w:ilvl w:val="0"/>
          <w:numId w:val="91"/>
        </w:numPr>
        <w:rPr>
          <w:rFonts w:ascii="Arial" w:cs="Arial" w:eastAsia="Arial" w:hAnsi="Arial"/>
          <w:sz w:val="18"/>
          <w:szCs w:val="18"/>
          <w:color w:val="auto"/>
        </w:rPr>
      </w:pPr>
      <w:r>
        <w:rPr>
          <w:rFonts w:ascii="Arial" w:cs="Arial" w:eastAsia="Arial" w:hAnsi="Arial"/>
          <w:sz w:val="20"/>
          <w:szCs w:val="20"/>
          <w:u w:val="single" w:color="auto"/>
          <w:color w:val="auto"/>
        </w:rPr>
        <w:t>Full Settlement</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firstLine="656"/>
        <w:spacing w:after="0" w:line="278" w:lineRule="auto"/>
        <w:tabs>
          <w:tab w:leader="none" w:pos="1496" w:val="left"/>
        </w:tabs>
        <w:numPr>
          <w:ilvl w:val="1"/>
          <w:numId w:val="91"/>
        </w:numPr>
        <w:rPr>
          <w:rFonts w:ascii="Arial" w:cs="Arial" w:eastAsia="Arial" w:hAnsi="Arial"/>
          <w:sz w:val="18"/>
          <w:szCs w:val="18"/>
          <w:color w:val="auto"/>
        </w:rPr>
      </w:pPr>
      <w:r>
        <w:rPr>
          <w:rFonts w:ascii="Arial" w:cs="Arial" w:eastAsia="Arial" w:hAnsi="Arial"/>
          <w:sz w:val="20"/>
          <w:szCs w:val="20"/>
          <w:color w:val="auto"/>
        </w:rPr>
        <w:t>No Rights of Offset. The Company’s obligation to make the payments provided for in this Agreement and otherwise to perform its obligations hereunder shall not be affected by any set-off, counterclaim, recoupment, defense or other claim, right or action which the Company may have against the Executive or others.</w:t>
      </w:r>
    </w:p>
    <w:p>
      <w:pPr>
        <w:spacing w:after="0" w:line="200" w:lineRule="exact"/>
        <w:rPr>
          <w:rFonts w:ascii="Arial" w:cs="Arial" w:eastAsia="Arial" w:hAnsi="Arial"/>
          <w:sz w:val="18"/>
          <w:szCs w:val="18"/>
          <w:color w:val="auto"/>
        </w:rPr>
      </w:pPr>
    </w:p>
    <w:p>
      <w:pPr>
        <w:jc w:val="both"/>
        <w:ind w:firstLine="656"/>
        <w:spacing w:after="0" w:line="290" w:lineRule="auto"/>
        <w:tabs>
          <w:tab w:leader="none" w:pos="1506" w:val="left"/>
        </w:tabs>
        <w:numPr>
          <w:ilvl w:val="1"/>
          <w:numId w:val="91"/>
        </w:numPr>
        <w:rPr>
          <w:rFonts w:ascii="Arial" w:cs="Arial" w:eastAsia="Arial" w:hAnsi="Arial"/>
          <w:sz w:val="17"/>
          <w:szCs w:val="17"/>
          <w:color w:val="auto"/>
        </w:rPr>
      </w:pPr>
      <w:r>
        <w:rPr>
          <w:rFonts w:ascii="Arial" w:cs="Arial" w:eastAsia="Arial" w:hAnsi="Arial"/>
          <w:sz w:val="19"/>
          <w:szCs w:val="19"/>
          <w:color w:val="auto"/>
        </w:rPr>
        <w:t xml:space="preserve">No Mitigation Required. The Company agrees that, if the Executive’s employment with the Company terminates, the Executive is not required to seek other employment or to attempt in any way to reduce any amounts payable to the Executive by the Company pursuant to this Agreement. Further, except as specified in </w:t>
      </w:r>
      <w:r>
        <w:rPr>
          <w:rFonts w:ascii="Arial" w:cs="Arial" w:eastAsia="Arial" w:hAnsi="Arial"/>
          <w:sz w:val="19"/>
          <w:szCs w:val="19"/>
          <w:u w:val="single" w:color="auto"/>
          <w:color w:val="auto"/>
        </w:rPr>
        <w:t>Section 5(b)(ii</w:t>
      </w:r>
      <w:r>
        <w:rPr>
          <w:rFonts w:ascii="Arial" w:cs="Arial" w:eastAsia="Arial" w:hAnsi="Arial"/>
          <w:sz w:val="19"/>
          <w:szCs w:val="19"/>
          <w:color w:val="auto"/>
        </w:rPr>
        <w:t>), the amount of any payment or benefit provided for in this Agreement shall not be reduced by any compensation earned by the Executive as the result of employment by another employer, by retirement benefits, by offset against any amount claimed to be owed by the Executive to the Company, or otherwise.</w:t>
      </w:r>
    </w:p>
    <w:p>
      <w:pPr>
        <w:spacing w:after="0" w:line="192" w:lineRule="exact"/>
        <w:rPr>
          <w:rFonts w:ascii="Arial" w:cs="Arial" w:eastAsia="Arial" w:hAnsi="Arial"/>
          <w:sz w:val="17"/>
          <w:szCs w:val="17"/>
          <w:color w:val="auto"/>
        </w:rPr>
      </w:pPr>
    </w:p>
    <w:p>
      <w:pPr>
        <w:jc w:val="both"/>
        <w:ind w:firstLine="656"/>
        <w:spacing w:after="0" w:line="301" w:lineRule="auto"/>
        <w:tabs>
          <w:tab w:leader="none" w:pos="1496" w:val="left"/>
        </w:tabs>
        <w:numPr>
          <w:ilvl w:val="1"/>
          <w:numId w:val="91"/>
        </w:numPr>
        <w:rPr>
          <w:rFonts w:ascii="Arial" w:cs="Arial" w:eastAsia="Arial" w:hAnsi="Arial"/>
          <w:sz w:val="16"/>
          <w:szCs w:val="16"/>
          <w:color w:val="auto"/>
        </w:rPr>
      </w:pPr>
      <w:r>
        <w:rPr>
          <w:rFonts w:ascii="Arial" w:cs="Arial" w:eastAsia="Arial" w:hAnsi="Arial"/>
          <w:sz w:val="18"/>
          <w:szCs w:val="18"/>
          <w:color w:val="auto"/>
        </w:rPr>
        <w:t xml:space="preserve">Legal Fees. The Company agrees to pay promptly as incurred, to the full extent permitted by law, all legal fees and expenses which the Executive may reasonably incur as a result of any contest by Weatherford Ireland, the Company or the Executive of the validity or enforceability of, or liability under, any provision of this Agreement or any guarantee of performance thereto (including as a result of any contest by the Executive about the amount of any payment pursuant to this Agreement), provided that the Executive shall agree and undertake to reimburse the Company for such amounts paid if, but only if, the Executive is determined to have acted in bad faith in connection with the legal dispute, as determined in a final, non-appealable decision by a court of competent jurisdiction. The legal fees or expenses that are subject to reimbursement pursuant to this </w:t>
      </w:r>
      <w:r>
        <w:rPr>
          <w:rFonts w:ascii="Arial" w:cs="Arial" w:eastAsia="Arial" w:hAnsi="Arial"/>
          <w:sz w:val="18"/>
          <w:szCs w:val="18"/>
          <w:u w:val="single" w:color="auto"/>
          <w:color w:val="auto"/>
        </w:rPr>
        <w:t>Section 7(c</w:t>
      </w:r>
      <w:r>
        <w:rPr>
          <w:rFonts w:ascii="Arial" w:cs="Arial" w:eastAsia="Arial" w:hAnsi="Arial"/>
          <w:sz w:val="18"/>
          <w:szCs w:val="18"/>
          <w:color w:val="auto"/>
        </w:rPr>
        <w:t xml:space="preserve">) shall not be limited as a result of when the fees or expenses are incurred. The amount of legal fees or expenses that is eligible for reimbursement pursuant to this </w:t>
      </w:r>
      <w:r>
        <w:rPr>
          <w:rFonts w:ascii="Arial" w:cs="Arial" w:eastAsia="Arial" w:hAnsi="Arial"/>
          <w:sz w:val="18"/>
          <w:szCs w:val="18"/>
          <w:u w:val="single" w:color="auto"/>
          <w:color w:val="auto"/>
        </w:rPr>
        <w:t>Section 7(c</w:t>
      </w:r>
      <w:r>
        <w:rPr>
          <w:rFonts w:ascii="Arial" w:cs="Arial" w:eastAsia="Arial" w:hAnsi="Arial"/>
          <w:sz w:val="18"/>
          <w:szCs w:val="18"/>
          <w:color w:val="auto"/>
        </w:rPr>
        <w:t xml:space="preserve">) during a given taxable year of the Executive shall not affect the amount of expenses eligible for reimbursement in any other taxable year of the Executive. The right to reimbursement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7(c</w:t>
      </w:r>
      <w:r>
        <w:rPr>
          <w:rFonts w:ascii="Arial" w:cs="Arial" w:eastAsia="Arial" w:hAnsi="Arial"/>
          <w:sz w:val="18"/>
          <w:szCs w:val="18"/>
          <w:color w:val="auto"/>
        </w:rPr>
        <w:t xml:space="preserve">) is not subject to liquidation or exchange for another benefit. Any amount to which the Executive is entitled to reimbursement under this </w:t>
      </w:r>
      <w:r>
        <w:rPr>
          <w:rFonts w:ascii="Arial" w:cs="Arial" w:eastAsia="Arial" w:hAnsi="Arial"/>
          <w:sz w:val="18"/>
          <w:szCs w:val="18"/>
          <w:u w:val="single" w:color="auto"/>
          <w:color w:val="auto"/>
        </w:rPr>
        <w:t>Section 7(c</w:t>
      </w:r>
      <w:r>
        <w:rPr>
          <w:rFonts w:ascii="Arial" w:cs="Arial" w:eastAsia="Arial" w:hAnsi="Arial"/>
          <w:sz w:val="18"/>
          <w:szCs w:val="18"/>
          <w:color w:val="auto"/>
        </w:rPr>
        <w:t xml:space="preserve">) during the first six (6) months following the date of the Executive’s Separation From Service shall be accumulated and paid to the Executive on the date that is six (6) months following the date of Executive’s Separation From Service. All reimbursements by the Company under this </w:t>
      </w:r>
      <w:r>
        <w:rPr>
          <w:rFonts w:ascii="Arial" w:cs="Arial" w:eastAsia="Arial" w:hAnsi="Arial"/>
          <w:sz w:val="18"/>
          <w:szCs w:val="18"/>
          <w:u w:val="single" w:color="auto"/>
          <w:color w:val="auto"/>
        </w:rPr>
        <w:t>Section 7(c</w:t>
      </w:r>
      <w:r>
        <w:rPr>
          <w:rFonts w:ascii="Arial" w:cs="Arial" w:eastAsia="Arial" w:hAnsi="Arial"/>
          <w:sz w:val="18"/>
          <w:szCs w:val="18"/>
          <w:color w:val="auto"/>
        </w:rPr>
        <w:t>) shall be paid no later than the earlier of (i) the time periods described above and (ii) the last day of the Executive’s taxable year next following the taxable year in which the expense was incurred by the Executive.</w:t>
      </w:r>
    </w:p>
    <w:p>
      <w:pPr>
        <w:spacing w:after="0" w:line="187" w:lineRule="exact"/>
        <w:rPr>
          <w:rFonts w:ascii="Arial" w:cs="Arial" w:eastAsia="Arial" w:hAnsi="Arial"/>
          <w:sz w:val="16"/>
          <w:szCs w:val="16"/>
          <w:color w:val="auto"/>
        </w:rPr>
      </w:pPr>
    </w:p>
    <w:p>
      <w:pPr>
        <w:ind w:left="800" w:hanging="792"/>
        <w:spacing w:after="0"/>
        <w:tabs>
          <w:tab w:leader="none" w:pos="800" w:val="left"/>
        </w:tabs>
        <w:numPr>
          <w:ilvl w:val="0"/>
          <w:numId w:val="91"/>
        </w:numPr>
        <w:rPr>
          <w:rFonts w:ascii="Arial" w:cs="Arial" w:eastAsia="Arial" w:hAnsi="Arial"/>
          <w:sz w:val="18"/>
          <w:szCs w:val="18"/>
          <w:color w:val="auto"/>
        </w:rPr>
      </w:pPr>
      <w:r>
        <w:rPr>
          <w:rFonts w:ascii="Arial" w:cs="Arial" w:eastAsia="Arial" w:hAnsi="Arial"/>
          <w:sz w:val="20"/>
          <w:szCs w:val="20"/>
          <w:u w:val="single" w:color="auto"/>
          <w:color w:val="auto"/>
        </w:rPr>
        <w:t>Certain Additional Payments by the Company</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firstLine="656"/>
        <w:spacing w:after="0" w:line="305" w:lineRule="auto"/>
        <w:tabs>
          <w:tab w:leader="none" w:pos="1496" w:val="left"/>
        </w:tabs>
        <w:numPr>
          <w:ilvl w:val="1"/>
          <w:numId w:val="91"/>
        </w:numPr>
        <w:rPr>
          <w:rFonts w:ascii="Arial" w:cs="Arial" w:eastAsia="Arial" w:hAnsi="Arial"/>
          <w:sz w:val="16"/>
          <w:szCs w:val="16"/>
          <w:color w:val="auto"/>
        </w:rPr>
      </w:pPr>
      <w:r>
        <w:rPr>
          <w:rFonts w:ascii="Arial" w:cs="Arial" w:eastAsia="Arial" w:hAnsi="Arial"/>
          <w:sz w:val="18"/>
          <w:szCs w:val="18"/>
          <w:color w:val="auto"/>
        </w:rPr>
        <w:t>In the event that part or all of the consideration, compensation or benefits to be paid to the Executive under this Agreement together with the aggregate present value of payments, consideration, compensation and benefits under all other plans, arrangements and agreements applicable to the Executive, constitute “excess parachute payments” under Section 280G(b) of the Code subject to an excise tax under Section 4999 of the Code (collectively, the “</w:t>
      </w:r>
      <w:r>
        <w:rPr>
          <w:rFonts w:ascii="Arial" w:cs="Arial" w:eastAsia="Arial" w:hAnsi="Arial"/>
          <w:sz w:val="18"/>
          <w:szCs w:val="18"/>
          <w:u w:val="single" w:color="auto"/>
          <w:color w:val="auto"/>
        </w:rPr>
        <w:t>Parachute Amount</w:t>
      </w:r>
      <w:r>
        <w:rPr>
          <w:rFonts w:ascii="Arial" w:cs="Arial" w:eastAsia="Arial" w:hAnsi="Arial"/>
          <w:sz w:val="18"/>
          <w:szCs w:val="18"/>
          <w:color w:val="auto"/>
        </w:rPr>
        <w:t>”) the amount of excess parachute payments which would otherwise be payable to the Executive or for the Executive’s benefit under this Agreement shall be reduced to the extent necessary so that no amount of the Parachute Amount is subject to an excise tax under Section 4999 (the “</w:t>
      </w:r>
      <w:r>
        <w:rPr>
          <w:rFonts w:ascii="Arial" w:cs="Arial" w:eastAsia="Arial" w:hAnsi="Arial"/>
          <w:sz w:val="18"/>
          <w:szCs w:val="18"/>
          <w:u w:val="single" w:color="auto"/>
          <w:color w:val="auto"/>
        </w:rPr>
        <w:t>Reduced Amount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shall not be so reduced if, without such reduction, the Executive would be entitled to receive and retain, on a net after tax basis (including,</w:t>
      </w:r>
    </w:p>
    <w:p>
      <w:pPr>
        <w:spacing w:after="0" w:line="200" w:lineRule="exact"/>
        <w:rPr>
          <w:rFonts w:ascii="Arial" w:cs="Arial" w:eastAsia="Arial" w:hAnsi="Arial"/>
          <w:sz w:val="16"/>
          <w:szCs w:val="16"/>
          <w:color w:val="auto"/>
        </w:rPr>
      </w:pPr>
    </w:p>
    <w:p>
      <w:pPr>
        <w:spacing w:after="0" w:line="221" w:lineRule="exact"/>
        <w:rPr>
          <w:rFonts w:ascii="Arial" w:cs="Arial" w:eastAsia="Arial" w:hAnsi="Arial"/>
          <w:sz w:val="16"/>
          <w:szCs w:val="16"/>
          <w:color w:val="auto"/>
        </w:rPr>
      </w:pPr>
    </w:p>
    <w:p>
      <w:pPr>
        <w:ind w:left="9140" w:hanging="111"/>
        <w:spacing w:after="0"/>
        <w:tabs>
          <w:tab w:leader="none" w:pos="9140" w:val="left"/>
        </w:tabs>
        <w:numPr>
          <w:ilvl w:val="2"/>
          <w:numId w:val="91"/>
        </w:numPr>
        <w:rPr>
          <w:rFonts w:ascii="Arial" w:cs="Arial" w:eastAsia="Arial" w:hAnsi="Arial"/>
          <w:sz w:val="16"/>
          <w:szCs w:val="16"/>
          <w:color w:val="auto"/>
        </w:rPr>
      </w:pPr>
      <w:r>
        <w:rPr>
          <w:rFonts w:ascii="Arial" w:cs="Arial" w:eastAsia="Arial" w:hAnsi="Arial"/>
          <w:sz w:val="14"/>
          <w:szCs w:val="14"/>
          <w:color w:val="auto"/>
        </w:rPr>
        <w:t>Executive Employment Agreement</w:t>
      </w:r>
    </w:p>
    <w:p>
      <w:pPr>
        <w:spacing w:after="0" w:line="28" w:lineRule="exact"/>
        <w:rPr>
          <w:rFonts w:ascii="Arial" w:cs="Arial" w:eastAsia="Arial" w:hAnsi="Arial"/>
          <w:sz w:val="16"/>
          <w:szCs w:val="16"/>
          <w:color w:val="auto"/>
        </w:rPr>
      </w:pPr>
    </w:p>
    <w:p>
      <w:pPr>
        <w:ind w:left="5640"/>
        <w:spacing w:after="0"/>
        <w:rPr>
          <w:rFonts w:ascii="Arial" w:cs="Arial" w:eastAsia="Arial" w:hAnsi="Arial"/>
          <w:sz w:val="16"/>
          <w:szCs w:val="16"/>
          <w:color w:val="auto"/>
        </w:rPr>
      </w:pPr>
      <w:r>
        <w:rPr>
          <w:rFonts w:ascii="Arial" w:cs="Arial" w:eastAsia="Arial" w:hAnsi="Arial"/>
          <w:sz w:val="16"/>
          <w:szCs w:val="16"/>
          <w:color w:val="auto"/>
        </w:rPr>
        <w:t>11</w:t>
      </w:r>
    </w:p>
    <w:p>
      <w:pPr>
        <w:sectPr>
          <w:pgSz w:w="11900" w:h="16838" w:orient="portrait"/>
          <w:cols w:equalWidth="0" w:num="1">
            <w:col w:w="11420"/>
          </w:cols>
          <w:pgMar w:left="240" w:top="379" w:right="239" w:bottom="1440" w:gutter="0" w:footer="0" w:header="0"/>
        </w:sectPr>
      </w:pPr>
    </w:p>
    <w:bookmarkStart w:id="138" w:name="page139"/>
    <w:bookmarkEnd w:id="138"/>
    <w:p>
      <w:pPr>
        <w:spacing w:after="0" w:line="289" w:lineRule="auto"/>
        <w:rPr>
          <w:sz w:val="20"/>
          <w:szCs w:val="20"/>
          <w:color w:val="auto"/>
        </w:rPr>
      </w:pPr>
      <w:r>
        <w:rPr>
          <w:rFonts w:ascii="Arial" w:cs="Arial" w:eastAsia="Arial" w:hAnsi="Arial"/>
          <w:sz w:val="20"/>
          <w:szCs w:val="20"/>
          <w:color w:val="auto"/>
        </w:rPr>
        <w:t>without limitation, after any excise taxes payable under Section 4999), an amount of the Parachute Amount which is greater than the amount, on a net after tax basis, that the Executive would be entitled to retain upon receipt of the Reduced Amount.</w:t>
      </w:r>
    </w:p>
    <w:p>
      <w:pPr>
        <w:spacing w:after="0" w:line="189" w:lineRule="exact"/>
        <w:rPr>
          <w:sz w:val="20"/>
          <w:szCs w:val="20"/>
          <w:color w:val="auto"/>
        </w:rPr>
      </w:pPr>
    </w:p>
    <w:p>
      <w:pPr>
        <w:jc w:val="both"/>
        <w:ind w:firstLine="656"/>
        <w:spacing w:after="0" w:line="270" w:lineRule="auto"/>
        <w:tabs>
          <w:tab w:leader="none" w:pos="1506" w:val="left"/>
        </w:tabs>
        <w:numPr>
          <w:ilvl w:val="1"/>
          <w:numId w:val="92"/>
        </w:numPr>
        <w:rPr>
          <w:rFonts w:ascii="Arial" w:cs="Arial" w:eastAsia="Arial" w:hAnsi="Arial"/>
          <w:sz w:val="18"/>
          <w:szCs w:val="18"/>
          <w:color w:val="auto"/>
        </w:rPr>
      </w:pPr>
      <w:r>
        <w:rPr>
          <w:rFonts w:ascii="Arial" w:cs="Arial" w:eastAsia="Arial" w:hAnsi="Arial"/>
          <w:sz w:val="20"/>
          <w:szCs w:val="20"/>
          <w:color w:val="auto"/>
        </w:rPr>
        <w:t xml:space="preserve">If the determination made pursuant to </w:t>
      </w:r>
      <w:r>
        <w:rPr>
          <w:rFonts w:ascii="Arial" w:cs="Arial" w:eastAsia="Arial" w:hAnsi="Arial"/>
          <w:sz w:val="20"/>
          <w:szCs w:val="20"/>
          <w:u w:val="single" w:color="auto"/>
          <w:color w:val="auto"/>
        </w:rPr>
        <w:t>Section 8(a)</w:t>
      </w:r>
      <w:r>
        <w:rPr>
          <w:rFonts w:ascii="Arial" w:cs="Arial" w:eastAsia="Arial" w:hAnsi="Arial"/>
          <w:sz w:val="20"/>
          <w:szCs w:val="20"/>
          <w:color w:val="auto"/>
        </w:rPr>
        <w:t xml:space="preserve"> results in a reduction of the payments that would otherwise be paid to the Executive except for the application of </w:t>
      </w:r>
      <w:r>
        <w:rPr>
          <w:rFonts w:ascii="Arial" w:cs="Arial" w:eastAsia="Arial" w:hAnsi="Arial"/>
          <w:sz w:val="20"/>
          <w:szCs w:val="20"/>
          <w:u w:val="single" w:color="auto"/>
          <w:color w:val="auto"/>
        </w:rPr>
        <w:t>Section 8(a)</w:t>
      </w:r>
      <w:r>
        <w:rPr>
          <w:rFonts w:ascii="Arial" w:cs="Arial" w:eastAsia="Arial" w:hAnsi="Arial"/>
          <w:sz w:val="20"/>
          <w:szCs w:val="20"/>
          <w:color w:val="auto"/>
        </w:rPr>
        <w:t>, such reduction in payments due under this Agreement shall be first applied to reduce any cash severance payments that the Executive would otherwise be entitled to receive hereunder and shall thereafter be applied to reduce other payments and benefits in a manner that would not result in subjecting Executive to additional taxation under Section 409A of the Code. Within ten days following such determination, but not later than thirty days following the date of the event under Section 280G(b)(2)(A)(i), the Company shall pay or distribute to the Executive or for the Executive’s benefit such amounts as are then due to the Executive under this Agreement and shall promptly pay or distribute to the Executive or for his benefit in the future such amounts as become due to Executive under this Agreement.</w:t>
      </w:r>
    </w:p>
    <w:p>
      <w:pPr>
        <w:spacing w:after="0" w:line="212" w:lineRule="exact"/>
        <w:rPr>
          <w:rFonts w:ascii="Arial" w:cs="Arial" w:eastAsia="Arial" w:hAnsi="Arial"/>
          <w:sz w:val="18"/>
          <w:szCs w:val="18"/>
          <w:color w:val="auto"/>
        </w:rPr>
      </w:pPr>
    </w:p>
    <w:p>
      <w:pPr>
        <w:jc w:val="both"/>
        <w:ind w:firstLine="8"/>
        <w:spacing w:after="0" w:line="285" w:lineRule="auto"/>
        <w:tabs>
          <w:tab w:leader="none" w:pos="783" w:val="left"/>
        </w:tabs>
        <w:numPr>
          <w:ilvl w:val="0"/>
          <w:numId w:val="93"/>
        </w:numPr>
        <w:rPr>
          <w:rFonts w:ascii="Arial" w:cs="Arial" w:eastAsia="Arial" w:hAnsi="Arial"/>
          <w:sz w:val="17"/>
          <w:szCs w:val="17"/>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The Company agrees to provide Executive secret or confidential information, knowledge or data relating to Weatherford Ireland and its Affiliated Companies during Executive’s employment. The Executive shall hold in a fiduciary capacity for the benefit of the Company all secret or confidential information, knowledge or data relating to Weatherford Ireland or any of its Affiliated Companies, and their respective businesses, which shall have been obtained by the Executive during the Executive’s employment by the Company, Weatherford Ireland or any of its Affiliated Companies, provided that it shall not apply to information which is or shall become public knowledge (other than by acts by the Executive or representatives of the Executive in violation of this Agreement), information that is developed by the Executive independently of such information, or knowledge or data or information that is disclosed to the Executive by a third party under no obligation of confidentiality to the Company. After termination of the Executive’s employment with the Company, the Executive shall not, without the prior written consent of the Company or as may otherwise be required by law or legal process, communicate or divulge any such information, knowledge or data to anyone other than the Company and those designated by it. In no event shall an asserted violation of the provision of this </w:t>
      </w:r>
      <w:r>
        <w:rPr>
          <w:rFonts w:ascii="Arial" w:cs="Arial" w:eastAsia="Arial" w:hAnsi="Arial"/>
          <w:sz w:val="19"/>
          <w:szCs w:val="19"/>
          <w:u w:val="single" w:color="auto"/>
          <w:color w:val="auto"/>
        </w:rPr>
        <w:t>Section 9</w:t>
      </w:r>
      <w:r>
        <w:rPr>
          <w:rFonts w:ascii="Arial" w:cs="Arial" w:eastAsia="Arial" w:hAnsi="Arial"/>
          <w:sz w:val="19"/>
          <w:szCs w:val="19"/>
          <w:color w:val="auto"/>
        </w:rPr>
        <w:t xml:space="preserve"> constitute a basis for deferring or withholding any amounts otherwise payable to the Executive under this Agreement.</w:t>
      </w:r>
    </w:p>
    <w:p>
      <w:pPr>
        <w:spacing w:after="0" w:line="195" w:lineRule="exact"/>
        <w:rPr>
          <w:rFonts w:ascii="Arial" w:cs="Arial" w:eastAsia="Arial" w:hAnsi="Arial"/>
          <w:sz w:val="17"/>
          <w:szCs w:val="17"/>
          <w:color w:val="auto"/>
        </w:rPr>
      </w:pPr>
    </w:p>
    <w:p>
      <w:pPr>
        <w:ind w:left="880" w:hanging="872"/>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20"/>
          <w:szCs w:val="20"/>
          <w:u w:val="single" w:color="auto"/>
          <w:color w:val="auto"/>
        </w:rPr>
        <w:t>Work Product</w:t>
      </w:r>
      <w:r>
        <w:rPr>
          <w:rFonts w:ascii="Arial" w:cs="Arial" w:eastAsia="Arial" w:hAnsi="Arial"/>
          <w:sz w:val="20"/>
          <w:szCs w:val="20"/>
          <w:color w:val="auto"/>
        </w:rPr>
        <w:t>.</w:t>
      </w:r>
    </w:p>
    <w:p>
      <w:pPr>
        <w:spacing w:after="0" w:line="242" w:lineRule="exact"/>
        <w:rPr>
          <w:rFonts w:ascii="Arial" w:cs="Arial" w:eastAsia="Arial" w:hAnsi="Arial"/>
          <w:sz w:val="18"/>
          <w:szCs w:val="18"/>
          <w:color w:val="auto"/>
        </w:rPr>
      </w:pPr>
    </w:p>
    <w:p>
      <w:pPr>
        <w:jc w:val="both"/>
        <w:ind w:firstLine="656"/>
        <w:spacing w:after="0" w:line="305" w:lineRule="auto"/>
        <w:tabs>
          <w:tab w:leader="none" w:pos="1496" w:val="left"/>
        </w:tabs>
        <w:numPr>
          <w:ilvl w:val="1"/>
          <w:numId w:val="93"/>
        </w:numPr>
        <w:rPr>
          <w:rFonts w:ascii="Arial" w:cs="Arial" w:eastAsia="Arial" w:hAnsi="Arial"/>
          <w:sz w:val="16"/>
          <w:szCs w:val="16"/>
          <w:color w:val="auto"/>
        </w:rPr>
      </w:pPr>
      <w:r>
        <w:rPr>
          <w:rFonts w:ascii="Arial" w:cs="Arial" w:eastAsia="Arial" w:hAnsi="Arial"/>
          <w:sz w:val="18"/>
          <w:szCs w:val="18"/>
          <w:color w:val="auto"/>
        </w:rPr>
        <w:t>Executive acknowledges that all inventions, innovations, improvements, developments, methods, designs, analyses, drawings, reports and all similar or related information (whether or not patentable) which relate to the Company’s, Weatherford Ireland’s or any of its Affiliated Companies’ actual or anticipated business, research and development or existing or future products or services and which are conceived, developed or made by the Executive while employed by the Company, Weatherford Ireland or any of its Affiliated Companies (“</w:t>
      </w:r>
      <w:r>
        <w:rPr>
          <w:rFonts w:ascii="Arial" w:cs="Arial" w:eastAsia="Arial" w:hAnsi="Arial"/>
          <w:sz w:val="18"/>
          <w:szCs w:val="18"/>
          <w:u w:val="single" w:color="auto"/>
          <w:color w:val="auto"/>
        </w:rPr>
        <w:t>Work Product</w:t>
      </w:r>
      <w:r>
        <w:rPr>
          <w:rFonts w:ascii="Arial" w:cs="Arial" w:eastAsia="Arial" w:hAnsi="Arial"/>
          <w:sz w:val="18"/>
          <w:szCs w:val="18"/>
          <w:color w:val="auto"/>
        </w:rPr>
        <w:t>”) belong to the Company, Weatherford Ireland and/or such Affiliated Company. Executive shall promptly disclose such Work Product to the Company and perform all actions reasonably requested by the Company (whether during or after employment) to establish and confirm such ownership (including, without limitation, the execution of assignments, consents, powers of attorney and other instruments).</w:t>
      </w:r>
    </w:p>
    <w:p>
      <w:pPr>
        <w:spacing w:after="0" w:line="184" w:lineRule="exact"/>
        <w:rPr>
          <w:rFonts w:ascii="Arial" w:cs="Arial" w:eastAsia="Arial" w:hAnsi="Arial"/>
          <w:sz w:val="16"/>
          <w:szCs w:val="16"/>
          <w:color w:val="auto"/>
        </w:rPr>
      </w:pPr>
    </w:p>
    <w:p>
      <w:pPr>
        <w:jc w:val="both"/>
        <w:ind w:firstLine="656"/>
        <w:spacing w:after="0" w:line="314" w:lineRule="auto"/>
        <w:tabs>
          <w:tab w:leader="none" w:pos="1506" w:val="left"/>
        </w:tabs>
        <w:numPr>
          <w:ilvl w:val="1"/>
          <w:numId w:val="93"/>
        </w:numPr>
        <w:rPr>
          <w:rFonts w:ascii="Arial" w:cs="Arial" w:eastAsia="Arial" w:hAnsi="Arial"/>
          <w:sz w:val="16"/>
          <w:szCs w:val="16"/>
          <w:color w:val="auto"/>
        </w:rPr>
      </w:pPr>
      <w:r>
        <w:rPr>
          <w:rFonts w:ascii="Arial" w:cs="Arial" w:eastAsia="Arial" w:hAnsi="Arial"/>
          <w:sz w:val="18"/>
          <w:szCs w:val="18"/>
          <w:color w:val="auto"/>
        </w:rPr>
        <w:t xml:space="preserve">Notwithstanding the obligations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10</w:t>
      </w:r>
      <w:r>
        <w:rPr>
          <w:rFonts w:ascii="Arial" w:cs="Arial" w:eastAsia="Arial" w:hAnsi="Arial"/>
          <w:sz w:val="18"/>
          <w:szCs w:val="18"/>
          <w:color w:val="auto"/>
        </w:rPr>
        <w:t>, after termination of the Executive’s employment with the Company, the Executive shall be free to use Residuals of the Company’s confidential information and Work Product for any purpose, subject only to its obligations with respect to disclosure set forth herein and any copyrights and patents of the Company. The term “Residuals” means information in non-tangible form that may be retained in the unaided memory of the Executive derived</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9140" w:hanging="111"/>
        <w:spacing w:after="0"/>
        <w:tabs>
          <w:tab w:leader="none" w:pos="9140" w:val="left"/>
        </w:tabs>
        <w:numPr>
          <w:ilvl w:val="2"/>
          <w:numId w:val="93"/>
        </w:numPr>
        <w:rPr>
          <w:rFonts w:ascii="Arial" w:cs="Arial" w:eastAsia="Arial" w:hAnsi="Arial"/>
          <w:sz w:val="16"/>
          <w:szCs w:val="16"/>
          <w:color w:val="auto"/>
        </w:rPr>
      </w:pPr>
      <w:r>
        <w:rPr>
          <w:rFonts w:ascii="Arial" w:cs="Arial" w:eastAsia="Arial" w:hAnsi="Arial"/>
          <w:sz w:val="14"/>
          <w:szCs w:val="14"/>
          <w:color w:val="auto"/>
        </w:rPr>
        <w:t>Executive Employment Agreement</w:t>
      </w:r>
    </w:p>
    <w:p>
      <w:pPr>
        <w:spacing w:after="0" w:line="28" w:lineRule="exact"/>
        <w:rPr>
          <w:rFonts w:ascii="Arial" w:cs="Arial" w:eastAsia="Arial" w:hAnsi="Arial"/>
          <w:sz w:val="16"/>
          <w:szCs w:val="16"/>
          <w:color w:val="auto"/>
        </w:rPr>
      </w:pPr>
    </w:p>
    <w:p>
      <w:pPr>
        <w:ind w:left="5640"/>
        <w:spacing w:after="0"/>
        <w:rPr>
          <w:rFonts w:ascii="Arial" w:cs="Arial" w:eastAsia="Arial" w:hAnsi="Arial"/>
          <w:sz w:val="16"/>
          <w:szCs w:val="16"/>
          <w:color w:val="auto"/>
        </w:rPr>
      </w:pPr>
      <w:r>
        <w:rPr>
          <w:rFonts w:ascii="Arial" w:cs="Arial" w:eastAsia="Arial" w:hAnsi="Arial"/>
          <w:sz w:val="16"/>
          <w:szCs w:val="16"/>
          <w:color w:val="auto"/>
        </w:rPr>
        <w:t>12</w:t>
      </w:r>
    </w:p>
    <w:p>
      <w:pPr>
        <w:sectPr>
          <w:pgSz w:w="11900" w:h="16838" w:orient="portrait"/>
          <w:cols w:equalWidth="0" w:num="1">
            <w:col w:w="11420"/>
          </w:cols>
          <w:pgMar w:left="240" w:top="379" w:right="239" w:bottom="1440" w:gutter="0" w:footer="0" w:header="0"/>
        </w:sectPr>
      </w:pPr>
    </w:p>
    <w:bookmarkStart w:id="139" w:name="page140"/>
    <w:bookmarkEnd w:id="139"/>
    <w:p>
      <w:pPr>
        <w:jc w:val="both"/>
        <w:spacing w:after="0" w:line="274" w:lineRule="auto"/>
        <w:rPr>
          <w:sz w:val="20"/>
          <w:szCs w:val="20"/>
          <w:color w:val="auto"/>
        </w:rPr>
      </w:pPr>
      <w:r>
        <w:rPr>
          <w:rFonts w:ascii="Arial" w:cs="Arial" w:eastAsia="Arial" w:hAnsi="Arial"/>
          <w:sz w:val="20"/>
          <w:szCs w:val="20"/>
          <w:color w:val="auto"/>
        </w:rPr>
        <w:t>from the Company’s confidential information and Work Product to which the Executive has had access during the Executive’s employment with the Company. The Executive may not retain or use the documents and other tangible materials containing the Company’s, Weatherford Ireland’s and or any its Affiliated Companies’ confidential information or Work Product after the termination of the Executive’s employment with the Company.</w:t>
      </w:r>
    </w:p>
    <w:p>
      <w:pPr>
        <w:spacing w:after="0" w:line="206" w:lineRule="exact"/>
        <w:rPr>
          <w:sz w:val="20"/>
          <w:szCs w:val="20"/>
          <w:color w:val="auto"/>
        </w:rPr>
      </w:pPr>
    </w:p>
    <w:p>
      <w:pPr>
        <w:jc w:val="both"/>
        <w:ind w:firstLine="8"/>
        <w:spacing w:after="0" w:line="299" w:lineRule="auto"/>
        <w:tabs>
          <w:tab w:leader="none" w:pos="866" w:val="left"/>
        </w:tabs>
        <w:numPr>
          <w:ilvl w:val="0"/>
          <w:numId w:val="94"/>
        </w:numPr>
        <w:rPr>
          <w:rFonts w:ascii="Arial" w:cs="Arial" w:eastAsia="Arial" w:hAnsi="Arial"/>
          <w:sz w:val="17"/>
          <w:szCs w:val="17"/>
          <w:color w:val="auto"/>
        </w:rPr>
      </w:pPr>
      <w:r>
        <w:rPr>
          <w:rFonts w:ascii="Arial" w:cs="Arial" w:eastAsia="Arial" w:hAnsi="Arial"/>
          <w:sz w:val="19"/>
          <w:szCs w:val="19"/>
          <w:u w:val="single" w:color="auto"/>
          <w:color w:val="auto"/>
        </w:rPr>
        <w:t>Non-Competition; Non-Solicitation</w:t>
      </w:r>
      <w:r>
        <w:rPr>
          <w:rFonts w:ascii="Arial" w:cs="Arial" w:eastAsia="Arial" w:hAnsi="Arial"/>
          <w:sz w:val="19"/>
          <w:szCs w:val="19"/>
          <w:color w:val="auto"/>
        </w:rPr>
        <w:t>. The Executive acknowledges and recognizes the highly competitive nature of the businesses of the Company, Weatherford Ireland and its Affiliated Companies, and agrees that to protect the Company’s, Weatherford Ireland’s and its Affiliated Companies’ confidential information it is necessary to enter into restrictive covenants as follows:</w:t>
      </w:r>
    </w:p>
    <w:p>
      <w:pPr>
        <w:spacing w:after="0" w:line="169" w:lineRule="exact"/>
        <w:rPr>
          <w:rFonts w:ascii="Arial" w:cs="Arial" w:eastAsia="Arial" w:hAnsi="Arial"/>
          <w:sz w:val="17"/>
          <w:szCs w:val="17"/>
          <w:color w:val="auto"/>
        </w:rPr>
      </w:pPr>
    </w:p>
    <w:p>
      <w:pPr>
        <w:jc w:val="both"/>
        <w:ind w:firstLine="656"/>
        <w:spacing w:after="0" w:line="300" w:lineRule="auto"/>
        <w:tabs>
          <w:tab w:leader="none" w:pos="1496" w:val="left"/>
        </w:tabs>
        <w:numPr>
          <w:ilvl w:val="1"/>
          <w:numId w:val="94"/>
        </w:numPr>
        <w:rPr>
          <w:rFonts w:ascii="Arial" w:cs="Arial" w:eastAsia="Arial" w:hAnsi="Arial"/>
          <w:sz w:val="16"/>
          <w:szCs w:val="16"/>
          <w:color w:val="auto"/>
        </w:rPr>
      </w:pPr>
      <w:r>
        <w:rPr>
          <w:rFonts w:ascii="Arial" w:cs="Arial" w:eastAsia="Arial" w:hAnsi="Arial"/>
          <w:sz w:val="18"/>
          <w:szCs w:val="18"/>
          <w:color w:val="auto"/>
        </w:rPr>
        <w:t>During the Employment Period and for a period of one year following the date Executive ceases to be employed by the Company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Executive shall not accept employment with or render services to any Unauthorized Competitor as a director, officer, agent, employee, independent contractor or consultant. In order to protect the Company’s good will and other legitimate business interests (which for avoidance of doubt includes the protection of the good will of Weatherford Ireland and its Subsidiaries), provide greater flexibility to Executive in obtaining other employment and to provide both parties with greater certainty as to their obligations hereunder, the parties agree that Executive shall not be prohibited from accepting employment anywhere in the world with any company or other enterprise except an Unauthorized Competitor. For purposes of this Agreement, an “</w:t>
      </w:r>
      <w:r>
        <w:rPr>
          <w:rFonts w:ascii="Arial" w:cs="Arial" w:eastAsia="Arial" w:hAnsi="Arial"/>
          <w:sz w:val="18"/>
          <w:szCs w:val="18"/>
          <w:u w:val="single" w:color="auto"/>
          <w:color w:val="auto"/>
        </w:rPr>
        <w:t>Unauthorized Competitor</w:t>
      </w:r>
      <w:r>
        <w:rPr>
          <w:rFonts w:ascii="Arial" w:cs="Arial" w:eastAsia="Arial" w:hAnsi="Arial"/>
          <w:sz w:val="18"/>
          <w:szCs w:val="18"/>
          <w:color w:val="auto"/>
        </w:rPr>
        <w:t xml:space="preserve">” means Schlumberger Limited, Halliburton Company and Baker Hughes Inc., including any and all of their parents, subsidiaries, affiliates, joint ventures, divisions, successors, or assigns. Notwithstanding the foregoing, the non-competition restrictions set forth in this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shall not apply if the Executive terminates employment for any reason within one year following a Change of Control. Additionally, if Executive voluntarily terminates employment other than for Good Reason, the non-competition restrictions set forth in this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shall apply only if (i) the Company notifies the Executive of its intent to enforce the provisions of this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within 15 days following the Executive’s Separation From Service and (ii) the Company pays the Executive a lump sum amount on the date that is 30 days following the date of the Executive’s Separation From Service (if the Executive is not a Specified Employee on the date of such Separation From Service), or on the date that is six months following the Executive’s Separation From Service (if the Executive is a Specified Employee on the date of such Separation From Service) with the Interest Amount credited thereon, equal to the sum of (x) the Annual Base Salary received by the Executive as of the Date of Termination and (y) the Executive’s target Annual Bonus for the fiscal year during which the termination occurs.</w:t>
      </w:r>
    </w:p>
    <w:p>
      <w:pPr>
        <w:spacing w:after="0" w:line="193" w:lineRule="exact"/>
        <w:rPr>
          <w:rFonts w:ascii="Arial" w:cs="Arial" w:eastAsia="Arial" w:hAnsi="Arial"/>
          <w:sz w:val="16"/>
          <w:szCs w:val="16"/>
          <w:color w:val="auto"/>
        </w:rPr>
      </w:pPr>
    </w:p>
    <w:p>
      <w:pPr>
        <w:jc w:val="both"/>
        <w:ind w:firstLine="656"/>
        <w:spacing w:after="0" w:line="273" w:lineRule="auto"/>
        <w:tabs>
          <w:tab w:leader="none" w:pos="1506" w:val="left"/>
        </w:tabs>
        <w:numPr>
          <w:ilvl w:val="1"/>
          <w:numId w:val="94"/>
        </w:numPr>
        <w:rPr>
          <w:rFonts w:ascii="Arial" w:cs="Arial" w:eastAsia="Arial" w:hAnsi="Arial"/>
          <w:sz w:val="18"/>
          <w:szCs w:val="18"/>
          <w:color w:val="auto"/>
        </w:rPr>
      </w:pPr>
      <w:r>
        <w:rPr>
          <w:rFonts w:ascii="Arial" w:cs="Arial" w:eastAsia="Arial" w:hAnsi="Arial"/>
          <w:sz w:val="20"/>
          <w:szCs w:val="20"/>
          <w:color w:val="auto"/>
        </w:rPr>
        <w:t>Executive further agrees that during the Restricted Period, Executive shall not at any time, directly or indirectly, induce, entice, solicit or hire (or attempt to induce, entice, solicit or hire) (i) any employee of the Company, Weatherford Ireland or any of its Affiliated Companies to leave the employment of the Company, Weatherford Ireland or any of its Affiliated Companies or (ii) any former employee of the Company, Weatherford Ireland or any of its Affiliated Companies who terminated employment coincident with or within three months prior to the date of the Executive’s Separation From Service.</w:t>
      </w:r>
    </w:p>
    <w:p>
      <w:pPr>
        <w:spacing w:after="0" w:line="204" w:lineRule="exact"/>
        <w:rPr>
          <w:rFonts w:ascii="Arial" w:cs="Arial" w:eastAsia="Arial" w:hAnsi="Arial"/>
          <w:sz w:val="18"/>
          <w:szCs w:val="18"/>
          <w:color w:val="auto"/>
        </w:rPr>
      </w:pPr>
    </w:p>
    <w:p>
      <w:pPr>
        <w:jc w:val="both"/>
        <w:ind w:firstLine="656"/>
        <w:spacing w:after="0" w:line="272" w:lineRule="auto"/>
        <w:tabs>
          <w:tab w:leader="none" w:pos="1496" w:val="left"/>
        </w:tabs>
        <w:numPr>
          <w:ilvl w:val="1"/>
          <w:numId w:val="94"/>
        </w:numPr>
        <w:rPr>
          <w:rFonts w:ascii="Arial" w:cs="Arial" w:eastAsia="Arial" w:hAnsi="Arial"/>
          <w:sz w:val="18"/>
          <w:szCs w:val="18"/>
          <w:color w:val="auto"/>
        </w:rPr>
      </w:pPr>
      <w:r>
        <w:rPr>
          <w:rFonts w:ascii="Arial" w:cs="Arial" w:eastAsia="Arial" w:hAnsi="Arial"/>
          <w:sz w:val="20"/>
          <w:szCs w:val="20"/>
          <w:color w:val="auto"/>
        </w:rPr>
        <w:t xml:space="preserve">Executive and the Company agree and stipulate that the agreements contained in this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are fair and reasonable in light of all the facts and circumstances of the relationship between Executive and the Company and agree that the consideration provided by the Company is not illusory. Executive further agrees that the restrictive covenants in this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do not prevent Executive from using and offering the skills Executive possessed before receiving the Company’s confidential information. Executive and the Company also acknowledge that any amount paid under </w:t>
      </w:r>
      <w:r>
        <w:rPr>
          <w:rFonts w:ascii="Arial" w:cs="Arial" w:eastAsia="Arial" w:hAnsi="Arial"/>
          <w:sz w:val="20"/>
          <w:szCs w:val="20"/>
          <w:u w:val="single" w:color="auto"/>
          <w:color w:val="auto"/>
        </w:rPr>
        <w:t>Section 5(b)</w:t>
      </w:r>
      <w:r>
        <w:rPr>
          <w:rFonts w:ascii="Arial" w:cs="Arial" w:eastAsia="Arial" w:hAnsi="Arial"/>
          <w:sz w:val="20"/>
          <w:szCs w:val="20"/>
          <w:color w:val="auto"/>
        </w:rPr>
        <w:t xml:space="preserve"> (if applicable) shall be deemed paid in part as consideration for the agreements contained in this </w:t>
      </w:r>
      <w:r>
        <w:rPr>
          <w:rFonts w:ascii="Arial" w:cs="Arial" w:eastAsia="Arial" w:hAnsi="Arial"/>
          <w:sz w:val="20"/>
          <w:szCs w:val="20"/>
          <w:u w:val="single" w:color="auto"/>
          <w:color w:val="auto"/>
        </w:rPr>
        <w:t>Section 11</w:t>
      </w:r>
      <w:r>
        <w:rPr>
          <w:rFonts w:ascii="Arial" w:cs="Arial" w:eastAsia="Arial" w:hAnsi="Arial"/>
          <w:sz w:val="20"/>
          <w:szCs w:val="20"/>
          <w:color w:val="auto"/>
        </w:rPr>
        <w:t>. It is expressly understood and</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140" w:hanging="111"/>
        <w:spacing w:after="0"/>
        <w:tabs>
          <w:tab w:leader="none" w:pos="9140" w:val="left"/>
        </w:tabs>
        <w:numPr>
          <w:ilvl w:val="2"/>
          <w:numId w:val="94"/>
        </w:numPr>
        <w:rPr>
          <w:rFonts w:ascii="Arial" w:cs="Arial" w:eastAsia="Arial" w:hAnsi="Arial"/>
          <w:sz w:val="16"/>
          <w:szCs w:val="16"/>
          <w:color w:val="auto"/>
        </w:rPr>
      </w:pPr>
      <w:r>
        <w:rPr>
          <w:rFonts w:ascii="Arial" w:cs="Arial" w:eastAsia="Arial" w:hAnsi="Arial"/>
          <w:sz w:val="14"/>
          <w:szCs w:val="14"/>
          <w:color w:val="auto"/>
        </w:rPr>
        <w:t>Executive Employment Agreement</w:t>
      </w:r>
    </w:p>
    <w:p>
      <w:pPr>
        <w:spacing w:after="0" w:line="28" w:lineRule="exact"/>
        <w:rPr>
          <w:rFonts w:ascii="Arial" w:cs="Arial" w:eastAsia="Arial" w:hAnsi="Arial"/>
          <w:sz w:val="16"/>
          <w:szCs w:val="16"/>
          <w:color w:val="auto"/>
        </w:rPr>
      </w:pPr>
    </w:p>
    <w:p>
      <w:pPr>
        <w:ind w:left="5640"/>
        <w:spacing w:after="0"/>
        <w:rPr>
          <w:rFonts w:ascii="Arial" w:cs="Arial" w:eastAsia="Arial" w:hAnsi="Arial"/>
          <w:sz w:val="16"/>
          <w:szCs w:val="16"/>
          <w:color w:val="auto"/>
        </w:rPr>
      </w:pPr>
      <w:r>
        <w:rPr>
          <w:rFonts w:ascii="Arial" w:cs="Arial" w:eastAsia="Arial" w:hAnsi="Arial"/>
          <w:sz w:val="16"/>
          <w:szCs w:val="16"/>
          <w:color w:val="auto"/>
        </w:rPr>
        <w:t>13</w:t>
      </w:r>
    </w:p>
    <w:p>
      <w:pPr>
        <w:sectPr>
          <w:pgSz w:w="11900" w:h="16838" w:orient="portrait"/>
          <w:cols w:equalWidth="0" w:num="1">
            <w:col w:w="11420"/>
          </w:cols>
          <w:pgMar w:left="240" w:top="379" w:right="239" w:bottom="1440" w:gutter="0" w:footer="0" w:header="0"/>
        </w:sectPr>
      </w:pPr>
    </w:p>
    <w:bookmarkStart w:id="140" w:name="page141"/>
    <w:bookmarkEnd w:id="140"/>
    <w:p>
      <w:pPr>
        <w:jc w:val="both"/>
        <w:spacing w:after="0" w:line="271" w:lineRule="auto"/>
        <w:rPr>
          <w:sz w:val="20"/>
          <w:szCs w:val="20"/>
          <w:color w:val="auto"/>
        </w:rPr>
      </w:pPr>
      <w:r>
        <w:rPr>
          <w:rFonts w:ascii="Arial" w:cs="Arial" w:eastAsia="Arial" w:hAnsi="Arial"/>
          <w:sz w:val="20"/>
          <w:szCs w:val="20"/>
          <w:color w:val="auto"/>
        </w:rPr>
        <w:t xml:space="preserve">agreed that although the Executive and the Company consider the restrictions contained in this </w:t>
      </w:r>
      <w:r>
        <w:rPr>
          <w:rFonts w:ascii="Arial" w:cs="Arial" w:eastAsia="Arial" w:hAnsi="Arial"/>
          <w:sz w:val="20"/>
          <w:szCs w:val="20"/>
          <w:u w:val="single" w:color="auto"/>
          <w:color w:val="auto"/>
        </w:rPr>
        <w:t>Section 11</w:t>
      </w:r>
      <w:r>
        <w:rPr>
          <w:rFonts w:ascii="Arial" w:cs="Arial" w:eastAsia="Arial" w:hAnsi="Arial"/>
          <w:sz w:val="20"/>
          <w:szCs w:val="20"/>
          <w:color w:val="auto"/>
        </w:rPr>
        <w:t xml:space="preserve"> to be reasonable, if a final judicial determination is made by a court of competent jurisdiction that the time or territory or any other restriction contained in this Agreement is an unenforceable restriction against Executive, the provisions of this Agreement shall not be rendered void but shall be deemed amended to apply as to such maximum time and territory and to such maximum extent as such court may judicially determine or indicate to be enforceable. Alternatively, if any court of competent jurisdiction finds that any restriction contained in this Agreement is unenforceable, and such restriction cannot be amended so as to make it enforceable, such finding shall not affect the enforceability of any of the other restrictions contained herein or the other provisions of this Agreement.</w:t>
      </w:r>
    </w:p>
    <w:p>
      <w:pPr>
        <w:spacing w:after="0" w:line="208" w:lineRule="exact"/>
        <w:rPr>
          <w:sz w:val="20"/>
          <w:szCs w:val="20"/>
          <w:color w:val="auto"/>
        </w:rPr>
      </w:pPr>
    </w:p>
    <w:p>
      <w:pPr>
        <w:jc w:val="both"/>
        <w:ind w:firstLine="8"/>
        <w:spacing w:after="0" w:line="270" w:lineRule="auto"/>
        <w:tabs>
          <w:tab w:leader="none" w:pos="873" w:val="left"/>
        </w:tabs>
        <w:numPr>
          <w:ilvl w:val="0"/>
          <w:numId w:val="95"/>
        </w:numPr>
        <w:rPr>
          <w:rFonts w:ascii="Arial" w:cs="Arial" w:eastAsia="Arial" w:hAnsi="Arial"/>
          <w:sz w:val="18"/>
          <w:szCs w:val="18"/>
          <w:color w:val="auto"/>
        </w:rPr>
      </w:pPr>
      <w:r>
        <w:rPr>
          <w:rFonts w:ascii="Arial" w:cs="Arial" w:eastAsia="Arial" w:hAnsi="Arial"/>
          <w:sz w:val="20"/>
          <w:szCs w:val="20"/>
          <w:u w:val="single" w:color="auto"/>
          <w:color w:val="auto"/>
        </w:rPr>
        <w:t>Disputed Payments And Failures To Pay</w:t>
      </w:r>
      <w:r>
        <w:rPr>
          <w:rFonts w:ascii="Arial" w:cs="Arial" w:eastAsia="Arial" w:hAnsi="Arial"/>
          <w:sz w:val="20"/>
          <w:szCs w:val="20"/>
          <w:color w:val="auto"/>
        </w:rPr>
        <w:t xml:space="preserve">. If the Company fails to make a payment under this Agreement in whole or in part as of the payment date specified in this Agreement, either intentionally or unintentionally, other than with the consent of the Executive, then following the fifth day after the Executive notifies the Company in writing of its failure to pay, the Company shall owe the Executive interest on the delayed payment at the applicable Federal rate provided for in section 7872(f)(2)(A) of the Code if the Executive (i) accepts the portion (if any) of the payment that the Company is willing to make (unless such acceptance will result in a relinquishment of the claim to all or part of the remaining amount) and (ii) makes prompt and reasonable good faith efforts to collect the remaining portion of the payment. Any such interest payments shall become due and payable effective as of the applicable payment date(s) specified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with respect to the delinquent payment(s) due under </w:t>
      </w:r>
      <w:r>
        <w:rPr>
          <w:rFonts w:ascii="Arial" w:cs="Arial" w:eastAsia="Arial" w:hAnsi="Arial"/>
          <w:sz w:val="20"/>
          <w:szCs w:val="20"/>
          <w:u w:val="single" w:color="auto"/>
          <w:color w:val="auto"/>
        </w:rPr>
        <w:t>Section 5</w:t>
      </w:r>
      <w:r>
        <w:rPr>
          <w:rFonts w:ascii="Arial" w:cs="Arial" w:eastAsia="Arial" w:hAnsi="Arial"/>
          <w:sz w:val="20"/>
          <w:szCs w:val="20"/>
          <w:color w:val="auto"/>
        </w:rPr>
        <w:t>.</w:t>
      </w:r>
    </w:p>
    <w:p>
      <w:pPr>
        <w:spacing w:after="0" w:line="212" w:lineRule="exact"/>
        <w:rPr>
          <w:rFonts w:ascii="Arial" w:cs="Arial" w:eastAsia="Arial" w:hAnsi="Arial"/>
          <w:sz w:val="18"/>
          <w:szCs w:val="18"/>
          <w:color w:val="auto"/>
        </w:rPr>
      </w:pPr>
    </w:p>
    <w:p>
      <w:pPr>
        <w:ind w:left="880" w:hanging="872"/>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20"/>
          <w:szCs w:val="20"/>
          <w:u w:val="single" w:color="auto"/>
          <w:color w:val="auto"/>
        </w:rPr>
        <w:t>Successors</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firstLine="656"/>
        <w:spacing w:after="0" w:line="278" w:lineRule="auto"/>
        <w:tabs>
          <w:tab w:leader="none" w:pos="1496" w:val="left"/>
        </w:tabs>
        <w:numPr>
          <w:ilvl w:val="1"/>
          <w:numId w:val="95"/>
        </w:numPr>
        <w:rPr>
          <w:rFonts w:ascii="Arial" w:cs="Arial" w:eastAsia="Arial" w:hAnsi="Arial"/>
          <w:sz w:val="18"/>
          <w:szCs w:val="18"/>
          <w:color w:val="auto"/>
        </w:rPr>
      </w:pPr>
      <w:r>
        <w:rPr>
          <w:rFonts w:ascii="Arial" w:cs="Arial" w:eastAsia="Arial" w:hAnsi="Arial"/>
          <w:sz w:val="20"/>
          <w:szCs w:val="20"/>
          <w:color w:val="auto"/>
        </w:rPr>
        <w:t>This Agreement is personal to the Executive and shall not be assignable by the Executive otherwise than by will or the laws of descent and distribution. This Agreement shall inure to the benefit of and be enforceable by the Executive’s personal or legal representatives, executors, administrators, successors, heirs, distributees, devisees and legatees.</w:t>
      </w:r>
    </w:p>
    <w:p>
      <w:pPr>
        <w:spacing w:after="0" w:line="200" w:lineRule="exact"/>
        <w:rPr>
          <w:rFonts w:ascii="Arial" w:cs="Arial" w:eastAsia="Arial" w:hAnsi="Arial"/>
          <w:sz w:val="18"/>
          <w:szCs w:val="18"/>
          <w:color w:val="auto"/>
        </w:rPr>
      </w:pPr>
    </w:p>
    <w:p>
      <w:pPr>
        <w:jc w:val="both"/>
        <w:ind w:firstLine="656"/>
        <w:spacing w:after="0" w:line="273" w:lineRule="auto"/>
        <w:tabs>
          <w:tab w:leader="none" w:pos="1506" w:val="left"/>
        </w:tabs>
        <w:numPr>
          <w:ilvl w:val="1"/>
          <w:numId w:val="95"/>
        </w:numPr>
        <w:rPr>
          <w:rFonts w:ascii="Arial" w:cs="Arial" w:eastAsia="Arial" w:hAnsi="Arial"/>
          <w:sz w:val="18"/>
          <w:szCs w:val="18"/>
          <w:color w:val="auto"/>
        </w:rPr>
      </w:pPr>
      <w:r>
        <w:rPr>
          <w:rFonts w:ascii="Arial" w:cs="Arial" w:eastAsia="Arial" w:hAnsi="Arial"/>
          <w:sz w:val="20"/>
          <w:szCs w:val="20"/>
          <w:color w:val="auto"/>
        </w:rPr>
        <w:t xml:space="preserve">This Agreement shall inure to the benefit of and be binding upon the Company and its successors and assigns. The Executive expressly acknowledges that Weatherford Ireland and its Subsidiaries (and their successors and assigns) are third party beneficiaries of this Agreement and may enforce this Agreement (including without limitation Sections 9, 10 and 11 of this Agreement) on behalf of themselves or the Company. Both parties agree that there are no third party beneficiaries to this Agreement other than as expressly set forth in this </w:t>
      </w:r>
      <w:r>
        <w:rPr>
          <w:rFonts w:ascii="Arial" w:cs="Arial" w:eastAsia="Arial" w:hAnsi="Arial"/>
          <w:sz w:val="20"/>
          <w:szCs w:val="20"/>
          <w:u w:val="single" w:color="auto"/>
          <w:color w:val="auto"/>
        </w:rPr>
        <w:t>Section 13(b)</w:t>
      </w:r>
      <w:r>
        <w:rPr>
          <w:rFonts w:ascii="Arial" w:cs="Arial" w:eastAsia="Arial" w:hAnsi="Arial"/>
          <w:sz w:val="20"/>
          <w:szCs w:val="20"/>
          <w:color w:val="auto"/>
        </w:rPr>
        <w:t>.</w:t>
      </w:r>
    </w:p>
    <w:p>
      <w:pPr>
        <w:spacing w:after="0" w:line="204" w:lineRule="exact"/>
        <w:rPr>
          <w:rFonts w:ascii="Arial" w:cs="Arial" w:eastAsia="Arial" w:hAnsi="Arial"/>
          <w:sz w:val="18"/>
          <w:szCs w:val="18"/>
          <w:color w:val="auto"/>
        </w:rPr>
      </w:pPr>
    </w:p>
    <w:p>
      <w:pPr>
        <w:jc w:val="both"/>
        <w:ind w:firstLine="656"/>
        <w:spacing w:after="0" w:line="302" w:lineRule="auto"/>
        <w:tabs>
          <w:tab w:leader="none" w:pos="1496" w:val="left"/>
        </w:tabs>
        <w:numPr>
          <w:ilvl w:val="1"/>
          <w:numId w:val="95"/>
        </w:numPr>
        <w:rPr>
          <w:rFonts w:ascii="Arial" w:cs="Arial" w:eastAsia="Arial" w:hAnsi="Arial"/>
          <w:sz w:val="16"/>
          <w:szCs w:val="16"/>
          <w:color w:val="auto"/>
        </w:rPr>
      </w:pPr>
      <w:r>
        <w:rPr>
          <w:rFonts w:ascii="Arial" w:cs="Arial" w:eastAsia="Arial" w:hAnsi="Arial"/>
          <w:sz w:val="18"/>
          <w:szCs w:val="18"/>
          <w:color w:val="auto"/>
        </w:rPr>
        <w:t xml:space="preserve">In addition to any obligations imposed by law upon any successor to the Company, the Company will require any successor (whether direct or indirect, by purchase, merger, consolidation, amalgamation, scheme of arrangement, exchange offer, operation of law or otherwise (including any purchase, merger, amalgamation, Corporate Transaction or other transaction involving Weatherford Ireland or any Affiliated Company)), to all or substantially all of Weatherford Ireland’s business and/or Weatherford Ireland Assets to expressly assume and agree to perform this Agreement in the same manner and to the same extent that the Company would be required to perform it if no such succession had taken place. Failure of the Company to obtain such assumption and agreement at or prior to the effectiveness of any such succession shall be a breach of this Agreement and shall entitle the Executive to compensation from the Company in the same amount and on the same terms as the Executive would be entitled to hereunder if the Executive were to terminate the Executive’s employment for Good Reason after a Change of Control, except that, (i) for purposes of implementing the foregoing, the date on which any such succession becomes effective shall be deemed the Date of Termination and (ii) the Company shall be given the opportunity to cure such breach as described under the proviso to Section 1(o). For purposes of this </w:t>
      </w:r>
      <w:r>
        <w:rPr>
          <w:rFonts w:ascii="Arial" w:cs="Arial" w:eastAsia="Arial" w:hAnsi="Arial"/>
          <w:sz w:val="18"/>
          <w:szCs w:val="18"/>
          <w:u w:val="single" w:color="auto"/>
          <w:color w:val="auto"/>
        </w:rPr>
        <w:t>Section 13(c)</w:t>
      </w:r>
      <w:r>
        <w:rPr>
          <w:rFonts w:ascii="Arial" w:cs="Arial" w:eastAsia="Arial" w:hAnsi="Arial"/>
          <w:sz w:val="18"/>
          <w:szCs w:val="18"/>
          <w:color w:val="auto"/>
        </w:rPr>
        <w:t>, “Weatherford Ireland”</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9140" w:hanging="111"/>
        <w:spacing w:after="0"/>
        <w:tabs>
          <w:tab w:leader="none" w:pos="9140" w:val="left"/>
        </w:tabs>
        <w:numPr>
          <w:ilvl w:val="2"/>
          <w:numId w:val="95"/>
        </w:numPr>
        <w:rPr>
          <w:rFonts w:ascii="Arial" w:cs="Arial" w:eastAsia="Arial" w:hAnsi="Arial"/>
          <w:sz w:val="16"/>
          <w:szCs w:val="16"/>
          <w:color w:val="auto"/>
        </w:rPr>
      </w:pPr>
      <w:r>
        <w:rPr>
          <w:rFonts w:ascii="Arial" w:cs="Arial" w:eastAsia="Arial" w:hAnsi="Arial"/>
          <w:sz w:val="14"/>
          <w:szCs w:val="14"/>
          <w:color w:val="auto"/>
        </w:rPr>
        <w:t>Executive Employment Agreement</w:t>
      </w:r>
    </w:p>
    <w:p>
      <w:pPr>
        <w:spacing w:after="0" w:line="28" w:lineRule="exact"/>
        <w:rPr>
          <w:rFonts w:ascii="Arial" w:cs="Arial" w:eastAsia="Arial" w:hAnsi="Arial"/>
          <w:sz w:val="16"/>
          <w:szCs w:val="16"/>
          <w:color w:val="auto"/>
        </w:rPr>
      </w:pPr>
    </w:p>
    <w:p>
      <w:pPr>
        <w:ind w:left="5640"/>
        <w:spacing w:after="0"/>
        <w:rPr>
          <w:rFonts w:ascii="Arial" w:cs="Arial" w:eastAsia="Arial" w:hAnsi="Arial"/>
          <w:sz w:val="16"/>
          <w:szCs w:val="16"/>
          <w:color w:val="auto"/>
        </w:rPr>
      </w:pPr>
      <w:r>
        <w:rPr>
          <w:rFonts w:ascii="Arial" w:cs="Arial" w:eastAsia="Arial" w:hAnsi="Arial"/>
          <w:sz w:val="16"/>
          <w:szCs w:val="16"/>
          <w:color w:val="auto"/>
        </w:rPr>
        <w:t>14</w:t>
      </w:r>
    </w:p>
    <w:p>
      <w:pPr>
        <w:sectPr>
          <w:pgSz w:w="11900" w:h="16838" w:orient="portrait"/>
          <w:cols w:equalWidth="0" w:num="1">
            <w:col w:w="11420"/>
          </w:cols>
          <w:pgMar w:left="240" w:top="379" w:right="239" w:bottom="1440" w:gutter="0" w:footer="0" w:header="0"/>
        </w:sectPr>
      </w:pPr>
    </w:p>
    <w:bookmarkStart w:id="141" w:name="page142"/>
    <w:bookmarkEnd w:id="141"/>
    <w:p>
      <w:pPr>
        <w:spacing w:after="0" w:line="289" w:lineRule="auto"/>
        <w:rPr>
          <w:sz w:val="20"/>
          <w:szCs w:val="20"/>
          <w:color w:val="auto"/>
        </w:rPr>
      </w:pPr>
      <w:r>
        <w:rPr>
          <w:rFonts w:ascii="Arial" w:cs="Arial" w:eastAsia="Arial" w:hAnsi="Arial"/>
          <w:sz w:val="20"/>
          <w:szCs w:val="20"/>
          <w:color w:val="auto"/>
        </w:rPr>
        <w:t>shall mean the Weatherford Ireland as hereinbefore defined and any successor to Weatherford Ireland’s business and/or Weatherford Ireland Assets as provided above.</w:t>
      </w:r>
    </w:p>
    <w:p>
      <w:pPr>
        <w:spacing w:after="0" w:line="189" w:lineRule="exact"/>
        <w:rPr>
          <w:sz w:val="20"/>
          <w:szCs w:val="20"/>
          <w:color w:val="auto"/>
        </w:rPr>
      </w:pPr>
    </w:p>
    <w:p>
      <w:pPr>
        <w:jc w:val="both"/>
        <w:ind w:firstLine="656"/>
        <w:spacing w:after="0" w:line="322" w:lineRule="auto"/>
        <w:tabs>
          <w:tab w:leader="none" w:pos="1506" w:val="left"/>
        </w:tabs>
        <w:numPr>
          <w:ilvl w:val="1"/>
          <w:numId w:val="96"/>
        </w:numPr>
        <w:rPr>
          <w:rFonts w:ascii="Arial" w:cs="Arial" w:eastAsia="Arial" w:hAnsi="Arial"/>
          <w:sz w:val="16"/>
          <w:szCs w:val="16"/>
          <w:color w:val="auto"/>
        </w:rPr>
      </w:pPr>
      <w:r>
        <w:rPr>
          <w:rFonts w:ascii="Arial" w:cs="Arial" w:eastAsia="Arial" w:hAnsi="Arial"/>
          <w:sz w:val="18"/>
          <w:szCs w:val="18"/>
          <w:color w:val="auto"/>
        </w:rPr>
        <w:t xml:space="preserve">Notwithstanding anything in this Agreement to the contrary, the Company shall remain primarily liable for its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Company is financially unable to meet its obligations hereunder, Weatherford Ireland shall assume responsibility for the Company’s obligations hereunder pursuant to the guaranty provision following the signature page hereof.</w:t>
      </w:r>
    </w:p>
    <w:p>
      <w:pPr>
        <w:spacing w:after="0" w:line="166" w:lineRule="exact"/>
        <w:rPr>
          <w:rFonts w:ascii="Arial" w:cs="Arial" w:eastAsia="Arial" w:hAnsi="Arial"/>
          <w:sz w:val="16"/>
          <w:szCs w:val="16"/>
          <w:color w:val="auto"/>
        </w:rPr>
      </w:pPr>
    </w:p>
    <w:p>
      <w:pPr>
        <w:ind w:left="880" w:hanging="872"/>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56" w:lineRule="exact"/>
        <w:rPr>
          <w:rFonts w:ascii="Arial" w:cs="Arial" w:eastAsia="Arial" w:hAnsi="Arial"/>
          <w:sz w:val="18"/>
          <w:szCs w:val="18"/>
          <w:color w:val="auto"/>
        </w:rPr>
      </w:pPr>
    </w:p>
    <w:p>
      <w:pPr>
        <w:jc w:val="both"/>
        <w:ind w:firstLine="656"/>
        <w:spacing w:after="0" w:line="273" w:lineRule="auto"/>
        <w:tabs>
          <w:tab w:leader="none" w:pos="1496" w:val="left"/>
        </w:tabs>
        <w:numPr>
          <w:ilvl w:val="1"/>
          <w:numId w:val="97"/>
        </w:numPr>
        <w:rPr>
          <w:rFonts w:ascii="Arial" w:cs="Arial" w:eastAsia="Arial" w:hAnsi="Arial"/>
          <w:sz w:val="18"/>
          <w:szCs w:val="18"/>
          <w:color w:val="auto"/>
        </w:rPr>
      </w:pPr>
      <w:r>
        <w:rPr>
          <w:rFonts w:ascii="Arial" w:cs="Arial" w:eastAsia="Arial" w:hAnsi="Arial"/>
          <w:sz w:val="20"/>
          <w:szCs w:val="20"/>
          <w:color w:val="auto"/>
        </w:rPr>
        <w:t>THIS AGREEMENT SHALL BE GOVERNED BY AND CONSTRUED IN ACCORDANCE WITH THE LAWS OF TEXAS, WITHOUT REFERENCE TO PRINCIPLES OF CONFLICT OF LAWS. The captions of this Agreement are not part of the provisions hereof and shall have no force or effect. All words used in this Agreement will be construed to be of such gender or number as the circumstances require. This Agreement may not be amended or modified otherwise than by a written agreement executed by the parties hereto or their respective successors and legal representatives.</w:t>
      </w:r>
    </w:p>
    <w:p>
      <w:pPr>
        <w:spacing w:after="0" w:line="204" w:lineRule="exact"/>
        <w:rPr>
          <w:rFonts w:ascii="Arial" w:cs="Arial" w:eastAsia="Arial" w:hAnsi="Arial"/>
          <w:sz w:val="18"/>
          <w:szCs w:val="18"/>
          <w:color w:val="auto"/>
        </w:rPr>
      </w:pPr>
    </w:p>
    <w:p>
      <w:pPr>
        <w:jc w:val="both"/>
        <w:ind w:firstLine="656"/>
        <w:spacing w:after="0" w:line="273" w:lineRule="auto"/>
        <w:tabs>
          <w:tab w:leader="none" w:pos="1506" w:val="left"/>
        </w:tabs>
        <w:numPr>
          <w:ilvl w:val="1"/>
          <w:numId w:val="97"/>
        </w:numPr>
        <w:rPr>
          <w:rFonts w:ascii="Arial" w:cs="Arial" w:eastAsia="Arial" w:hAnsi="Arial"/>
          <w:sz w:val="18"/>
          <w:szCs w:val="18"/>
          <w:color w:val="auto"/>
        </w:rPr>
      </w:pPr>
      <w:r>
        <w:rPr>
          <w:rFonts w:ascii="Arial" w:cs="Arial" w:eastAsia="Arial" w:hAnsi="Arial"/>
          <w:sz w:val="20"/>
          <w:szCs w:val="20"/>
          <w:color w:val="auto"/>
        </w:rPr>
        <w:t>All notices and other communications hereunder shall be in writing and shall be given by hand delivery to the other party or by registered or certified mail, return receipt requested, postage prepaid, addressed: if to the Executive, to the address set forth on the signature page hereto; and, if to the Company, to: Weatherford International plc, Bahnhofstrasse 1, 6340 Baar, Switzerland, Attention: Chief Executive Officer, with a copy to Executive Vice President and General Counsel and an email to legalweatherford@weatherford.com. Notices and communications shall be effective when actually received by the addressee.</w:t>
      </w:r>
    </w:p>
    <w:p>
      <w:pPr>
        <w:spacing w:after="0" w:line="204" w:lineRule="exact"/>
        <w:rPr>
          <w:rFonts w:ascii="Arial" w:cs="Arial" w:eastAsia="Arial" w:hAnsi="Arial"/>
          <w:sz w:val="18"/>
          <w:szCs w:val="18"/>
          <w:color w:val="auto"/>
        </w:rPr>
      </w:pPr>
    </w:p>
    <w:p>
      <w:pPr>
        <w:ind w:firstLine="656"/>
        <w:spacing w:after="0" w:line="289" w:lineRule="auto"/>
        <w:tabs>
          <w:tab w:leader="none" w:pos="1496" w:val="left"/>
        </w:tabs>
        <w:numPr>
          <w:ilvl w:val="1"/>
          <w:numId w:val="97"/>
        </w:numPr>
        <w:rPr>
          <w:rFonts w:ascii="Arial" w:cs="Arial" w:eastAsia="Arial" w:hAnsi="Arial"/>
          <w:sz w:val="18"/>
          <w:szCs w:val="18"/>
          <w:color w:val="auto"/>
        </w:rPr>
      </w:pPr>
      <w:r>
        <w:rPr>
          <w:rFonts w:ascii="Arial" w:cs="Arial" w:eastAsia="Arial" w:hAnsi="Arial"/>
          <w:sz w:val="20"/>
          <w:szCs w:val="20"/>
          <w:color w:val="auto"/>
        </w:rPr>
        <w:t>The invalidity or unenforceability of any provision of this Agreement shall not affect the validity or enforceability of any other provision of this Agreement.</w:t>
      </w:r>
    </w:p>
    <w:p>
      <w:pPr>
        <w:spacing w:after="0" w:line="188" w:lineRule="exact"/>
        <w:rPr>
          <w:rFonts w:ascii="Arial" w:cs="Arial" w:eastAsia="Arial" w:hAnsi="Arial"/>
          <w:sz w:val="18"/>
          <w:szCs w:val="18"/>
          <w:color w:val="auto"/>
        </w:rPr>
      </w:pPr>
    </w:p>
    <w:p>
      <w:pPr>
        <w:ind w:firstLine="656"/>
        <w:spacing w:after="0" w:line="289" w:lineRule="auto"/>
        <w:tabs>
          <w:tab w:leader="none" w:pos="1506" w:val="left"/>
        </w:tabs>
        <w:numPr>
          <w:ilvl w:val="1"/>
          <w:numId w:val="97"/>
        </w:numPr>
        <w:rPr>
          <w:rFonts w:ascii="Arial" w:cs="Arial" w:eastAsia="Arial" w:hAnsi="Arial"/>
          <w:sz w:val="18"/>
          <w:szCs w:val="18"/>
          <w:color w:val="auto"/>
        </w:rPr>
      </w:pPr>
      <w:r>
        <w:rPr>
          <w:rFonts w:ascii="Arial" w:cs="Arial" w:eastAsia="Arial" w:hAnsi="Arial"/>
          <w:sz w:val="20"/>
          <w:szCs w:val="20"/>
          <w:color w:val="auto"/>
        </w:rPr>
        <w:t>The Company and Weatherford Ireland may withhold from any amounts payable under this Agreement such Federal, state, local or foreign taxes as shall be required to be withheld pursuant to any applicable law or regulation.</w:t>
      </w:r>
    </w:p>
    <w:p>
      <w:pPr>
        <w:spacing w:after="0" w:line="188" w:lineRule="exact"/>
        <w:rPr>
          <w:rFonts w:ascii="Arial" w:cs="Arial" w:eastAsia="Arial" w:hAnsi="Arial"/>
          <w:sz w:val="18"/>
          <w:szCs w:val="18"/>
          <w:color w:val="auto"/>
        </w:rPr>
      </w:pPr>
    </w:p>
    <w:p>
      <w:pPr>
        <w:jc w:val="both"/>
        <w:ind w:firstLine="656"/>
        <w:spacing w:after="0" w:line="322" w:lineRule="auto"/>
        <w:tabs>
          <w:tab w:leader="none" w:pos="1496" w:val="left"/>
        </w:tabs>
        <w:numPr>
          <w:ilvl w:val="1"/>
          <w:numId w:val="97"/>
        </w:numPr>
        <w:rPr>
          <w:rFonts w:ascii="Arial" w:cs="Arial" w:eastAsia="Arial" w:hAnsi="Arial"/>
          <w:sz w:val="16"/>
          <w:szCs w:val="16"/>
          <w:color w:val="auto"/>
        </w:rPr>
      </w:pPr>
      <w:r>
        <w:rPr>
          <w:rFonts w:ascii="Arial" w:cs="Arial" w:eastAsia="Arial" w:hAnsi="Arial"/>
          <w:sz w:val="18"/>
          <w:szCs w:val="18"/>
          <w:color w:val="auto"/>
        </w:rPr>
        <w:t>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shall not be deemed to be a waiver of such provision or right or any other provision or right of this Agreement.</w:t>
      </w:r>
    </w:p>
    <w:p>
      <w:pPr>
        <w:spacing w:after="0" w:line="166" w:lineRule="exact"/>
        <w:rPr>
          <w:rFonts w:ascii="Arial" w:cs="Arial" w:eastAsia="Arial" w:hAnsi="Arial"/>
          <w:sz w:val="16"/>
          <w:szCs w:val="16"/>
          <w:color w:val="auto"/>
        </w:rPr>
      </w:pPr>
    </w:p>
    <w:p>
      <w:pPr>
        <w:jc w:val="both"/>
        <w:ind w:firstLine="656"/>
        <w:spacing w:after="0" w:line="314" w:lineRule="auto"/>
        <w:tabs>
          <w:tab w:leader="none" w:pos="1476" w:val="left"/>
        </w:tabs>
        <w:numPr>
          <w:ilvl w:val="1"/>
          <w:numId w:val="97"/>
        </w:numPr>
        <w:rPr>
          <w:rFonts w:ascii="Arial" w:cs="Arial" w:eastAsia="Arial" w:hAnsi="Arial"/>
          <w:sz w:val="16"/>
          <w:szCs w:val="16"/>
          <w:color w:val="auto"/>
        </w:rPr>
      </w:pPr>
      <w:r>
        <w:rPr>
          <w:rFonts w:ascii="Arial" w:cs="Arial" w:eastAsia="Arial" w:hAnsi="Arial"/>
          <w:sz w:val="18"/>
          <w:szCs w:val="18"/>
          <w:color w:val="auto"/>
        </w:rPr>
        <w:t>This Agreement constitutes the entire agreement and understanding between the parties relating to the subject matter hereof and supersedes all prior agreements between Weatherford Ireland, any of its Affiliated Companies and the Executive relating to the subject matter hereof, including without limitation, the Prior Agreements. In the event of any conflict between this Agreement and any other contract, plan, arrangement or understanding between the Executive and the Company (or any Affiliate of the Company), this Agreement shall control.</w:t>
      </w:r>
    </w:p>
    <w:p>
      <w:pPr>
        <w:spacing w:after="0" w:line="172" w:lineRule="exact"/>
        <w:rPr>
          <w:rFonts w:ascii="Arial" w:cs="Arial" w:eastAsia="Arial" w:hAnsi="Arial"/>
          <w:sz w:val="16"/>
          <w:szCs w:val="16"/>
          <w:color w:val="auto"/>
        </w:rPr>
      </w:pPr>
    </w:p>
    <w:p>
      <w:pPr>
        <w:jc w:val="both"/>
        <w:ind w:firstLine="656"/>
        <w:spacing w:after="0" w:line="278" w:lineRule="auto"/>
        <w:tabs>
          <w:tab w:leader="none" w:pos="1506" w:val="left"/>
        </w:tabs>
        <w:numPr>
          <w:ilvl w:val="1"/>
          <w:numId w:val="97"/>
        </w:numPr>
        <w:rPr>
          <w:rFonts w:ascii="Arial" w:cs="Arial" w:eastAsia="Arial" w:hAnsi="Arial"/>
          <w:sz w:val="18"/>
          <w:szCs w:val="18"/>
          <w:color w:val="auto"/>
        </w:rPr>
      </w:pPr>
      <w:r>
        <w:rPr>
          <w:rFonts w:ascii="Arial" w:cs="Arial" w:eastAsia="Arial" w:hAnsi="Arial"/>
          <w:sz w:val="20"/>
          <w:szCs w:val="20"/>
          <w:color w:val="auto"/>
        </w:rPr>
        <w:t>If the Executive accepts in writing an international assignment to Switzerland then the provisions of this Agreement will be applied, to the fullest extent possible, in accordance with the employment laws of Switzerland, and nothing herein is intended to reduce or diminish the protections afforded by such laws.</w:t>
      </w:r>
    </w:p>
    <w:p>
      <w:pPr>
        <w:spacing w:after="0" w:line="200" w:lineRule="exact"/>
        <w:rPr>
          <w:rFonts w:ascii="Arial" w:cs="Arial" w:eastAsia="Arial" w:hAnsi="Arial"/>
          <w:sz w:val="18"/>
          <w:szCs w:val="18"/>
          <w:color w:val="auto"/>
        </w:rPr>
      </w:pPr>
    </w:p>
    <w:p>
      <w:pPr>
        <w:spacing w:after="0" w:line="236" w:lineRule="exact"/>
        <w:rPr>
          <w:rFonts w:ascii="Arial" w:cs="Arial" w:eastAsia="Arial" w:hAnsi="Arial"/>
          <w:sz w:val="18"/>
          <w:szCs w:val="18"/>
          <w:color w:val="auto"/>
        </w:rPr>
      </w:pPr>
    </w:p>
    <w:p>
      <w:pPr>
        <w:ind w:left="9140" w:hanging="111"/>
        <w:spacing w:after="0"/>
        <w:tabs>
          <w:tab w:leader="none" w:pos="9140" w:val="left"/>
        </w:tabs>
        <w:numPr>
          <w:ilvl w:val="2"/>
          <w:numId w:val="97"/>
        </w:numPr>
        <w:rPr>
          <w:rFonts w:ascii="Arial" w:cs="Arial" w:eastAsia="Arial" w:hAnsi="Arial"/>
          <w:sz w:val="16"/>
          <w:szCs w:val="16"/>
          <w:color w:val="auto"/>
        </w:rPr>
      </w:pPr>
      <w:r>
        <w:rPr>
          <w:rFonts w:ascii="Arial" w:cs="Arial" w:eastAsia="Arial" w:hAnsi="Arial"/>
          <w:sz w:val="14"/>
          <w:szCs w:val="14"/>
          <w:color w:val="auto"/>
        </w:rPr>
        <w:t>Executive Employment Agreement</w:t>
      </w:r>
    </w:p>
    <w:p>
      <w:pPr>
        <w:spacing w:after="0" w:line="28" w:lineRule="exact"/>
        <w:rPr>
          <w:rFonts w:ascii="Arial" w:cs="Arial" w:eastAsia="Arial" w:hAnsi="Arial"/>
          <w:sz w:val="16"/>
          <w:szCs w:val="16"/>
          <w:color w:val="auto"/>
        </w:rPr>
      </w:pPr>
    </w:p>
    <w:p>
      <w:pPr>
        <w:ind w:left="5640"/>
        <w:spacing w:after="0"/>
        <w:rPr>
          <w:rFonts w:ascii="Arial" w:cs="Arial" w:eastAsia="Arial" w:hAnsi="Arial"/>
          <w:sz w:val="16"/>
          <w:szCs w:val="16"/>
          <w:color w:val="auto"/>
        </w:rPr>
      </w:pPr>
      <w:r>
        <w:rPr>
          <w:rFonts w:ascii="Arial" w:cs="Arial" w:eastAsia="Arial" w:hAnsi="Arial"/>
          <w:sz w:val="16"/>
          <w:szCs w:val="16"/>
          <w:color w:val="auto"/>
        </w:rPr>
        <w:t>15</w:t>
      </w:r>
    </w:p>
    <w:p>
      <w:pPr>
        <w:sectPr>
          <w:pgSz w:w="11900" w:h="16838" w:orient="portrait"/>
          <w:cols w:equalWidth="0" w:num="1">
            <w:col w:w="11420"/>
          </w:cols>
          <w:pgMar w:left="240" w:top="379" w:right="239" w:bottom="1440" w:gutter="0" w:footer="0" w:header="0"/>
        </w:sectPr>
      </w:pPr>
    </w:p>
    <w:bookmarkStart w:id="142" w:name="page143"/>
    <w:bookmarkEnd w:id="142"/>
    <w:p>
      <w:pPr>
        <w:jc w:val="both"/>
        <w:ind w:left="-8" w:firstLine="8"/>
        <w:spacing w:after="0" w:line="302" w:lineRule="auto"/>
        <w:tabs>
          <w:tab w:leader="none" w:pos="865" w:val="left"/>
        </w:tabs>
        <w:numPr>
          <w:ilvl w:val="0"/>
          <w:numId w:val="98"/>
        </w:numPr>
        <w:rPr>
          <w:rFonts w:ascii="Arial" w:cs="Arial" w:eastAsia="Arial" w:hAnsi="Arial"/>
          <w:sz w:val="16"/>
          <w:szCs w:val="16"/>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Notwithstanding anything herein to the contrary, (i) if at the time of the Executive’s termination of employment with the Company the Executive is a “specified employee” as defined in Section 409A of the Code and the deferral of the commencement of any payments or benefits otherwise payable hereunder as a result of such termination of employment is necessary in order to prevent any accelerated or additional tax under Section 409A of the Code, then the Company will defer the commencement of the payment of any such payments or benefits hereunder (without any reduction in such payments or benefits ultimately paid or provided to Executive) until the date that is six months following the Executive’s termination of employment with the Company (or the earliest date as is permitted under Section 409A of the Code) and (ii) if any other payments of money or other benefits due to the Executive hereunder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in a manner, determined by the Board, that does not cause such an accelerated or additional tax. The Company shall consult with the Executive in good faith regarding the implementation of the provisions of this Section 15;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Company nor any of its employees or representatives shall have any liability to Executive with respect to thereto.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2" w:lineRule="exact"/>
        <w:rPr>
          <w:rFonts w:ascii="Arial" w:cs="Arial" w:eastAsia="Arial" w:hAnsi="Arial"/>
          <w:sz w:val="16"/>
          <w:szCs w:val="16"/>
          <w:color w:val="auto"/>
        </w:rPr>
      </w:pPr>
    </w:p>
    <w:p>
      <w:pPr>
        <w:ind w:left="9132" w:hanging="111"/>
        <w:spacing w:after="0"/>
        <w:tabs>
          <w:tab w:leader="none" w:pos="9132" w:val="left"/>
        </w:tabs>
        <w:numPr>
          <w:ilvl w:val="1"/>
          <w:numId w:val="98"/>
        </w:numPr>
        <w:rPr>
          <w:rFonts w:ascii="Arial" w:cs="Arial" w:eastAsia="Arial" w:hAnsi="Arial"/>
          <w:sz w:val="16"/>
          <w:szCs w:val="16"/>
          <w:color w:val="auto"/>
        </w:rPr>
      </w:pPr>
      <w:r>
        <w:rPr>
          <w:rFonts w:ascii="Arial" w:cs="Arial" w:eastAsia="Arial" w:hAnsi="Arial"/>
          <w:sz w:val="14"/>
          <w:szCs w:val="14"/>
          <w:color w:val="auto"/>
        </w:rPr>
        <w:t>Executive Employment Agreement</w:t>
      </w:r>
    </w:p>
    <w:p>
      <w:pPr>
        <w:spacing w:after="0" w:line="28" w:lineRule="exact"/>
        <w:rPr>
          <w:rFonts w:ascii="Arial" w:cs="Arial" w:eastAsia="Arial" w:hAnsi="Arial"/>
          <w:sz w:val="16"/>
          <w:szCs w:val="16"/>
          <w:color w:val="auto"/>
        </w:rPr>
      </w:pPr>
    </w:p>
    <w:p>
      <w:pPr>
        <w:ind w:left="5632"/>
        <w:spacing w:after="0"/>
        <w:rPr>
          <w:rFonts w:ascii="Arial" w:cs="Arial" w:eastAsia="Arial" w:hAnsi="Arial"/>
          <w:sz w:val="16"/>
          <w:szCs w:val="16"/>
          <w:color w:val="auto"/>
        </w:rPr>
      </w:pPr>
      <w:r>
        <w:rPr>
          <w:rFonts w:ascii="Arial" w:cs="Arial" w:eastAsia="Arial" w:hAnsi="Arial"/>
          <w:sz w:val="16"/>
          <w:szCs w:val="16"/>
          <w:color w:val="auto"/>
        </w:rPr>
        <w:t>16</w:t>
      </w:r>
    </w:p>
    <w:p>
      <w:pPr>
        <w:sectPr>
          <w:pgSz w:w="11900" w:h="16838" w:orient="portrait"/>
          <w:cols w:equalWidth="0" w:num="1">
            <w:col w:w="11412"/>
          </w:cols>
          <w:pgMar w:left="248" w:top="379" w:right="239" w:bottom="1440" w:gutter="0" w:footer="0" w:header="0"/>
        </w:sectPr>
      </w:pPr>
    </w:p>
    <w:bookmarkStart w:id="143" w:name="page144"/>
    <w:bookmarkEnd w:id="143"/>
    <w:p>
      <w:pPr>
        <w:ind w:right="240" w:firstLine="567"/>
        <w:spacing w:after="0" w:line="250" w:lineRule="auto"/>
        <w:rPr>
          <w:sz w:val="20"/>
          <w:szCs w:val="20"/>
          <w:color w:val="auto"/>
        </w:rPr>
      </w:pPr>
      <w:r>
        <w:rPr>
          <w:rFonts w:ascii="Arial" w:cs="Arial" w:eastAsia="Arial" w:hAnsi="Arial"/>
          <w:sz w:val="20"/>
          <w:szCs w:val="20"/>
          <w:color w:val="auto"/>
        </w:rPr>
        <w:t>IN WITNESS WHEREOF, the Executive has hereunto set the Executive’s hand and, pursuant to the authorization from the Board or relevant committee thereof, the Company has caused these presents to be executed in its name and on its behalf, all as of the day and year set forth below.</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DATE:</w:t>
      </w:r>
    </w:p>
    <w:p>
      <w:pPr>
        <w:spacing w:after="0" w:line="354" w:lineRule="exact"/>
        <w:rPr>
          <w:sz w:val="20"/>
          <w:szCs w:val="20"/>
          <w:color w:val="auto"/>
        </w:rPr>
      </w:pPr>
    </w:p>
    <w:tbl>
      <w:tblPr>
        <w:tblLayout w:type="fixed"/>
        <w:tblInd w:w="10" w:type="dxa"/>
        <w:tblCellMar>
          <w:top w:w="0" w:type="dxa"/>
          <w:left w:w="0" w:type="dxa"/>
          <w:bottom w:w="0" w:type="dxa"/>
          <w:right w:w="0" w:type="dxa"/>
        </w:tblCellMar>
      </w:tblPr>
      <w:tr>
        <w:trPr>
          <w:trHeight w:val="598"/>
        </w:trPr>
        <w:tc>
          <w:tcPr>
            <w:tcW w:w="49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Applicable Multiple: three (3)</w:t>
            </w:r>
          </w:p>
        </w:tc>
        <w:tc>
          <w:tcPr>
            <w:tcW w:w="4580" w:type="dxa"/>
            <w:vAlign w:val="bottom"/>
          </w:tcPr>
          <w:p>
            <w:pPr>
              <w:spacing w:after="0"/>
              <w:rPr>
                <w:sz w:val="24"/>
                <w:szCs w:val="24"/>
                <w:color w:val="auto"/>
              </w:rPr>
            </w:pPr>
          </w:p>
        </w:tc>
      </w:tr>
      <w:tr>
        <w:trPr>
          <w:trHeight w:val="608"/>
        </w:trPr>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Position:</w:t>
            </w:r>
          </w:p>
        </w:tc>
        <w:tc>
          <w:tcPr>
            <w:tcW w:w="4580" w:type="dxa"/>
            <w:vAlign w:val="bottom"/>
          </w:tcPr>
          <w:p>
            <w:pPr>
              <w:ind w:left="340"/>
              <w:spacing w:after="0"/>
              <w:rPr>
                <w:sz w:val="20"/>
                <w:szCs w:val="20"/>
                <w:color w:val="auto"/>
              </w:rPr>
            </w:pPr>
            <w:r>
              <w:rPr>
                <w:rFonts w:ascii="Arial" w:cs="Arial" w:eastAsia="Arial" w:hAnsi="Arial"/>
                <w:sz w:val="18"/>
                <w:szCs w:val="18"/>
                <w:color w:val="auto"/>
                <w:w w:val="89"/>
              </w:rPr>
              <w:t>_______________________________________________</w:t>
            </w:r>
          </w:p>
        </w:tc>
      </w:tr>
      <w:tr>
        <w:trPr>
          <w:trHeight w:val="932"/>
        </w:trPr>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Address for notices to Executive:</w:t>
            </w:r>
          </w:p>
        </w:tc>
        <w:tc>
          <w:tcPr>
            <w:tcW w:w="4580" w:type="dxa"/>
            <w:vAlign w:val="bottom"/>
          </w:tcPr>
          <w:p>
            <w:pPr>
              <w:spacing w:after="0"/>
              <w:rPr>
                <w:sz w:val="24"/>
                <w:szCs w:val="24"/>
                <w:color w:val="auto"/>
              </w:rPr>
            </w:pPr>
          </w:p>
        </w:tc>
      </w:tr>
      <w:tr>
        <w:trPr>
          <w:trHeight w:val="266"/>
        </w:trPr>
        <w:tc>
          <w:tcPr>
            <w:tcW w:w="4940" w:type="dxa"/>
            <w:vAlign w:val="bottom"/>
            <w:tcBorders>
              <w:left w:val="single" w:sz="8" w:color="auto"/>
              <w:right w:val="single" w:sz="8" w:color="auto"/>
            </w:tcBorders>
          </w:tcPr>
          <w:p>
            <w:pPr>
              <w:spacing w:after="0"/>
              <w:rPr>
                <w:sz w:val="23"/>
                <w:szCs w:val="23"/>
                <w:color w:val="auto"/>
              </w:rPr>
            </w:pPr>
          </w:p>
        </w:tc>
        <w:tc>
          <w:tcPr>
            <w:tcW w:w="4580" w:type="dxa"/>
            <w:vAlign w:val="bottom"/>
          </w:tcPr>
          <w:p>
            <w:pPr>
              <w:ind w:left="340"/>
              <w:spacing w:after="0"/>
              <w:rPr>
                <w:sz w:val="20"/>
                <w:szCs w:val="20"/>
                <w:color w:val="auto"/>
              </w:rPr>
            </w:pPr>
            <w:r>
              <w:rPr>
                <w:rFonts w:ascii="Arial" w:cs="Arial" w:eastAsia="Arial" w:hAnsi="Arial"/>
                <w:sz w:val="18"/>
                <w:szCs w:val="18"/>
                <w:b w:val="1"/>
                <w:bCs w:val="1"/>
                <w:color w:val="auto"/>
              </w:rPr>
              <w:t>Weatherford Management Company</w:t>
            </w:r>
          </w:p>
        </w:tc>
      </w:tr>
      <w:tr>
        <w:trPr>
          <w:trHeight w:val="270"/>
        </w:trPr>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______________________________</w:t>
            </w:r>
          </w:p>
        </w:tc>
        <w:tc>
          <w:tcPr>
            <w:tcW w:w="4580" w:type="dxa"/>
            <w:vAlign w:val="bottom"/>
          </w:tcPr>
          <w:p>
            <w:pPr>
              <w:ind w:left="340"/>
              <w:spacing w:after="0"/>
              <w:rPr>
                <w:sz w:val="20"/>
                <w:szCs w:val="20"/>
                <w:color w:val="auto"/>
              </w:rPr>
            </w:pPr>
            <w:r>
              <w:rPr>
                <w:rFonts w:ascii="Arial" w:cs="Arial" w:eastAsia="Arial" w:hAnsi="Arial"/>
                <w:sz w:val="18"/>
                <w:szCs w:val="18"/>
                <w:b w:val="1"/>
                <w:bCs w:val="1"/>
                <w:color w:val="auto"/>
              </w:rPr>
              <w:t>Switzerland LLC,</w:t>
            </w:r>
          </w:p>
        </w:tc>
      </w:tr>
      <w:tr>
        <w:trPr>
          <w:trHeight w:val="270"/>
        </w:trPr>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______________________________</w:t>
            </w:r>
          </w:p>
        </w:tc>
        <w:tc>
          <w:tcPr>
            <w:tcW w:w="4580" w:type="dxa"/>
            <w:vAlign w:val="bottom"/>
          </w:tcPr>
          <w:p>
            <w:pPr>
              <w:spacing w:after="0"/>
              <w:rPr>
                <w:sz w:val="23"/>
                <w:szCs w:val="23"/>
                <w:color w:val="auto"/>
              </w:rPr>
            </w:pPr>
          </w:p>
        </w:tc>
      </w:tr>
      <w:tr>
        <w:trPr>
          <w:trHeight w:val="270"/>
        </w:trPr>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______________________________</w:t>
            </w:r>
          </w:p>
        </w:tc>
        <w:tc>
          <w:tcPr>
            <w:tcW w:w="4580" w:type="dxa"/>
            <w:vAlign w:val="bottom"/>
          </w:tcPr>
          <w:p>
            <w:pPr>
              <w:spacing w:after="0"/>
              <w:rPr>
                <w:sz w:val="23"/>
                <w:szCs w:val="23"/>
                <w:color w:val="auto"/>
              </w:rPr>
            </w:pPr>
          </w:p>
        </w:tc>
      </w:tr>
      <w:tr>
        <w:trPr>
          <w:trHeight w:val="270"/>
        </w:trPr>
        <w:tc>
          <w:tcPr>
            <w:tcW w:w="4940" w:type="dxa"/>
            <w:vAlign w:val="bottom"/>
            <w:tcBorders>
              <w:left w:val="single" w:sz="8" w:color="auto"/>
              <w:right w:val="single" w:sz="8" w:color="auto"/>
            </w:tcBorders>
          </w:tcPr>
          <w:p>
            <w:pPr>
              <w:spacing w:after="0"/>
              <w:rPr>
                <w:sz w:val="23"/>
                <w:szCs w:val="23"/>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w w:val="91"/>
              </w:rPr>
              <w:t>By: ___________________________________________</w:t>
            </w:r>
          </w:p>
        </w:tc>
      </w:tr>
      <w:tr>
        <w:trPr>
          <w:trHeight w:val="288"/>
        </w:trPr>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Reporting to: Chief Executive Officer</w:t>
            </w:r>
          </w:p>
        </w:tc>
        <w:tc>
          <w:tcPr>
            <w:tcW w:w="4580" w:type="dxa"/>
            <w:vAlign w:val="bottom"/>
          </w:tcPr>
          <w:p>
            <w:pPr>
              <w:ind w:left="340"/>
              <w:spacing w:after="0"/>
              <w:rPr>
                <w:sz w:val="20"/>
                <w:szCs w:val="20"/>
                <w:color w:val="auto"/>
              </w:rPr>
            </w:pPr>
            <w:r>
              <w:rPr>
                <w:rFonts w:ascii="Arial" w:cs="Arial" w:eastAsia="Arial" w:hAnsi="Arial"/>
                <w:sz w:val="18"/>
                <w:szCs w:val="18"/>
                <w:color w:val="auto"/>
              </w:rPr>
              <w:t>Name:</w:t>
            </w:r>
          </w:p>
        </w:tc>
      </w:tr>
      <w:tr>
        <w:trPr>
          <w:trHeight w:val="284"/>
        </w:trPr>
        <w:tc>
          <w:tcPr>
            <w:tcW w:w="49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Duties: In accordance with Position above</w:t>
            </w:r>
          </w:p>
        </w:tc>
        <w:tc>
          <w:tcPr>
            <w:tcW w:w="4580" w:type="dxa"/>
            <w:vAlign w:val="bottom"/>
          </w:tcPr>
          <w:p>
            <w:pPr>
              <w:ind w:left="340"/>
              <w:spacing w:after="0"/>
              <w:rPr>
                <w:sz w:val="20"/>
                <w:szCs w:val="20"/>
                <w:color w:val="auto"/>
              </w:rPr>
            </w:pPr>
            <w:r>
              <w:rPr>
                <w:rFonts w:ascii="Arial" w:cs="Arial" w:eastAsia="Arial" w:hAnsi="Arial"/>
                <w:sz w:val="18"/>
                <w:szCs w:val="18"/>
                <w:color w:val="auto"/>
              </w:rPr>
              <w:t>Title:</w:t>
            </w:r>
          </w:p>
        </w:tc>
      </w:tr>
      <w:tr>
        <w:trPr>
          <w:trHeight w:val="671"/>
        </w:trPr>
        <w:tc>
          <w:tcPr>
            <w:tcW w:w="4940" w:type="dxa"/>
            <w:vAlign w:val="bottom"/>
            <w:tcBorders>
              <w:left w:val="single" w:sz="8" w:color="auto"/>
              <w:bottom w:val="single" w:sz="8" w:color="auto"/>
              <w:right w:val="single" w:sz="8" w:color="auto"/>
            </w:tcBorders>
          </w:tcPr>
          <w:p>
            <w:pPr>
              <w:spacing w:after="0"/>
              <w:rPr>
                <w:sz w:val="24"/>
                <w:szCs w:val="24"/>
                <w:color w:val="auto"/>
              </w:rPr>
            </w:pPr>
          </w:p>
        </w:tc>
        <w:tc>
          <w:tcPr>
            <w:tcW w:w="4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Guaranty by Weatherford International plc</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Weatherford Ireland (Weatherford International plc) is not a party to this Agreement, but joins in this Agreement for the sole purpose of guaranteeing the obligations of the Company to pay, provide, or reimburse the Executive for all cash or other benefits provided for in this Agreement and to elect or appoint Executive to the positions with Weatherford Ireland and provide Executive with the authority relating thereto as contemplated by Section 3(a)(i) of this Agreement and as set forth on the signature page hereof, and to ensure the Board will take the actions required of it hereby.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Weatherford International plc</w:t>
      </w:r>
      <w:r>
        <w:rPr>
          <w:rFonts w:ascii="Arial" w:cs="Arial" w:eastAsia="Arial" w:hAnsi="Arial"/>
          <w:sz w:val="20"/>
          <w:szCs w:val="20"/>
          <w:color w:val="auto"/>
        </w:rPr>
        <w: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By: 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Bernard J. Duroc-Danner</w:t>
      </w:r>
    </w:p>
    <w:p>
      <w:pPr>
        <w:spacing w:after="0"/>
        <w:rPr>
          <w:sz w:val="20"/>
          <w:szCs w:val="20"/>
          <w:color w:val="auto"/>
        </w:rPr>
      </w:pPr>
      <w:r>
        <w:rPr>
          <w:rFonts w:ascii="Arial" w:cs="Arial" w:eastAsia="Arial" w:hAnsi="Arial"/>
          <w:sz w:val="20"/>
          <w:szCs w:val="20"/>
          <w:color w:val="auto"/>
        </w:rPr>
        <w:t>Title: Chairman, President &amp; CEO</w:t>
      </w:r>
    </w:p>
    <w:p>
      <w:pPr>
        <w:spacing w:after="0" w:line="200" w:lineRule="exact"/>
        <w:rPr>
          <w:sz w:val="20"/>
          <w:szCs w:val="20"/>
          <w:color w:val="auto"/>
        </w:rPr>
      </w:pPr>
    </w:p>
    <w:p>
      <w:pPr>
        <w:spacing w:after="0" w:line="245"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17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6"/>
          <w:szCs w:val="16"/>
          <w:color w:val="auto"/>
        </w:rPr>
        <w:t>Executive Employment Agreement</w:t>
      </w:r>
    </w:p>
    <w:p>
      <w:pPr>
        <w:sectPr>
          <w:pgSz w:w="11900" w:h="16838" w:orient="portrait"/>
          <w:cols w:equalWidth="0" w:num="1">
            <w:col w:w="11420"/>
          </w:cols>
          <w:pgMar w:left="240" w:top="582"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Exhibit 12.1</w:t>
            </w:r>
          </w:p>
        </w:tc>
      </w:tr>
      <w:tr>
        <w:trPr>
          <w:trHeight w:val="567"/>
        </w:trPr>
        <w:tc>
          <w:tcPr>
            <w:tcW w:w="3600" w:type="dxa"/>
            <w:vAlign w:val="bottom"/>
          </w:tcPr>
          <w:p>
            <w:pPr>
              <w:spacing w:after="0"/>
              <w:rPr>
                <w:sz w:val="24"/>
                <w:szCs w:val="24"/>
                <w:color w:val="auto"/>
              </w:rPr>
            </w:pPr>
          </w:p>
        </w:tc>
        <w:tc>
          <w:tcPr>
            <w:tcW w:w="4200" w:type="dxa"/>
            <w:vAlign w:val="bottom"/>
            <w:gridSpan w:val="9"/>
          </w:tcPr>
          <w:p>
            <w:pPr>
              <w:jc w:val="right"/>
              <w:ind w:right="10"/>
              <w:spacing w:after="0"/>
              <w:rPr>
                <w:sz w:val="20"/>
                <w:szCs w:val="20"/>
                <w:color w:val="auto"/>
              </w:rPr>
            </w:pPr>
            <w:r>
              <w:rPr>
                <w:rFonts w:ascii="Arial" w:cs="Arial" w:eastAsia="Arial" w:hAnsi="Arial"/>
                <w:sz w:val="18"/>
                <w:szCs w:val="18"/>
                <w:b w:val="1"/>
                <w:bCs w:val="1"/>
                <w:color w:val="auto"/>
                <w:w w:val="93"/>
              </w:rPr>
              <w:t>Computation of Ratio of Earnings to Fixed Charges</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8"/>
        </w:trPr>
        <w:tc>
          <w:tcPr>
            <w:tcW w:w="3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
        </w:trPr>
        <w:tc>
          <w:tcPr>
            <w:tcW w:w="3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(Dollars in millions except ratios)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r>
      <w:tr>
        <w:trPr>
          <w:trHeight w:val="27"/>
        </w:trPr>
        <w:tc>
          <w:tcPr>
            <w:tcW w:w="4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2"/>
        </w:trPr>
        <w:tc>
          <w:tcPr>
            <w:tcW w:w="50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income</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360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taxes </w:t>
            </w:r>
            <w:r>
              <w:rPr>
                <w:rFonts w:ascii="Arial" w:cs="Arial" w:eastAsia="Arial" w:hAnsi="Arial"/>
                <w:sz w:val="25"/>
                <w:szCs w:val="25"/>
                <w:color w:val="auto"/>
                <w:vertAlign w:val="superscript"/>
              </w:rPr>
              <w:t>(a)</w:t>
            </w: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727</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3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5"/>
                <w:szCs w:val="25"/>
                <w:color w:val="auto"/>
                <w:vertAlign w:val="superscript"/>
              </w:rPr>
              <w:t>(b)</w:t>
            </w: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Capitalized Interest</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3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factor portion of rentals </w:t>
            </w:r>
            <w:r>
              <w:rPr>
                <w:rFonts w:ascii="Arial" w:cs="Arial" w:eastAsia="Arial" w:hAnsi="Arial"/>
                <w:sz w:val="25"/>
                <w:szCs w:val="25"/>
                <w:color w:val="auto"/>
                <w:vertAlign w:val="superscript"/>
              </w:rPr>
              <w:t>(c)</w:t>
            </w: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color w:val="auto"/>
              </w:rPr>
              <w:t>Total fixed charges</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553</w:t>
            </w:r>
          </w:p>
        </w:tc>
      </w:tr>
      <w:tr>
        <w:trPr>
          <w:trHeight w:val="27"/>
        </w:trPr>
        <w:tc>
          <w:tcPr>
            <w:tcW w:w="36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Capitalized Interest</w:t>
            </w: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w w:val="91"/>
              </w:rPr>
              <w:t>Earnings before income taxes and fixed charges</w:t>
            </w:r>
          </w:p>
        </w:tc>
        <w:tc>
          <w:tcPr>
            <w:tcW w:w="14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1,270</w:t>
            </w:r>
          </w:p>
        </w:tc>
      </w:tr>
      <w:tr>
        <w:trPr>
          <w:trHeight w:val="27"/>
        </w:trPr>
        <w:tc>
          <w:tcPr>
            <w:tcW w:w="36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36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Ratio of earnings to fixed charges </w:t>
            </w:r>
            <w:r>
              <w:rPr>
                <w:rFonts w:ascii="Arial" w:cs="Arial" w:eastAsia="Arial" w:hAnsi="Arial"/>
                <w:sz w:val="25"/>
                <w:szCs w:val="25"/>
                <w:color w:val="auto"/>
                <w:vertAlign w:val="superscript"/>
              </w:rPr>
              <w:t>(d)</w:t>
            </w: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r>
    </w:tbl>
    <w:p>
      <w:pPr>
        <w:spacing w:after="0" w:line="44" w:lineRule="exact"/>
        <w:rPr>
          <w:sz w:val="20"/>
          <w:szCs w:val="20"/>
          <w:color w:val="auto"/>
        </w:rPr>
      </w:pPr>
    </w:p>
    <w:p>
      <w:pPr>
        <w:ind w:left="500" w:hanging="330"/>
        <w:spacing w:after="0"/>
        <w:tabs>
          <w:tab w:leader="none" w:pos="5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Income from continuing operations before income taxes has been adjusted to include only distributed income of less-than-fifty-percent-owned persons.</w:t>
      </w:r>
    </w:p>
    <w:p>
      <w:pPr>
        <w:spacing w:after="0" w:line="19" w:lineRule="exact"/>
        <w:rPr>
          <w:rFonts w:ascii="Arial" w:cs="Arial" w:eastAsia="Arial" w:hAnsi="Arial"/>
          <w:sz w:val="16"/>
          <w:szCs w:val="16"/>
          <w:color w:val="auto"/>
        </w:rPr>
      </w:pPr>
    </w:p>
    <w:p>
      <w:pPr>
        <w:ind w:left="500" w:hanging="330"/>
        <w:spacing w:after="0"/>
        <w:tabs>
          <w:tab w:leader="none" w:pos="5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Interest expense consists of interest expense incurred from continuing operations and amortization of debt issuance costs.</w:t>
      </w:r>
    </w:p>
    <w:p>
      <w:pPr>
        <w:spacing w:after="0" w:line="5" w:lineRule="exact"/>
        <w:rPr>
          <w:rFonts w:ascii="Arial" w:cs="Arial" w:eastAsia="Arial" w:hAnsi="Arial"/>
          <w:sz w:val="16"/>
          <w:szCs w:val="16"/>
          <w:color w:val="auto"/>
        </w:rPr>
      </w:pPr>
    </w:p>
    <w:p>
      <w:pPr>
        <w:ind w:left="500" w:hanging="330"/>
        <w:spacing w:after="0"/>
        <w:tabs>
          <w:tab w:leader="none" w:pos="5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Interest factor portion of rentals is estimated to be one-third of rental expense.</w:t>
      </w:r>
    </w:p>
    <w:p>
      <w:pPr>
        <w:spacing w:after="0" w:line="5" w:lineRule="exact"/>
        <w:rPr>
          <w:rFonts w:ascii="Arial" w:cs="Arial" w:eastAsia="Arial" w:hAnsi="Arial"/>
          <w:sz w:val="16"/>
          <w:szCs w:val="16"/>
          <w:color w:val="auto"/>
        </w:rPr>
      </w:pPr>
    </w:p>
    <w:p>
      <w:pPr>
        <w:ind w:left="500" w:hanging="330"/>
        <w:spacing w:after="0" w:line="257" w:lineRule="auto"/>
        <w:tabs>
          <w:tab w:leader="none" w:pos="5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For the years ended December 31, 2015, 2014, 2013 and 2012, earnings, as defined, before fixed charges were inadequate to cover fixed charges by $2.1 billion, $266 million, $211 million and $349 million, respectively.</w:t>
      </w:r>
    </w:p>
    <w:p>
      <w:pPr>
        <w:sectPr>
          <w:pgSz w:w="11900" w:h="16838" w:orient="portrait"/>
          <w:cols w:equalWidth="0" w:num="1">
            <w:col w:w="11420"/>
          </w:cols>
          <w:pgMar w:left="240" w:top="58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21.1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Significant Subsidiaries</w:t>
      </w:r>
    </w:p>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Listed below are the significant subsidiaries of the Registrant as of December 31, 2015, and the states or jurisdictions in which they are incorporated or organized. The indentation reflects the principal parenting of each subsidiary. The name of other subsidiaries have been omitted from the list below, since they would not constitute, in the aggregate, a significant subsidiary as of December 31, 2015.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960" w:type="dxa"/>
            <w:vAlign w:val="bottom"/>
          </w:tcPr>
          <w:p>
            <w:pPr>
              <w:ind w:left="2480"/>
              <w:spacing w:after="0"/>
              <w:rPr>
                <w:sz w:val="20"/>
                <w:szCs w:val="20"/>
                <w:color w:val="auto"/>
              </w:rPr>
            </w:pPr>
            <w:r>
              <w:rPr>
                <w:rFonts w:ascii="Arial" w:cs="Arial" w:eastAsia="Arial" w:hAnsi="Arial"/>
                <w:sz w:val="22"/>
                <w:szCs w:val="22"/>
                <w:b w:val="1"/>
                <w:bCs w:val="1"/>
                <w:color w:val="auto"/>
              </w:rPr>
              <w:t>Weatherford International plc - Ireland</w:t>
            </w: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0"/>
        </w:trPr>
        <w:tc>
          <w:tcPr>
            <w:tcW w:w="8440" w:type="dxa"/>
            <w:vAlign w:val="bottom"/>
            <w:gridSpan w:val="3"/>
          </w:tcPr>
          <w:p>
            <w:pPr>
              <w:ind w:left="40"/>
              <w:spacing w:after="0"/>
              <w:rPr>
                <w:sz w:val="20"/>
                <w:szCs w:val="20"/>
                <w:color w:val="auto"/>
              </w:rPr>
            </w:pPr>
            <w:r>
              <w:rPr>
                <w:rFonts w:ascii="Arial" w:cs="Arial" w:eastAsia="Arial" w:hAnsi="Arial"/>
                <w:sz w:val="18"/>
                <w:szCs w:val="18"/>
                <w:b w:val="1"/>
                <w:bCs w:val="1"/>
                <w:color w:val="auto"/>
              </w:rPr>
              <w:t>Name of Company</w:t>
            </w:r>
          </w:p>
        </w:tc>
        <w:tc>
          <w:tcPr>
            <w:tcW w:w="1140" w:type="dxa"/>
            <w:vAlign w:val="bottom"/>
          </w:tcPr>
          <w:p>
            <w:pPr>
              <w:spacing w:after="0"/>
              <w:rPr>
                <w:sz w:val="19"/>
                <w:szCs w:val="19"/>
                <w:color w:val="auto"/>
              </w:rPr>
            </w:pPr>
          </w:p>
        </w:tc>
        <w:tc>
          <w:tcPr>
            <w:tcW w:w="152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Jurisdiction</w:t>
            </w: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69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r>
      <w:tr>
        <w:trPr>
          <w:trHeight w:val="250"/>
        </w:trPr>
        <w:tc>
          <w:tcPr>
            <w:tcW w:w="8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Worldwide Holdings GmbH</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2"/>
              </w:rPr>
              <w:t>Switzerland</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160"/>
              <w:spacing w:after="0"/>
              <w:rPr>
                <w:sz w:val="20"/>
                <w:szCs w:val="20"/>
                <w:color w:val="auto"/>
              </w:rPr>
            </w:pPr>
            <w:r>
              <w:rPr>
                <w:rFonts w:ascii="Arial" w:cs="Arial" w:eastAsia="Arial" w:hAnsi="Arial"/>
                <w:sz w:val="18"/>
                <w:szCs w:val="18"/>
                <w:color w:val="auto"/>
              </w:rPr>
              <w:t>Weatherford International Ltd.</w:t>
            </w:r>
          </w:p>
        </w:tc>
        <w:tc>
          <w:tcPr>
            <w:tcW w:w="1140" w:type="dxa"/>
            <w:vAlign w:val="bottom"/>
          </w:tcPr>
          <w:p>
            <w:pPr>
              <w:spacing w:after="0"/>
              <w:rPr>
                <w:sz w:val="21"/>
                <w:szCs w:val="21"/>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Bermuda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Weatherford Bermuda Holdings Ltd.</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0"/>
              </w:rPr>
              <w:t>Bermuda</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480"/>
              <w:spacing w:after="0"/>
              <w:rPr>
                <w:sz w:val="20"/>
                <w:szCs w:val="20"/>
                <w:color w:val="auto"/>
              </w:rPr>
            </w:pPr>
            <w:r>
              <w:rPr>
                <w:rFonts w:ascii="Arial" w:cs="Arial" w:eastAsia="Arial" w:hAnsi="Arial"/>
                <w:sz w:val="18"/>
                <w:szCs w:val="18"/>
                <w:color w:val="auto"/>
              </w:rPr>
              <w:t>Weatherford Services and Rentals Ltd.</w:t>
            </w:r>
          </w:p>
        </w:tc>
        <w:tc>
          <w:tcPr>
            <w:tcW w:w="2660" w:type="dxa"/>
            <w:vAlign w:val="bottom"/>
            <w:gridSpan w:val="3"/>
          </w:tcPr>
          <w:p>
            <w:pPr>
              <w:jc w:val="center"/>
              <w:ind w:left="470"/>
              <w:spacing w:after="0"/>
              <w:rPr>
                <w:sz w:val="20"/>
                <w:szCs w:val="20"/>
                <w:color w:val="auto"/>
              </w:rPr>
            </w:pPr>
            <w:r>
              <w:rPr>
                <w:rFonts w:ascii="Arial" w:cs="Arial" w:eastAsia="Arial" w:hAnsi="Arial"/>
                <w:sz w:val="18"/>
                <w:szCs w:val="18"/>
                <w:color w:val="auto"/>
                <w:w w:val="94"/>
              </w:rPr>
              <w:t>British Virgin Islands</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Weatherford Services, Ltd.</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0"/>
              </w:rPr>
              <w:t>Bermuda</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800"/>
              <w:spacing w:after="0"/>
              <w:rPr>
                <w:sz w:val="20"/>
                <w:szCs w:val="20"/>
                <w:color w:val="auto"/>
              </w:rPr>
            </w:pPr>
            <w:r>
              <w:rPr>
                <w:rFonts w:ascii="Arial" w:cs="Arial" w:eastAsia="Arial" w:hAnsi="Arial"/>
                <w:sz w:val="18"/>
                <w:szCs w:val="18"/>
                <w:color w:val="auto"/>
              </w:rPr>
              <w:t>Weatherford Colombia Limited</w:t>
            </w:r>
          </w:p>
        </w:tc>
        <w:tc>
          <w:tcPr>
            <w:tcW w:w="2660" w:type="dxa"/>
            <w:vAlign w:val="bottom"/>
            <w:gridSpan w:val="3"/>
          </w:tcPr>
          <w:p>
            <w:pPr>
              <w:jc w:val="center"/>
              <w:ind w:left="470"/>
              <w:spacing w:after="0"/>
              <w:rPr>
                <w:sz w:val="20"/>
                <w:szCs w:val="20"/>
                <w:color w:val="auto"/>
              </w:rPr>
            </w:pPr>
            <w:r>
              <w:rPr>
                <w:rFonts w:ascii="Arial" w:cs="Arial" w:eastAsia="Arial" w:hAnsi="Arial"/>
                <w:sz w:val="18"/>
                <w:szCs w:val="18"/>
                <w:color w:val="auto"/>
                <w:w w:val="94"/>
              </w:rPr>
              <w:t>British Virgin Islands</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Weatherford Oil Tool Middle East Limited</w:t>
            </w:r>
          </w:p>
        </w:tc>
        <w:tc>
          <w:tcPr>
            <w:tcW w:w="2660" w:type="dxa"/>
            <w:vAlign w:val="bottom"/>
            <w:tcBorders>
              <w:bottom w:val="single" w:sz="8" w:color="CCEEFF"/>
            </w:tcBorders>
            <w:gridSpan w:val="3"/>
            <w:shd w:val="clear" w:color="auto" w:fill="CCEEFF"/>
          </w:tcPr>
          <w:p>
            <w:pPr>
              <w:jc w:val="center"/>
              <w:ind w:left="470"/>
              <w:spacing w:after="0"/>
              <w:rPr>
                <w:sz w:val="20"/>
                <w:szCs w:val="20"/>
                <w:color w:val="auto"/>
              </w:rPr>
            </w:pPr>
            <w:r>
              <w:rPr>
                <w:rFonts w:ascii="Arial" w:cs="Arial" w:eastAsia="Arial" w:hAnsi="Arial"/>
                <w:sz w:val="18"/>
                <w:szCs w:val="18"/>
                <w:color w:val="auto"/>
                <w:w w:val="94"/>
              </w:rPr>
              <w:t>British Virgin Islands</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800"/>
              <w:spacing w:after="0"/>
              <w:rPr>
                <w:sz w:val="20"/>
                <w:szCs w:val="20"/>
                <w:color w:val="auto"/>
              </w:rPr>
            </w:pPr>
            <w:r>
              <w:rPr>
                <w:rFonts w:ascii="Arial" w:cs="Arial" w:eastAsia="Arial" w:hAnsi="Arial"/>
                <w:sz w:val="18"/>
                <w:szCs w:val="18"/>
                <w:color w:val="auto"/>
              </w:rPr>
              <w:t>Weatherford Saudi Arabia Limited</w:t>
            </w:r>
          </w:p>
        </w:tc>
        <w:tc>
          <w:tcPr>
            <w:tcW w:w="2660" w:type="dxa"/>
            <w:vAlign w:val="bottom"/>
            <w:gridSpan w:val="3"/>
          </w:tcPr>
          <w:p>
            <w:pPr>
              <w:jc w:val="center"/>
              <w:ind w:left="470"/>
              <w:spacing w:after="0"/>
              <w:rPr>
                <w:sz w:val="20"/>
                <w:szCs w:val="20"/>
                <w:color w:val="auto"/>
              </w:rPr>
            </w:pPr>
            <w:r>
              <w:rPr>
                <w:rFonts w:ascii="Arial" w:cs="Arial" w:eastAsia="Arial" w:hAnsi="Arial"/>
                <w:sz w:val="18"/>
                <w:szCs w:val="18"/>
                <w:color w:val="auto"/>
                <w:w w:val="91"/>
              </w:rPr>
              <w:t>Saudi Arabia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Weatherford Al-Rushaid Co. Ltd.</w:t>
            </w:r>
          </w:p>
        </w:tc>
        <w:tc>
          <w:tcPr>
            <w:tcW w:w="2660" w:type="dxa"/>
            <w:vAlign w:val="bottom"/>
            <w:tcBorders>
              <w:bottom w:val="single" w:sz="8" w:color="CCEEFF"/>
            </w:tcBorders>
            <w:gridSpan w:val="3"/>
            <w:shd w:val="clear" w:color="auto" w:fill="CCEEFF"/>
          </w:tcPr>
          <w:p>
            <w:pPr>
              <w:jc w:val="center"/>
              <w:ind w:left="470"/>
              <w:spacing w:after="0"/>
              <w:rPr>
                <w:sz w:val="20"/>
                <w:szCs w:val="20"/>
                <w:color w:val="auto"/>
              </w:rPr>
            </w:pPr>
            <w:r>
              <w:rPr>
                <w:rFonts w:ascii="Arial" w:cs="Arial" w:eastAsia="Arial" w:hAnsi="Arial"/>
                <w:sz w:val="18"/>
                <w:szCs w:val="18"/>
                <w:color w:val="auto"/>
                <w:w w:val="91"/>
              </w:rPr>
              <w:t>Saudi Arabia</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640"/>
              <w:spacing w:after="0"/>
              <w:rPr>
                <w:sz w:val="20"/>
                <w:szCs w:val="20"/>
                <w:color w:val="auto"/>
              </w:rPr>
            </w:pPr>
            <w:r>
              <w:rPr>
                <w:rFonts w:ascii="Arial" w:cs="Arial" w:eastAsia="Arial" w:hAnsi="Arial"/>
                <w:sz w:val="18"/>
                <w:szCs w:val="18"/>
                <w:color w:val="auto"/>
              </w:rPr>
              <w:t>Weatherford (Malaysia) Sdn. Bhd.</w:t>
            </w:r>
          </w:p>
        </w:tc>
        <w:tc>
          <w:tcPr>
            <w:tcW w:w="1140" w:type="dxa"/>
            <w:vAlign w:val="bottom"/>
          </w:tcPr>
          <w:p>
            <w:pPr>
              <w:spacing w:after="0"/>
              <w:rPr>
                <w:sz w:val="21"/>
                <w:szCs w:val="21"/>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Malaysia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Weatherford KSP Company Limited</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2"/>
              </w:rPr>
              <w:t>Thailand</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800"/>
              <w:spacing w:after="0"/>
              <w:rPr>
                <w:sz w:val="20"/>
                <w:szCs w:val="20"/>
                <w:color w:val="auto"/>
              </w:rPr>
            </w:pPr>
            <w:r>
              <w:rPr>
                <w:rFonts w:ascii="Arial" w:cs="Arial" w:eastAsia="Arial" w:hAnsi="Arial"/>
                <w:sz w:val="18"/>
                <w:szCs w:val="18"/>
                <w:color w:val="auto"/>
              </w:rPr>
              <w:t>PT. Weatherford Indonesia</w:t>
            </w:r>
          </w:p>
        </w:tc>
        <w:tc>
          <w:tcPr>
            <w:tcW w:w="1140" w:type="dxa"/>
            <w:vAlign w:val="bottom"/>
          </w:tcPr>
          <w:p>
            <w:pPr>
              <w:spacing w:after="0"/>
              <w:rPr>
                <w:sz w:val="21"/>
                <w:szCs w:val="21"/>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Indonesia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Weatherford Asia Pacific Pte Ltd</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0"/>
              </w:rPr>
              <w:t>Singapore</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480"/>
              <w:spacing w:after="0"/>
              <w:rPr>
                <w:sz w:val="20"/>
                <w:szCs w:val="20"/>
                <w:color w:val="auto"/>
              </w:rPr>
            </w:pPr>
            <w:r>
              <w:rPr>
                <w:rFonts w:ascii="Arial" w:cs="Arial" w:eastAsia="Arial" w:hAnsi="Arial"/>
                <w:sz w:val="18"/>
                <w:szCs w:val="18"/>
                <w:color w:val="auto"/>
              </w:rPr>
              <w:t>Weatherford International de Argentina S.A.</w:t>
            </w:r>
          </w:p>
        </w:tc>
        <w:tc>
          <w:tcPr>
            <w:tcW w:w="1140" w:type="dxa"/>
            <w:vAlign w:val="bottom"/>
          </w:tcPr>
          <w:p>
            <w:pPr>
              <w:spacing w:after="0"/>
              <w:rPr>
                <w:sz w:val="21"/>
                <w:szCs w:val="21"/>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Argentina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Weatherford, LLC</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7"/>
              </w:rPr>
              <w:t>Russia</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480"/>
              <w:spacing w:after="0"/>
              <w:rPr>
                <w:sz w:val="20"/>
                <w:szCs w:val="20"/>
                <w:color w:val="auto"/>
              </w:rPr>
            </w:pPr>
            <w:r>
              <w:rPr>
                <w:rFonts w:ascii="Arial" w:cs="Arial" w:eastAsia="Arial" w:hAnsi="Arial"/>
                <w:sz w:val="18"/>
                <w:szCs w:val="18"/>
                <w:color w:val="auto"/>
              </w:rPr>
              <w:t>Weatherford Capital Management Services Limited Liability Company</w:t>
            </w:r>
          </w:p>
        </w:tc>
        <w:tc>
          <w:tcPr>
            <w:tcW w:w="1140" w:type="dxa"/>
            <w:vAlign w:val="bottom"/>
          </w:tcPr>
          <w:p>
            <w:pPr>
              <w:spacing w:after="0"/>
              <w:rPr>
                <w:sz w:val="21"/>
                <w:szCs w:val="21"/>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Hungary</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PD Oilfield Services Mexicana, S. de R.L. de C.V.</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4"/>
              </w:rPr>
              <w:t>Mexico</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960"/>
              <w:spacing w:after="0"/>
              <w:rPr>
                <w:sz w:val="20"/>
                <w:szCs w:val="20"/>
                <w:color w:val="auto"/>
              </w:rPr>
            </w:pPr>
            <w:r>
              <w:rPr>
                <w:rFonts w:ascii="Arial" w:cs="Arial" w:eastAsia="Arial" w:hAnsi="Arial"/>
                <w:sz w:val="18"/>
                <w:szCs w:val="18"/>
                <w:color w:val="auto"/>
              </w:rPr>
              <w:t>Weatherford de Mexico, S. de R.L. de C.V.</w:t>
            </w:r>
          </w:p>
        </w:tc>
        <w:tc>
          <w:tcPr>
            <w:tcW w:w="1140" w:type="dxa"/>
            <w:vAlign w:val="bottom"/>
          </w:tcPr>
          <w:p>
            <w:pPr>
              <w:spacing w:after="0"/>
              <w:rPr>
                <w:sz w:val="21"/>
                <w:szCs w:val="21"/>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Mexico</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WPA S.A. de C.V.</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4"/>
              </w:rPr>
              <w:t>Mexico</w:t>
            </w:r>
          </w:p>
        </w:tc>
      </w:tr>
      <w:tr>
        <w:trPr>
          <w:trHeight w:val="243"/>
        </w:trPr>
        <w:tc>
          <w:tcPr>
            <w:tcW w:w="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Weatherford Artificial Lift Systems, LLC</w:t>
            </w:r>
          </w:p>
        </w:tc>
        <w:tc>
          <w:tcPr>
            <w:tcW w:w="1140" w:type="dxa"/>
            <w:vAlign w:val="bottom"/>
          </w:tcPr>
          <w:p>
            <w:pPr>
              <w:spacing w:after="0"/>
              <w:rPr>
                <w:sz w:val="21"/>
                <w:szCs w:val="21"/>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Delaware</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Weatherford International, LLC</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2"/>
              </w:rPr>
              <w:t>Delaware</w:t>
            </w:r>
          </w:p>
        </w:tc>
      </w:tr>
      <w:tr>
        <w:trPr>
          <w:trHeight w:val="243"/>
        </w:trPr>
        <w:tc>
          <w:tcPr>
            <w:tcW w:w="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WEUS Holding, LLC</w:t>
            </w:r>
          </w:p>
        </w:tc>
        <w:tc>
          <w:tcPr>
            <w:tcW w:w="1140" w:type="dxa"/>
            <w:vAlign w:val="bottom"/>
          </w:tcPr>
          <w:p>
            <w:pPr>
              <w:spacing w:after="0"/>
              <w:rPr>
                <w:sz w:val="21"/>
                <w:szCs w:val="21"/>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Delaware</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Weatherford U.S., L.P.</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0"/>
              </w:rPr>
              <w:t>Louisiana</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1300"/>
              <w:spacing w:after="0"/>
              <w:rPr>
                <w:sz w:val="20"/>
                <w:szCs w:val="20"/>
                <w:color w:val="auto"/>
              </w:rPr>
            </w:pPr>
            <w:r>
              <w:rPr>
                <w:rFonts w:ascii="Arial" w:cs="Arial" w:eastAsia="Arial" w:hAnsi="Arial"/>
                <w:sz w:val="18"/>
                <w:szCs w:val="18"/>
                <w:color w:val="auto"/>
              </w:rPr>
              <w:t>Precision Drilling Services M.E. W.L.L.</w:t>
            </w:r>
          </w:p>
        </w:tc>
        <w:tc>
          <w:tcPr>
            <w:tcW w:w="2660" w:type="dxa"/>
            <w:vAlign w:val="bottom"/>
            <w:gridSpan w:val="3"/>
          </w:tcPr>
          <w:p>
            <w:pPr>
              <w:jc w:val="center"/>
              <w:ind w:left="470"/>
              <w:spacing w:after="0"/>
              <w:rPr>
                <w:sz w:val="20"/>
                <w:szCs w:val="20"/>
                <w:color w:val="auto"/>
              </w:rPr>
            </w:pPr>
            <w:r>
              <w:rPr>
                <w:rFonts w:ascii="Arial" w:cs="Arial" w:eastAsia="Arial" w:hAnsi="Arial"/>
                <w:sz w:val="18"/>
                <w:szCs w:val="18"/>
                <w:color w:val="auto"/>
                <w:w w:val="92"/>
              </w:rPr>
              <w:t>United Arab Emirates</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Precision Drilling Services (Netherlands) B.V.</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8"/>
              </w:rPr>
              <w:t>Netherlands</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160"/>
              <w:spacing w:after="0"/>
              <w:rPr>
                <w:sz w:val="20"/>
                <w:szCs w:val="20"/>
                <w:color w:val="auto"/>
              </w:rPr>
            </w:pPr>
            <w:r>
              <w:rPr>
                <w:rFonts w:ascii="Arial" w:cs="Arial" w:eastAsia="Arial" w:hAnsi="Arial"/>
                <w:sz w:val="18"/>
                <w:szCs w:val="18"/>
                <w:color w:val="auto"/>
              </w:rPr>
              <w:t>Weatherford Danmark AS</w:t>
            </w:r>
          </w:p>
        </w:tc>
        <w:tc>
          <w:tcPr>
            <w:tcW w:w="1140" w:type="dxa"/>
            <w:vAlign w:val="bottom"/>
          </w:tcPr>
          <w:p>
            <w:pPr>
              <w:spacing w:after="0"/>
              <w:rPr>
                <w:sz w:val="21"/>
                <w:szCs w:val="21"/>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Denmark</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WFO S.A. de C.V.</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4"/>
              </w:rPr>
              <w:t>Mexico</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320"/>
              <w:spacing w:after="0"/>
              <w:rPr>
                <w:sz w:val="20"/>
                <w:szCs w:val="20"/>
                <w:color w:val="auto"/>
              </w:rPr>
            </w:pPr>
            <w:r>
              <w:rPr>
                <w:rFonts w:ascii="Arial" w:cs="Arial" w:eastAsia="Arial" w:hAnsi="Arial"/>
                <w:sz w:val="18"/>
                <w:szCs w:val="18"/>
                <w:color w:val="auto"/>
              </w:rPr>
              <w:t>Weatherford Canada Ltd.</w:t>
            </w:r>
          </w:p>
        </w:tc>
        <w:tc>
          <w:tcPr>
            <w:tcW w:w="1140" w:type="dxa"/>
            <w:vAlign w:val="bottom"/>
          </w:tcPr>
          <w:p>
            <w:pPr>
              <w:spacing w:after="0"/>
              <w:rPr>
                <w:sz w:val="21"/>
                <w:szCs w:val="21"/>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85"/>
              </w:rPr>
              <w:t>Canada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Precision Energy Services Saudi Arabia Co. Ltd.</w:t>
            </w:r>
          </w:p>
        </w:tc>
        <w:tc>
          <w:tcPr>
            <w:tcW w:w="2660" w:type="dxa"/>
            <w:vAlign w:val="bottom"/>
            <w:tcBorders>
              <w:bottom w:val="single" w:sz="8" w:color="CCEEFF"/>
            </w:tcBorders>
            <w:gridSpan w:val="3"/>
            <w:shd w:val="clear" w:color="auto" w:fill="CCEEFF"/>
          </w:tcPr>
          <w:p>
            <w:pPr>
              <w:jc w:val="center"/>
              <w:ind w:left="470"/>
              <w:spacing w:after="0"/>
              <w:rPr>
                <w:sz w:val="20"/>
                <w:szCs w:val="20"/>
                <w:color w:val="auto"/>
              </w:rPr>
            </w:pPr>
            <w:r>
              <w:rPr>
                <w:rFonts w:ascii="Arial" w:cs="Arial" w:eastAsia="Arial" w:hAnsi="Arial"/>
                <w:sz w:val="18"/>
                <w:szCs w:val="18"/>
                <w:color w:val="auto"/>
                <w:w w:val="91"/>
              </w:rPr>
              <w:t>Saudi Arabia</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480"/>
              <w:spacing w:after="0"/>
              <w:rPr>
                <w:sz w:val="20"/>
                <w:szCs w:val="20"/>
                <w:color w:val="auto"/>
              </w:rPr>
            </w:pPr>
            <w:r>
              <w:rPr>
                <w:rFonts w:ascii="Arial" w:cs="Arial" w:eastAsia="Arial" w:hAnsi="Arial"/>
                <w:sz w:val="18"/>
                <w:szCs w:val="18"/>
                <w:color w:val="auto"/>
              </w:rPr>
              <w:t>Weatherford Canada Partnership</w:t>
            </w:r>
          </w:p>
        </w:tc>
        <w:tc>
          <w:tcPr>
            <w:tcW w:w="1140" w:type="dxa"/>
            <w:vAlign w:val="bottom"/>
          </w:tcPr>
          <w:p>
            <w:pPr>
              <w:spacing w:after="0"/>
              <w:rPr>
                <w:sz w:val="21"/>
                <w:szCs w:val="21"/>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85"/>
              </w:rPr>
              <w:t>Canada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Weatherford Australia Pty. Limited</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4"/>
              </w:rPr>
              <w:t>Australia</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1120"/>
              <w:spacing w:after="0"/>
              <w:rPr>
                <w:sz w:val="20"/>
                <w:szCs w:val="20"/>
                <w:color w:val="auto"/>
              </w:rPr>
            </w:pPr>
            <w:r>
              <w:rPr>
                <w:rFonts w:ascii="Arial" w:cs="Arial" w:eastAsia="Arial" w:hAnsi="Arial"/>
                <w:sz w:val="18"/>
                <w:szCs w:val="18"/>
                <w:color w:val="auto"/>
              </w:rPr>
              <w:t>Petrowell Limited</w:t>
            </w:r>
          </w:p>
        </w:tc>
        <w:tc>
          <w:tcPr>
            <w:tcW w:w="1140" w:type="dxa"/>
            <w:vAlign w:val="bottom"/>
          </w:tcPr>
          <w:p>
            <w:pPr>
              <w:spacing w:after="0"/>
              <w:rPr>
                <w:sz w:val="21"/>
                <w:szCs w:val="21"/>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88"/>
              </w:rPr>
              <w:t>Scotland</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1300"/>
              <w:spacing w:after="0"/>
              <w:rPr>
                <w:sz w:val="20"/>
                <w:szCs w:val="20"/>
                <w:color w:val="auto"/>
              </w:rPr>
            </w:pPr>
            <w:r>
              <w:rPr>
                <w:rFonts w:ascii="Arial" w:cs="Arial" w:eastAsia="Arial" w:hAnsi="Arial"/>
                <w:sz w:val="18"/>
                <w:szCs w:val="18"/>
                <w:color w:val="auto"/>
              </w:rPr>
              <w:t>Reeves Wireline Technologies Limited</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90"/>
              </w:rPr>
              <w:t>England</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320"/>
              <w:spacing w:after="0"/>
              <w:rPr>
                <w:sz w:val="20"/>
                <w:szCs w:val="20"/>
                <w:color w:val="auto"/>
              </w:rPr>
            </w:pPr>
            <w:r>
              <w:rPr>
                <w:rFonts w:ascii="Arial" w:cs="Arial" w:eastAsia="Arial" w:hAnsi="Arial"/>
                <w:sz w:val="18"/>
                <w:szCs w:val="18"/>
                <w:color w:val="auto"/>
              </w:rPr>
              <w:t>Weatherford Trinidad Limited</w:t>
            </w:r>
          </w:p>
        </w:tc>
        <w:tc>
          <w:tcPr>
            <w:tcW w:w="1140" w:type="dxa"/>
            <w:vAlign w:val="bottom"/>
          </w:tcPr>
          <w:p>
            <w:pPr>
              <w:spacing w:after="0"/>
              <w:rPr>
                <w:sz w:val="21"/>
                <w:szCs w:val="21"/>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5"/>
              </w:rPr>
              <w:t>Trinidad</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Weatherford Liquidity Management Hungary Limited Liability Company</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1"/>
              </w:rPr>
              <w:t>Hungary</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320"/>
              <w:spacing w:after="0"/>
              <w:rPr>
                <w:sz w:val="20"/>
                <w:szCs w:val="20"/>
                <w:color w:val="auto"/>
              </w:rPr>
            </w:pPr>
            <w:r>
              <w:rPr>
                <w:rFonts w:ascii="Arial" w:cs="Arial" w:eastAsia="Arial" w:hAnsi="Arial"/>
                <w:sz w:val="18"/>
                <w:szCs w:val="18"/>
                <w:color w:val="auto"/>
              </w:rPr>
              <w:t>Weatherford Latin America, S.C.A.</w:t>
            </w:r>
          </w:p>
        </w:tc>
        <w:tc>
          <w:tcPr>
            <w:tcW w:w="1140" w:type="dxa"/>
            <w:vAlign w:val="bottom"/>
          </w:tcPr>
          <w:p>
            <w:pPr>
              <w:spacing w:after="0"/>
              <w:rPr>
                <w:sz w:val="21"/>
                <w:szCs w:val="21"/>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Venezuela</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EVI de Venezuela, S.A.</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6"/>
              </w:rPr>
              <w:t>Venezuela</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320"/>
              <w:spacing w:after="0"/>
              <w:rPr>
                <w:sz w:val="20"/>
                <w:szCs w:val="20"/>
                <w:color w:val="auto"/>
              </w:rPr>
            </w:pPr>
            <w:r>
              <w:rPr>
                <w:rFonts w:ascii="Arial" w:cs="Arial" w:eastAsia="Arial" w:hAnsi="Arial"/>
                <w:sz w:val="18"/>
                <w:szCs w:val="18"/>
                <w:color w:val="auto"/>
              </w:rPr>
              <w:t>Weatherford Industria e Comercio Ltda.</w:t>
            </w:r>
          </w:p>
        </w:tc>
        <w:tc>
          <w:tcPr>
            <w:tcW w:w="1140" w:type="dxa"/>
            <w:vAlign w:val="bottom"/>
          </w:tcPr>
          <w:p>
            <w:pPr>
              <w:spacing w:after="0"/>
              <w:rPr>
                <w:sz w:val="21"/>
                <w:szCs w:val="21"/>
                <w:color w:val="auto"/>
              </w:rPr>
            </w:pPr>
          </w:p>
        </w:tc>
        <w:tc>
          <w:tcPr>
            <w:tcW w:w="1520" w:type="dxa"/>
            <w:vAlign w:val="bottom"/>
            <w:gridSpan w:val="2"/>
          </w:tcPr>
          <w:p>
            <w:pPr>
              <w:jc w:val="center"/>
              <w:ind w:right="600"/>
              <w:spacing w:after="0"/>
              <w:rPr>
                <w:sz w:val="20"/>
                <w:szCs w:val="20"/>
                <w:color w:val="auto"/>
              </w:rPr>
            </w:pPr>
            <w:r>
              <w:rPr>
                <w:rFonts w:ascii="Arial" w:cs="Arial" w:eastAsia="Arial" w:hAnsi="Arial"/>
                <w:sz w:val="18"/>
                <w:szCs w:val="18"/>
                <w:color w:val="auto"/>
                <w:w w:val="97"/>
              </w:rPr>
              <w:t>Brazil</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Weatherford Drilling International Holdings (BVI) Ltd.</w:t>
            </w:r>
          </w:p>
        </w:tc>
        <w:tc>
          <w:tcPr>
            <w:tcW w:w="2660" w:type="dxa"/>
            <w:vAlign w:val="bottom"/>
            <w:tcBorders>
              <w:bottom w:val="single" w:sz="8" w:color="CCEEFF"/>
            </w:tcBorders>
            <w:gridSpan w:val="3"/>
            <w:shd w:val="clear" w:color="auto" w:fill="CCEEFF"/>
          </w:tcPr>
          <w:p>
            <w:pPr>
              <w:jc w:val="center"/>
              <w:ind w:left="470"/>
              <w:spacing w:after="0"/>
              <w:rPr>
                <w:sz w:val="20"/>
                <w:szCs w:val="20"/>
                <w:color w:val="auto"/>
              </w:rPr>
            </w:pPr>
            <w:r>
              <w:rPr>
                <w:rFonts w:ascii="Arial" w:cs="Arial" w:eastAsia="Arial" w:hAnsi="Arial"/>
                <w:sz w:val="18"/>
                <w:szCs w:val="18"/>
                <w:color w:val="auto"/>
                <w:w w:val="94"/>
              </w:rPr>
              <w:t>British Virgin Islands</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640"/>
              <w:spacing w:after="0"/>
              <w:rPr>
                <w:sz w:val="20"/>
                <w:szCs w:val="20"/>
                <w:color w:val="auto"/>
              </w:rPr>
            </w:pPr>
            <w:r>
              <w:rPr>
                <w:rFonts w:ascii="Arial" w:cs="Arial" w:eastAsia="Arial" w:hAnsi="Arial"/>
                <w:sz w:val="18"/>
                <w:szCs w:val="18"/>
                <w:color w:val="auto"/>
              </w:rPr>
              <w:t>Weatherford Drilling International (BVI) Ltd.</w:t>
            </w:r>
          </w:p>
        </w:tc>
        <w:tc>
          <w:tcPr>
            <w:tcW w:w="2660" w:type="dxa"/>
            <w:vAlign w:val="bottom"/>
            <w:gridSpan w:val="3"/>
          </w:tcPr>
          <w:p>
            <w:pPr>
              <w:jc w:val="center"/>
              <w:ind w:left="470"/>
              <w:spacing w:after="0"/>
              <w:rPr>
                <w:sz w:val="20"/>
                <w:szCs w:val="20"/>
                <w:color w:val="auto"/>
              </w:rPr>
            </w:pPr>
            <w:r>
              <w:rPr>
                <w:rFonts w:ascii="Arial" w:cs="Arial" w:eastAsia="Arial" w:hAnsi="Arial"/>
                <w:sz w:val="18"/>
                <w:szCs w:val="18"/>
                <w:color w:val="auto"/>
                <w:w w:val="94"/>
              </w:rPr>
              <w:t>British Virgin Islands</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Key International Drilling Company Limited</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0"/>
              </w:rPr>
              <w:t>Bermuda</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800"/>
              <w:spacing w:after="0"/>
              <w:rPr>
                <w:sz w:val="20"/>
                <w:szCs w:val="20"/>
                <w:color w:val="auto"/>
              </w:rPr>
            </w:pPr>
            <w:r>
              <w:rPr>
                <w:rFonts w:ascii="Arial" w:cs="Arial" w:eastAsia="Arial" w:hAnsi="Arial"/>
                <w:sz w:val="18"/>
                <w:szCs w:val="18"/>
                <w:color w:val="auto"/>
              </w:rPr>
              <w:t>Desert Rig Operations, Inc.</w:t>
            </w:r>
          </w:p>
        </w:tc>
        <w:tc>
          <w:tcPr>
            <w:tcW w:w="1140" w:type="dxa"/>
            <w:vAlign w:val="bottom"/>
          </w:tcPr>
          <w:p>
            <w:pPr>
              <w:spacing w:after="0"/>
              <w:rPr>
                <w:sz w:val="21"/>
                <w:szCs w:val="21"/>
                <w:color w:val="auto"/>
              </w:rPr>
            </w:pPr>
          </w:p>
        </w:tc>
        <w:tc>
          <w:tcPr>
            <w:tcW w:w="152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Cayman</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Weatherford Holding GmbH</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9"/>
              </w:rPr>
              <w:t>Germany</w:t>
            </w:r>
          </w:p>
        </w:tc>
      </w:tr>
      <w:tr>
        <w:trPr>
          <w:trHeight w:val="243"/>
        </w:trPr>
        <w:tc>
          <w:tcPr>
            <w:tcW w:w="40" w:type="dxa"/>
            <w:vAlign w:val="bottom"/>
          </w:tcPr>
          <w:p>
            <w:pPr>
              <w:spacing w:after="0"/>
              <w:rPr>
                <w:sz w:val="21"/>
                <w:szCs w:val="21"/>
                <w:color w:val="auto"/>
              </w:rPr>
            </w:pPr>
          </w:p>
        </w:tc>
        <w:tc>
          <w:tcPr>
            <w:tcW w:w="8400" w:type="dxa"/>
            <w:vAlign w:val="bottom"/>
            <w:gridSpan w:val="2"/>
          </w:tcPr>
          <w:p>
            <w:pPr>
              <w:ind w:left="320"/>
              <w:spacing w:after="0"/>
              <w:rPr>
                <w:sz w:val="20"/>
                <w:szCs w:val="20"/>
                <w:color w:val="auto"/>
              </w:rPr>
            </w:pPr>
            <w:r>
              <w:rPr>
                <w:rFonts w:ascii="Arial" w:cs="Arial" w:eastAsia="Arial" w:hAnsi="Arial"/>
                <w:sz w:val="18"/>
                <w:szCs w:val="18"/>
                <w:color w:val="auto"/>
              </w:rPr>
              <w:t>Weatherford Oil Tool GmbH</w:t>
            </w:r>
          </w:p>
        </w:tc>
        <w:tc>
          <w:tcPr>
            <w:tcW w:w="1140" w:type="dxa"/>
            <w:vAlign w:val="bottom"/>
          </w:tcPr>
          <w:p>
            <w:pPr>
              <w:spacing w:after="0"/>
              <w:rPr>
                <w:sz w:val="21"/>
                <w:szCs w:val="21"/>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Germany</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84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Weatherford Products GmbH</w:t>
            </w:r>
          </w:p>
        </w:tc>
        <w:tc>
          <w:tcPr>
            <w:tcW w:w="1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2"/>
              </w:rPr>
              <w:t>Switzerland</w:t>
            </w:r>
          </w:p>
        </w:tc>
      </w:tr>
      <w:tr>
        <w:trPr>
          <w:trHeight w:val="243"/>
        </w:trPr>
        <w:tc>
          <w:tcPr>
            <w:tcW w:w="8440" w:type="dxa"/>
            <w:vAlign w:val="bottom"/>
            <w:gridSpan w:val="3"/>
          </w:tcPr>
          <w:p>
            <w:pPr>
              <w:ind w:left="40"/>
              <w:spacing w:after="0"/>
              <w:rPr>
                <w:sz w:val="20"/>
                <w:szCs w:val="20"/>
                <w:color w:val="auto"/>
              </w:rPr>
            </w:pPr>
            <w:r>
              <w:rPr>
                <w:rFonts w:ascii="Arial" w:cs="Arial" w:eastAsia="Arial" w:hAnsi="Arial"/>
                <w:sz w:val="18"/>
                <w:szCs w:val="18"/>
                <w:color w:val="auto"/>
              </w:rPr>
              <w:t>Weatherford Management Company Switzerland Sarl</w:t>
            </w:r>
          </w:p>
        </w:tc>
        <w:tc>
          <w:tcPr>
            <w:tcW w:w="1140" w:type="dxa"/>
            <w:vAlign w:val="bottom"/>
          </w:tcPr>
          <w:p>
            <w:pPr>
              <w:spacing w:after="0"/>
              <w:rPr>
                <w:sz w:val="21"/>
                <w:szCs w:val="21"/>
                <w:color w:val="auto"/>
              </w:rPr>
            </w:pP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Switzerland</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43"/>
        </w:trPr>
        <w:tc>
          <w:tcPr>
            <w:tcW w:w="84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Weatherford Switzerland Trading and Development GmbH</w:t>
            </w:r>
          </w:p>
        </w:tc>
        <w:tc>
          <w:tcPr>
            <w:tcW w:w="1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2"/>
              </w:rPr>
              <w:t>Switzerland</w:t>
            </w:r>
          </w:p>
        </w:tc>
      </w:tr>
      <w:tr>
        <w:trPr>
          <w:trHeight w:val="27"/>
        </w:trPr>
        <w:tc>
          <w:tcPr>
            <w:tcW w:w="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9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941"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Weatherford International plc:</w:t>
      </w:r>
    </w:p>
    <w:p>
      <w:pPr>
        <w:spacing w:after="0" w:line="200" w:lineRule="exact"/>
        <w:rPr>
          <w:sz w:val="20"/>
          <w:szCs w:val="20"/>
          <w:color w:val="auto"/>
        </w:rPr>
      </w:pP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(No. 333-194431) on Form S-3 and (Nos. 333-13531, 333-36598, 333-48320, 333-81678, 333-81676, 333-112378, 333-134425, 333-167959, 333-181664 and 333-205025) on Form S-8 of Weatherford International plc of our reports dated February 16, 2016, with respect to the consolidated balance sheets of Weatherford International plc as of December 31, 2015 and 2014, and the related consolidated statements of operations, comprehensive income (loss), shareholders’ equity, and cash flows for each of the years in the three-year period ended December 31, 2015, and the related financial statement schedule for each of the years in the three-year period ended December 31, 2015, and the effectiveness of internal control over financial reporting as of December 31, 2015, which reports appear in the December 31, 2015 annual report on Form 10-K of Weatherford International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 KPMG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2016</w:t>
      </w:r>
    </w:p>
    <w:p>
      <w:pPr>
        <w:sectPr>
          <w:pgSz w:w="11900" w:h="16838" w:orient="portrait"/>
          <w:cols w:equalWidth="0" w:num="1">
            <w:col w:w="11420"/>
          </w:cols>
          <w:pgMar w:left="240" w:top="580"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Bernard J. Duroc-Danner, certify that:</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February 16, 2016</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Bernard J. Duroc-Danner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Bernard J. Duroc-Danner</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 Krishna Shivram, certify that:</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Weatherford International plc;</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2"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397"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7"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7"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62"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7"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2"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6"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Date: February 16, 2016</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Krishna Shivram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Krishna Shivram</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In connection with the Annual Report on Form 10-K of Weatherford International plc (the "Company") for the period ended December 31, 2015 as filed with the Securities and Exchange Commission on the date hereof (the "Report"), I, Bernard J. Duroc-Danner, Chief Executive Officer of the Company, certify, pursuant to 18 U.S.C. Section 1350, as adopted pursuant to Section 906 of the Sarbanes-Oxley Act of 2002, that:</w:t>
      </w:r>
    </w:p>
    <w:p>
      <w:pPr>
        <w:spacing w:after="0" w:line="166" w:lineRule="exact"/>
        <w:rPr>
          <w:sz w:val="20"/>
          <w:szCs w:val="20"/>
          <w:color w:val="auto"/>
        </w:rPr>
      </w:pPr>
    </w:p>
    <w:p>
      <w:pPr>
        <w:ind w:left="1480" w:hanging="324"/>
        <w:spacing w:after="0"/>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Duroc-Danner</w:t>
      </w:r>
    </w:p>
    <w:p>
      <w:pPr>
        <w:spacing w:after="0" w:line="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Bernard J. Duroc-Danner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February 16, 2016</w:t>
      </w:r>
    </w:p>
    <w:p>
      <w:pPr>
        <w:spacing w:after="0" w:line="27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In connection with the Annual Report on Form 10-K of Weatherford International plc (the "Company") for the period ended December 31, 2015 as filed with the Securities and Exchange Commission on the date hereof (the "Report"), I, Krishna Shivram,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1480" w:hanging="324"/>
        <w:spacing w:after="0"/>
        <w:tabs>
          <w:tab w:leader="none" w:pos="1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480" w:right="280" w:hanging="324"/>
        <w:spacing w:after="0" w:line="277" w:lineRule="auto"/>
        <w:tabs>
          <w:tab w:leader="none" w:pos="1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Krishna Shivram</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Name: Krishna Shivram</w:t>
      </w:r>
    </w:p>
    <w:p>
      <w:pPr>
        <w:spacing w:after="0" w:line="6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w:t>
        <w:tab/>
        <w:t>February 16, 2016</w:t>
      </w:r>
    </w:p>
    <w:p>
      <w:pPr>
        <w:spacing w:after="0" w:line="2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1."/>
      <w:numFmt w:val="decimal"/>
      <w:start w:val="8"/>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1)"/>
      <w:numFmt w:val="lowerLetter"/>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1)"/>
      <w:numFmt w:val="lowerLetter"/>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1."/>
      <w:numFmt w:val="decimal"/>
      <w:start w:val="2"/>
    </w:lvl>
  </w:abstractNum>
  <w:abstractNum w:abstractNumId="17">
    <w:nsid w:val="D34B6A8"/>
    <w:multiLevelType w:val="hybridMultilevel"/>
    <w:lvl w:ilvl="0">
      <w:lvlJc w:val="left"/>
      <w:lvlText w:val="%1."/>
      <w:numFmt w:val="decimal"/>
      <w:start w:val="10"/>
    </w:lvl>
  </w:abstractNum>
  <w:abstractNum w:abstractNumId="18">
    <w:nsid w:val="10233C99"/>
    <w:multiLevelType w:val="hybridMultilevel"/>
    <w:lvl w:ilvl="0">
      <w:lvlJc w:val="left"/>
      <w:lvlText w:val="%1."/>
      <w:numFmt w:val="decimal"/>
      <w:start w:val="12"/>
    </w:lvl>
  </w:abstractNum>
  <w:abstractNum w:abstractNumId="19">
    <w:nsid w:val="3F6AB60F"/>
    <w:multiLevelType w:val="hybridMultilevel"/>
    <w:lvl w:ilvl="0">
      <w:lvlJc w:val="left"/>
      <w:lvlText w:val="%1."/>
      <w:numFmt w:val="decimal"/>
      <w:start w:val="14"/>
    </w:lvl>
  </w:abstractNum>
  <w:abstractNum w:abstractNumId="20">
    <w:nsid w:val="61574095"/>
    <w:multiLevelType w:val="hybridMultilevel"/>
    <w:lvl w:ilvl="0">
      <w:lvlJc w:val="left"/>
      <w:lvlText w:val="%1."/>
      <w:numFmt w:val="decimal"/>
      <w:start w:val="21"/>
    </w:lvl>
  </w:abstractNum>
  <w:abstractNum w:abstractNumId="21">
    <w:nsid w:val="7E0C57B1"/>
    <w:multiLevelType w:val="hybridMultilevel"/>
    <w:lvl w:ilvl="0">
      <w:lvlJc w:val="left"/>
      <w:lvlText w:val="%1."/>
      <w:numFmt w:val="decimal"/>
      <w:start w:val="23"/>
    </w:lvl>
  </w:abstractNum>
  <w:abstractNum w:abstractNumId="22">
    <w:nsid w:val="77AE35EB"/>
    <w:multiLevelType w:val="hybridMultilevel"/>
    <w:lvl w:ilvl="0">
      <w:lvlJc w:val="left"/>
      <w:lvlText w:val="(%1)"/>
      <w:numFmt w:val="lowerLetter"/>
      <w:start w:val="1"/>
    </w:lvl>
  </w:abstractNum>
  <w:abstractNum w:abstractNumId="23">
    <w:nsid w:val="579BE4F1"/>
    <w:multiLevelType w:val="hybridMultilevel"/>
    <w:lvl w:ilvl="0">
      <w:lvlJc w:val="left"/>
      <w:lvlText w:val="(%1)"/>
      <w:numFmt w:val="lowerLetter"/>
      <w:start w:val="5"/>
    </w:lvl>
  </w:abstractNum>
  <w:abstractNum w:abstractNumId="24">
    <w:nsid w:val="310C50B3"/>
    <w:multiLevelType w:val="hybridMultilevel"/>
    <w:lvl w:ilvl="0">
      <w:lvlJc w:val="left"/>
      <w:lvlText w:val="(%1)"/>
      <w:numFmt w:val="lowerLetter"/>
      <w:start w:val="7"/>
    </w:lvl>
  </w:abstractNum>
  <w:abstractNum w:abstractNumId="25">
    <w:nsid w:val="5FF87E05"/>
    <w:multiLevelType w:val="hybridMultilevel"/>
    <w:lvl w:ilvl="0">
      <w:lvlJc w:val="left"/>
      <w:lvlText w:val="(%1)"/>
      <w:numFmt w:val="lowerLetter"/>
      <w:start w:val="1"/>
    </w:lvl>
  </w:abstractNum>
  <w:abstractNum w:abstractNumId="26">
    <w:nsid w:val="2F305DEF"/>
    <w:multiLevelType w:val="hybridMultilevel"/>
    <w:lvl w:ilvl="0">
      <w:lvlJc w:val="left"/>
      <w:lvlText w:val="(%1)"/>
      <w:numFmt w:val="lowerLetter"/>
      <w:start w:val="6"/>
    </w:lvl>
  </w:abstractNum>
  <w:abstractNum w:abstractNumId="27">
    <w:nsid w:val="25A70BF7"/>
    <w:multiLevelType w:val="hybridMultilevel"/>
    <w:lvl w:ilvl="0">
      <w:lvlJc w:val="left"/>
      <w:lvlText w:val="(%1)"/>
      <w:numFmt w:val="lowerLetter"/>
      <w:start w:val="1"/>
    </w:lvl>
  </w:abstractNum>
  <w:abstractNum w:abstractNumId="28">
    <w:nsid w:val="1DBABF00"/>
    <w:multiLevelType w:val="hybridMultilevel"/>
    <w:lvl w:ilvl="0">
      <w:lvlJc w:val="left"/>
      <w:lvlText w:val="(%1)"/>
      <w:numFmt w:val="lowerLetter"/>
      <w:start w:val="5"/>
    </w:lvl>
  </w:abstractNum>
  <w:abstractNum w:abstractNumId="29">
    <w:nsid w:val="4AD084E9"/>
    <w:multiLevelType w:val="hybridMultilevel"/>
    <w:lvl w:ilvl="0">
      <w:lvlJc w:val="left"/>
      <w:lvlText w:val="(%1)"/>
      <w:numFmt w:val="lowerLetter"/>
      <w:start w:val="1"/>
    </w:lvl>
  </w:abstractNum>
  <w:abstractNum w:abstractNumId="30">
    <w:nsid w:val="1F48EAA1"/>
    <w:multiLevelType w:val="hybridMultilevel"/>
    <w:lvl w:ilvl="0">
      <w:lvlJc w:val="left"/>
      <w:lvlText w:val="%1."/>
      <w:numFmt w:val="decimal"/>
      <w:start w:val="1"/>
    </w:lvl>
  </w:abstractNum>
  <w:abstractNum w:abstractNumId="31">
    <w:nsid w:val="1381823A"/>
    <w:multiLevelType w:val="hybridMultilevel"/>
    <w:lvl w:ilvl="0">
      <w:lvlJc w:val="left"/>
      <w:lvlText w:val="(%1)"/>
      <w:numFmt w:val="lowerLetter"/>
      <w:start w:val="2"/>
    </w:lvl>
  </w:abstractNum>
  <w:abstractNum w:abstractNumId="32">
    <w:nsid w:val="5DB70AE5"/>
    <w:multiLevelType w:val="hybridMultilevel"/>
    <w:lvl w:ilvl="0">
      <w:lvlJc w:val="left"/>
      <w:lvlText w:val="*"/>
      <w:numFmt w:val="bullet"/>
      <w:start w:val="1"/>
    </w:lvl>
    <w:lvl w:ilvl="1">
      <w:lvlJc w:val="left"/>
      <w:lvlText w:val="(%2)"/>
      <w:numFmt w:val="decimal"/>
      <w:start w:val="2"/>
    </w:lvl>
  </w:abstractNum>
  <w:abstractNum w:abstractNumId="33">
    <w:nsid w:val="100F8FCA"/>
    <w:multiLevelType w:val="hybridMultilevel"/>
    <w:lvl w:ilvl="0">
      <w:lvlJc w:val="left"/>
      <w:lvlText w:val="*"/>
      <w:numFmt w:val="bullet"/>
      <w:start w:val="1"/>
    </w:lvl>
    <w:lvl w:ilvl="1">
      <w:lvlJc w:val="left"/>
      <w:lvlText w:val="(%2)"/>
      <w:numFmt w:val="decimal"/>
      <w:start w:val="6"/>
    </w:lvl>
  </w:abstractNum>
  <w:abstractNum w:abstractNumId="34">
    <w:nsid w:val="6590700B"/>
    <w:multiLevelType w:val="hybridMultilevel"/>
    <w:lvl w:ilvl="0">
      <w:lvlJc w:val="left"/>
      <w:lvlText w:val="**"/>
      <w:numFmt w:val="bullet"/>
      <w:start w:val="1"/>
    </w:lvl>
    <w:lvl w:ilvl="1">
      <w:lvlJc w:val="left"/>
      <w:lvlText w:val="%2"/>
      <w:numFmt w:val="decimal"/>
      <w:start w:val="1"/>
    </w:lvl>
  </w:abstractNum>
  <w:abstractNum w:abstractNumId="35">
    <w:nsid w:val="15014ACB"/>
    <w:multiLevelType w:val="hybridMultilevel"/>
    <w:lvl w:ilvl="0">
      <w:lvlJc w:val="left"/>
      <w:lvlText w:val="%1."/>
      <w:numFmt w:val="decimal"/>
      <w:start w:val="1"/>
    </w:lvl>
  </w:abstractNum>
  <w:abstractNum w:abstractNumId="36">
    <w:nsid w:val="5F5E7FD0"/>
    <w:multiLevelType w:val="hybridMultilevel"/>
    <w:lvl w:ilvl="0">
      <w:lvlJc w:val="left"/>
      <w:lvlText w:val="(%1)"/>
      <w:numFmt w:val="lowerLetter"/>
      <w:start w:val="1"/>
    </w:lvl>
  </w:abstractNum>
  <w:abstractNum w:abstractNumId="37">
    <w:nsid w:val="98A3148"/>
    <w:multiLevelType w:val="hybridMultilevel"/>
    <w:lvl w:ilvl="0">
      <w:lvlJc w:val="left"/>
      <w:lvlText w:val="%1."/>
      <w:numFmt w:val="decimal"/>
      <w:start w:val="1"/>
    </w:lvl>
  </w:abstractNum>
  <w:abstractNum w:abstractNumId="38">
    <w:nsid w:val="799D0247"/>
    <w:multiLevelType w:val="hybridMultilevel"/>
    <w:lvl w:ilvl="0">
      <w:lvlJc w:val="left"/>
      <w:lvlText w:val="(%1)"/>
      <w:numFmt w:val="lowerLetter"/>
      <w:start w:val="1"/>
    </w:lvl>
  </w:abstractNum>
  <w:abstractNum w:abstractNumId="39">
    <w:nsid w:val="6B94764"/>
    <w:multiLevelType w:val="hybridMultilevel"/>
    <w:lvl w:ilvl="0">
      <w:lvlJc w:val="left"/>
      <w:lvlText w:val="%1"/>
      <w:numFmt w:val="decimal"/>
      <w:start w:val="1"/>
    </w:lvl>
    <w:lvl w:ilvl="1">
      <w:lvlJc w:val="left"/>
      <w:lvlText w:val="(%2)"/>
      <w:numFmt w:val="lowerLetter"/>
      <w:start w:val="2"/>
    </w:lvl>
    <w:lvl w:ilvl="2">
      <w:lvlJc w:val="left"/>
      <w:lvlText w:val="(%3)"/>
      <w:numFmt w:val="decimal"/>
      <w:start w:val="3"/>
    </w:lvl>
  </w:abstractNum>
  <w:abstractNum w:abstractNumId="40">
    <w:nsid w:val="42C296BD"/>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41">
    <w:nsid w:val="168E121F"/>
    <w:multiLevelType w:val="hybridMultilevel"/>
    <w:lvl w:ilvl="0">
      <w:lvlJc w:val="left"/>
      <w:lvlText w:val="%1."/>
      <w:numFmt w:val="decimal"/>
      <w:start w:val="7"/>
    </w:lvl>
  </w:abstractNum>
  <w:abstractNum w:abstractNumId="42">
    <w:nsid w:val="1EBA5D23"/>
    <w:multiLevelType w:val="hybridMultilevel"/>
    <w:lvl w:ilvl="0">
      <w:lvlJc w:val="left"/>
      <w:lvlText w:val="(%1)"/>
      <w:numFmt w:val="lowerLetter"/>
      <w:start w:val="1"/>
    </w:lvl>
  </w:abstractNum>
  <w:abstractNum w:abstractNumId="43">
    <w:nsid w:val="661E3F1E"/>
    <w:multiLevelType w:val="hybridMultilevel"/>
    <w:lvl w:ilvl="0">
      <w:lvlJc w:val="left"/>
      <w:lvlText w:val="%1."/>
      <w:numFmt w:val="decimal"/>
      <w:start w:val="9"/>
    </w:lvl>
  </w:abstractNum>
  <w:abstractNum w:abstractNumId="44">
    <w:nsid w:val="5DC79EA8"/>
    <w:multiLevelType w:val="hybridMultilevel"/>
    <w:lvl w:ilvl="0">
      <w:lvlJc w:val="left"/>
      <w:lvlText w:val="%1."/>
      <w:numFmt w:val="decimal"/>
      <w:start w:val="12"/>
    </w:lvl>
  </w:abstractNum>
  <w:abstractNum w:abstractNumId="45">
    <w:nsid w:val="540A471C"/>
    <w:multiLevelType w:val="hybridMultilevel"/>
    <w:lvl w:ilvl="0">
      <w:lvlJc w:val="left"/>
      <w:lvlText w:val="%1."/>
      <w:numFmt w:val="decimal"/>
      <w:start w:val="14"/>
    </w:lvl>
    <w:lvl w:ilvl="1">
      <w:lvlJc w:val="left"/>
      <w:lvlText w:val="(%2)"/>
      <w:numFmt w:val="lowerLetter"/>
      <w:start w:val="1"/>
    </w:lvl>
  </w:abstractNum>
  <w:abstractNum w:abstractNumId="46">
    <w:nsid w:val="7BD3EE7B"/>
    <w:multiLevelType w:val="hybridMultilevel"/>
    <w:lvl w:ilvl="0">
      <w:lvlJc w:val="left"/>
      <w:lvlText w:val="(%1)"/>
      <w:numFmt w:val="lowerLetter"/>
      <w:start w:val="5"/>
    </w:lvl>
  </w:abstractNum>
  <w:abstractNum w:abstractNumId="47">
    <w:nsid w:val="51D9C5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8">
    <w:nsid w:val="613EFDC5"/>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49">
    <w:nsid w:val="BF72B14"/>
    <w:multiLevelType w:val="hybridMultilevel"/>
    <w:lvl w:ilvl="0">
      <w:lvlJc w:val="left"/>
      <w:lvlText w:val="%1."/>
      <w:numFmt w:val="decimal"/>
      <w:start w:val="21"/>
    </w:lvl>
  </w:abstractNum>
  <w:abstractNum w:abstractNumId="50">
    <w:nsid w:val="11447B73"/>
    <w:multiLevelType w:val="hybridMultilevel"/>
    <w:lvl w:ilvl="0">
      <w:lvlJc w:val="left"/>
      <w:lvlText w:val="%1."/>
      <w:numFmt w:val="decimal"/>
      <w:start w:val="1"/>
    </w:lvl>
  </w:abstractNum>
  <w:abstractNum w:abstractNumId="51">
    <w:nsid w:val="42963E5A"/>
    <w:multiLevelType w:val="hybridMultilevel"/>
    <w:lvl w:ilvl="0">
      <w:lvlJc w:val="left"/>
      <w:lvlText w:val="%1."/>
      <w:numFmt w:val="decimal"/>
      <w:start w:val="4"/>
    </w:lvl>
    <w:lvl w:ilvl="1">
      <w:lvlJc w:val="left"/>
      <w:lvlText w:val="(%2)"/>
      <w:numFmt w:val="lowerLetter"/>
      <w:start w:val="1"/>
    </w:lvl>
  </w:abstractNum>
  <w:abstractNum w:abstractNumId="52">
    <w:nsid w:val="A0382C5"/>
    <w:multiLevelType w:val="hybridMultilevel"/>
    <w:lvl w:ilvl="0">
      <w:lvlJc w:val="left"/>
      <w:lvlText w:val="(%1)"/>
      <w:numFmt w:val="lowerLetter"/>
      <w:start w:val="2"/>
    </w:lvl>
  </w:abstractNum>
  <w:abstractNum w:abstractNumId="53">
    <w:nsid w:val="8F2B15E"/>
    <w:multiLevelType w:val="hybridMultilevel"/>
    <w:lvl w:ilvl="0">
      <w:lvlJc w:val="left"/>
      <w:lvlText w:val="%1."/>
      <w:numFmt w:val="decimal"/>
      <w:start w:val="5"/>
    </w:lvl>
  </w:abstractNum>
  <w:abstractNum w:abstractNumId="54">
    <w:nsid w:val="1A32234B"/>
    <w:multiLevelType w:val="hybridMultilevel"/>
    <w:lvl w:ilvl="0">
      <w:lvlJc w:val="left"/>
      <w:lvlText w:val="(%1)"/>
      <w:numFmt w:val="lowerLetter"/>
      <w:start w:val="1"/>
    </w:lvl>
  </w:abstractNum>
  <w:abstractNum w:abstractNumId="55">
    <w:nsid w:val="3B0FD379"/>
    <w:multiLevelType w:val="hybridMultilevel"/>
    <w:lvl w:ilvl="0">
      <w:lvlJc w:val="left"/>
      <w:lvlText w:val="%1."/>
      <w:numFmt w:val="decimal"/>
      <w:start w:val="9"/>
    </w:lvl>
  </w:abstractNum>
  <w:abstractNum w:abstractNumId="56">
    <w:nsid w:val="68EB2F63"/>
    <w:multiLevelType w:val="hybridMultilevel"/>
    <w:lvl w:ilvl="0">
      <w:lvlJc w:val="left"/>
      <w:lvlText w:val="%1."/>
      <w:numFmt w:val="decimal"/>
      <w:start w:val="11"/>
    </w:lvl>
  </w:abstractNum>
  <w:abstractNum w:abstractNumId="57">
    <w:nsid w:val="4962813B"/>
    <w:multiLevelType w:val="hybridMultilevel"/>
    <w:lvl w:ilvl="0">
      <w:lvlJc w:val="left"/>
      <w:lvlText w:val="%1."/>
      <w:numFmt w:val="decimal"/>
      <w:start w:val="13"/>
    </w:lvl>
  </w:abstractNum>
  <w:abstractNum w:abstractNumId="58">
    <w:nsid w:val="60B6DF70"/>
    <w:multiLevelType w:val="hybridMultilevel"/>
    <w:lvl w:ilvl="0">
      <w:lvlJc w:val="left"/>
      <w:lvlText w:val="%1."/>
      <w:numFmt w:val="lowerLetter"/>
      <w:start w:val="1"/>
    </w:lvl>
  </w:abstractNum>
  <w:abstractNum w:abstractNumId="59">
    <w:nsid w:val="6A5EE64"/>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60">
    <w:nsid w:val="14330624"/>
    <w:multiLevelType w:val="hybridMultilevel"/>
    <w:lvl w:ilvl="0">
      <w:lvlJc w:val="left"/>
      <w:lvlText w:val="%1."/>
      <w:numFmt w:val="decimal"/>
      <w:start w:val="19"/>
    </w:lvl>
    <w:lvl w:ilvl="1">
      <w:lvlJc w:val="left"/>
      <w:lvlText w:val="%2"/>
      <w:numFmt w:val="lowerLetter"/>
      <w:start w:val="1"/>
    </w:lvl>
    <w:lvl w:ilvl="2">
      <w:lvlJc w:val="left"/>
      <w:lvlText w:val="%3"/>
      <w:numFmt w:val="lowerRoman"/>
      <w:start w:val="1"/>
    </w:lvl>
  </w:abstractNum>
  <w:abstractNum w:abstractNumId="61">
    <w:nsid w:val="7FFFCA11"/>
    <w:multiLevelType w:val="hybridMultilevel"/>
    <w:lvl w:ilvl="0">
      <w:lvlJc w:val="left"/>
      <w:lvlText w:val="(%1)"/>
      <w:numFmt w:val="lowerLetter"/>
      <w:start w:val="1"/>
    </w:lvl>
  </w:abstractNum>
  <w:abstractNum w:abstractNumId="62">
    <w:nsid w:val="1A27709E"/>
    <w:multiLevelType w:val="hybridMultilevel"/>
    <w:lvl w:ilvl="0">
      <w:lvlJc w:val="left"/>
      <w:lvlText w:val="%1."/>
      <w:numFmt w:val="decimal"/>
      <w:start w:val="21"/>
    </w:lvl>
  </w:abstractNum>
  <w:abstractNum w:abstractNumId="63">
    <w:nsid w:val="71EA110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4">
    <w:nsid w:val="100F59DC"/>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65">
    <w:nsid w:val="7FB7E0AA"/>
    <w:multiLevelType w:val="hybridMultilevel"/>
    <w:lvl w:ilvl="0">
      <w:lvlJc w:val="left"/>
      <w:lvlText w:val="(%1)"/>
      <w:numFmt w:val="lowerLetter"/>
      <w:start w:val="4"/>
    </w:lvl>
    <w:lvl w:ilvl="1">
      <w:lvlJc w:val="left"/>
      <w:lvlText w:val="(%2)"/>
      <w:numFmt w:val="lowerRoman"/>
      <w:start w:val="1"/>
    </w:lvl>
  </w:abstractNum>
  <w:abstractNum w:abstractNumId="66">
    <w:nsid w:val="6EB5BD4"/>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67">
    <w:nsid w:val="6F6DD9AC"/>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68">
    <w:nsid w:val="94211F2"/>
    <w:multiLevelType w:val="hybridMultilevel"/>
    <w:lvl w:ilvl="0">
      <w:lvlJc w:val="left"/>
      <w:lvlText w:val="(%1)"/>
      <w:numFmt w:val="lowerLetter"/>
      <w:start w:val="9"/>
    </w:lvl>
    <w:lvl w:ilvl="1">
      <w:lvlJc w:val="left"/>
      <w:lvlText w:val="%2"/>
      <w:numFmt w:val="lowerRoman"/>
      <w:start w:val="1"/>
    </w:lvl>
    <w:lvl w:ilvl="2">
      <w:lvlJc w:val="left"/>
      <w:lvlText w:val="-"/>
      <w:numFmt w:val="bullet"/>
      <w:start w:val="1"/>
    </w:lvl>
  </w:abstractNum>
  <w:abstractNum w:abstractNumId="69">
    <w:nsid w:val="885E1B"/>
    <w:multiLevelType w:val="hybridMultilevel"/>
    <w:lvl w:ilvl="0">
      <w:lvlJc w:val="left"/>
      <w:lvlText w:val="(%1)"/>
      <w:numFmt w:val="lowerLetter"/>
      <w:start w:val="13"/>
    </w:lvl>
    <w:lvl w:ilvl="1">
      <w:lvlJc w:val="left"/>
      <w:lvlText w:val="(%2)"/>
      <w:numFmt w:val="lowerRoman"/>
      <w:start w:val="1"/>
    </w:lvl>
  </w:abstractNum>
  <w:abstractNum w:abstractNumId="70">
    <w:nsid w:val="76272110"/>
    <w:multiLevelType w:val="hybridMultilevel"/>
    <w:lvl w:ilvl="0">
      <w:lvlJc w:val="left"/>
      <w:lvlText w:val="(%1)"/>
      <w:numFmt w:val="decimal"/>
      <w:start w:val="30"/>
    </w:lvl>
    <w:lvl w:ilvl="1">
      <w:lvlJc w:val="left"/>
      <w:lvlText w:val="(%2)"/>
      <w:numFmt w:val="lowerLetter"/>
      <w:start w:val="16"/>
    </w:lvl>
    <w:lvl w:ilvl="2">
      <w:lvlJc w:val="left"/>
      <w:lvlText w:val="-"/>
      <w:numFmt w:val="bullet"/>
      <w:start w:val="1"/>
    </w:lvl>
  </w:abstractNum>
  <w:abstractNum w:abstractNumId="71">
    <w:nsid w:val="4C04A8AF"/>
    <w:multiLevelType w:val="hybridMultilevel"/>
    <w:lvl w:ilvl="0">
      <w:lvlJc w:val="left"/>
      <w:lvlText w:val="%1"/>
      <w:numFmt w:val="decimal"/>
      <w:start w:val="1"/>
    </w:lvl>
    <w:lvl w:ilvl="1">
      <w:lvlJc w:val="left"/>
      <w:lvlText w:val="(%2)"/>
      <w:numFmt w:val="lowerLetter"/>
      <w:start w:val="18"/>
    </w:lvl>
    <w:lvl w:ilvl="2">
      <w:lvlJc w:val="left"/>
      <w:lvlText w:val="%3"/>
      <w:numFmt w:val="lowerRoman"/>
      <w:start w:val="1"/>
    </w:lvl>
    <w:lvl w:ilvl="3">
      <w:lvlJc w:val="left"/>
      <w:lvlText w:val="-"/>
      <w:numFmt w:val="bullet"/>
      <w:start w:val="1"/>
    </w:lvl>
  </w:abstractNum>
  <w:abstractNum w:abstractNumId="72">
    <w:nsid w:val="1716703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73">
    <w:nsid w:val="14E17E33"/>
    <w:multiLevelType w:val="hybridMultilevel"/>
    <w:lvl w:ilvl="0">
      <w:lvlJc w:val="left"/>
      <w:lvlText w:val="%1"/>
      <w:numFmt w:val="lowerLetter"/>
      <w:start w:val="1"/>
    </w:lvl>
    <w:lvl w:ilvl="1">
      <w:lvlJc w:val="left"/>
      <w:lvlText w:val="(%2)"/>
      <w:numFmt w:val="lowerLetter"/>
      <w:start w:val="35"/>
    </w:lvl>
  </w:abstractNum>
  <w:abstractNum w:abstractNumId="74">
    <w:nsid w:val="3222E7CD"/>
    <w:multiLevelType w:val="hybridMultilevel"/>
    <w:lvl w:ilvl="0">
      <w:lvlJc w:val="left"/>
      <w:lvlText w:val="(%1)"/>
      <w:numFmt w:val="lowerLetter"/>
      <w:start w:val="2"/>
    </w:lvl>
    <w:lvl w:ilvl="1">
      <w:lvlJc w:val="left"/>
      <w:lvlText w:val="(%2)"/>
      <w:numFmt w:val="lowerLetter"/>
      <w:start w:val="9"/>
    </w:lvl>
  </w:abstractNum>
  <w:abstractNum w:abstractNumId="75">
    <w:nsid w:val="74DE0EE3"/>
    <w:multiLevelType w:val="hybridMultilevel"/>
    <w:lvl w:ilvl="0">
      <w:lvlJc w:val="left"/>
      <w:lvlText w:val="(%1)"/>
      <w:numFmt w:val="lowerRoman"/>
      <w:start w:val="2"/>
    </w:lvl>
    <w:lvl w:ilvl="1">
      <w:lvlJc w:val="left"/>
      <w:lvlText w:val="-"/>
      <w:numFmt w:val="bullet"/>
      <w:start w:val="1"/>
    </w:lvl>
  </w:abstractNum>
  <w:abstractNum w:abstractNumId="76">
    <w:nsid w:val="68EBC55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lvl w:ilvl="3">
      <w:lvlJc w:val="left"/>
      <w:lvlText w:val="-"/>
      <w:numFmt w:val="bullet"/>
      <w:start w:val="1"/>
    </w:lvl>
  </w:abstractNum>
  <w:abstractNum w:abstractNumId="77">
    <w:nsid w:val="2DF6D64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78">
    <w:nsid w:val="46B7D44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79">
    <w:nsid w:val="4A2AC31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
      <w:numFmt w:val="bullet"/>
      <w:start w:val="1"/>
    </w:lvl>
  </w:abstractNum>
  <w:abstractNum w:abstractNumId="80">
    <w:nsid w:val="39EE015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81">
    <w:nsid w:val="57FC4FBB"/>
    <w:multiLevelType w:val="hybridMultilevel"/>
    <w:lvl w:ilvl="0">
      <w:lvlJc w:val="left"/>
      <w:lvlText w:val="(%1)"/>
      <w:numFmt w:val="upperLetter"/>
      <w:start w:val="9"/>
    </w:lvl>
  </w:abstractNum>
  <w:abstractNum w:abstractNumId="82">
    <w:nsid w:val="CC1016F"/>
    <w:multiLevelType w:val="hybridMultilevel"/>
    <w:lvl w:ilvl="0">
      <w:lvlJc w:val="left"/>
      <w:lvlText w:val="(%1)"/>
      <w:numFmt w:val="upperLetter"/>
      <w:start w:val="35"/>
    </w:lvl>
  </w:abstractNum>
  <w:abstractNum w:abstractNumId="83">
    <w:nsid w:val="43F18422"/>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61"/>
    </w:lvl>
    <w:lvl w:ilvl="3">
      <w:lvlJc w:val="left"/>
      <w:lvlText w:val="-"/>
      <w:numFmt w:val="bullet"/>
      <w:start w:val="1"/>
    </w:lvl>
  </w:abstractNum>
  <w:abstractNum w:abstractNumId="84">
    <w:nsid w:val="60EF0119"/>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lvl w:ilvl="3">
      <w:lvlJc w:val="left"/>
      <w:lvlText w:val="-"/>
      <w:numFmt w:val="bullet"/>
      <w:start w:val="1"/>
    </w:lvl>
  </w:abstractNum>
  <w:abstractNum w:abstractNumId="85">
    <w:nsid w:val="26F324BA"/>
    <w:multiLevelType w:val="hybridMultilevel"/>
    <w:lvl w:ilvl="0">
      <w:lvlJc w:val="left"/>
      <w:lvlText w:val="(%1)"/>
      <w:numFmt w:val="lowerRoman"/>
      <w:start w:val="1"/>
    </w:lvl>
    <w:lvl w:ilvl="1">
      <w:lvlJc w:val="left"/>
      <w:lvlText w:val="(%2)"/>
      <w:numFmt w:val="lowerRoman"/>
      <w:start w:val="3"/>
    </w:lvl>
    <w:lvl w:ilvl="2">
      <w:lvlJc w:val="left"/>
      <w:lvlText w:val="%3"/>
      <w:numFmt w:val="upperLetter"/>
      <w:start w:val="1"/>
    </w:lvl>
    <w:lvl w:ilvl="3">
      <w:lvlJc w:val="left"/>
      <w:lvlText w:val="-"/>
      <w:numFmt w:val="bullet"/>
      <w:start w:val="1"/>
    </w:lvl>
  </w:abstractNum>
  <w:abstractNum w:abstractNumId="86">
    <w:nsid w:val="7F0157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87">
    <w:nsid w:val="49DA307D"/>
    <w:multiLevelType w:val="hybridMultilevel"/>
    <w:lvl w:ilvl="0">
      <w:lvlJc w:val="left"/>
      <w:lvlText w:val="(%1)"/>
      <w:numFmt w:val="decimal"/>
      <w:start w:val="30"/>
    </w:lvl>
    <w:lvl w:ilvl="1">
      <w:lvlJc w:val="left"/>
      <w:lvlText w:val="(%2)"/>
      <w:numFmt w:val="lowerLetter"/>
      <w:start w:val="2"/>
    </w:lvl>
    <w:lvl w:ilvl="2">
      <w:lvlJc w:val="left"/>
      <w:lvlText w:val="(%3)"/>
      <w:numFmt w:val="lowerRoman"/>
      <w:start w:val="5"/>
    </w:lvl>
  </w:abstractNum>
  <w:abstractNum w:abstractNumId="88">
    <w:nsid w:val="7055A5F5"/>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89">
    <w:nsid w:val="5FB8370B"/>
    <w:multiLevelType w:val="hybridMultilevel"/>
    <w:lvl w:ilvl="0">
      <w:lvlJc w:val="left"/>
      <w:lvlText w:val="%1."/>
      <w:numFmt w:val="decimal"/>
      <w:start w:val="6"/>
    </w:lvl>
    <w:lvl w:ilvl="1">
      <w:lvlJc w:val="left"/>
      <w:lvlText w:val="-"/>
      <w:numFmt w:val="bullet"/>
      <w:start w:val="1"/>
    </w:lvl>
  </w:abstractNum>
  <w:abstractNum w:abstractNumId="90">
    <w:nsid w:val="50801EE1"/>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91">
    <w:nsid w:val="488AC1A"/>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92">
    <w:nsid w:val="5FB8011C"/>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93">
    <w:nsid w:val="6AA78F7F"/>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94">
    <w:nsid w:val="7672BD23"/>
    <w:multiLevelType w:val="hybridMultilevel"/>
    <w:lvl w:ilvl="0">
      <w:lvlJc w:val="left"/>
      <w:lvlText w:val="%1."/>
      <w:numFmt w:val="decimal"/>
      <w:start w:val="12"/>
    </w:lvl>
    <w:lvl w:ilvl="1">
      <w:lvlJc w:val="left"/>
      <w:lvlText w:val="(%2)"/>
      <w:numFmt w:val="lowerLetter"/>
      <w:start w:val="1"/>
    </w:lvl>
    <w:lvl w:ilvl="2">
      <w:lvlJc w:val="left"/>
      <w:lvlText w:val="-"/>
      <w:numFmt w:val="bullet"/>
      <w:start w:val="1"/>
    </w:lvl>
  </w:abstractNum>
  <w:abstractNum w:abstractNumId="95">
    <w:nsid w:val="6FC75AF8"/>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96">
    <w:nsid w:val="6A5F7029"/>
    <w:multiLevelType w:val="hybridMultilevel"/>
    <w:lvl w:ilvl="0">
      <w:lvlJc w:val="left"/>
      <w:lvlText w:val="%1."/>
      <w:numFmt w:val="decimal"/>
      <w:start w:val="14"/>
    </w:lvl>
    <w:lvl w:ilvl="1">
      <w:lvlJc w:val="left"/>
      <w:lvlText w:val="(%2)"/>
      <w:numFmt w:val="lowerLetter"/>
      <w:start w:val="1"/>
    </w:lvl>
    <w:lvl w:ilvl="2">
      <w:lvlJc w:val="left"/>
      <w:lvlText w:val="-"/>
      <w:numFmt w:val="bullet"/>
      <w:start w:val="1"/>
    </w:lvl>
  </w:abstractNum>
  <w:abstractNum w:abstractNumId="97">
    <w:nsid w:val="7D5E18F8"/>
    <w:multiLevelType w:val="hybridMultilevel"/>
    <w:lvl w:ilvl="0">
      <w:lvlJc w:val="left"/>
      <w:lvlText w:val="%1."/>
      <w:numFmt w:val="decimal"/>
      <w:start w:val="15"/>
    </w:lvl>
    <w:lvl w:ilvl="1">
      <w:lvlJc w:val="left"/>
      <w:lvlText w:val="-"/>
      <w:numFmt w:val="bullet"/>
      <w:start w:val="1"/>
    </w:lvl>
  </w:abstractNum>
  <w:abstractNum w:abstractNumId="98">
    <w:nsid w:val="5F3534A4"/>
    <w:multiLevelType w:val="hybridMultilevel"/>
    <w:lvl w:ilvl="0">
      <w:lvlJc w:val="left"/>
      <w:lvlText w:val="(%1)"/>
      <w:numFmt w:val="lowerLetter"/>
      <w:start w:val="1"/>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2019-12-29T13:37:02Z</dcterms:created>
  <dcterms:modified xsi:type="dcterms:W3CDTF">2019-12-29T13:37:02Z</dcterms:modified>
</cp:coreProperties>
</file>