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15, 2020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1"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-250190</wp:posOffset>
            </wp:positionV>
            <wp:extent cx="71323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460"/>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on which registered</w:t>
      </w:r>
    </w:p>
    <w:p>
      <w:pPr>
        <w:spacing w:after="0" w:line="200" w:lineRule="exact"/>
        <w:rPr>
          <w:sz w:val="24"/>
          <w:szCs w:val="24"/>
          <w:color w:val="auto"/>
        </w:rPr>
      </w:pPr>
    </w:p>
    <w:p>
      <w:pPr>
        <w:sectPr>
          <w:pgSz w:w="11900" w:h="16838" w:orient="portrait"/>
          <w:cols w:equalWidth="0" w:num="3">
            <w:col w:w="3960" w:space="720"/>
            <w:col w:w="2580" w:space="720"/>
            <w:col w:w="3260"/>
          </w:cols>
          <w:pgMar w:left="320" w:top="1021" w:right="339" w:bottom="1440" w:gutter="0" w:footer="0" w:header="0"/>
          <w:type w:val="continuous"/>
        </w:sectPr>
      </w:pPr>
    </w:p>
    <w:p>
      <w:pPr>
        <w:spacing w:after="0" w:line="26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Reasons for Departure of Christina Ibrahim</w:t>
      </w:r>
    </w:p>
    <w:p>
      <w:pPr>
        <w:spacing w:after="0" w:line="229"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Weatherford International plc (the “Company”) previously reported on June 8, 2020 that Christina M. Ibrahim, its former Executive Vice President, General Counsel, Chief Compliance Officer and Corporate Secretary, had left the Company and was entitled to certain termination without “cause” benefits and compensation under the Company’s pre-existing compensation plans and applicable policies and related agreements.</w:t>
      </w:r>
    </w:p>
    <w:p>
      <w:pPr>
        <w:spacing w:after="0" w:line="14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15, 2020, following an investigation by outside counsel, the Board of Directors of the Company determined that Ms. Ibrahim was terminated “for cause”. As a result, Ms. Ibrahim is not entitled to certain termination without “cause” benefits and compensation under the Company’s pre-existing compensation plans and applicable policies and related agreements. Ms. Ibrahim’s departure was not the result of any dispute or disagreement with the Company on any matter relating to the Company’s accounting practices or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Date: December 15, 2020</w:t>
            </w:r>
          </w:p>
        </w:tc>
        <w:tc>
          <w:tcPr>
            <w:tcW w:w="6380" w:type="dxa"/>
            <w:vAlign w:val="bottom"/>
            <w:gridSpan w:val="2"/>
          </w:tcPr>
          <w:p>
            <w:pPr>
              <w:ind w:left="1900"/>
              <w:spacing w:after="0"/>
              <w:rPr>
                <w:sz w:val="20"/>
                <w:szCs w:val="20"/>
                <w:color w:val="auto"/>
              </w:rPr>
            </w:pPr>
            <w:r>
              <w:rPr>
                <w:rFonts w:ascii="Arial" w:cs="Arial" w:eastAsia="Arial" w:hAnsi="Arial"/>
                <w:sz w:val="18"/>
                <w:szCs w:val="18"/>
                <w:b w:val="1"/>
                <w:bCs w:val="1"/>
                <w:color w:val="auto"/>
              </w:rPr>
              <w:t>Weatherford International plc</w:t>
            </w:r>
          </w:p>
        </w:tc>
      </w:tr>
      <w:tr>
        <w:trPr>
          <w:trHeight w:val="648"/>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211"/>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Scott C. Weatherholt</w:t>
            </w:r>
          </w:p>
        </w:tc>
      </w:tr>
    </w:tbl>
    <w:p>
      <w:pPr>
        <w:ind w:left="6200"/>
        <w:spacing w:after="0"/>
        <w:rPr>
          <w:sz w:val="20"/>
          <w:szCs w:val="20"/>
          <w:color w:val="auto"/>
        </w:rPr>
      </w:pPr>
      <w:r>
        <w:rPr>
          <w:rFonts w:ascii="Arial" w:cs="Arial" w:eastAsia="Arial" w:hAnsi="Arial"/>
          <w:sz w:val="18"/>
          <w:szCs w:val="18"/>
          <w:color w:val="auto"/>
        </w:rPr>
        <w:t>Executive Vice President, General Counsel and Chief</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2020-12-15T15:38:32Z</dcterms:created>
  <dcterms:modified xsi:type="dcterms:W3CDTF">2020-12-15T15:38:32Z</dcterms:modified>
</cp:coreProperties>
</file>