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color w:val="auto"/>
        </w:rPr>
        <w:t>CUSIP No: G48833100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25" w:lineRule="exact"/>
        <w:rPr>
          <w:sz w:val="24"/>
          <w:szCs w:val="24"/>
          <w:color w:val="auto"/>
        </w:rPr>
      </w:pPr>
    </w:p>
    <w:p>
      <w:pPr>
        <w:jc w:val="center"/>
        <w:ind w:left="260" w:right="2680"/>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 240.13d-1(b), (c) AND (d) AND AMENDMENTS THERETO FILED PURSUANT TO § 240.13d-2.</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 $.001 par value per share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G48833100</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purposes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G48833100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8300" w:hanging="620"/>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CVI Investments, Inc.</w:t>
      </w:r>
    </w:p>
    <w:p>
      <w:pPr>
        <w:spacing w:after="0" w:line="339" w:lineRule="exact"/>
        <w:rPr>
          <w:rFonts w:ascii="Arial" w:cs="Arial" w:eastAsia="Arial" w:hAnsi="Arial"/>
          <w:sz w:val="16"/>
          <w:szCs w:val="16"/>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-945515</wp:posOffset>
            </wp:positionV>
            <wp:extent cx="58743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-1159510</wp:posOffset>
            </wp:positionV>
            <wp:extent cx="58743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73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73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 **</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84,500,000</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0" w:gutter="0" w:footer="0" w:header="0"/>
        </w:sectPr>
      </w:pPr>
    </w:p>
    <w:bookmarkStart w:id="1" w:name="page2"/>
    <w:bookmarkEnd w:id="1"/>
    <w:p>
      <w:pPr>
        <w:ind w:left="60"/>
        <w:spacing w:after="0"/>
        <w:rPr>
          <w:sz w:val="20"/>
          <w:szCs w:val="20"/>
          <w:color w:val="auto"/>
        </w:rPr>
      </w:pPr>
      <w:r>
        <w:rPr>
          <w:rFonts w:ascii="Arial" w:cs="Arial" w:eastAsia="Arial" w:hAnsi="Arial"/>
          <w:sz w:val="18"/>
          <w:szCs w:val="18"/>
          <w:color w:val="auto"/>
        </w:rPr>
        <w:t>Reporting</w:t>
      </w:r>
    </w:p>
    <w:p>
      <w:pPr>
        <w:ind w:left="60"/>
        <w:spacing w:after="0" w:line="217" w:lineRule="auto"/>
        <w:rPr>
          <w:sz w:val="20"/>
          <w:szCs w:val="20"/>
          <w:color w:val="auto"/>
        </w:rPr>
      </w:pPr>
      <w:r>
        <w:rPr>
          <w:rFonts w:ascii="Arial" w:cs="Arial" w:eastAsia="Arial" w:hAnsi="Arial"/>
          <w:sz w:val="18"/>
          <w:szCs w:val="18"/>
          <w:color w:val="auto"/>
        </w:rPr>
        <w:t>Person With</w:t>
      </w:r>
    </w:p>
    <w:p>
      <w:pPr>
        <w:ind w:left="2760" w:right="6960" w:hanging="1091"/>
        <w:spacing w:after="0" w:line="259" w:lineRule="auto"/>
        <w:tabs>
          <w:tab w:leader="none" w:pos="276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left="2760" w:right="6560" w:hanging="1091"/>
        <w:spacing w:after="0" w:line="277" w:lineRule="auto"/>
        <w:tabs>
          <w:tab w:leader="none" w:pos="276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 ** 84,500,000</w:t>
      </w:r>
    </w:p>
    <w:p>
      <w:pPr>
        <w:spacing w:after="0" w:line="386" w:lineRule="exact"/>
        <w:rPr>
          <w:rFonts w:ascii="Arial" w:cs="Arial" w:eastAsia="Arial" w:hAnsi="Arial"/>
          <w:sz w:val="18"/>
          <w:szCs w:val="18"/>
          <w:color w:val="auto"/>
        </w:rPr>
      </w:pPr>
    </w:p>
    <w:p>
      <w:pPr>
        <w:ind w:left="1060" w:right="5560" w:hanging="620"/>
        <w:spacing w:after="0" w:line="277" w:lineRule="auto"/>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84,500,000</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7.9%</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right="180" w:firstLine="8"/>
        <w:spacing w:after="0" w:line="277"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Heights Capital Management, Inc. is the investment manager to CVI Investments, Inc. and as such may exercise voting and dispositive power over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-585470</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-1134110</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-1682750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-2094865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-2643505</wp:posOffset>
            </wp:positionV>
            <wp:extent cx="55314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-3192145</wp:posOffset>
            </wp:positionV>
            <wp:extent cx="55314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-370840</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60" w:right="7880" w:hanging="620"/>
        <w:spacing w:after="0" w:line="342"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Names of Reporting Persons Heights Capital Management, Inc.</w:t>
      </w:r>
    </w:p>
    <w:p>
      <w:pPr>
        <w:spacing w:after="0" w:line="339" w:lineRule="exact"/>
        <w:rPr>
          <w:rFonts w:ascii="Arial" w:cs="Arial" w:eastAsia="Arial" w:hAnsi="Arial"/>
          <w:sz w:val="16"/>
          <w:szCs w:val="16"/>
          <w:color w:val="auto"/>
        </w:rPr>
      </w:pPr>
    </w:p>
    <w:p>
      <w:pPr>
        <w:ind w:left="1060" w:hanging="62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-945515</wp:posOffset>
            </wp:positionV>
            <wp:extent cx="58743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-1159510</wp:posOffset>
            </wp:positionV>
            <wp:extent cx="58743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0" w:type="dxa"/>
            <w:vAlign w:val="bottom"/>
          </w:tcPr>
          <w:p>
            <w:pPr>
              <w:jc w:val="right"/>
              <w:ind w:right="73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1400" w:type="dxa"/>
            <w:vAlign w:val="bottom"/>
            <w:vMerge w:val="restart"/>
          </w:tcPr>
          <w:p>
            <w:pPr>
              <w:jc w:val="right"/>
              <w:ind w:right="73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 **</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84,500,000</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vMerge w:val="restart"/>
          </w:tcPr>
          <w:p>
            <w:pPr>
              <w:jc w:val="right"/>
              <w:ind w:right="73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4"/>
        </w:trPr>
        <w:tc>
          <w:tcPr>
            <w:tcW w:w="1240" w:type="dxa"/>
            <w:vAlign w:val="bottom"/>
          </w:tcPr>
          <w:p>
            <w:pPr>
              <w:spacing w:after="0" w:line="124" w:lineRule="exact"/>
              <w:rPr>
                <w:sz w:val="20"/>
                <w:szCs w:val="20"/>
                <w:color w:val="auto"/>
              </w:rPr>
            </w:pPr>
            <w:r>
              <w:rPr>
                <w:rFonts w:ascii="Arial" w:cs="Arial" w:eastAsia="Arial" w:hAnsi="Arial"/>
                <w:sz w:val="14"/>
                <w:szCs w:val="14"/>
                <w:color w:val="auto"/>
              </w:rPr>
              <w:t>Reporting</w:t>
            </w:r>
          </w:p>
        </w:tc>
        <w:tc>
          <w:tcPr>
            <w:tcW w:w="1400" w:type="dxa"/>
            <w:vAlign w:val="bottom"/>
            <w:vMerge w:val="continue"/>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6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720" w:type="dxa"/>
            <w:vAlign w:val="bottom"/>
          </w:tcPr>
          <w:p>
            <w:pPr>
              <w:jc w:val="right"/>
              <w:ind w:right="847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
        </w:trPr>
        <w:tc>
          <w:tcPr>
            <w:tcW w:w="2640" w:type="dxa"/>
            <w:vAlign w:val="bottom"/>
            <w:vMerge w:val="continue"/>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760" w:right="6560" w:hanging="1091"/>
        <w:spacing w:after="0" w:line="277" w:lineRule="auto"/>
        <w:tabs>
          <w:tab w:leader="none" w:pos="27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Dispositive Power ** 84,500,000</w:t>
      </w:r>
    </w:p>
    <w:p>
      <w:pPr>
        <w:spacing w:after="0" w:line="386" w:lineRule="exact"/>
        <w:rPr>
          <w:rFonts w:ascii="Arial" w:cs="Arial" w:eastAsia="Arial" w:hAnsi="Arial"/>
          <w:sz w:val="18"/>
          <w:szCs w:val="18"/>
          <w:color w:val="auto"/>
        </w:rPr>
      </w:pPr>
    </w:p>
    <w:p>
      <w:pPr>
        <w:ind w:left="1060" w:right="5560" w:hanging="620"/>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84,500,000</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-361950</wp:posOffset>
            </wp:positionV>
            <wp:extent cx="6612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-910590</wp:posOffset>
            </wp:positionV>
            <wp:extent cx="5531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1">
            <w:col w:w="11420"/>
          </w:cols>
          <w:pgMar w:left="240" w:top="125" w:right="239" w:bottom="194" w:gutter="0" w:footer="0" w:header="0"/>
        </w:sectPr>
      </w:pPr>
    </w:p>
    <w:bookmarkStart w:id="2" w:name="page3"/>
    <w:bookmarkEnd w:id="2"/>
    <w:p>
      <w:pPr>
        <w:spacing w:after="0" w:line="22" w:lineRule="exact"/>
        <w:rPr>
          <w:sz w:val="20"/>
          <w:szCs w:val="20"/>
          <w:color w:val="auto"/>
        </w:rPr>
      </w:pPr>
    </w:p>
    <w:p>
      <w:pPr>
        <w:ind w:left="1052" w:hanging="620"/>
        <w:spacing w:after="0"/>
        <w:tabs>
          <w:tab w:leader="none" w:pos="1052"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7.9%</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right="180" w:firstLine="8"/>
        <w:spacing w:after="0" w:line="277" w:lineRule="auto"/>
        <w:tabs>
          <w:tab w:leader="none" w:pos="217" w:val="left"/>
        </w:tabs>
        <w:numPr>
          <w:ilvl w:val="0"/>
          <w:numId w:val="8"/>
        </w:numPr>
        <w:rPr>
          <w:rFonts w:ascii="Arial" w:cs="Arial" w:eastAsia="Arial" w:hAnsi="Arial"/>
          <w:sz w:val="18"/>
          <w:szCs w:val="18"/>
          <w:color w:val="auto"/>
        </w:rPr>
      </w:pPr>
      <w:r>
        <w:rPr>
          <w:rFonts w:ascii="Arial" w:cs="Arial" w:eastAsia="Arial" w:hAnsi="Arial"/>
          <w:sz w:val="18"/>
          <w:szCs w:val="18"/>
          <w:color w:val="auto"/>
        </w:rPr>
        <w:t>Heights Capital Management, Inc. is the investment manager to CVI Investments, Inc. and as such may exercise voting and dispositive power over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-585470</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-1134110</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-370840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rPr>
          <w:sz w:val="20"/>
          <w:szCs w:val="20"/>
          <w:color w:val="auto"/>
        </w:rPr>
      </w:pPr>
      <w:r>
        <w:rPr>
          <w:rFonts w:ascii="Arial" w:cs="Arial" w:eastAsia="Arial" w:hAnsi="Arial"/>
          <w:sz w:val="18"/>
          <w:szCs w:val="18"/>
          <w:color w:val="auto"/>
        </w:rPr>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60" w:orient="portrait"/>
          <w:cols w:equalWidth="0" w:num="1">
            <w:col w:w="11412"/>
          </w:cols>
          <w:pgMar w:left="248" w:top="125" w:right="239" w:bottom="0" w:gutter="0" w:footer="0" w:header="0"/>
        </w:sectPr>
      </w:pPr>
    </w:p>
    <w:p>
      <w:pPr>
        <w:spacing w:after="0" w:line="343" w:lineRule="exact"/>
        <w:rPr>
          <w:sz w:val="20"/>
          <w:szCs w:val="20"/>
          <w:color w:val="auto"/>
        </w:rPr>
      </w:pPr>
    </w:p>
    <w:p>
      <w:pPr>
        <w:ind w:left="52"/>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12"/>
        <w:spacing w:after="0"/>
        <w:rPr>
          <w:sz w:val="20"/>
          <w:szCs w:val="20"/>
          <w:color w:val="auto"/>
        </w:rPr>
      </w:pPr>
      <w:r>
        <w:rPr>
          <w:rFonts w:ascii="Arial" w:cs="Arial" w:eastAsia="Arial" w:hAnsi="Arial"/>
          <w:sz w:val="17"/>
          <w:szCs w:val="17"/>
          <w:b w:val="1"/>
          <w:bCs w:val="1"/>
          <w:color w:val="auto"/>
        </w:rPr>
        <w:t>Item 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12"/>
        <w:spacing w:after="0"/>
        <w:rPr>
          <w:sz w:val="20"/>
          <w:szCs w:val="20"/>
          <w:color w:val="auto"/>
        </w:rPr>
      </w:pPr>
      <w:r>
        <w:rPr>
          <w:rFonts w:ascii="Arial" w:cs="Arial" w:eastAsia="Arial" w:hAnsi="Arial"/>
          <w:sz w:val="17"/>
          <w:szCs w:val="17"/>
          <w:b w:val="1"/>
          <w:bCs w:val="1"/>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2"/>
        <w:spacing w:after="0"/>
        <w:rPr>
          <w:sz w:val="20"/>
          <w:szCs w:val="20"/>
          <w:color w:val="auto"/>
        </w:rPr>
      </w:pPr>
      <w:r>
        <w:rPr>
          <w:rFonts w:ascii="Arial" w:cs="Arial" w:eastAsia="Arial" w:hAnsi="Arial"/>
          <w:sz w:val="17"/>
          <w:szCs w:val="17"/>
          <w:b w:val="1"/>
          <w:bCs w:val="1"/>
          <w:color w:val="auto"/>
        </w:rPr>
        <w:t>Item 2(c).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3" w:hanging="493"/>
        <w:spacing w:after="0"/>
        <w:tabs>
          <w:tab w:leader="none" w:pos="493"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493"/>
        <w:spacing w:after="0"/>
        <w:rPr>
          <w:rFonts w:ascii="Arial" w:cs="Arial" w:eastAsia="Arial" w:hAnsi="Arial"/>
          <w:sz w:val="18"/>
          <w:szCs w:val="18"/>
          <w:color w:val="auto"/>
        </w:rPr>
      </w:pPr>
      <w:r>
        <w:rPr>
          <w:rFonts w:ascii="Arial" w:cs="Arial" w:eastAsia="Arial" w:hAnsi="Arial"/>
          <w:sz w:val="18"/>
          <w:szCs w:val="18"/>
          <w:color w:val="auto"/>
        </w:rPr>
        <w:t>Weatherford International public limited company (the “Company”)</w:t>
      </w:r>
    </w:p>
    <w:p>
      <w:pPr>
        <w:spacing w:after="0" w:line="116" w:lineRule="exact"/>
        <w:rPr>
          <w:rFonts w:ascii="Arial" w:cs="Arial" w:eastAsia="Arial" w:hAnsi="Arial"/>
          <w:sz w:val="18"/>
          <w:szCs w:val="18"/>
          <w:color w:val="auto"/>
        </w:rPr>
      </w:pPr>
    </w:p>
    <w:p>
      <w:pPr>
        <w:ind w:left="493" w:right="6420" w:hanging="493"/>
        <w:spacing w:after="0" w:line="342" w:lineRule="auto"/>
        <w:tabs>
          <w:tab w:leader="none" w:pos="493" w:val="left"/>
        </w:tabs>
        <w:numPr>
          <w:ilvl w:val="0"/>
          <w:numId w:val="9"/>
        </w:numPr>
        <w:rPr>
          <w:rFonts w:ascii="Arial" w:cs="Arial" w:eastAsia="Arial" w:hAnsi="Arial"/>
          <w:sz w:val="16"/>
          <w:szCs w:val="16"/>
          <w:color w:val="auto"/>
        </w:rPr>
      </w:pPr>
      <w:r>
        <w:rPr>
          <w:rFonts w:ascii="Arial" w:cs="Arial" w:eastAsia="Arial" w:hAnsi="Arial"/>
          <w:sz w:val="16"/>
          <w:szCs w:val="16"/>
          <w:color w:val="auto"/>
        </w:rPr>
        <w:t>Address of Issuer’s Principal Executive Offices Weststrasse 1, 6340, Baar, Switzerland CH 6340</w:t>
      </w:r>
    </w:p>
    <w:p>
      <w:pPr>
        <w:spacing w:after="0" w:line="339" w:lineRule="exact"/>
        <w:rPr>
          <w:rFonts w:ascii="Arial" w:cs="Arial" w:eastAsia="Arial" w:hAnsi="Arial"/>
          <w:sz w:val="16"/>
          <w:szCs w:val="16"/>
          <w:color w:val="auto"/>
        </w:rPr>
      </w:pPr>
    </w:p>
    <w:p>
      <w:pPr>
        <w:ind w:left="493"/>
        <w:spacing w:after="0"/>
        <w:rPr>
          <w:rFonts w:ascii="Arial" w:cs="Arial" w:eastAsia="Arial" w:hAnsi="Arial"/>
          <w:sz w:val="16"/>
          <w:szCs w:val="16"/>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6"/>
          <w:szCs w:val="16"/>
          <w:color w:val="auto"/>
        </w:rPr>
      </w:pPr>
    </w:p>
    <w:p>
      <w:pPr>
        <w:ind w:left="493" w:right="380"/>
        <w:spacing w:after="0" w:line="261" w:lineRule="auto"/>
        <w:rPr>
          <w:rFonts w:ascii="Arial" w:cs="Arial" w:eastAsia="Arial" w:hAnsi="Arial"/>
          <w:sz w:val="16"/>
          <w:szCs w:val="16"/>
          <w:color w:val="auto"/>
        </w:rPr>
      </w:pPr>
      <w:r>
        <w:rPr>
          <w:rFonts w:ascii="Arial" w:cs="Arial" w:eastAsia="Arial" w:hAnsi="Arial"/>
          <w:sz w:val="18"/>
          <w:szCs w:val="18"/>
          <w:color w:val="auto"/>
        </w:rPr>
        <w:t>This statement is filed by the entities listed below, who are collectively referred to herein as “Reporting Persons,” with respect to the Ordinary Shares of the Company, $.001 par value per share (the “Shares”).</w:t>
      </w:r>
    </w:p>
    <w:p>
      <w:pPr>
        <w:spacing w:after="0" w:line="183" w:lineRule="exact"/>
        <w:rPr>
          <w:rFonts w:ascii="Arial" w:cs="Arial" w:eastAsia="Arial" w:hAnsi="Arial"/>
          <w:sz w:val="16"/>
          <w:szCs w:val="16"/>
          <w:color w:val="auto"/>
        </w:rPr>
      </w:pPr>
    </w:p>
    <w:p>
      <w:pPr>
        <w:ind w:left="853" w:hanging="353"/>
        <w:spacing w:after="0"/>
        <w:tabs>
          <w:tab w:leader="none" w:pos="853" w:val="left"/>
        </w:tabs>
        <w:numPr>
          <w:ilvl w:val="1"/>
          <w:numId w:val="9"/>
        </w:numPr>
        <w:rPr>
          <w:rFonts w:ascii="Arial" w:cs="Arial" w:eastAsia="Arial" w:hAnsi="Arial"/>
          <w:sz w:val="18"/>
          <w:szCs w:val="18"/>
          <w:color w:val="auto"/>
        </w:rPr>
      </w:pPr>
      <w:r>
        <w:rPr>
          <w:rFonts w:ascii="Arial" w:cs="Arial" w:eastAsia="Arial" w:hAnsi="Arial"/>
          <w:sz w:val="18"/>
          <w:szCs w:val="18"/>
          <w:color w:val="auto"/>
        </w:rPr>
        <w:t>CVI Investments, Inc.</w:t>
      </w:r>
    </w:p>
    <w:p>
      <w:pPr>
        <w:spacing w:after="0" w:line="225" w:lineRule="exact"/>
        <w:rPr>
          <w:rFonts w:ascii="Arial" w:cs="Arial" w:eastAsia="Arial" w:hAnsi="Arial"/>
          <w:sz w:val="18"/>
          <w:szCs w:val="18"/>
          <w:color w:val="auto"/>
        </w:rPr>
      </w:pPr>
    </w:p>
    <w:p>
      <w:pPr>
        <w:ind w:left="853" w:hanging="353"/>
        <w:spacing w:after="0"/>
        <w:tabs>
          <w:tab w:leader="none" w:pos="853" w:val="left"/>
        </w:tabs>
        <w:numPr>
          <w:ilvl w:val="1"/>
          <w:numId w:val="9"/>
        </w:numPr>
        <w:rPr>
          <w:rFonts w:ascii="Arial" w:cs="Arial" w:eastAsia="Arial" w:hAnsi="Arial"/>
          <w:sz w:val="18"/>
          <w:szCs w:val="18"/>
          <w:color w:val="auto"/>
        </w:rPr>
      </w:pPr>
      <w:r>
        <w:rPr>
          <w:rFonts w:ascii="Arial" w:cs="Arial" w:eastAsia="Arial" w:hAnsi="Arial"/>
          <w:sz w:val="18"/>
          <w:szCs w:val="18"/>
          <w:color w:val="auto"/>
        </w:rPr>
        <w:t>Heights Capital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48895</wp:posOffset>
            </wp:positionV>
            <wp:extent cx="63290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-1184910</wp:posOffset>
            </wp:positionV>
            <wp:extent cx="63290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-1536700</wp:posOffset>
            </wp:positionV>
            <wp:extent cx="63290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111" w:lineRule="exact"/>
        <w:rPr>
          <w:sz w:val="20"/>
          <w:szCs w:val="20"/>
          <w:color w:val="auto"/>
        </w:rPr>
      </w:pPr>
    </w:p>
    <w:p>
      <w:pPr>
        <w:ind w:left="493"/>
        <w:spacing w:after="0"/>
        <w:rPr>
          <w:sz w:val="20"/>
          <w:szCs w:val="20"/>
          <w:color w:val="auto"/>
        </w:rPr>
      </w:pPr>
      <w:r>
        <w:rPr>
          <w:rFonts w:ascii="Arial" w:cs="Arial" w:eastAsia="Arial" w:hAnsi="Arial"/>
          <w:sz w:val="18"/>
          <w:szCs w:val="18"/>
          <w:color w:val="auto"/>
        </w:rPr>
        <w:t>Address of Principal Business Office or, if none, Residence</w:t>
      </w:r>
    </w:p>
    <w:p>
      <w:pPr>
        <w:spacing w:after="0" w:line="23" w:lineRule="exact"/>
        <w:rPr>
          <w:sz w:val="20"/>
          <w:szCs w:val="20"/>
          <w:color w:val="auto"/>
        </w:rPr>
      </w:pPr>
    </w:p>
    <w:p>
      <w:pPr>
        <w:ind w:left="493"/>
        <w:spacing w:after="0"/>
        <w:rPr>
          <w:sz w:val="20"/>
          <w:szCs w:val="20"/>
          <w:color w:val="auto"/>
        </w:rPr>
      </w:pPr>
      <w:r>
        <w:rPr>
          <w:rFonts w:ascii="Arial" w:cs="Arial" w:eastAsia="Arial" w:hAnsi="Arial"/>
          <w:sz w:val="18"/>
          <w:szCs w:val="18"/>
          <w:color w:val="auto"/>
        </w:rPr>
        <w:t>The address of the principal business office of CVI Investments, Inc. is:</w:t>
      </w:r>
    </w:p>
    <w:p>
      <w:pPr>
        <w:spacing w:after="0" w:line="211" w:lineRule="exact"/>
        <w:rPr>
          <w:sz w:val="20"/>
          <w:szCs w:val="20"/>
          <w:color w:val="auto"/>
        </w:rPr>
      </w:pPr>
    </w:p>
    <w:p>
      <w:pPr>
        <w:ind w:left="493"/>
        <w:spacing w:after="0"/>
        <w:rPr>
          <w:sz w:val="20"/>
          <w:szCs w:val="20"/>
          <w:color w:val="auto"/>
        </w:rPr>
      </w:pPr>
      <w:r>
        <w:rPr>
          <w:rFonts w:ascii="Arial" w:cs="Arial" w:eastAsia="Arial" w:hAnsi="Arial"/>
          <w:sz w:val="18"/>
          <w:szCs w:val="18"/>
          <w:color w:val="auto"/>
        </w:rPr>
        <w:t>P.O. Box 309GT</w:t>
      </w:r>
    </w:p>
    <w:p>
      <w:pPr>
        <w:spacing w:after="0" w:line="23" w:lineRule="exact"/>
        <w:rPr>
          <w:sz w:val="20"/>
          <w:szCs w:val="20"/>
          <w:color w:val="auto"/>
        </w:rPr>
      </w:pPr>
    </w:p>
    <w:p>
      <w:pPr>
        <w:ind w:left="493"/>
        <w:spacing w:after="0"/>
        <w:rPr>
          <w:sz w:val="20"/>
          <w:szCs w:val="20"/>
          <w:color w:val="auto"/>
        </w:rPr>
      </w:pPr>
      <w:r>
        <w:rPr>
          <w:rFonts w:ascii="Arial" w:cs="Arial" w:eastAsia="Arial" w:hAnsi="Arial"/>
          <w:sz w:val="18"/>
          <w:szCs w:val="18"/>
          <w:color w:val="auto"/>
        </w:rPr>
        <w:t>Ugland House</w:t>
      </w:r>
    </w:p>
    <w:p>
      <w:pPr>
        <w:spacing w:after="0" w:line="9" w:lineRule="exact"/>
        <w:rPr>
          <w:sz w:val="20"/>
          <w:szCs w:val="20"/>
          <w:color w:val="auto"/>
        </w:rPr>
      </w:pPr>
    </w:p>
    <w:p>
      <w:pPr>
        <w:ind w:left="493"/>
        <w:spacing w:after="0"/>
        <w:rPr>
          <w:sz w:val="20"/>
          <w:szCs w:val="20"/>
          <w:color w:val="auto"/>
        </w:rPr>
      </w:pPr>
      <w:r>
        <w:rPr>
          <w:rFonts w:ascii="Arial" w:cs="Arial" w:eastAsia="Arial" w:hAnsi="Arial"/>
          <w:sz w:val="18"/>
          <w:szCs w:val="18"/>
          <w:color w:val="auto"/>
        </w:rPr>
        <w:t>South Church Street</w:t>
      </w:r>
    </w:p>
    <w:p>
      <w:pPr>
        <w:spacing w:after="0" w:line="9" w:lineRule="exact"/>
        <w:rPr>
          <w:sz w:val="20"/>
          <w:szCs w:val="20"/>
          <w:color w:val="auto"/>
        </w:rPr>
      </w:pPr>
    </w:p>
    <w:p>
      <w:pPr>
        <w:ind w:left="493"/>
        <w:spacing w:after="0"/>
        <w:rPr>
          <w:sz w:val="20"/>
          <w:szCs w:val="20"/>
          <w:color w:val="auto"/>
        </w:rPr>
      </w:pPr>
      <w:r>
        <w:rPr>
          <w:rFonts w:ascii="Arial" w:cs="Arial" w:eastAsia="Arial" w:hAnsi="Arial"/>
          <w:sz w:val="18"/>
          <w:szCs w:val="18"/>
          <w:color w:val="auto"/>
        </w:rPr>
        <w:t>George Town</w:t>
      </w:r>
    </w:p>
    <w:p>
      <w:pPr>
        <w:spacing w:after="0" w:line="9" w:lineRule="exact"/>
        <w:rPr>
          <w:sz w:val="20"/>
          <w:szCs w:val="20"/>
          <w:color w:val="auto"/>
        </w:rPr>
      </w:pPr>
    </w:p>
    <w:p>
      <w:pPr>
        <w:ind w:left="493"/>
        <w:spacing w:after="0"/>
        <w:rPr>
          <w:sz w:val="20"/>
          <w:szCs w:val="20"/>
          <w:color w:val="auto"/>
        </w:rPr>
      </w:pPr>
      <w:r>
        <w:rPr>
          <w:rFonts w:ascii="Arial" w:cs="Arial" w:eastAsia="Arial" w:hAnsi="Arial"/>
          <w:sz w:val="18"/>
          <w:szCs w:val="18"/>
          <w:color w:val="auto"/>
        </w:rPr>
        <w:t>Grand Cayman</w:t>
      </w:r>
    </w:p>
    <w:p>
      <w:pPr>
        <w:spacing w:after="0" w:line="9" w:lineRule="exact"/>
        <w:rPr>
          <w:sz w:val="20"/>
          <w:szCs w:val="20"/>
          <w:color w:val="auto"/>
        </w:rPr>
      </w:pPr>
    </w:p>
    <w:p>
      <w:pPr>
        <w:ind w:left="493"/>
        <w:spacing w:after="0"/>
        <w:rPr>
          <w:sz w:val="20"/>
          <w:szCs w:val="20"/>
          <w:color w:val="auto"/>
        </w:rPr>
      </w:pPr>
      <w:r>
        <w:rPr>
          <w:rFonts w:ascii="Arial" w:cs="Arial" w:eastAsia="Arial" w:hAnsi="Arial"/>
          <w:sz w:val="18"/>
          <w:szCs w:val="18"/>
          <w:color w:val="auto"/>
        </w:rPr>
        <w:t>KY1-1104</w:t>
      </w:r>
    </w:p>
    <w:p>
      <w:pPr>
        <w:spacing w:after="0" w:line="9" w:lineRule="exact"/>
        <w:rPr>
          <w:sz w:val="20"/>
          <w:szCs w:val="20"/>
          <w:color w:val="auto"/>
        </w:rPr>
      </w:pPr>
    </w:p>
    <w:p>
      <w:pPr>
        <w:ind w:left="493"/>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ind w:left="493"/>
        <w:spacing w:after="0"/>
        <w:rPr>
          <w:sz w:val="20"/>
          <w:szCs w:val="20"/>
          <w:color w:val="auto"/>
        </w:rPr>
      </w:pPr>
      <w:r>
        <w:rPr>
          <w:rFonts w:ascii="Arial" w:cs="Arial" w:eastAsia="Arial" w:hAnsi="Arial"/>
          <w:sz w:val="18"/>
          <w:szCs w:val="18"/>
          <w:color w:val="auto"/>
        </w:rPr>
        <w:t>The address of the principal business office of Heights Capital Management, Inc. is:</w:t>
      </w:r>
    </w:p>
    <w:p>
      <w:pPr>
        <w:spacing w:after="0" w:line="225" w:lineRule="exact"/>
        <w:rPr>
          <w:sz w:val="20"/>
          <w:szCs w:val="20"/>
          <w:color w:val="auto"/>
        </w:rPr>
      </w:pPr>
    </w:p>
    <w:p>
      <w:pPr>
        <w:ind w:left="493"/>
        <w:spacing w:after="0"/>
        <w:rPr>
          <w:sz w:val="20"/>
          <w:szCs w:val="20"/>
          <w:color w:val="auto"/>
        </w:rPr>
      </w:pPr>
      <w:r>
        <w:rPr>
          <w:rFonts w:ascii="Arial" w:cs="Arial" w:eastAsia="Arial" w:hAnsi="Arial"/>
          <w:sz w:val="18"/>
          <w:szCs w:val="18"/>
          <w:color w:val="auto"/>
        </w:rPr>
        <w:t>101 California Street, Suite 3250</w:t>
      </w:r>
    </w:p>
    <w:p>
      <w:pPr>
        <w:spacing w:after="0" w:line="23" w:lineRule="exact"/>
        <w:rPr>
          <w:sz w:val="20"/>
          <w:szCs w:val="20"/>
          <w:color w:val="auto"/>
        </w:rPr>
      </w:pPr>
    </w:p>
    <w:p>
      <w:pPr>
        <w:ind w:left="493"/>
        <w:spacing w:after="0"/>
        <w:rPr>
          <w:sz w:val="20"/>
          <w:szCs w:val="20"/>
          <w:color w:val="auto"/>
        </w:rPr>
      </w:pPr>
      <w:r>
        <w:rPr>
          <w:rFonts w:ascii="Arial" w:cs="Arial" w:eastAsia="Arial" w:hAnsi="Arial"/>
          <w:sz w:val="18"/>
          <w:szCs w:val="18"/>
          <w:color w:val="auto"/>
        </w:rPr>
        <w:t>San Francisco, California 94111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40005</wp:posOffset>
            </wp:positionV>
            <wp:extent cx="63290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96" w:lineRule="exact"/>
        <w:rPr>
          <w:sz w:val="20"/>
          <w:szCs w:val="20"/>
          <w:color w:val="auto"/>
        </w:rPr>
      </w:pPr>
    </w:p>
    <w:p>
      <w:pPr>
        <w:ind w:left="493"/>
        <w:spacing w:after="0"/>
        <w:rPr>
          <w:sz w:val="20"/>
          <w:szCs w:val="20"/>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493" w:right="380"/>
        <w:spacing w:after="0" w:line="261" w:lineRule="auto"/>
        <w:rPr>
          <w:sz w:val="20"/>
          <w:szCs w:val="20"/>
          <w:color w:val="auto"/>
        </w:rPr>
      </w:pPr>
      <w:r>
        <w:rPr>
          <w:rFonts w:ascii="Arial" w:cs="Arial" w:eastAsia="Arial" w:hAnsi="Arial"/>
          <w:sz w:val="18"/>
          <w:szCs w:val="18"/>
          <w:color w:val="auto"/>
        </w:rPr>
        <w:t>Citizenship is set forth in Row 4 of the cover page for each Reporting Person hereto and is incorporated herein by reference for each such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22860</wp:posOffset>
            </wp:positionV>
            <wp:extent cx="63290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72" w:lineRule="exact"/>
        <w:rPr>
          <w:sz w:val="20"/>
          <w:szCs w:val="20"/>
          <w:color w:val="auto"/>
        </w:rPr>
      </w:pPr>
    </w:p>
    <w:p>
      <w:pPr>
        <w:sectPr>
          <w:pgSz w:w="11900" w:h="16860" w:orient="portrait"/>
          <w:cols w:equalWidth="0" w:num="2">
            <w:col w:w="872" w:space="127"/>
            <w:col w:w="10413"/>
          </w:cols>
          <w:pgMar w:left="248" w:top="125" w:right="239" w:bottom="0" w:gutter="0" w:footer="0" w:header="0"/>
          <w:type w:val="continuous"/>
        </w:sectPr>
      </w:pPr>
    </w:p>
    <w:tbl>
      <w:tblPr>
        <w:tblLayout w:type="fixed"/>
        <w:tblInd w:w="112"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9960" w:type="dxa"/>
            <w:vAlign w:val="bottom"/>
          </w:tcPr>
          <w:p>
            <w:pPr>
              <w:ind w:left="40"/>
              <w:spacing w:after="0"/>
              <w:rPr>
                <w:sz w:val="20"/>
                <w:szCs w:val="20"/>
                <w:color w:val="auto"/>
              </w:rPr>
            </w:pPr>
            <w:r>
              <w:rPr>
                <w:rFonts w:ascii="Arial" w:cs="Arial" w:eastAsia="Arial" w:hAnsi="Arial"/>
                <w:sz w:val="18"/>
                <w:szCs w:val="18"/>
                <w:color w:val="auto"/>
              </w:rPr>
              <w:t>Title of Class of Securities</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9960" w:type="dxa"/>
            <w:vAlign w:val="bottom"/>
          </w:tcPr>
          <w:p>
            <w:pPr>
              <w:ind w:left="40"/>
              <w:spacing w:after="0"/>
              <w:rPr>
                <w:sz w:val="20"/>
                <w:szCs w:val="20"/>
                <w:color w:val="auto"/>
              </w:rPr>
            </w:pPr>
            <w:r>
              <w:rPr>
                <w:rFonts w:ascii="Arial" w:cs="Arial" w:eastAsia="Arial" w:hAnsi="Arial"/>
                <w:sz w:val="18"/>
                <w:szCs w:val="18"/>
                <w:color w:val="auto"/>
              </w:rPr>
              <w:t>Ordinary Shares, $.001 par value per share</w:t>
            </w:r>
          </w:p>
        </w:tc>
        <w:tc>
          <w:tcPr>
            <w:tcW w:w="0" w:type="dxa"/>
            <w:vAlign w:val="bottom"/>
          </w:tcPr>
          <w:p>
            <w:pPr>
              <w:spacing w:after="0"/>
              <w:rPr>
                <w:sz w:val="1"/>
                <w:szCs w:val="1"/>
                <w:color w:val="auto"/>
              </w:rPr>
            </w:pPr>
          </w:p>
        </w:tc>
      </w:tr>
      <w:tr>
        <w:trPr>
          <w:trHeight w:val="54"/>
        </w:trPr>
        <w:tc>
          <w:tcPr>
            <w:tcW w:w="1340" w:type="dxa"/>
            <w:vAlign w:val="bottom"/>
            <w:vMerge w:val="restart"/>
          </w:tcPr>
          <w:p>
            <w:pPr>
              <w:spacing w:after="0"/>
              <w:rPr>
                <w:sz w:val="20"/>
                <w:szCs w:val="20"/>
                <w:color w:val="auto"/>
              </w:rPr>
            </w:pPr>
            <w:r>
              <w:rPr>
                <w:rFonts w:ascii="Arial" w:cs="Arial" w:eastAsia="Arial" w:hAnsi="Arial"/>
                <w:sz w:val="18"/>
                <w:szCs w:val="18"/>
                <w:b w:val="1"/>
                <w:bCs w:val="1"/>
                <w:color w:val="auto"/>
              </w:rPr>
              <w:t>Item 2(e)</w:t>
            </w:r>
          </w:p>
        </w:tc>
        <w:tc>
          <w:tcPr>
            <w:tcW w:w="9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340" w:type="dxa"/>
            <w:vAlign w:val="bottom"/>
            <w:vMerge w:val="continue"/>
          </w:tcPr>
          <w:p>
            <w:pPr>
              <w:spacing w:after="0"/>
              <w:rPr>
                <w:sz w:val="21"/>
                <w:szCs w:val="21"/>
                <w:color w:val="auto"/>
              </w:rPr>
            </w:pPr>
          </w:p>
        </w:tc>
        <w:tc>
          <w:tcPr>
            <w:tcW w:w="9960" w:type="dxa"/>
            <w:vAlign w:val="bottom"/>
          </w:tcPr>
          <w:p>
            <w:pPr>
              <w:ind w:left="40"/>
              <w:spacing w:after="0"/>
              <w:rPr>
                <w:sz w:val="20"/>
                <w:szCs w:val="20"/>
                <w:color w:val="auto"/>
              </w:rPr>
            </w:pPr>
            <w:r>
              <w:rPr>
                <w:rFonts w:ascii="Arial" w:cs="Arial" w:eastAsia="Arial" w:hAnsi="Arial"/>
                <w:sz w:val="18"/>
                <w:szCs w:val="18"/>
                <w:color w:val="auto"/>
              </w:rPr>
              <w:t>CUSIP Number</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9960" w:type="dxa"/>
            <w:vAlign w:val="bottom"/>
          </w:tcPr>
          <w:p>
            <w:pPr>
              <w:ind w:left="40"/>
              <w:spacing w:after="0"/>
              <w:rPr>
                <w:sz w:val="20"/>
                <w:szCs w:val="20"/>
                <w:color w:val="auto"/>
              </w:rPr>
            </w:pPr>
            <w:r>
              <w:rPr>
                <w:rFonts w:ascii="Arial" w:cs="Arial" w:eastAsia="Arial" w:hAnsi="Arial"/>
                <w:sz w:val="18"/>
                <w:szCs w:val="18"/>
                <w:color w:val="auto"/>
              </w:rPr>
              <w:t>G48833100</w:t>
            </w: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52"/>
        <w:spacing w:after="0"/>
        <w:tabs>
          <w:tab w:leader="none" w:pos="972"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92" w:hanging="493"/>
        <w:spacing w:after="0"/>
        <w:tabs>
          <w:tab w:leader="none" w:pos="1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92" w:hanging="493"/>
        <w:spacing w:after="0"/>
        <w:tabs>
          <w:tab w:leader="none" w:pos="1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92" w:hanging="493"/>
        <w:spacing w:after="0"/>
        <w:tabs>
          <w:tab w:leader="none" w:pos="1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92" w:hanging="493"/>
        <w:spacing w:after="0"/>
        <w:tabs>
          <w:tab w:leader="none" w:pos="1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92" w:hanging="493"/>
        <w:spacing w:after="0"/>
        <w:tabs>
          <w:tab w:leader="none" w:pos="1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92" w:hanging="493"/>
        <w:spacing w:after="0"/>
        <w:tabs>
          <w:tab w:leader="none" w:pos="1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92" w:hanging="493"/>
        <w:spacing w:after="0"/>
        <w:tabs>
          <w:tab w:leader="none" w:pos="1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492" w:hanging="493"/>
        <w:spacing w:after="0"/>
        <w:tabs>
          <w:tab w:leader="none" w:pos="14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ectPr>
          <w:pgSz w:w="11900" w:h="16860" w:orient="portrait"/>
          <w:cols w:equalWidth="0" w:num="1">
            <w:col w:w="11412"/>
          </w:cols>
          <w:pgMar w:left="248" w:top="125" w:right="239" w:bottom="0" w:gutter="0" w:footer="0" w:header="0"/>
          <w:type w:val="continuous"/>
        </w:sectPr>
      </w:pPr>
    </w:p>
    <w:bookmarkStart w:id="3" w:name="page4"/>
    <w:bookmarkEnd w:id="3"/>
    <w:p>
      <w:pPr>
        <w:spacing w:after="0" w:line="36" w:lineRule="exact"/>
        <w:rPr>
          <w:sz w:val="20"/>
          <w:szCs w:val="20"/>
          <w:color w:val="auto"/>
        </w:rPr>
      </w:pPr>
    </w:p>
    <w:p>
      <w:pPr>
        <w:ind w:left="2020" w:right="80" w:hanging="1013"/>
        <w:spacing w:after="0" w:line="277" w:lineRule="auto"/>
        <w:tabs>
          <w:tab w:leader="none" w:pos="1507" w:val="left"/>
        </w:tabs>
        <w:numPr>
          <w:ilvl w:val="0"/>
          <w:numId w:val="11"/>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500" w:hanging="493"/>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§240.13d-1(b)(1)(ii)(J);</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Group, in accordance with Rule 13d-1(b)(1)(ii)(K). If filing as a non-U.S. institution in accordance with</w:t>
      </w:r>
    </w:p>
    <w:p>
      <w:pPr>
        <w:ind w:left="1000"/>
        <w:spacing w:after="0" w:line="187" w:lineRule="auto"/>
        <w:tabs>
          <w:tab w:leader="none" w:pos="1480" w:val="left"/>
        </w:tabs>
        <w:rPr>
          <w:sz w:val="20"/>
          <w:szCs w:val="20"/>
          <w:color w:val="auto"/>
        </w:rPr>
      </w:pPr>
      <w:r>
        <w:rPr>
          <w:rFonts w:ascii="Arial" w:cs="Arial" w:eastAsia="Arial" w:hAnsi="Arial"/>
          <w:sz w:val="15"/>
          <w:szCs w:val="15"/>
          <w:color w:val="auto"/>
        </w:rPr>
        <w:t>(k)</w:t>
      </w:r>
      <w:r>
        <w:rPr>
          <w:sz w:val="20"/>
          <w:szCs w:val="20"/>
          <w:color w:val="auto"/>
        </w:rPr>
        <w:tab/>
      </w:r>
      <w:r>
        <w:rPr>
          <w:rFonts w:ascii="Arial" w:cs="Arial" w:eastAsia="Arial" w:hAnsi="Arial"/>
          <w:sz w:val="15"/>
          <w:szCs w:val="15"/>
          <w:color w:val="auto"/>
        </w:rPr>
        <w:t>o</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§240.13d-1(b)(1)(ii)(J), please specify the type of institution:____________________________</w:t>
      </w: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60" w:right="280"/>
        <w:spacing w:after="0" w:line="277" w:lineRule="auto"/>
        <w:rPr>
          <w:sz w:val="20"/>
          <w:szCs w:val="20"/>
          <w:color w:val="auto"/>
        </w:rPr>
      </w:pPr>
      <w:r>
        <w:rPr>
          <w:rFonts w:ascii="Arial" w:cs="Arial" w:eastAsia="Arial" w:hAnsi="Arial"/>
          <w:sz w:val="18"/>
          <w:szCs w:val="18"/>
          <w:color w:val="auto"/>
        </w:rPr>
        <w:t>The information required by Items 4(a) – (c) is set forth in Rows 5 – 11 of the cover page for each Reporting Person hereto and is incorporated herein by reference for each such Reporting Person.</w:t>
      </w:r>
    </w:p>
    <w:p>
      <w:pPr>
        <w:spacing w:after="0" w:line="170" w:lineRule="exact"/>
        <w:rPr>
          <w:sz w:val="20"/>
          <w:szCs w:val="20"/>
          <w:color w:val="auto"/>
        </w:rPr>
      </w:pPr>
    </w:p>
    <w:p>
      <w:pPr>
        <w:ind w:left="60" w:right="160"/>
        <w:spacing w:after="0" w:line="259" w:lineRule="auto"/>
        <w:rPr>
          <w:sz w:val="20"/>
          <w:szCs w:val="20"/>
          <w:color w:val="auto"/>
        </w:rPr>
      </w:pPr>
      <w:r>
        <w:rPr>
          <w:rFonts w:ascii="Arial" w:cs="Arial" w:eastAsia="Arial" w:hAnsi="Arial"/>
          <w:sz w:val="18"/>
          <w:szCs w:val="18"/>
          <w:color w:val="auto"/>
        </w:rPr>
        <w:t>The number of Shares reported as beneficially owned consists of Shares issuable upon exercise of warrants to purchase Shares (the “Warrants”). The Warrants are not exercisable to the extent that the total number of Shares then beneficially owned by a Reporting Person and its affiliates and any other persons whose beneficial ownership of Shares would be aggregated with such Reporting Person for purposes of Section 13(d) of the Exchange Act, would exceed 9.99%.</w:t>
      </w:r>
    </w:p>
    <w:p>
      <w:pPr>
        <w:spacing w:after="0" w:line="187" w:lineRule="exact"/>
        <w:rPr>
          <w:sz w:val="20"/>
          <w:szCs w:val="20"/>
          <w:color w:val="auto"/>
        </w:rPr>
      </w:pPr>
    </w:p>
    <w:p>
      <w:pPr>
        <w:ind w:left="60" w:right="80"/>
        <w:spacing w:after="0" w:line="277" w:lineRule="auto"/>
        <w:rPr>
          <w:sz w:val="20"/>
          <w:szCs w:val="20"/>
          <w:color w:val="auto"/>
        </w:rPr>
      </w:pPr>
      <w:r>
        <w:rPr>
          <w:rFonts w:ascii="Arial" w:cs="Arial" w:eastAsia="Arial" w:hAnsi="Arial"/>
          <w:sz w:val="18"/>
          <w:szCs w:val="18"/>
          <w:color w:val="auto"/>
        </w:rPr>
        <w:t>The Company’s Quarterly Report on Form 10-Q for the quarterly period ended September 30, 2017 indicates there were 992,527,349 Shares outstanding as of October 23, 2017.</w:t>
      </w:r>
    </w:p>
    <w:p>
      <w:pPr>
        <w:spacing w:after="0" w:line="170" w:lineRule="exact"/>
        <w:rPr>
          <w:sz w:val="20"/>
          <w:szCs w:val="20"/>
          <w:color w:val="auto"/>
        </w:rPr>
      </w:pPr>
    </w:p>
    <w:p>
      <w:pPr>
        <w:jc w:val="both"/>
        <w:ind w:left="60" w:right="440"/>
        <w:spacing w:after="0" w:line="264" w:lineRule="auto"/>
        <w:rPr>
          <w:sz w:val="20"/>
          <w:szCs w:val="20"/>
          <w:color w:val="auto"/>
        </w:rPr>
      </w:pPr>
      <w:r>
        <w:rPr>
          <w:rFonts w:ascii="Arial" w:cs="Arial" w:eastAsia="Arial" w:hAnsi="Arial"/>
          <w:sz w:val="18"/>
          <w:szCs w:val="18"/>
          <w:color w:val="auto"/>
        </w:rPr>
        <w:t>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39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38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80" w:hanging="112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60" w:firstLine="824"/>
        <w:spacing w:after="0" w:line="264"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60" w:firstLine="824"/>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ectPr>
          <w:pgSz w:w="11900" w:h="16875" w:orient="portrait"/>
          <w:cols w:equalWidth="0" w:num="1">
            <w:col w:w="11340"/>
          </w:cols>
          <w:pgMar w:left="240" w:top="314" w:right="31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Dated: February 9, 2018</w:t>
            </w:r>
          </w:p>
        </w:tc>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CVI INVESTMENTS, INC.</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HEIGHTS CAPITAL MANAGEMENT, INC.</w:t>
            </w:r>
          </w:p>
        </w:tc>
        <w:tc>
          <w:tcPr>
            <w:tcW w:w="40" w:type="dxa"/>
            <w:vAlign w:val="bottom"/>
          </w:tcPr>
          <w:p>
            <w:pPr>
              <w:spacing w:after="0"/>
              <w:rPr>
                <w:sz w:val="24"/>
                <w:szCs w:val="24"/>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By: Heights Capital Management, Inc.</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By:  /s/ Brian Sopinsky</w:t>
            </w:r>
          </w:p>
        </w:tc>
        <w:tc>
          <w:tcPr>
            <w:tcW w:w="40" w:type="dxa"/>
            <w:vAlign w:val="bottom"/>
          </w:tcPr>
          <w:p>
            <w:pPr>
              <w:spacing w:after="0"/>
              <w:rPr>
                <w:sz w:val="24"/>
                <w:szCs w:val="24"/>
                <w:color w:val="auto"/>
              </w:rPr>
            </w:pPr>
          </w:p>
        </w:tc>
      </w:tr>
      <w:tr>
        <w:trPr>
          <w:trHeight w:val="182"/>
        </w:trPr>
        <w:tc>
          <w:tcPr>
            <w:tcW w:w="5620" w:type="dxa"/>
            <w:vAlign w:val="bottom"/>
            <w:gridSpan w:val="2"/>
          </w:tcPr>
          <w:p>
            <w:pPr>
              <w:spacing w:after="0" w:line="182" w:lineRule="exact"/>
              <w:rPr>
                <w:sz w:val="20"/>
                <w:szCs w:val="20"/>
                <w:color w:val="auto"/>
              </w:rPr>
            </w:pPr>
            <w:r>
              <w:rPr>
                <w:rFonts w:ascii="Arial" w:cs="Arial" w:eastAsia="Arial" w:hAnsi="Arial"/>
                <w:sz w:val="18"/>
                <w:szCs w:val="18"/>
                <w:color w:val="auto"/>
                <w:w w:val="97"/>
              </w:rPr>
              <w:t>pursuant to a Limited Power of Attorney, a copy of which was previously</w:t>
            </w:r>
          </w:p>
        </w:tc>
        <w:tc>
          <w:tcPr>
            <w:tcW w:w="660" w:type="dxa"/>
            <w:vAlign w:val="bottom"/>
          </w:tcPr>
          <w:p>
            <w:pPr>
              <w:ind w:left="220"/>
              <w:spacing w:after="0" w:line="182" w:lineRule="exact"/>
              <w:rPr>
                <w:sz w:val="20"/>
                <w:szCs w:val="20"/>
                <w:color w:val="auto"/>
              </w:rPr>
            </w:pPr>
            <w:r>
              <w:rPr>
                <w:rFonts w:ascii="Arial" w:cs="Arial" w:eastAsia="Arial" w:hAnsi="Arial"/>
                <w:sz w:val="18"/>
                <w:szCs w:val="18"/>
                <w:color w:val="auto"/>
                <w:w w:val="79"/>
              </w:rPr>
              <w:t>Name:</w:t>
            </w:r>
          </w:p>
        </w:tc>
        <w:tc>
          <w:tcPr>
            <w:tcW w:w="514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Brian Sopinsky</w:t>
            </w:r>
          </w:p>
        </w:tc>
        <w:tc>
          <w:tcPr>
            <w:tcW w:w="40" w:type="dxa"/>
            <w:vAlign w:val="bottom"/>
          </w:tcPr>
          <w:p>
            <w:pPr>
              <w:spacing w:after="0"/>
              <w:rPr>
                <w:sz w:val="15"/>
                <w:szCs w:val="15"/>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filed</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Title: Secretary</w:t>
            </w:r>
          </w:p>
        </w:tc>
        <w:tc>
          <w:tcPr>
            <w:tcW w:w="4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By:   /s/ Brian Sopinsky</w:t>
            </w:r>
          </w:p>
        </w:tc>
        <w:tc>
          <w:tcPr>
            <w:tcW w:w="6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2"/>
        </w:trPr>
        <w:tc>
          <w:tcPr>
            <w:tcW w:w="500" w:type="dxa"/>
            <w:vAlign w:val="bottom"/>
          </w:tcPr>
          <w:p>
            <w:pPr>
              <w:spacing w:after="0" w:line="182" w:lineRule="exact"/>
              <w:rPr>
                <w:sz w:val="20"/>
                <w:szCs w:val="20"/>
                <w:color w:val="auto"/>
              </w:rPr>
            </w:pPr>
            <w:r>
              <w:rPr>
                <w:rFonts w:ascii="Arial" w:cs="Arial" w:eastAsia="Arial" w:hAnsi="Arial"/>
                <w:sz w:val="18"/>
                <w:szCs w:val="18"/>
                <w:color w:val="auto"/>
                <w:w w:val="90"/>
              </w:rPr>
              <w:t>Name:</w:t>
            </w:r>
          </w:p>
        </w:tc>
        <w:tc>
          <w:tcPr>
            <w:tcW w:w="5120" w:type="dxa"/>
            <w:vAlign w:val="bottom"/>
            <w:tcBorders>
              <w:top w:val="single" w:sz="8" w:color="auto"/>
            </w:tcBorders>
          </w:tcPr>
          <w:p>
            <w:pPr>
              <w:ind w:left="40"/>
              <w:spacing w:after="0" w:line="182" w:lineRule="exact"/>
              <w:rPr>
                <w:sz w:val="20"/>
                <w:szCs w:val="20"/>
                <w:color w:val="auto"/>
              </w:rPr>
            </w:pPr>
            <w:r>
              <w:rPr>
                <w:rFonts w:ascii="Arial" w:cs="Arial" w:eastAsia="Arial" w:hAnsi="Arial"/>
                <w:sz w:val="18"/>
                <w:szCs w:val="18"/>
                <w:color w:val="auto"/>
              </w:rPr>
              <w:t>Brian Sopinsky</w:t>
            </w:r>
          </w:p>
        </w:tc>
        <w:tc>
          <w:tcPr>
            <w:tcW w:w="66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Title: Secretary</w:t>
            </w:r>
          </w:p>
        </w:tc>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6</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00" w:type="dxa"/>
            <w:vAlign w:val="bottom"/>
            <w:tcBorders>
              <w:bottom w:val="single" w:sz="8" w:color="808080"/>
            </w:tcBorders>
          </w:tcPr>
          <w:p>
            <w:pPr>
              <w:spacing w:after="0"/>
              <w:rPr>
                <w:sz w:val="11"/>
                <w:szCs w:val="11"/>
                <w:color w:val="auto"/>
              </w:rPr>
            </w:pPr>
          </w:p>
        </w:tc>
        <w:tc>
          <w:tcPr>
            <w:tcW w:w="5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540" w:type="dxa"/>
            <w:vAlign w:val="bottom"/>
          </w:tcPr>
          <w:p>
            <w:pPr>
              <w:jc w:val="center"/>
              <w:ind w:right="2779"/>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540" w:type="dxa"/>
            <w:vAlign w:val="bottom"/>
          </w:tcPr>
          <w:p>
            <w:pPr>
              <w:ind w:left="30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w:t>
            </w:r>
          </w:p>
        </w:tc>
        <w:tc>
          <w:tcPr>
            <w:tcW w:w="5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99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Limited Power of Attorney*</w:t>
            </w:r>
          </w:p>
        </w:tc>
        <w:tc>
          <w:tcPr>
            <w:tcW w:w="40" w:type="dxa"/>
            <w:vAlign w:val="bottom"/>
          </w:tcPr>
          <w:p>
            <w:pPr>
              <w:spacing w:after="0"/>
              <w:rPr>
                <w:sz w:val="16"/>
                <w:szCs w:val="16"/>
                <w:color w:val="auto"/>
              </w:rPr>
            </w:pPr>
          </w:p>
        </w:tc>
      </w:tr>
      <w:tr>
        <w:trPr>
          <w:trHeight w:val="230"/>
        </w:trPr>
        <w:tc>
          <w:tcPr>
            <w:tcW w:w="640" w:type="dxa"/>
            <w:vAlign w:val="bottom"/>
            <w:gridSpan w:val="2"/>
          </w:tcPr>
          <w:p>
            <w:pPr>
              <w:spacing w:after="0"/>
              <w:rPr>
                <w:sz w:val="20"/>
                <w:szCs w:val="20"/>
                <w:color w:val="auto"/>
              </w:rPr>
            </w:pPr>
            <w:r>
              <w:rPr>
                <w:rFonts w:ascii="Arial" w:cs="Arial" w:eastAsia="Arial" w:hAnsi="Arial"/>
                <w:sz w:val="18"/>
                <w:szCs w:val="18"/>
                <w:color w:val="auto"/>
              </w:rPr>
              <w:t>II</w:t>
            </w:r>
          </w:p>
        </w:tc>
        <w:tc>
          <w:tcPr>
            <w:tcW w:w="520" w:type="dxa"/>
            <w:vAlign w:val="bottom"/>
          </w:tcPr>
          <w:p>
            <w:pPr>
              <w:spacing w:after="0"/>
              <w:rPr>
                <w:sz w:val="20"/>
                <w:szCs w:val="20"/>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Joint Filing Agreement*</w:t>
            </w:r>
          </w:p>
        </w:tc>
        <w:tc>
          <w:tcPr>
            <w:tcW w:w="4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gridSpan w:val="3"/>
          </w:tcPr>
          <w:p>
            <w:pPr>
              <w:spacing w:after="0"/>
              <w:rPr>
                <w:sz w:val="24"/>
                <w:szCs w:val="24"/>
                <w:color w:val="auto"/>
              </w:rPr>
            </w:pPr>
          </w:p>
        </w:tc>
        <w:tc>
          <w:tcPr>
            <w:tcW w:w="8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780" w:type="dxa"/>
            <w:vAlign w:val="bottom"/>
            <w:gridSpan w:val="4"/>
          </w:tcPr>
          <w:p>
            <w:pPr>
              <w:ind w:left="20"/>
              <w:spacing w:after="0"/>
              <w:rPr>
                <w:sz w:val="20"/>
                <w:szCs w:val="20"/>
                <w:color w:val="auto"/>
              </w:rPr>
            </w:pPr>
            <w:r>
              <w:rPr>
                <w:rFonts w:ascii="Arial" w:cs="Arial" w:eastAsia="Arial" w:hAnsi="Arial"/>
                <w:sz w:val="18"/>
                <w:szCs w:val="18"/>
                <w:color w:val="auto"/>
              </w:rPr>
              <w:t>*Previously filed</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780" w:type="dxa"/>
            <w:vAlign w:val="bottom"/>
            <w:gridSpan w:val="4"/>
          </w:tcPr>
          <w:p>
            <w:pPr>
              <w:jc w:val="right"/>
              <w:ind w:right="5579"/>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8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
      <w:numFmt w:val="bullet"/>
      <w:start w:val="1"/>
    </w:lvl>
    <w:lvl w:ilvl="1">
      <w:lvlJc w:val="left"/>
      <w:lvlText w:val="%2"/>
      <w:numFmt w:val="decimal"/>
      <w:start w:val="1"/>
    </w:lvl>
    <w:lvl w:ilvl="2">
      <w:lvlJc w:val="left"/>
      <w:lvlText w:val="(%3)"/>
      <w:numFmt w:val="decimal"/>
      <w:start w:val="7"/>
    </w:lvl>
  </w:abstractNum>
  <w:abstractNum w:abstractNumId="3">
    <w:nsid w:val="79E2A9E3"/>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4">
    <w:nsid w:val="7545E146"/>
    <w:multiLevelType w:val="hybridMultilevel"/>
    <w:lvl w:ilvl="0">
      <w:lvlJc w:val="left"/>
      <w:lvlText w:val="(%1)"/>
      <w:numFmt w:val="decimal"/>
      <w:start w:val="1"/>
    </w:lvl>
    <w:lvl w:ilvl="1">
      <w:lvlJc w:val="left"/>
      <w:lvlText w:val="(%2)"/>
      <w:numFmt w:val="lowerLetter"/>
      <w:start w:val="1"/>
    </w:lvl>
  </w:abstractNum>
  <w:abstractNum w:abstractNumId="5">
    <w:nsid w:val="515F007C"/>
    <w:multiLevelType w:val="hybridMultilevel"/>
    <w:lvl w:ilvl="0">
      <w:lvlJc w:val="left"/>
      <w:lvlText w:val="%1"/>
      <w:numFmt w:val="decimal"/>
      <w:start w:val="1"/>
    </w:lvl>
    <w:lvl w:ilvl="1">
      <w:lvlJc w:val="left"/>
      <w:lvlText w:val="(%2)"/>
      <w:numFmt w:val="decimal"/>
      <w:start w:val="8"/>
    </w:lvl>
  </w:abstractNum>
  <w:abstractNum w:abstractNumId="6">
    <w:nsid w:val="5BD062C2"/>
    <w:multiLevelType w:val="hybridMultilevel"/>
    <w:lvl w:ilvl="0">
      <w:lvlJc w:val="left"/>
      <w:lvlText w:val="(%1)"/>
      <w:numFmt w:val="decimal"/>
      <w:start w:val="9"/>
    </w:lvl>
    <w:lvl w:ilvl="1">
      <w:lvlJc w:val="left"/>
      <w:lvlText w:val="%2"/>
      <w:numFmt w:val="decimal"/>
      <w:start w:val="1"/>
    </w:lvl>
  </w:abstractNum>
  <w:abstractNum w:abstractNumId="7">
    <w:nsid w:val="12200854"/>
    <w:multiLevelType w:val="hybridMultilevel"/>
    <w:lvl w:ilvl="0">
      <w:lvlJc w:val="left"/>
      <w:lvlText w:val="**"/>
      <w:numFmt w:val="bullet"/>
      <w:start w:val="1"/>
    </w:lvl>
    <w:lvl w:ilvl="1">
      <w:lvlJc w:val="left"/>
      <w:lvlText w:val="(%2)"/>
      <w:numFmt w:val="decimal"/>
      <w:start w:val="11"/>
    </w:lvl>
  </w:abstractNum>
  <w:abstractNum w:abstractNumId="8">
    <w:nsid w:val="4DB127F8"/>
    <w:multiLevelType w:val="hybridMultilevel"/>
    <w:lvl w:ilvl="0">
      <w:lvlJc w:val="left"/>
      <w:lvlText w:val="(%1)"/>
      <w:numFmt w:val="lowerLetter"/>
      <w:start w:val="1"/>
    </w:lvl>
    <w:lvl w:ilvl="1">
      <w:lvlJc w:val="left"/>
      <w:lvlText w:val="(%2)"/>
      <w:numFmt w:val="lowerRoman"/>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2019-12-08T10:29:39Z</dcterms:created>
  <dcterms:modified xsi:type="dcterms:W3CDTF">2019-12-08T10:29:39Z</dcterms:modified>
</cp:coreProperties>
</file>