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35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181"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18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08579X101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181"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jc w:val="both"/>
        <w:ind w:right="9720" w:firstLine="8"/>
        <w:spacing w:after="0" w:line="224" w:lineRule="exact"/>
        <w:tabs>
          <w:tab w:leader="none" w:pos="58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4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81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2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Holdings,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401,807 (1)</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0.6% (2)</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60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401,807 shares of common stock, par value $0.001 per share of the Issuer (“Common Stock”).</w:t>
      </w:r>
    </w:p>
    <w:p>
      <w:pPr>
        <w:spacing w:after="0" w:line="225" w:lineRule="exact"/>
        <w:rPr>
          <w:rFonts w:ascii="Arial" w:cs="Arial" w:eastAsia="Arial" w:hAnsi="Arial"/>
          <w:sz w:val="18"/>
          <w:szCs w:val="18"/>
          <w:color w:val="auto"/>
        </w:rPr>
      </w:pPr>
    </w:p>
    <w:p>
      <w:pPr>
        <w:ind w:left="660" w:right="100" w:hanging="607"/>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calculations of percentage ownership herein are based on a total of 69,999,954 shares of Common Stock issued and outstanding as of December 13, 2019, as reported by the Issuer on its Form 8-K filed with the United States Securities Exchange Commission (the “SEC”) on December 18, 2019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3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GP,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401,807 (1)</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4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Value Opportunities Fund GP Ltd.</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401,807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401,807 (1)</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5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Opps Xb Holdco Ltd.</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2,710,524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2,710,524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2,710,524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its capacity as the direct owner of 2,710,524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6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Cascade Investment Fund I,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925,129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925,129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925,129 (1)</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its capacity as the direct owner of 925,129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7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Opportunities Fund Xb Holdings (Delaware),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700,889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700,889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700,889 (1)</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its capacity as the direct owner of 700,889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8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Oaktree Fund GP, LLC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1,626,018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1,626,018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1,626,018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right="2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Opportunities Fund Xb Holdings (Delaware), L.P. and Oaktree Cascade Investment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88"/>
              </w:rPr>
              <w:t>Page 9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Oaktree Fund GP I, L.P.</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Fund GP, LLC and the sole shareholder of Oaktree Value Opportunities Fund GP Ltd., Oaktree Opps Xb Holdco Ltd. and certain funds and accounts (the “</w:t>
      </w:r>
      <w:r>
        <w:rPr>
          <w:rFonts w:ascii="Arial" w:cs="Arial" w:eastAsia="Arial" w:hAnsi="Arial"/>
          <w:sz w:val="18"/>
          <w:szCs w:val="18"/>
          <w:b w:val="1"/>
          <w:bCs w:val="1"/>
          <w:i w:val="1"/>
          <w:iCs w:val="1"/>
          <w:color w:val="auto"/>
        </w:rPr>
        <w:t>Managed Entities</w:t>
      </w:r>
      <w:r>
        <w:rPr>
          <w:rFonts w:ascii="Arial" w:cs="Arial" w:eastAsia="Arial" w:hAnsi="Arial"/>
          <w:sz w:val="18"/>
          <w:szCs w:val="18"/>
          <w:color w:val="auto"/>
        </w:rPr>
        <w:t>”) that, in the aggregate, are the direct owners of 759,007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10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CUSIP No. 08579X101</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6040" w:type="dxa"/>
            <w:vAlign w:val="bottom"/>
            <w:tcBorders>
              <w:right w:val="single" w:sz="8" w:color="auto"/>
            </w:tcBorders>
          </w:tcPr>
          <w:p>
            <w:pPr>
              <w:ind w:left="19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11 of 28</w:t>
            </w:r>
          </w:p>
        </w:tc>
        <w:tc>
          <w:tcPr>
            <w:tcW w:w="0" w:type="dxa"/>
            <w:vAlign w:val="bottom"/>
          </w:tcPr>
          <w:p>
            <w:pPr>
              <w:spacing w:after="0"/>
              <w:rPr>
                <w:sz w:val="1"/>
                <w:szCs w:val="1"/>
                <w:color w:val="auto"/>
              </w:rPr>
            </w:pPr>
          </w:p>
        </w:tc>
      </w:tr>
      <w:tr>
        <w:trPr>
          <w:trHeight w:val="709"/>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17"/>
                <w:szCs w:val="17"/>
                <w:color w:val="auto"/>
              </w:rPr>
            </w:pPr>
          </w:p>
        </w:tc>
        <w:tc>
          <w:tcPr>
            <w:tcW w:w="78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OCM Holdings I, LLC</w:t>
            </w: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7"/>
                <w:szCs w:val="17"/>
                <w:color w:val="auto"/>
              </w:rPr>
            </w:pPr>
          </w:p>
        </w:tc>
        <w:tc>
          <w:tcPr>
            <w:tcW w:w="7880" w:type="dxa"/>
            <w:vAlign w:val="bottom"/>
            <w:gridSpan w:val="4"/>
          </w:tcPr>
          <w:p>
            <w:pPr>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080"/>
              <w:spacing w:after="0" w:line="201" w:lineRule="exact"/>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23"/>
        </w:trPr>
        <w:tc>
          <w:tcPr>
            <w:tcW w:w="400" w:type="dxa"/>
            <w:vAlign w:val="bottom"/>
            <w:tcBorders>
              <w:left w:val="single" w:sz="8" w:color="auto"/>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3"/>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5</w:t>
            </w:r>
          </w:p>
        </w:tc>
        <w:tc>
          <w:tcPr>
            <w:tcW w:w="800" w:type="dxa"/>
            <w:vAlign w:val="bottom"/>
            <w:tcBorders>
              <w:right w:val="single" w:sz="8" w:color="auto"/>
            </w:tcBorders>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6"/>
              </w:rPr>
              <w:t>NUMBER OF</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6</w:t>
            </w:r>
          </w:p>
        </w:tc>
        <w:tc>
          <w:tcPr>
            <w:tcW w:w="800" w:type="dxa"/>
            <w:vAlign w:val="bottom"/>
            <w:tcBorders>
              <w:right w:val="single" w:sz="8" w:color="auto"/>
            </w:tcBorders>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4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 OWNED</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6"/>
              </w:rPr>
              <w:t>BY EACH REPORTING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7</w:t>
            </w:r>
          </w:p>
        </w:tc>
        <w:tc>
          <w:tcPr>
            <w:tcW w:w="800" w:type="dxa"/>
            <w:vAlign w:val="bottom"/>
            <w:tcBorders>
              <w:right w:val="single" w:sz="8" w:color="auto"/>
            </w:tcBorders>
          </w:tcPr>
          <w:p>
            <w:pPr>
              <w:spacing w:after="0"/>
              <w:rPr>
                <w:sz w:val="16"/>
                <w:szCs w:val="16"/>
                <w:color w:val="auto"/>
              </w:rPr>
            </w:pPr>
          </w:p>
        </w:tc>
        <w:tc>
          <w:tcPr>
            <w:tcW w:w="604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PERSON</w:t>
            </w: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0" w:type="dxa"/>
            <w:vAlign w:val="bottom"/>
            <w:tcBorders>
              <w:left w:val="single" w:sz="8" w:color="auto"/>
            </w:tcBorders>
          </w:tcPr>
          <w:p>
            <w:pPr>
              <w:spacing w:after="0"/>
              <w:rPr>
                <w:sz w:val="21"/>
                <w:szCs w:val="21"/>
                <w:color w:val="auto"/>
              </w:rPr>
            </w:pPr>
          </w:p>
        </w:tc>
        <w:tc>
          <w:tcPr>
            <w:tcW w:w="18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WITH</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8</w:t>
            </w:r>
          </w:p>
        </w:tc>
        <w:tc>
          <w:tcPr>
            <w:tcW w:w="800" w:type="dxa"/>
            <w:vAlign w:val="bottom"/>
            <w:tcBorders>
              <w:right w:val="single" w:sz="8" w:color="auto"/>
            </w:tcBorders>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w w:val="91"/>
              </w:rPr>
              <w:t>AGGREGATE AMOUNT</w:t>
            </w:r>
          </w:p>
        </w:tc>
        <w:tc>
          <w:tcPr>
            <w:tcW w:w="6040" w:type="dxa"/>
            <w:vAlign w:val="bottom"/>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5,497,356 (1)</w:t>
            </w:r>
          </w:p>
        </w:tc>
        <w:tc>
          <w:tcPr>
            <w:tcW w:w="8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0"/>
                <w:szCs w:val="20"/>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12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7"/>
              </w:rPr>
              <w:t>Oaktree Holdings, LLC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13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Management, L.P.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3,871,338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360" w:hanging="412"/>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 and Oaktree Opps Xb Holdco Ltd.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14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Management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3,871,338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15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Atlas OCM Holdings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3,871,338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3,871,338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16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Group,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17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Oaktree Capital Group Holdings GP, LLC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18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Brookfield Asset Management Inc.</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4" w:right="2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08579X101</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19 of 28</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Partners Limited</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5,497,356 (1)</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5,497,356 (1)</w:t>
            </w: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4"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08579X101</w:t>
            </w:r>
          </w:p>
        </w:tc>
        <w:tc>
          <w:tcPr>
            <w:tcW w:w="1680" w:type="dxa"/>
            <w:vAlign w:val="bottom"/>
          </w:tcPr>
          <w:p>
            <w:pPr>
              <w:spacing w:after="0"/>
              <w:rPr>
                <w:sz w:val="21"/>
                <w:szCs w:val="21"/>
                <w:color w:val="auto"/>
              </w:rPr>
            </w:pPr>
          </w:p>
        </w:tc>
        <w:tc>
          <w:tcPr>
            <w:tcW w:w="516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20 of 28</w:t>
            </w:r>
          </w:p>
        </w:tc>
      </w:tr>
      <w:tr>
        <w:trPr>
          <w:trHeight w:val="756"/>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516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Weatherford International plc</w:t>
      </w:r>
    </w:p>
    <w:p>
      <w:pPr>
        <w:spacing w:after="0" w:line="221" w:lineRule="exact"/>
        <w:rPr>
          <w:sz w:val="20"/>
          <w:szCs w:val="20"/>
          <w:color w:val="auto"/>
        </w:rPr>
      </w:pPr>
    </w:p>
    <w:p>
      <w:pPr>
        <w:ind w:left="1720" w:hanging="564"/>
        <w:spacing w:after="0"/>
        <w:tabs>
          <w:tab w:leader="none" w:pos="1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Houston, Texas 77056</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229" w:lineRule="exact"/>
        <w:rPr>
          <w:sz w:val="20"/>
          <w:szCs w:val="20"/>
          <w:color w:val="auto"/>
        </w:rPr>
      </w:pPr>
    </w:p>
    <w:p>
      <w:pPr>
        <w:ind w:left="1160" w:right="76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224" w:lineRule="exact"/>
        <w:rPr>
          <w:sz w:val="20"/>
          <w:szCs w:val="20"/>
          <w:color w:val="auto"/>
        </w:rPr>
      </w:pPr>
    </w:p>
    <w:p>
      <w:pPr>
        <w:ind w:left="1720" w:right="40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401,807 shares of Common Stock;</w:t>
      </w:r>
    </w:p>
    <w:p>
      <w:pPr>
        <w:spacing w:after="0" w:line="170" w:lineRule="exact"/>
        <w:rPr>
          <w:rFonts w:ascii="Arial" w:cs="Arial" w:eastAsia="Arial" w:hAnsi="Arial"/>
          <w:sz w:val="18"/>
          <w:szCs w:val="18"/>
          <w:color w:val="auto"/>
        </w:rPr>
      </w:pPr>
    </w:p>
    <w:p>
      <w:pPr>
        <w:ind w:left="1720" w:right="16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70" w:lineRule="exact"/>
        <w:rPr>
          <w:rFonts w:ascii="Arial" w:cs="Arial" w:eastAsia="Arial" w:hAnsi="Arial"/>
          <w:sz w:val="18"/>
          <w:szCs w:val="18"/>
          <w:color w:val="auto"/>
        </w:rPr>
      </w:pPr>
    </w:p>
    <w:p>
      <w:pPr>
        <w:ind w:left="1720" w:right="34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70" w:lineRule="exact"/>
        <w:rPr>
          <w:rFonts w:ascii="Arial" w:cs="Arial" w:eastAsia="Arial" w:hAnsi="Arial"/>
          <w:sz w:val="18"/>
          <w:szCs w:val="18"/>
          <w:color w:val="auto"/>
        </w:rPr>
      </w:pPr>
    </w:p>
    <w:p>
      <w:pPr>
        <w:ind w:left="1720" w:right="12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Opps Xb Holdco Ltd.. a Cayman Islands exempted company (“</w:t>
      </w:r>
      <w:r>
        <w:rPr>
          <w:rFonts w:ascii="Arial" w:cs="Arial" w:eastAsia="Arial" w:hAnsi="Arial"/>
          <w:sz w:val="18"/>
          <w:szCs w:val="18"/>
          <w:b w:val="1"/>
          <w:bCs w:val="1"/>
          <w:i w:val="1"/>
          <w:iCs w:val="1"/>
          <w:color w:val="auto"/>
        </w:rPr>
        <w:t>Xb Holdco</w:t>
      </w:r>
      <w:r>
        <w:rPr>
          <w:rFonts w:ascii="Arial" w:cs="Arial" w:eastAsia="Arial" w:hAnsi="Arial"/>
          <w:sz w:val="18"/>
          <w:szCs w:val="18"/>
          <w:color w:val="auto"/>
        </w:rPr>
        <w:t>”), in its capacity as the direct owner of 2,710,524 shares of Common Stock;</w:t>
      </w:r>
    </w:p>
    <w:p>
      <w:pPr>
        <w:spacing w:after="0" w:line="170" w:lineRule="exact"/>
        <w:rPr>
          <w:rFonts w:ascii="Arial" w:cs="Arial" w:eastAsia="Arial" w:hAnsi="Arial"/>
          <w:sz w:val="18"/>
          <w:szCs w:val="18"/>
          <w:color w:val="auto"/>
        </w:rPr>
      </w:pPr>
    </w:p>
    <w:p>
      <w:pPr>
        <w:ind w:left="1720" w:right="16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Cascade Investment Fund I, L.P., a Delaware limited partnership (“</w:t>
      </w:r>
      <w:r>
        <w:rPr>
          <w:rFonts w:ascii="Arial" w:cs="Arial" w:eastAsia="Arial" w:hAnsi="Arial"/>
          <w:sz w:val="18"/>
          <w:szCs w:val="18"/>
          <w:b w:val="1"/>
          <w:bCs w:val="1"/>
          <w:i w:val="1"/>
          <w:iCs w:val="1"/>
          <w:color w:val="auto"/>
        </w:rPr>
        <w:t>Cascade</w:t>
      </w:r>
      <w:r>
        <w:rPr>
          <w:rFonts w:ascii="Arial" w:cs="Arial" w:eastAsia="Arial" w:hAnsi="Arial"/>
          <w:sz w:val="18"/>
          <w:szCs w:val="18"/>
          <w:color w:val="auto"/>
        </w:rPr>
        <w:t>”), in its capacity as the direct owner of 925,129 Shares;</w:t>
      </w:r>
    </w:p>
    <w:p>
      <w:pPr>
        <w:spacing w:after="0" w:line="166" w:lineRule="exact"/>
        <w:rPr>
          <w:rFonts w:ascii="Arial" w:cs="Arial" w:eastAsia="Arial" w:hAnsi="Arial"/>
          <w:sz w:val="18"/>
          <w:szCs w:val="18"/>
          <w:color w:val="auto"/>
        </w:rPr>
      </w:pPr>
    </w:p>
    <w:p>
      <w:pPr>
        <w:ind w:left="1720" w:right="440" w:hanging="564"/>
        <w:spacing w:after="0" w:line="282"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Opportunities Fund Xb Holdings (Delaware), L.P., a Delaware limited partnership (“</w:t>
      </w:r>
      <w:r>
        <w:rPr>
          <w:rFonts w:ascii="Arial" w:cs="Arial" w:eastAsia="Arial" w:hAnsi="Arial"/>
          <w:sz w:val="18"/>
          <w:szCs w:val="18"/>
          <w:b w:val="1"/>
          <w:bCs w:val="1"/>
          <w:i w:val="1"/>
          <w:iCs w:val="1"/>
          <w:color w:val="auto"/>
        </w:rPr>
        <w:t>Xb Holdings</w:t>
      </w:r>
      <w:r>
        <w:rPr>
          <w:rFonts w:ascii="Arial" w:cs="Arial" w:eastAsia="Arial" w:hAnsi="Arial"/>
          <w:sz w:val="18"/>
          <w:szCs w:val="18"/>
          <w:b w:val="1"/>
          <w:bCs w:val="1"/>
          <w:color w:val="auto"/>
        </w:rPr>
        <w:t>)</w:t>
      </w:r>
      <w:r>
        <w:rPr>
          <w:rFonts w:ascii="Arial" w:cs="Arial" w:eastAsia="Arial" w:hAnsi="Arial"/>
          <w:sz w:val="18"/>
          <w:szCs w:val="18"/>
          <w:color w:val="auto"/>
        </w:rPr>
        <w:t>, in its capacity as the direct owner of 700,889 shares of Common Stock;</w:t>
      </w:r>
    </w:p>
    <w:p>
      <w:pPr>
        <w:spacing w:after="0" w:line="165" w:lineRule="exact"/>
        <w:rPr>
          <w:rFonts w:ascii="Arial" w:cs="Arial" w:eastAsia="Arial" w:hAnsi="Arial"/>
          <w:sz w:val="18"/>
          <w:szCs w:val="18"/>
          <w:color w:val="auto"/>
        </w:rPr>
      </w:pPr>
    </w:p>
    <w:p>
      <w:pPr>
        <w:ind w:left="1720" w:right="14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Fund GP, LLC, a Delaware limited liability company (“</w:t>
      </w:r>
      <w:r>
        <w:rPr>
          <w:rFonts w:ascii="Arial" w:cs="Arial" w:eastAsia="Arial" w:hAnsi="Arial"/>
          <w:sz w:val="18"/>
          <w:szCs w:val="18"/>
          <w:b w:val="1"/>
          <w:bCs w:val="1"/>
          <w:i w:val="1"/>
          <w:iCs w:val="1"/>
          <w:color w:val="auto"/>
        </w:rPr>
        <w:t>Fund GP</w:t>
      </w:r>
      <w:r>
        <w:rPr>
          <w:rFonts w:ascii="Arial" w:cs="Arial" w:eastAsia="Arial" w:hAnsi="Arial"/>
          <w:sz w:val="18"/>
          <w:szCs w:val="18"/>
          <w:color w:val="auto"/>
        </w:rPr>
        <w:t>”), in its capacity as the general partner of Cascade and Xb Holdings;</w:t>
      </w:r>
    </w:p>
    <w:p>
      <w:pPr>
        <w:spacing w:after="0" w:line="129" w:lineRule="exact"/>
        <w:rPr>
          <w:rFonts w:ascii="Arial" w:cs="Arial" w:eastAsia="Arial" w:hAnsi="Arial"/>
          <w:sz w:val="18"/>
          <w:szCs w:val="18"/>
          <w:color w:val="auto"/>
        </w:rPr>
      </w:pPr>
    </w:p>
    <w:p>
      <w:pPr>
        <w:ind w:left="1720" w:right="220" w:hanging="564"/>
        <w:spacing w:after="0" w:line="264"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managing member of Fund GP, the sole shareholder of VOF GP Ltd., Xb Holdco and the Managed Entities that, in the aggregate, are the direct owners of 759,007 shares of Common Stock;</w:t>
      </w:r>
    </w:p>
    <w:p>
      <w:pPr>
        <w:spacing w:after="0" w:line="140" w:lineRule="exact"/>
        <w:rPr>
          <w:rFonts w:ascii="Arial" w:cs="Arial" w:eastAsia="Arial" w:hAnsi="Arial"/>
          <w:sz w:val="18"/>
          <w:szCs w:val="18"/>
          <w:color w:val="auto"/>
        </w:rPr>
      </w:pPr>
    </w:p>
    <w:p>
      <w:pPr>
        <w:ind w:left="1720" w:hanging="564"/>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236" w:lineRule="exact"/>
        <w:rPr>
          <w:rFonts w:ascii="Arial" w:cs="Arial" w:eastAsia="Arial" w:hAnsi="Arial"/>
          <w:sz w:val="17"/>
          <w:szCs w:val="17"/>
          <w:color w:val="auto"/>
        </w:rPr>
      </w:pPr>
    </w:p>
    <w:p>
      <w:pPr>
        <w:ind w:left="1720" w:right="26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Holdings, LLC, a Delaware limited liability company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in its capacity as the managing member of Holdings I; and</w:t>
      </w:r>
    </w:p>
    <w:p>
      <w:pPr>
        <w:spacing w:after="0" w:line="129" w:lineRule="exact"/>
        <w:rPr>
          <w:rFonts w:ascii="Arial" w:cs="Arial" w:eastAsia="Arial" w:hAnsi="Arial"/>
          <w:sz w:val="18"/>
          <w:szCs w:val="18"/>
          <w:color w:val="auto"/>
        </w:rPr>
      </w:pPr>
    </w:p>
    <w:p>
      <w:pPr>
        <w:ind w:left="1720" w:right="220" w:hanging="564"/>
        <w:spacing w:after="0" w:line="277"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 and Xb Holdco and as the duly appointed investment manager of the Managed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08579X101</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21 of 28</w:t>
            </w:r>
          </w:p>
        </w:tc>
      </w:tr>
    </w:tbl>
    <w:p>
      <w:pPr>
        <w:spacing w:after="0" w:line="200" w:lineRule="exact"/>
        <w:rPr>
          <w:sz w:val="20"/>
          <w:szCs w:val="20"/>
          <w:color w:val="auto"/>
        </w:rPr>
      </w:pPr>
    </w:p>
    <w:p>
      <w:pPr>
        <w:spacing w:after="0" w:line="326" w:lineRule="exact"/>
        <w:rPr>
          <w:sz w:val="20"/>
          <w:szCs w:val="20"/>
          <w:color w:val="auto"/>
        </w:rPr>
      </w:pPr>
    </w:p>
    <w:p>
      <w:pPr>
        <w:ind w:left="1720" w:right="40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70" w:lineRule="exact"/>
        <w:rPr>
          <w:rFonts w:ascii="Arial" w:cs="Arial" w:eastAsia="Arial" w:hAnsi="Arial"/>
          <w:sz w:val="18"/>
          <w:szCs w:val="18"/>
          <w:color w:val="auto"/>
        </w:rPr>
      </w:pPr>
    </w:p>
    <w:p>
      <w:pPr>
        <w:ind w:left="1720" w:right="82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29" w:lineRule="exact"/>
        <w:rPr>
          <w:rFonts w:ascii="Arial" w:cs="Arial" w:eastAsia="Arial" w:hAnsi="Arial"/>
          <w:sz w:val="18"/>
          <w:szCs w:val="18"/>
          <w:color w:val="auto"/>
        </w:rPr>
      </w:pPr>
    </w:p>
    <w:p>
      <w:pPr>
        <w:ind w:left="1720" w:hanging="564"/>
        <w:spacing w:after="0"/>
        <w:tabs>
          <w:tab w:leader="none" w:pos="1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Oaktree Capital Group, LLC, a Delaware limited liability company (“</w:t>
      </w:r>
      <w:r>
        <w:rPr>
          <w:rFonts w:ascii="Arial" w:cs="Arial" w:eastAsia="Arial" w:hAnsi="Arial"/>
          <w:sz w:val="17"/>
          <w:szCs w:val="17"/>
          <w:b w:val="1"/>
          <w:bCs w:val="1"/>
          <w:i w:val="1"/>
          <w:iCs w:val="1"/>
          <w:color w:val="auto"/>
        </w:rPr>
        <w:t>OCG</w:t>
      </w:r>
      <w:r>
        <w:rPr>
          <w:rFonts w:ascii="Arial" w:cs="Arial" w:eastAsia="Arial" w:hAnsi="Arial"/>
          <w:sz w:val="17"/>
          <w:szCs w:val="17"/>
          <w:color w:val="auto"/>
        </w:rPr>
        <w:t>”), in its capacity as the managing member of Holdings;</w:t>
      </w:r>
    </w:p>
    <w:p>
      <w:pPr>
        <w:spacing w:after="0" w:line="196" w:lineRule="exact"/>
        <w:rPr>
          <w:rFonts w:ascii="Arial" w:cs="Arial" w:eastAsia="Arial" w:hAnsi="Arial"/>
          <w:sz w:val="17"/>
          <w:szCs w:val="17"/>
          <w:color w:val="auto"/>
        </w:rPr>
      </w:pPr>
    </w:p>
    <w:p>
      <w:pPr>
        <w:ind w:left="1720" w:right="12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70" w:lineRule="exact"/>
        <w:rPr>
          <w:rFonts w:ascii="Arial" w:cs="Arial" w:eastAsia="Arial" w:hAnsi="Arial"/>
          <w:sz w:val="18"/>
          <w:szCs w:val="18"/>
          <w:color w:val="auto"/>
        </w:rPr>
      </w:pPr>
    </w:p>
    <w:p>
      <w:pPr>
        <w:ind w:left="1720" w:right="40" w:hanging="564"/>
        <w:spacing w:after="0" w:line="277"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Brookfield Asset Management Inc., a Canadian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Partners Limited, a Canadian corporation (“</w:t>
      </w:r>
      <w:r>
        <w:rPr>
          <w:rFonts w:ascii="Arial" w:cs="Arial" w:eastAsia="Arial" w:hAnsi="Arial"/>
          <w:sz w:val="16"/>
          <w:szCs w:val="16"/>
          <w:b w:val="1"/>
          <w:bCs w:val="1"/>
          <w:i w:val="1"/>
          <w:iCs w:val="1"/>
          <w:color w:val="auto"/>
        </w:rPr>
        <w:t>Partners</w:t>
      </w:r>
      <w:r>
        <w:rPr>
          <w:rFonts w:ascii="Arial" w:cs="Arial" w:eastAsia="Arial" w:hAnsi="Arial"/>
          <w:sz w:val="16"/>
          <w:szCs w:val="16"/>
          <w:color w:val="auto"/>
        </w:rPr>
        <w:t>”), in its capacity as the sole owner of Class B Limited Voting Shares of BAM.</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principal business address of each of the Reporting Persons is 333 S. Grand Avenue, 28th Floor, Los Angeles, CA 90071.</w:t>
      </w:r>
    </w:p>
    <w:p>
      <w:pPr>
        <w:spacing w:after="0" w:line="181" w:lineRule="exact"/>
        <w:rPr>
          <w:sz w:val="20"/>
          <w:szCs w:val="20"/>
          <w:color w:val="auto"/>
        </w:rPr>
      </w:pPr>
    </w:p>
    <w:p>
      <w:pPr>
        <w:ind w:left="1720" w:hanging="564"/>
        <w:spacing w:after="0"/>
        <w:tabs>
          <w:tab w:leader="none" w:pos="1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Common Shares, $0.001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1720" w:hanging="564"/>
        <w:spacing w:after="0"/>
        <w:tabs>
          <w:tab w:leader="none" w:pos="1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08579X101</w:t>
      </w:r>
    </w:p>
    <w:p>
      <w:pPr>
        <w:spacing w:after="0" w:line="279" w:lineRule="exact"/>
        <w:rPr>
          <w:sz w:val="20"/>
          <w:szCs w:val="20"/>
          <w:color w:val="auto"/>
        </w:rPr>
      </w:pPr>
    </w:p>
    <w:p>
      <w:pPr>
        <w:ind w:left="1160" w:right="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66" w:lineRule="exact"/>
        <w:rPr>
          <w:sz w:val="20"/>
          <w:szCs w:val="20"/>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720" w:right="80" w:hanging="564"/>
        <w:spacing w:after="0" w:line="250" w:lineRule="auto"/>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08579X101</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22 of 28</w:t>
            </w:r>
          </w:p>
        </w:tc>
      </w:tr>
      <w:tr>
        <w:trPr>
          <w:trHeight w:val="756"/>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OWNERSHIP</w:t>
            </w:r>
          </w:p>
        </w:tc>
        <w:tc>
          <w:tcPr>
            <w:tcW w:w="68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2"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color w:val="auto"/>
        </w:rPr>
        <w:t>The responses of the Reporting Persons to Rows 5-9 and 11 in each of their respective cover pages to this Schedule 13G are incorporated herein by reference.</w:t>
      </w:r>
    </w:p>
    <w:p>
      <w:pPr>
        <w:spacing w:after="0" w:line="170" w:lineRule="exact"/>
        <w:rPr>
          <w:sz w:val="20"/>
          <w:szCs w:val="20"/>
          <w:color w:val="auto"/>
        </w:rPr>
      </w:pPr>
    </w:p>
    <w:p>
      <w:pPr>
        <w:ind w:left="1160" w:right="740"/>
        <w:spacing w:after="0" w:line="277" w:lineRule="auto"/>
        <w:rPr>
          <w:sz w:val="20"/>
          <w:szCs w:val="20"/>
          <w:color w:val="auto"/>
        </w:rPr>
      </w:pPr>
      <w:r>
        <w:rPr>
          <w:rFonts w:ascii="Arial" w:cs="Arial" w:eastAsia="Arial" w:hAnsi="Arial"/>
          <w:sz w:val="18"/>
          <w:szCs w:val="18"/>
          <w:color w:val="auto"/>
        </w:rPr>
        <w:t>VOF Holdings directly holds 401,807 shares of the Issuer’s Common Stock, constituting approximately 0.6% of the total issued and outstanding Shares and has the sole power to vote and dispose of such shares.</w:t>
      </w:r>
    </w:p>
    <w:p>
      <w:pPr>
        <w:spacing w:after="0" w:line="170" w:lineRule="exact"/>
        <w:rPr>
          <w:sz w:val="20"/>
          <w:szCs w:val="20"/>
          <w:color w:val="auto"/>
        </w:rPr>
      </w:pPr>
    </w:p>
    <w:p>
      <w:pPr>
        <w:ind w:left="1160" w:right="440"/>
        <w:spacing w:after="0" w:line="264"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held by VOF Holdings.</w:t>
      </w:r>
    </w:p>
    <w:p>
      <w:pPr>
        <w:spacing w:after="0" w:line="181" w:lineRule="exact"/>
        <w:rPr>
          <w:sz w:val="20"/>
          <w:szCs w:val="20"/>
          <w:color w:val="auto"/>
        </w:rPr>
      </w:pPr>
    </w:p>
    <w:p>
      <w:pPr>
        <w:jc w:val="both"/>
        <w:ind w:left="1160" w:right="60"/>
        <w:spacing w:after="0" w:line="264" w:lineRule="auto"/>
        <w:rPr>
          <w:sz w:val="20"/>
          <w:szCs w:val="20"/>
          <w:color w:val="auto"/>
        </w:rPr>
      </w:pPr>
      <w:r>
        <w:rPr>
          <w:rFonts w:ascii="Arial" w:cs="Arial" w:eastAsia="Arial" w:hAnsi="Arial"/>
          <w:sz w:val="18"/>
          <w:szCs w:val="18"/>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held by VOF Holdings.</w:t>
      </w:r>
    </w:p>
    <w:p>
      <w:pPr>
        <w:spacing w:after="0" w:line="181" w:lineRule="exact"/>
        <w:rPr>
          <w:sz w:val="20"/>
          <w:szCs w:val="20"/>
          <w:color w:val="auto"/>
        </w:rPr>
      </w:pPr>
    </w:p>
    <w:p>
      <w:pPr>
        <w:ind w:left="1160" w:right="480"/>
        <w:spacing w:after="0" w:line="277" w:lineRule="auto"/>
        <w:rPr>
          <w:sz w:val="20"/>
          <w:szCs w:val="20"/>
          <w:color w:val="auto"/>
        </w:rPr>
      </w:pPr>
      <w:r>
        <w:rPr>
          <w:rFonts w:ascii="Arial" w:cs="Arial" w:eastAsia="Arial" w:hAnsi="Arial"/>
          <w:sz w:val="18"/>
          <w:szCs w:val="18"/>
          <w:color w:val="auto"/>
        </w:rPr>
        <w:t>Xb Holdco directly holds 2,710,524 Shares, constituting approximately 3.9% of the total issued and outstanding Shares and has the sole power to vote and dispose of such shares.</w:t>
      </w:r>
    </w:p>
    <w:p>
      <w:pPr>
        <w:spacing w:after="0" w:line="170" w:lineRule="exact"/>
        <w:rPr>
          <w:sz w:val="20"/>
          <w:szCs w:val="20"/>
          <w:color w:val="auto"/>
        </w:rPr>
      </w:pPr>
    </w:p>
    <w:p>
      <w:pPr>
        <w:ind w:left="1160" w:right="140"/>
        <w:spacing w:after="0" w:line="277" w:lineRule="auto"/>
        <w:rPr>
          <w:sz w:val="20"/>
          <w:szCs w:val="20"/>
          <w:color w:val="auto"/>
        </w:rPr>
      </w:pPr>
      <w:r>
        <w:rPr>
          <w:rFonts w:ascii="Arial" w:cs="Arial" w:eastAsia="Arial" w:hAnsi="Arial"/>
          <w:sz w:val="18"/>
          <w:szCs w:val="18"/>
          <w:color w:val="auto"/>
        </w:rPr>
        <w:t>Cascade directly holds 925,129 Shares, constituting approximately 1.3% of the total issued and outstanding Shares and has the sole power to vote and dispose of such shares.</w:t>
      </w:r>
    </w:p>
    <w:p>
      <w:pPr>
        <w:spacing w:after="0" w:line="170" w:lineRule="exact"/>
        <w:rPr>
          <w:sz w:val="20"/>
          <w:szCs w:val="20"/>
          <w:color w:val="auto"/>
        </w:rPr>
      </w:pPr>
    </w:p>
    <w:p>
      <w:pPr>
        <w:ind w:left="1160" w:right="480"/>
        <w:spacing w:after="0" w:line="277" w:lineRule="auto"/>
        <w:rPr>
          <w:sz w:val="20"/>
          <w:szCs w:val="20"/>
          <w:color w:val="auto"/>
        </w:rPr>
      </w:pPr>
      <w:r>
        <w:rPr>
          <w:rFonts w:ascii="Arial" w:cs="Arial" w:eastAsia="Arial" w:hAnsi="Arial"/>
          <w:sz w:val="18"/>
          <w:szCs w:val="18"/>
          <w:color w:val="auto"/>
        </w:rPr>
        <w:t>Xb Holdings directly holds 700,889 Shares, constituting approximately 1.0% of the total issued and outstanding Shares and has the sole power to vote and dispose of such shares.</w:t>
      </w:r>
    </w:p>
    <w:p>
      <w:pPr>
        <w:spacing w:after="0" w:line="170" w:lineRule="exact"/>
        <w:rPr>
          <w:sz w:val="20"/>
          <w:szCs w:val="20"/>
          <w:color w:val="auto"/>
        </w:rPr>
      </w:pPr>
    </w:p>
    <w:p>
      <w:pPr>
        <w:ind w:left="1160" w:right="340"/>
        <w:spacing w:after="0" w:line="264" w:lineRule="auto"/>
        <w:rPr>
          <w:sz w:val="20"/>
          <w:szCs w:val="20"/>
          <w:color w:val="auto"/>
        </w:rPr>
      </w:pPr>
      <w:r>
        <w:rPr>
          <w:rFonts w:ascii="Arial" w:cs="Arial" w:eastAsia="Arial" w:hAnsi="Arial"/>
          <w:sz w:val="18"/>
          <w:szCs w:val="18"/>
          <w:color w:val="auto"/>
        </w:rPr>
        <w:t>Fund GP, in its capacity as the general partner of Cascade and Xb Holdings, has the ability to direct the management of Cascade’s and Xb Holdings’ business, including the power to vote and dispose of securities held by Cascade and Xb Holdings; therefore Fund GP may be deemed to beneficially own the Shares held by Cascade and Xb Holdings.</w:t>
      </w:r>
    </w:p>
    <w:p>
      <w:pPr>
        <w:spacing w:after="0" w:line="181" w:lineRule="exact"/>
        <w:rPr>
          <w:sz w:val="20"/>
          <w:szCs w:val="20"/>
          <w:color w:val="auto"/>
        </w:rPr>
      </w:pPr>
    </w:p>
    <w:p>
      <w:pPr>
        <w:ind w:left="1160" w:right="240"/>
        <w:spacing w:after="0" w:line="272" w:lineRule="auto"/>
        <w:rPr>
          <w:sz w:val="20"/>
          <w:szCs w:val="20"/>
          <w:color w:val="auto"/>
        </w:rPr>
      </w:pPr>
      <w:r>
        <w:rPr>
          <w:rFonts w:ascii="Arial" w:cs="Arial" w:eastAsia="Arial" w:hAnsi="Arial"/>
          <w:sz w:val="17"/>
          <w:szCs w:val="17"/>
          <w:color w:val="auto"/>
        </w:rPr>
        <w:t>GP I, in its capacity as the sole shareholder of VOF GP Ltd., Xb Holdco and the Managed Funds, has the ability to appoint and remove the directors and direct the management of the business of VOF GP Ltd, Xb Holdco and the Managed Funds, including the power to direct the decisions of VOF GP Ltd., Xb Holdco and the Managed Funds regarding the vote and disposition of securities held by VOF Holdings, Xb Holdco and the Managed Funds. Additionally, GP I, in its capacity as the managing member of Fund GP, has the ability to direct the management of Fund GP’s business, including the power to direct the decisions of Fund GP regarding the vote and disposition of securities held by Cascade and Xb Holdings. Therefore, GP I may be deemed to have indirect beneficial ownership of the Shares held by VOF Holdings, Xb Holdco, the Managed Funds, Cascade and Xb Holdings.</w:t>
      </w:r>
    </w:p>
    <w:p>
      <w:pPr>
        <w:spacing w:after="0" w:line="178"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Capital I, in its capacity as the general partner of GP I, has the ability to direct the management of GP I’s business, including the power to direct the decisions of GP I regarding the vote and disposition of securities held by VOF Holdings, Xb Holdco, the Managed Funds, Cascade and Xb Holdings; therefore, Capital I may be deemed to have indirect beneficial ownership of the Shares held by VOF Holdings, Xb Holdco, the Managed Funds, Cascade and Xb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p>
      <w:pPr>
        <w:spacing w:after="0"/>
        <w:tabs>
          <w:tab w:leader="none" w:pos="4900" w:val="left"/>
          <w:tab w:leader="none" w:pos="10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88900</wp:posOffset>
            </wp:positionV>
            <wp:extent cx="145796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08579X101</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28</w:t>
      </w:r>
    </w:p>
    <w:p>
      <w:pPr>
        <w:sectPr>
          <w:pgSz w:w="11900" w:h="16838" w:orient="portrait"/>
          <w:cols w:equalWidth="0" w:num="1">
            <w:col w:w="11280"/>
          </w:cols>
          <w:pgMar w:left="360" w:top="148" w:right="2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both"/>
        <w:ind w:left="1040" w:right="300"/>
        <w:spacing w:after="0" w:line="259" w:lineRule="auto"/>
        <w:rPr>
          <w:sz w:val="20"/>
          <w:szCs w:val="20"/>
          <w:color w:val="auto"/>
        </w:rPr>
      </w:pPr>
      <w:r>
        <w:rPr>
          <w:rFonts w:ascii="Arial" w:cs="Arial" w:eastAsia="Arial" w:hAnsi="Arial"/>
          <w:sz w:val="18"/>
          <w:szCs w:val="18"/>
          <w:color w:val="auto"/>
        </w:rPr>
        <w:t>Holdings I, in its capacity as the general partner of Capital I, has the ability to direct the management of Capital I’s business, including the power to direct the decisions of Capital I regarding the vote and disposition of securities held by VOF Holdings, Xb Holdco, the Managed Funds, Cascade and Xb Holdings; therefore, Holdings I may be deemed to have indirect beneficial ownership of the Shares held by VOF Holdings, Xb Holdco, the Managed Funds, Cascade and Xb Holdings.</w:t>
      </w:r>
    </w:p>
    <w:p>
      <w:pPr>
        <w:spacing w:after="0" w:line="187" w:lineRule="exact"/>
        <w:rPr>
          <w:sz w:val="20"/>
          <w:szCs w:val="20"/>
          <w:color w:val="auto"/>
        </w:rPr>
      </w:pPr>
    </w:p>
    <w:p>
      <w:pPr>
        <w:ind w:left="1040" w:right="180"/>
        <w:spacing w:after="0" w:line="259" w:lineRule="auto"/>
        <w:rPr>
          <w:sz w:val="20"/>
          <w:szCs w:val="20"/>
          <w:color w:val="auto"/>
        </w:rPr>
      </w:pPr>
      <w:r>
        <w:rPr>
          <w:rFonts w:ascii="Arial" w:cs="Arial" w:eastAsia="Arial" w:hAnsi="Arial"/>
          <w:sz w:val="18"/>
          <w:szCs w:val="18"/>
          <w:color w:val="auto"/>
        </w:rPr>
        <w:t>Holdings, in its capacity as the managing member of Holdings I, has the ability to direct the management of Holding I’s business, including the power to direct the decisions of Holdings I regarding the vote and disposition of securities held by VOF Holdings, Xb Holdco, the Managed Funds, Cascade and Xb Holdings; therefore, Holdings may be deemed to have indirect beneficial ownership of the Shares held by VOF Holdings, Xb Holdco, the Managed Funds, Cascade and Xb Holdings.</w:t>
      </w:r>
    </w:p>
    <w:p>
      <w:pPr>
        <w:spacing w:after="0" w:line="187" w:lineRule="exact"/>
        <w:rPr>
          <w:sz w:val="20"/>
          <w:szCs w:val="20"/>
          <w:color w:val="auto"/>
        </w:rPr>
      </w:pPr>
    </w:p>
    <w:p>
      <w:pPr>
        <w:ind w:left="1040" w:right="180"/>
        <w:spacing w:after="0" w:line="257" w:lineRule="auto"/>
        <w:rPr>
          <w:sz w:val="20"/>
          <w:szCs w:val="20"/>
          <w:color w:val="auto"/>
        </w:rPr>
      </w:pPr>
      <w:r>
        <w:rPr>
          <w:rFonts w:ascii="Arial" w:cs="Arial" w:eastAsia="Arial" w:hAnsi="Arial"/>
          <w:sz w:val="18"/>
          <w:szCs w:val="18"/>
          <w:color w:val="auto"/>
        </w:rPr>
        <w:t>Management, in its capacity as the sole director of VOF GP Ltd. and Xb Holdco and as the duly appointed investment manager of the Managed Entities, has the ability to direct the management of VOF GP Ltd., Xb Holdco and the Managed Entities, including the power to direct the decisions of VOF GP Ltd., Xb Holdco and the Managed Entities regarding the vote and disposition of securities held by VOF Holdings, Xb Holdco and the Managed Entities; therefore, Management may be deemed to have indirect beneficial ownership of the Shares held by VOF Holdings, Xb Holdco and the Managed Entities.</w:t>
      </w:r>
    </w:p>
    <w:p>
      <w:pPr>
        <w:spacing w:after="0" w:line="188" w:lineRule="exact"/>
        <w:rPr>
          <w:sz w:val="20"/>
          <w:szCs w:val="20"/>
          <w:color w:val="auto"/>
        </w:rPr>
      </w:pPr>
    </w:p>
    <w:p>
      <w:pPr>
        <w:ind w:left="1040" w:right="20"/>
        <w:spacing w:after="0" w:line="259" w:lineRule="auto"/>
        <w:rPr>
          <w:sz w:val="20"/>
          <w:szCs w:val="20"/>
          <w:color w:val="auto"/>
        </w:rPr>
      </w:pPr>
      <w:r>
        <w:rPr>
          <w:rFonts w:ascii="Arial" w:cs="Arial" w:eastAsia="Arial" w:hAnsi="Arial"/>
          <w:sz w:val="18"/>
          <w:szCs w:val="18"/>
          <w:color w:val="auto"/>
        </w:rPr>
        <w:t>Management GP, in its capacity as the general partner of Management, has the ability to direct the management of Management’s business, including the power to direct the decisions of Management regarding the vote and disposition of securities held by VOF Holdings, Xb Holdco and the Managed Entities; therefore, Management GP may be deemed to have indirect beneficial ownership of the Shares held by VOF Holdings, Xb Holdco and the Managed Entities.</w:t>
      </w:r>
    </w:p>
    <w:p>
      <w:pPr>
        <w:spacing w:after="0" w:line="187" w:lineRule="exact"/>
        <w:rPr>
          <w:sz w:val="20"/>
          <w:szCs w:val="20"/>
          <w:color w:val="auto"/>
        </w:rPr>
      </w:pPr>
    </w:p>
    <w:p>
      <w:pPr>
        <w:ind w:left="1040" w:right="260"/>
        <w:spacing w:after="0" w:line="259" w:lineRule="auto"/>
        <w:rPr>
          <w:sz w:val="20"/>
          <w:szCs w:val="20"/>
          <w:color w:val="auto"/>
        </w:rPr>
      </w:pPr>
      <w:r>
        <w:rPr>
          <w:rFonts w:ascii="Arial" w:cs="Arial" w:eastAsia="Arial" w:hAnsi="Arial"/>
          <w:sz w:val="18"/>
          <w:szCs w:val="18"/>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GP Ltd., Xb Holdco and the Managed Entities; therefore, Management GP may be deemed to have indirect beneficial ownership of the Shares held by VOF Holdings, Xb Holdco and the Managed Entities.</w:t>
      </w:r>
    </w:p>
    <w:p>
      <w:pPr>
        <w:spacing w:after="0" w:line="187" w:lineRule="exact"/>
        <w:rPr>
          <w:sz w:val="20"/>
          <w:szCs w:val="20"/>
          <w:color w:val="auto"/>
        </w:rPr>
      </w:pPr>
    </w:p>
    <w:p>
      <w:pPr>
        <w:ind w:left="1040" w:right="260"/>
        <w:spacing w:after="0" w:line="259" w:lineRule="auto"/>
        <w:rPr>
          <w:sz w:val="20"/>
          <w:szCs w:val="20"/>
          <w:color w:val="auto"/>
        </w:rPr>
      </w:pPr>
      <w:r>
        <w:rPr>
          <w:rFonts w:ascii="Arial" w:cs="Arial" w:eastAsia="Arial" w:hAnsi="Arial"/>
          <w:sz w:val="18"/>
          <w:szCs w:val="18"/>
          <w:color w:val="auto"/>
        </w:rPr>
        <w:t>OCG, in its capacity as the managing member of Holdings, has the ability to direct the management of Holdings’ business, including the power to direct the decisions of Holdings regarding the vote and disposition of securities held by VOF Holdings, Xb Holdco, the Managed Entities, Cascade and Xb Holdings; therefore, OCG may be deemed to have indirect beneficial ownership of the Shares held by VOF Holdings, Xb Holdco, the Managed Entities, Cascade and Xb Holdings.</w:t>
      </w:r>
    </w:p>
    <w:p>
      <w:pPr>
        <w:spacing w:after="0" w:line="187" w:lineRule="exact"/>
        <w:rPr>
          <w:sz w:val="20"/>
          <w:szCs w:val="20"/>
          <w:color w:val="auto"/>
        </w:rPr>
      </w:pPr>
    </w:p>
    <w:p>
      <w:pPr>
        <w:ind w:left="1040" w:right="40"/>
        <w:spacing w:after="0" w:line="302" w:lineRule="auto"/>
        <w:rPr>
          <w:sz w:val="20"/>
          <w:szCs w:val="20"/>
          <w:color w:val="auto"/>
        </w:rPr>
      </w:pPr>
      <w:r>
        <w:rPr>
          <w:rFonts w:ascii="Arial" w:cs="Arial" w:eastAsia="Arial" w:hAnsi="Arial"/>
          <w:sz w:val="16"/>
          <w:szCs w:val="16"/>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Xb Holdco, the Managed Entities, Cascade and Xb Holdings; therefore, OCGH GP may be deemed to have indirect beneficial ownership of the Shares held by VOF Holdings, Xb Holdco, the Managed Entities, Cascade and Xb Holdings.</w:t>
      </w:r>
    </w:p>
    <w:p>
      <w:pPr>
        <w:spacing w:after="0" w:line="154" w:lineRule="exact"/>
        <w:rPr>
          <w:sz w:val="20"/>
          <w:szCs w:val="20"/>
          <w:color w:val="auto"/>
        </w:rPr>
      </w:pPr>
    </w:p>
    <w:p>
      <w:pPr>
        <w:ind w:left="1040" w:right="460"/>
        <w:spacing w:after="0" w:line="302" w:lineRule="auto"/>
        <w:rPr>
          <w:sz w:val="20"/>
          <w:szCs w:val="20"/>
          <w:color w:val="auto"/>
        </w:rPr>
      </w:pPr>
      <w:r>
        <w:rPr>
          <w:rFonts w:ascii="Arial" w:cs="Arial" w:eastAsia="Arial" w:hAnsi="Arial"/>
          <w:sz w:val="16"/>
          <w:szCs w:val="16"/>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Xb Holdco, the Managed Entities, Cascade and Xb Holdings; therefore BAM may be deemed to have indirect beneficial ownership of the Shares held by VOF Holdings, Xb Holdco, the Managed Entities, Cascade and Xb Holdings.</w:t>
      </w:r>
    </w:p>
    <w:p>
      <w:pPr>
        <w:spacing w:after="0" w:line="154" w:lineRule="exact"/>
        <w:rPr>
          <w:sz w:val="20"/>
          <w:szCs w:val="20"/>
          <w:color w:val="auto"/>
        </w:rPr>
      </w:pPr>
    </w:p>
    <w:p>
      <w:pPr>
        <w:ind w:left="1040"/>
        <w:spacing w:after="0" w:line="279" w:lineRule="auto"/>
        <w:rPr>
          <w:sz w:val="20"/>
          <w:szCs w:val="20"/>
          <w:color w:val="auto"/>
        </w:rPr>
      </w:pPr>
      <w:r>
        <w:rPr>
          <w:rFonts w:ascii="Arial" w:cs="Arial" w:eastAsia="Arial" w:hAnsi="Arial"/>
          <w:sz w:val="17"/>
          <w:szCs w:val="17"/>
          <w:color w:val="auto"/>
        </w:rPr>
        <w:t>Partners, in its capacity as the sole owner of Class B Limited Voting Shares of BAM, has the ability to appoint and remove certain directors of BAM and, as such, may indirectly control the decisions of BAM regarding the vote and disposition of securities held by VOF Holdings, Xb Holdco, the Managed Entities, Cascade and Xb Holdings; therefore Partners may be deemed to have indirect beneficial ownership of the Shares held by VOF Holdings, Xb Holdco, the Managed Entities, Cascade and Xb Holdings.</w:t>
      </w:r>
    </w:p>
    <w:p>
      <w:pPr>
        <w:spacing w:after="0" w:line="171" w:lineRule="exact"/>
        <w:rPr>
          <w:sz w:val="20"/>
          <w:szCs w:val="20"/>
          <w:color w:val="auto"/>
        </w:rPr>
      </w:pPr>
    </w:p>
    <w:p>
      <w:pPr>
        <w:ind w:left="1040" w:right="20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and except to the extent of its pecuniary interest, such beneficial ownership is expressly disclaimed by each Reporting Person.</w:t>
      </w:r>
    </w:p>
    <w:p>
      <w:pPr>
        <w:spacing w:after="0" w:line="171" w:lineRule="exact"/>
        <w:rPr>
          <w:sz w:val="20"/>
          <w:szCs w:val="20"/>
          <w:color w:val="auto"/>
        </w:rPr>
      </w:pPr>
    </w:p>
    <w:p>
      <w:pPr>
        <w:ind w:left="1040" w:right="140"/>
        <w:spacing w:after="0" w:line="277" w:lineRule="auto"/>
        <w:rPr>
          <w:sz w:val="20"/>
          <w:szCs w:val="20"/>
          <w:color w:val="auto"/>
        </w:rPr>
      </w:pPr>
      <w:r>
        <w:rPr>
          <w:rFonts w:ascii="Arial" w:cs="Arial" w:eastAsia="Arial" w:hAnsi="Arial"/>
          <w:sz w:val="18"/>
          <w:szCs w:val="18"/>
          <w:color w:val="auto"/>
        </w:rPr>
        <w:t>All ownership percentages of the securities reported in this Statement are based on 69,999,954 Shares outstanding as of December 13, 2019, as reported by the Issuer on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434340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60" w:top="148" w:right="25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08579X101</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24 of 28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189" w:lineRule="exact"/>
        <w:rPr>
          <w:sz w:val="20"/>
          <w:szCs w:val="20"/>
          <w:color w:val="auto"/>
        </w:rPr>
      </w:pPr>
    </w:p>
    <w:p>
      <w:pPr>
        <w:ind w:left="11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89" w:lineRule="exact"/>
        <w:rPr>
          <w:sz w:val="20"/>
          <w:szCs w:val="20"/>
          <w:color w:val="auto"/>
        </w:rPr>
      </w:pPr>
    </w:p>
    <w:p>
      <w:pPr>
        <w:jc w:val="both"/>
        <w:ind w:left="116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08579X101</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25 of 28</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1" w:lineRule="exact"/>
        <w:rPr>
          <w:sz w:val="20"/>
          <w:szCs w:val="20"/>
          <w:color w:val="auto"/>
        </w:rPr>
      </w:pPr>
    </w:p>
    <w:p>
      <w:pPr>
        <w:ind w:right="60" w:firstLine="64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2020</w:t>
      </w: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L.P.</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L.P.</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LTD.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c>
          <w:tcPr>
            <w:tcW w:w="1040" w:type="dxa"/>
            <w:vAlign w:val="bottom"/>
          </w:tcPr>
          <w:p>
            <w:pPr>
              <w:spacing w:after="0"/>
              <w:rPr>
                <w:sz w:val="18"/>
                <w:szCs w:val="18"/>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0"/>
                <w:szCs w:val="20"/>
                <w:color w:val="auto"/>
              </w:rPr>
            </w:pPr>
          </w:p>
        </w:tc>
      </w:tr>
      <w:tr>
        <w:trPr>
          <w:trHeight w:val="399"/>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c>
          <w:tcPr>
            <w:tcW w:w="1040" w:type="dxa"/>
            <w:vAlign w:val="bottom"/>
          </w:tcPr>
          <w:p>
            <w:pPr>
              <w:spacing w:after="0"/>
              <w:rPr>
                <w:sz w:val="24"/>
                <w:szCs w:val="24"/>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c>
          <w:tcPr>
            <w:tcW w:w="1040" w:type="dxa"/>
            <w:vAlign w:val="bottom"/>
          </w:tcPr>
          <w:p>
            <w:pPr>
              <w:spacing w:after="0"/>
              <w:rPr>
                <w:sz w:val="20"/>
                <w:szCs w:val="20"/>
                <w:color w:val="auto"/>
              </w:rPr>
            </w:pPr>
          </w:p>
        </w:tc>
      </w:tr>
      <w:tr>
        <w:trPr>
          <w:trHeight w:val="723"/>
        </w:trPr>
        <w:tc>
          <w:tcPr>
            <w:tcW w:w="6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4" w:right="239" w:bottom="1440" w:gutter="0" w:footer="0" w:header="0"/>
        </w:sectPr>
      </w:pPr>
    </w:p>
    <w:bookmarkStart w:id="25" w:name="page26"/>
    <w:bookmarkEnd w:id="25"/>
    <w:p>
      <w:pPr>
        <w:spacing w:after="0"/>
        <w:tabs>
          <w:tab w:leader="none" w:pos="4940" w:val="left"/>
          <w:tab w:leader="none" w:pos="10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88900</wp:posOffset>
            </wp:positionV>
            <wp:extent cx="145796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46621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08579X101</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26 of 28</w:t>
      </w:r>
    </w:p>
    <w:p>
      <w:pPr>
        <w:sectPr>
          <w:pgSz w:w="11900" w:h="16838" w:orient="portrait"/>
          <w:cols w:equalWidth="0" w:num="1">
            <w:col w:w="11320"/>
          </w:cols>
          <w:pgMar w:left="320" w:top="148" w:right="259" w:bottom="252" w:gutter="0" w:footer="0" w:header="0"/>
        </w:sect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OPPS XB HOLDCO LTD.</w:t>
      </w:r>
    </w:p>
    <w:p>
      <w:pPr>
        <w:spacing w:after="0" w:line="18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CASCADE INVESTMENT FUND I GP, L.P.</w:t>
      </w:r>
    </w:p>
    <w:p>
      <w:pPr>
        <w:spacing w:after="0" w:line="18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OPPORTUNITIES FUND Xb</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HOLDINGS (DELAWARE), L.P.</w:t>
      </w:r>
    </w:p>
    <w:p>
      <w:pPr>
        <w:spacing w:after="0" w:line="170"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810"/>
        </w:trPr>
        <w:tc>
          <w:tcPr>
            <w:tcW w:w="4660" w:type="dxa"/>
            <w:vAlign w:val="bottom"/>
            <w:gridSpan w:val="2"/>
          </w:tcPr>
          <w:p>
            <w:pPr>
              <w:spacing w:after="0"/>
              <w:rPr>
                <w:sz w:val="20"/>
                <w:szCs w:val="20"/>
                <w:color w:val="auto"/>
              </w:rPr>
            </w:pPr>
            <w:r>
              <w:rPr>
                <w:rFonts w:ascii="Arial" w:cs="Arial" w:eastAsia="Arial" w:hAnsi="Arial"/>
                <w:sz w:val="18"/>
                <w:szCs w:val="18"/>
                <w:color w:val="auto"/>
              </w:rPr>
              <w:t>OAKTREE FUND GP, LLC</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62"/>
        </w:trPr>
        <w:tc>
          <w:tcPr>
            <w:tcW w:w="4660" w:type="dxa"/>
            <w:vAlign w:val="bottom"/>
            <w:gridSpan w:val="2"/>
          </w:tcPr>
          <w:p>
            <w:pPr>
              <w:spacing w:after="0"/>
              <w:rPr>
                <w:sz w:val="20"/>
                <w:szCs w:val="20"/>
                <w:color w:val="auto"/>
              </w:rPr>
            </w:pPr>
            <w:r>
              <w:rPr>
                <w:rFonts w:ascii="Arial" w:cs="Arial" w:eastAsia="Arial" w:hAnsi="Arial"/>
                <w:sz w:val="18"/>
                <w:szCs w:val="18"/>
                <w:color w:val="auto"/>
              </w:rPr>
              <w:t>OAKTREE FUND GP I, L.P.</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OAKTREE CAPITAL I, L.P.</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86"/>
        </w:trPr>
        <w:tc>
          <w:tcPr>
            <w:tcW w:w="4660" w:type="dxa"/>
            <w:vAlign w:val="bottom"/>
            <w:gridSpan w:val="2"/>
          </w:tcPr>
          <w:p>
            <w:pPr>
              <w:spacing w:after="0"/>
              <w:rPr>
                <w:sz w:val="20"/>
                <w:szCs w:val="20"/>
                <w:color w:val="auto"/>
              </w:rPr>
            </w:pPr>
            <w:r>
              <w:rPr>
                <w:rFonts w:ascii="Arial" w:cs="Arial" w:eastAsia="Arial" w:hAnsi="Arial"/>
                <w:sz w:val="18"/>
                <w:szCs w:val="18"/>
                <w:color w:val="auto"/>
              </w:rPr>
              <w:t>OCM HOLDINGS I, LLC</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OAKTREE HOLDINGS, LLC</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320"/>
          </w:cols>
          <w:pgMar w:left="320" w:top="148" w:right="259" w:bottom="252" w:gutter="0" w:footer="0" w:header="0"/>
          <w:type w:val="continuous"/>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ind w:left="80"/>
        <w:spacing w:after="0"/>
        <w:tabs>
          <w:tab w:leader="none" w:pos="502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5946140</wp:posOffset>
            </wp:positionH>
            <wp:positionV relativeFrom="page">
              <wp:posOffset>260350</wp:posOffset>
            </wp:positionV>
            <wp:extent cx="145796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7960" cy="1714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14662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171450"/>
                    </a:xfrm>
                    <a:prstGeom prst="rect">
                      <a:avLst/>
                    </a:prstGeom>
                    <a:noFill/>
                  </pic:spPr>
                </pic:pic>
              </a:graphicData>
            </a:graphic>
          </wp:anchor>
        </w:drawing>
        <w:t>CUSIP No. 08579X101</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27 of 28</w:t>
      </w:r>
    </w:p>
    <w:p>
      <w:pPr>
        <w:sectPr>
          <w:pgSz w:w="11900" w:h="16838" w:orient="portrait"/>
          <w:cols w:equalWidth="0" w:num="1">
            <w:col w:w="11420"/>
          </w:cols>
          <w:pgMar w:left="240" w:top="418"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MANAGEMENT, L.P.</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MANAGEMENT GP, LLC</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Atlas OCM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New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ATLAS OCM HOLDINGS, LLC</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New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08"/>
        </w:trPr>
        <w:tc>
          <w:tcPr>
            <w:tcW w:w="4660" w:type="dxa"/>
            <w:vAlign w:val="bottom"/>
            <w:gridSpan w:val="2"/>
          </w:tcPr>
          <w:p>
            <w:pPr>
              <w:spacing w:after="0"/>
              <w:rPr>
                <w:sz w:val="20"/>
                <w:szCs w:val="20"/>
                <w:color w:val="auto"/>
              </w:rPr>
            </w:pPr>
            <w:r>
              <w:rPr>
                <w:rFonts w:ascii="Arial" w:cs="Arial" w:eastAsia="Arial" w:hAnsi="Arial"/>
                <w:sz w:val="18"/>
                <w:szCs w:val="18"/>
                <w:color w:val="auto"/>
              </w:rPr>
              <w:t>OAKTREE CAPITAL GROUP, LLC</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HOLDINGS GP, LLC</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BROOKFIELD ASSET MANAGEMENT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Beber</w:t>
            </w:r>
          </w:p>
        </w:tc>
        <w:tc>
          <w:tcPr>
            <w:tcW w:w="1040" w:type="dxa"/>
            <w:vAlign w:val="bottom"/>
          </w:tcPr>
          <w:p>
            <w:pPr>
              <w:spacing w:after="0"/>
              <w:rPr>
                <w:sz w:val="20"/>
                <w:szCs w:val="20"/>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Justin Beber</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Legal Officer</w:t>
            </w:r>
          </w:p>
        </w:tc>
        <w:tc>
          <w:tcPr>
            <w:tcW w:w="1040" w:type="dxa"/>
            <w:vAlign w:val="bottom"/>
          </w:tcPr>
          <w:p>
            <w:pPr>
              <w:spacing w:after="0"/>
              <w:rPr>
                <w:sz w:val="20"/>
                <w:szCs w:val="20"/>
                <w:color w:val="auto"/>
              </w:rPr>
            </w:pPr>
          </w:p>
        </w:tc>
      </w:tr>
      <w:tr>
        <w:trPr>
          <w:trHeight w:val="648"/>
        </w:trPr>
        <w:tc>
          <w:tcPr>
            <w:tcW w:w="10380" w:type="dxa"/>
            <w:vAlign w:val="bottom"/>
            <w:gridSpan w:val="2"/>
          </w:tcPr>
          <w:p>
            <w:pPr>
              <w:ind w:left="5720"/>
              <w:spacing w:after="0"/>
              <w:rPr>
                <w:sz w:val="20"/>
                <w:szCs w:val="20"/>
                <w:color w:val="auto"/>
              </w:rPr>
            </w:pPr>
            <w:r>
              <w:rPr>
                <w:rFonts w:ascii="Arial" w:cs="Arial" w:eastAsia="Arial" w:hAnsi="Arial"/>
                <w:sz w:val="18"/>
                <w:szCs w:val="18"/>
                <w:color w:val="auto"/>
              </w:rPr>
              <w:t>PARTNERS LIMITED</w:t>
            </w:r>
          </w:p>
        </w:tc>
        <w:tc>
          <w:tcPr>
            <w:tcW w:w="1040" w:type="dxa"/>
            <w:vAlign w:val="bottom"/>
          </w:tcPr>
          <w:p>
            <w:pPr>
              <w:spacing w:after="0"/>
              <w:rPr>
                <w:sz w:val="24"/>
                <w:szCs w:val="24"/>
                <w:color w:val="auto"/>
              </w:rPr>
            </w:pPr>
          </w:p>
        </w:tc>
      </w:tr>
      <w:tr>
        <w:trPr>
          <w:trHeight w:val="453"/>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c>
          <w:tcPr>
            <w:tcW w:w="1040" w:type="dxa"/>
            <w:vAlign w:val="bottom"/>
          </w:tcPr>
          <w:p>
            <w:pPr>
              <w:spacing w:after="0"/>
              <w:rPr>
                <w:sz w:val="24"/>
                <w:szCs w:val="24"/>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Brian D. Lawson</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0"/>
                <w:szCs w:val="20"/>
                <w:color w:val="auto"/>
              </w:rPr>
            </w:pPr>
          </w:p>
        </w:tc>
      </w:tr>
      <w:tr>
        <w:trPr>
          <w:trHeight w:val="723"/>
        </w:trPr>
        <w:tc>
          <w:tcPr>
            <w:tcW w:w="6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18" w:right="239" w:bottom="1440" w:gutter="0" w:footer="0" w:header="0"/>
          <w:type w:val="continuous"/>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08579X101</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87"/>
              </w:rPr>
              <w:t>Page 28 of 28</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34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00" w:lineRule="exact"/>
        <w:rPr>
          <w:sz w:val="20"/>
          <w:szCs w:val="20"/>
          <w:color w:val="auto"/>
        </w:rPr>
      </w:pPr>
    </w:p>
    <w:p>
      <w:pPr>
        <w:spacing w:after="0" w:line="201" w:lineRule="exact"/>
        <w:rPr>
          <w:sz w:val="20"/>
          <w:szCs w:val="20"/>
          <w:color w:val="auto"/>
        </w:rPr>
      </w:pPr>
    </w:p>
    <w:p>
      <w:pPr>
        <w:ind w:right="60"/>
        <w:spacing w:after="0" w:line="306" w:lineRule="auto"/>
        <w:rPr>
          <w:sz w:val="20"/>
          <w:szCs w:val="20"/>
          <w:color w:val="auto"/>
        </w:rPr>
      </w:pPr>
      <w:r>
        <w:rPr>
          <w:rFonts w:ascii="Arial" w:cs="Arial" w:eastAsia="Arial" w:hAnsi="Arial"/>
          <w:sz w:val="19"/>
          <w:szCs w:val="19"/>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2020</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L.P.</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L.P.</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Value Opportunities Fund GP Ltd.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VALUE OPPORTUNITIES FUND GP LTD.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c>
          <w:tcPr>
            <w:tcW w:w="1040" w:type="dxa"/>
            <w:vAlign w:val="bottom"/>
          </w:tcPr>
          <w:p>
            <w:pPr>
              <w:spacing w:after="0"/>
              <w:rPr>
                <w:sz w:val="18"/>
                <w:szCs w:val="18"/>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0"/>
                <w:szCs w:val="20"/>
                <w:color w:val="auto"/>
              </w:rPr>
            </w:pPr>
          </w:p>
        </w:tc>
      </w:tr>
      <w:tr>
        <w:trPr>
          <w:trHeight w:val="399"/>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c>
          <w:tcPr>
            <w:tcW w:w="1040" w:type="dxa"/>
            <w:vAlign w:val="bottom"/>
          </w:tcPr>
          <w:p>
            <w:pPr>
              <w:spacing w:after="0"/>
              <w:rPr>
                <w:sz w:val="24"/>
                <w:szCs w:val="24"/>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c>
          <w:tcPr>
            <w:tcW w:w="1040" w:type="dxa"/>
            <w:vAlign w:val="bottom"/>
          </w:tcPr>
          <w:p>
            <w:pPr>
              <w:spacing w:after="0"/>
              <w:rPr>
                <w:sz w:val="20"/>
                <w:szCs w:val="20"/>
                <w:color w:val="auto"/>
              </w:rPr>
            </w:pPr>
          </w:p>
        </w:tc>
      </w:tr>
      <w:tr>
        <w:trPr>
          <w:trHeight w:val="453"/>
        </w:trPr>
        <w:tc>
          <w:tcPr>
            <w:tcW w:w="6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80" w:right="239"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color w:val="auto"/>
        </w:rPr>
        <w:t>OAKTREE OPPS XB HOLDCO LTD.</w:t>
      </w:r>
    </w:p>
    <w:p>
      <w:pPr>
        <w:spacing w:after="0" w:line="18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CASCADE INVESTMENT FUND I GP, L.P.</w:t>
      </w:r>
    </w:p>
    <w:p>
      <w:pPr>
        <w:spacing w:after="0" w:line="185"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OPPORTUNITIES FUND Xb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(DELAWARE), L.P.</w:t>
      </w:r>
    </w:p>
    <w:p>
      <w:pPr>
        <w:spacing w:after="0" w:line="170"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540"/>
        </w:trPr>
        <w:tc>
          <w:tcPr>
            <w:tcW w:w="4660" w:type="dxa"/>
            <w:vAlign w:val="bottom"/>
            <w:gridSpan w:val="2"/>
          </w:tcPr>
          <w:p>
            <w:pPr>
              <w:spacing w:after="0"/>
              <w:rPr>
                <w:sz w:val="20"/>
                <w:szCs w:val="20"/>
                <w:color w:val="auto"/>
              </w:rPr>
            </w:pPr>
            <w:r>
              <w:rPr>
                <w:rFonts w:ascii="Arial" w:cs="Arial" w:eastAsia="Arial" w:hAnsi="Arial"/>
                <w:sz w:val="18"/>
                <w:szCs w:val="18"/>
                <w:color w:val="auto"/>
              </w:rPr>
              <w:t>OAKTREE FUND GP, LLC</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Fund GP I, L.P.</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62"/>
        </w:trPr>
        <w:tc>
          <w:tcPr>
            <w:tcW w:w="4660" w:type="dxa"/>
            <w:vAlign w:val="bottom"/>
            <w:gridSpan w:val="2"/>
          </w:tcPr>
          <w:p>
            <w:pPr>
              <w:spacing w:after="0"/>
              <w:rPr>
                <w:sz w:val="20"/>
                <w:szCs w:val="20"/>
                <w:color w:val="auto"/>
              </w:rPr>
            </w:pPr>
            <w:r>
              <w:rPr>
                <w:rFonts w:ascii="Arial" w:cs="Arial" w:eastAsia="Arial" w:hAnsi="Arial"/>
                <w:sz w:val="18"/>
                <w:szCs w:val="18"/>
                <w:color w:val="auto"/>
              </w:rPr>
              <w:t>OAKTREE FUND GP I, L.P.</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OAKTREE CAPITAL I, L.P.</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86"/>
        </w:trPr>
        <w:tc>
          <w:tcPr>
            <w:tcW w:w="4660" w:type="dxa"/>
            <w:vAlign w:val="bottom"/>
            <w:gridSpan w:val="2"/>
          </w:tcPr>
          <w:p>
            <w:pPr>
              <w:spacing w:after="0"/>
              <w:rPr>
                <w:sz w:val="20"/>
                <w:szCs w:val="20"/>
                <w:color w:val="auto"/>
              </w:rPr>
            </w:pPr>
            <w:r>
              <w:rPr>
                <w:rFonts w:ascii="Arial" w:cs="Arial" w:eastAsia="Arial" w:hAnsi="Arial"/>
                <w:sz w:val="18"/>
                <w:szCs w:val="18"/>
                <w:color w:val="auto"/>
              </w:rPr>
              <w:t>OCM HOLDINGS I, LLC</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OAKTREE HOLDINGS, LLC</w:t>
            </w:r>
          </w:p>
        </w:tc>
      </w:tr>
      <w:tr>
        <w:trPr>
          <w:trHeight w:val="3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180"/>
          </w:cols>
          <w:pgMar w:left="1440" w:top="449" w:right="1279" w:bottom="792" w:gutter="0" w:footer="0" w:header="0"/>
        </w:sectPr>
      </w:pPr>
    </w:p>
    <w:bookmarkStart w:id="31" w:name="page32"/>
    <w:bookmarkEnd w:id="31"/>
    <w:p>
      <w:pPr>
        <w:ind w:left="5720"/>
        <w:spacing w:after="0"/>
        <w:rPr>
          <w:sz w:val="20"/>
          <w:szCs w:val="20"/>
          <w:color w:val="auto"/>
        </w:rPr>
      </w:pPr>
      <w:r>
        <w:rPr>
          <w:rFonts w:ascii="Arial" w:cs="Arial" w:eastAsia="Arial" w:hAnsi="Arial"/>
          <w:sz w:val="18"/>
          <w:szCs w:val="18"/>
          <w:color w:val="auto"/>
        </w:rPr>
        <w:t>OAKTREE CAPITAL MANAGEMENT, L.P.</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MANAGEMENT GP, LLC</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Atlas OCM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New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567"/>
        </w:trPr>
        <w:tc>
          <w:tcPr>
            <w:tcW w:w="4660" w:type="dxa"/>
            <w:vAlign w:val="bottom"/>
            <w:gridSpan w:val="2"/>
          </w:tcPr>
          <w:p>
            <w:pPr>
              <w:spacing w:after="0"/>
              <w:rPr>
                <w:sz w:val="20"/>
                <w:szCs w:val="20"/>
                <w:color w:val="auto"/>
              </w:rPr>
            </w:pPr>
            <w:r>
              <w:rPr>
                <w:rFonts w:ascii="Arial" w:cs="Arial" w:eastAsia="Arial" w:hAnsi="Arial"/>
                <w:sz w:val="18"/>
                <w:szCs w:val="18"/>
                <w:color w:val="auto"/>
              </w:rPr>
              <w:t>ATLAS OCM HOLDINGS, LLC</w:t>
            </w:r>
          </w:p>
        </w:tc>
      </w:tr>
      <w:tr>
        <w:trPr>
          <w:trHeight w:val="37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Oaktree New Holdings, LLC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Member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08"/>
        </w:trPr>
        <w:tc>
          <w:tcPr>
            <w:tcW w:w="4660" w:type="dxa"/>
            <w:vAlign w:val="bottom"/>
            <w:gridSpan w:val="2"/>
          </w:tcPr>
          <w:p>
            <w:pPr>
              <w:spacing w:after="0"/>
              <w:rPr>
                <w:sz w:val="20"/>
                <w:szCs w:val="20"/>
                <w:color w:val="auto"/>
              </w:rPr>
            </w:pPr>
            <w:r>
              <w:rPr>
                <w:rFonts w:ascii="Arial" w:cs="Arial" w:eastAsia="Arial" w:hAnsi="Arial"/>
                <w:sz w:val="18"/>
                <w:szCs w:val="18"/>
                <w:color w:val="auto"/>
              </w:rPr>
              <w:t>OAKTREE CAPITAL GROUP, LLC</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OAKTREE CAPITAL GROUP HOLDINGS GP, LLC</w:t>
      </w:r>
    </w:p>
    <w:p>
      <w:pPr>
        <w:spacing w:after="0" w:line="18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Mikes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Jordan Mikes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BROOKFIELD ASSET MANAGEMENT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Beber</w:t>
            </w:r>
          </w:p>
        </w:tc>
        <w:tc>
          <w:tcPr>
            <w:tcW w:w="1040" w:type="dxa"/>
            <w:vAlign w:val="bottom"/>
          </w:tcPr>
          <w:p>
            <w:pPr>
              <w:spacing w:after="0"/>
              <w:rPr>
                <w:sz w:val="20"/>
                <w:szCs w:val="20"/>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Justin Beber</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Legal Officer</w:t>
            </w:r>
          </w:p>
        </w:tc>
        <w:tc>
          <w:tcPr>
            <w:tcW w:w="1040" w:type="dxa"/>
            <w:vAlign w:val="bottom"/>
          </w:tcPr>
          <w:p>
            <w:pPr>
              <w:spacing w:after="0"/>
              <w:rPr>
                <w:sz w:val="20"/>
                <w:szCs w:val="20"/>
                <w:color w:val="auto"/>
              </w:rPr>
            </w:pPr>
          </w:p>
        </w:tc>
      </w:tr>
      <w:tr>
        <w:trPr>
          <w:trHeight w:val="648"/>
        </w:trPr>
        <w:tc>
          <w:tcPr>
            <w:tcW w:w="10380" w:type="dxa"/>
            <w:vAlign w:val="bottom"/>
            <w:gridSpan w:val="2"/>
          </w:tcPr>
          <w:p>
            <w:pPr>
              <w:ind w:left="5720"/>
              <w:spacing w:after="0"/>
              <w:rPr>
                <w:sz w:val="20"/>
                <w:szCs w:val="20"/>
                <w:color w:val="auto"/>
              </w:rPr>
            </w:pPr>
            <w:r>
              <w:rPr>
                <w:rFonts w:ascii="Arial" w:cs="Arial" w:eastAsia="Arial" w:hAnsi="Arial"/>
                <w:sz w:val="18"/>
                <w:szCs w:val="18"/>
                <w:color w:val="auto"/>
              </w:rPr>
              <w:t>PARTNERS LIMITED</w:t>
            </w:r>
          </w:p>
        </w:tc>
        <w:tc>
          <w:tcPr>
            <w:tcW w:w="1040" w:type="dxa"/>
            <w:vAlign w:val="bottom"/>
          </w:tcPr>
          <w:p>
            <w:pPr>
              <w:spacing w:after="0"/>
              <w:rPr>
                <w:sz w:val="24"/>
                <w:szCs w:val="24"/>
                <w:color w:val="auto"/>
              </w:rPr>
            </w:pPr>
          </w:p>
        </w:tc>
      </w:tr>
      <w:tr>
        <w:trPr>
          <w:trHeight w:val="453"/>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c>
          <w:tcPr>
            <w:tcW w:w="1040" w:type="dxa"/>
            <w:vAlign w:val="bottom"/>
          </w:tcPr>
          <w:p>
            <w:pPr>
              <w:spacing w:after="0"/>
              <w:rPr>
                <w:sz w:val="24"/>
                <w:szCs w:val="24"/>
                <w:color w:val="auto"/>
              </w:rPr>
            </w:pP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Brian D. Lawson</w:t>
            </w:r>
          </w:p>
        </w:tc>
        <w:tc>
          <w:tcPr>
            <w:tcW w:w="1040" w:type="dxa"/>
            <w:vAlign w:val="bottom"/>
          </w:tcPr>
          <w:p>
            <w:pPr>
              <w:spacing w:after="0"/>
              <w:rPr>
                <w:sz w:val="17"/>
                <w:szCs w:val="17"/>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0"/>
                <w:szCs w:val="20"/>
                <w:color w:val="auto"/>
              </w:rPr>
            </w:pPr>
          </w:p>
        </w:tc>
      </w:tr>
      <w:tr>
        <w:trPr>
          <w:trHeight w:val="979"/>
        </w:trPr>
        <w:tc>
          <w:tcPr>
            <w:tcW w:w="6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3"/>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2020-02-17T17:37:43Z</dcterms:created>
  <dcterms:modified xsi:type="dcterms:W3CDTF">2020-02-17T17:37:43Z</dcterms:modified>
</cp:coreProperties>
</file>