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Weatherford International plc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G48833118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2020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1240"/>
          </w:cols>
          <w:pgMar w:left="320" w:top="220" w:right="339" w:bottom="1440" w:gutter="0" w:footer="0" w:header="0"/>
        </w:sectPr>
      </w:pPr>
    </w:p>
    <w:p>
      <w:pPr>
        <w:spacing w:after="0" w:line="2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41" w:lineRule="exact"/>
        <w:rPr>
          <w:sz w:val="24"/>
          <w:szCs w:val="24"/>
          <w:color w:val="auto"/>
        </w:rPr>
      </w:pPr>
    </w:p>
    <w:p>
      <w:pPr>
        <w:jc w:val="both"/>
        <w:ind w:firstLine="8"/>
        <w:spacing w:after="0"/>
        <w:tabs>
          <w:tab w:leader="none" w:pos="217"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ind w:left="1360" w:hanging="1190"/>
        <w:spacing w:after="0" w:line="181" w:lineRule="auto"/>
        <w:tabs>
          <w:tab w:leader="none" w:pos="13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3"/>
          <w:szCs w:val="13"/>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68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Yacktman Asset Management LP</w:t>
            </w:r>
          </w:p>
        </w:tc>
        <w:tc>
          <w:tcPr>
            <w:tcW w:w="282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6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4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5460" w:type="dxa"/>
            <w:vAlign w:val="bottom"/>
          </w:tcPr>
          <w:p>
            <w:pPr>
              <w:spacing w:after="0"/>
              <w:rPr>
                <w:sz w:val="20"/>
                <w:szCs w:val="20"/>
                <w:color w:val="auto"/>
              </w:rPr>
            </w:pPr>
            <w:r>
              <w:rPr>
                <w:rFonts w:ascii="Arial" w:cs="Arial" w:eastAsia="Arial" w:hAnsi="Arial"/>
                <w:sz w:val="14"/>
                <w:szCs w:val="14"/>
                <w:color w:val="auto"/>
              </w:rPr>
              <w:t>SOLE VOTING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2,711,845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SHARED VOTING POWER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5,443,901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2,711,845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546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8,155,746</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7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11.6%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right="440" w:hanging="491"/>
        <w:spacing w:after="0" w:line="250"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upon a total of 70,017,356 shares outstanding as of October 21, 2020, as reported on the Issuer’s Form 10-Q, as filed with the SEC on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2" w:name="page3"/>
    <w:bookmarkEnd w:id="2"/>
    <w:p>
      <w:pPr>
        <w:ind w:left="1360" w:hanging="1190"/>
        <w:spacing w:after="0" w:line="239" w:lineRule="auto"/>
        <w:tabs>
          <w:tab w:leader="none" w:pos="1360" w:val="left"/>
        </w:tabs>
        <w:numPr>
          <w:ilvl w:val="0"/>
          <w:numId w:val="6"/>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68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20" w:type="dxa"/>
            <w:vAlign w:val="bottom"/>
            <w:tcBorders>
              <w:bottom w:val="single" w:sz="8" w:color="auto"/>
            </w:tcBorders>
          </w:tcPr>
          <w:p>
            <w:pPr>
              <w:spacing w:after="0"/>
              <w:rPr>
                <w:sz w:val="23"/>
                <w:szCs w:val="23"/>
                <w:color w:val="auto"/>
              </w:rPr>
            </w:pPr>
          </w:p>
        </w:tc>
        <w:tc>
          <w:tcPr>
            <w:tcW w:w="758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AMG Yacktman Fund</w:t>
            </w:r>
          </w:p>
        </w:tc>
        <w:tc>
          <w:tcPr>
            <w:tcW w:w="2840" w:type="dxa"/>
            <w:vAlign w:val="bottom"/>
            <w:tcBorders>
              <w:bottom w:val="single" w:sz="8" w:color="auto"/>
            </w:tcBorders>
          </w:tcPr>
          <w:p>
            <w:pPr>
              <w:spacing w:after="0"/>
              <w:rPr>
                <w:sz w:val="23"/>
                <w:szCs w:val="23"/>
                <w:color w:val="auto"/>
              </w:rPr>
            </w:pPr>
          </w:p>
        </w:tc>
      </w:tr>
      <w:tr>
        <w:trPr>
          <w:trHeight w:val="177"/>
        </w:trPr>
        <w:tc>
          <w:tcPr>
            <w:tcW w:w="820" w:type="dxa"/>
            <w:vAlign w:val="bottom"/>
          </w:tcPr>
          <w:p>
            <w:pPr>
              <w:jc w:val="right"/>
              <w:ind w:right="420"/>
              <w:spacing w:after="0" w:line="177" w:lineRule="exact"/>
              <w:rPr>
                <w:sz w:val="20"/>
                <w:szCs w:val="20"/>
                <w:color w:val="auto"/>
              </w:rPr>
            </w:pPr>
            <w:r>
              <w:rPr>
                <w:rFonts w:ascii="Arial" w:cs="Arial" w:eastAsia="Arial" w:hAnsi="Arial"/>
                <w:sz w:val="20"/>
                <w:szCs w:val="20"/>
                <w:b w:val="1"/>
                <w:bCs w:val="1"/>
                <w:color w:val="auto"/>
              </w:rPr>
              <w:t>2</w:t>
            </w:r>
          </w:p>
        </w:tc>
        <w:tc>
          <w:tcPr>
            <w:tcW w:w="7580" w:type="dxa"/>
            <w:vAlign w:val="bottom"/>
          </w:tcPr>
          <w:p>
            <w:pPr>
              <w:ind w:left="540"/>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4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8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4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7"/>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8"/>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20" w:type="dxa"/>
            <w:vAlign w:val="bottom"/>
            <w:tcBorders>
              <w:bottom w:val="single" w:sz="8" w:color="auto"/>
            </w:tcBorders>
          </w:tcPr>
          <w:p>
            <w:pPr>
              <w:spacing w:after="0"/>
              <w:rPr>
                <w:sz w:val="23"/>
                <w:szCs w:val="23"/>
                <w:color w:val="auto"/>
              </w:rPr>
            </w:pPr>
          </w:p>
        </w:tc>
        <w:tc>
          <w:tcPr>
            <w:tcW w:w="54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Arial" w:cs="Arial" w:eastAsia="Arial" w:hAnsi="Arial"/>
                <w:sz w:val="25"/>
                <w:szCs w:val="25"/>
                <w:b w:val="1"/>
                <w:bCs w:val="1"/>
                <w:color w:val="auto"/>
              </w:rPr>
              <w:t>5</w:t>
            </w:r>
          </w:p>
        </w:tc>
        <w:tc>
          <w:tcPr>
            <w:tcW w:w="5480" w:type="dxa"/>
            <w:vAlign w:val="bottom"/>
          </w:tcPr>
          <w:p>
            <w:pPr>
              <w:spacing w:after="0"/>
              <w:rPr>
                <w:sz w:val="20"/>
                <w:szCs w:val="20"/>
                <w:color w:val="auto"/>
              </w:rPr>
            </w:pPr>
            <w:r>
              <w:rPr>
                <w:rFonts w:ascii="Arial" w:cs="Arial" w:eastAsia="Arial" w:hAnsi="Arial"/>
                <w:sz w:val="14"/>
                <w:szCs w:val="14"/>
                <w:color w:val="auto"/>
              </w:rPr>
              <w:t>SOLE VOTING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22"/>
                <w:szCs w:val="22"/>
                <w:color w:val="auto"/>
              </w:rPr>
              <w:t>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Arial" w:cs="Arial" w:eastAsia="Arial" w:hAnsi="Arial"/>
                <w:sz w:val="3"/>
                <w:szCs w:val="3"/>
                <w:b w:val="1"/>
                <w:bCs w:val="1"/>
                <w:color w:val="auto"/>
              </w:rPr>
              <w:t>6</w:t>
            </w:r>
          </w:p>
        </w:tc>
        <w:tc>
          <w:tcPr>
            <w:tcW w:w="54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SHARED VOTING POWER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80" w:type="dxa"/>
            <w:vAlign w:val="bottom"/>
            <w:vMerge w:val="restart"/>
          </w:tcPr>
          <w:p>
            <w:pPr>
              <w:spacing w:after="0"/>
              <w:rPr>
                <w:sz w:val="20"/>
                <w:szCs w:val="20"/>
                <w:color w:val="auto"/>
              </w:rPr>
            </w:pPr>
            <w:r>
              <w:rPr>
                <w:rFonts w:ascii="Arial" w:cs="Arial" w:eastAsia="Arial" w:hAnsi="Arial"/>
                <w:sz w:val="22"/>
                <w:szCs w:val="22"/>
                <w:color w:val="auto"/>
              </w:rPr>
              <w:t>5,443,901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48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Arial" w:cs="Arial" w:eastAsia="Arial" w:hAnsi="Arial"/>
                <w:sz w:val="3"/>
                <w:szCs w:val="3"/>
                <w:b w:val="1"/>
                <w:bCs w:val="1"/>
                <w:color w:val="auto"/>
              </w:rPr>
              <w:t>7</w:t>
            </w:r>
          </w:p>
        </w:tc>
        <w:tc>
          <w:tcPr>
            <w:tcW w:w="54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80" w:type="dxa"/>
            <w:vAlign w:val="bottom"/>
            <w:vMerge w:val="restart"/>
          </w:tcPr>
          <w:p>
            <w:pPr>
              <w:spacing w:after="0"/>
              <w:rPr>
                <w:sz w:val="20"/>
                <w:szCs w:val="20"/>
                <w:color w:val="auto"/>
              </w:rPr>
            </w:pPr>
            <w:r>
              <w:rPr>
                <w:rFonts w:ascii="Arial" w:cs="Arial" w:eastAsia="Arial" w:hAnsi="Arial"/>
                <w:sz w:val="22"/>
                <w:szCs w:val="22"/>
                <w:color w:val="auto"/>
              </w:rPr>
              <w:t>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Arial" w:cs="Arial" w:eastAsia="Arial" w:hAnsi="Arial"/>
                <w:sz w:val="25"/>
                <w:szCs w:val="25"/>
                <w:b w:val="1"/>
                <w:bCs w:val="1"/>
                <w:color w:val="auto"/>
              </w:rPr>
              <w:t>8</w:t>
            </w:r>
          </w:p>
        </w:tc>
        <w:tc>
          <w:tcPr>
            <w:tcW w:w="548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76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7.8%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right="440" w:hanging="491"/>
        <w:spacing w:after="0" w:line="250"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upon a total of 70,017,356 shares outstanding as of October 21, 2020, as reported on the Issuer’s Form 10-Q, as filed with the SEC on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rPr>
              <w:t>Item 1(a).</w:t>
            </w:r>
          </w:p>
        </w:tc>
        <w:tc>
          <w:tcPr>
            <w:tcW w:w="9780" w:type="dxa"/>
            <w:vAlign w:val="bottom"/>
            <w:gridSpan w:val="12"/>
          </w:tcPr>
          <w:p>
            <w:pPr>
              <w:spacing w:after="0"/>
              <w:rPr>
                <w:sz w:val="20"/>
                <w:szCs w:val="20"/>
                <w:color w:val="auto"/>
              </w:rPr>
            </w:pPr>
            <w:r>
              <w:rPr>
                <w:rFonts w:ascii="Arial" w:cs="Arial" w:eastAsia="Arial" w:hAnsi="Arial"/>
                <w:sz w:val="22"/>
                <w:szCs w:val="22"/>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Weatherford International plc</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1(b).</w:t>
            </w:r>
          </w:p>
        </w:tc>
        <w:tc>
          <w:tcPr>
            <w:tcW w:w="9780" w:type="dxa"/>
            <w:vAlign w:val="bottom"/>
            <w:gridSpan w:val="12"/>
          </w:tcPr>
          <w:p>
            <w:pPr>
              <w:spacing w:after="0"/>
              <w:rPr>
                <w:sz w:val="20"/>
                <w:szCs w:val="20"/>
                <w:color w:val="auto"/>
              </w:rPr>
            </w:pPr>
            <w:r>
              <w:rPr>
                <w:rFonts w:ascii="Arial" w:cs="Arial" w:eastAsia="Arial" w:hAnsi="Arial"/>
                <w:sz w:val="22"/>
                <w:szCs w:val="22"/>
                <w:color w:val="auto"/>
              </w:rPr>
              <w:t>Address of Issuer’s Principal Executive Offices:</w:t>
            </w:r>
          </w:p>
        </w:tc>
      </w:tr>
      <w:tr>
        <w:trPr>
          <w:trHeight w:val="485"/>
        </w:trPr>
        <w:tc>
          <w:tcPr>
            <w:tcW w:w="1460" w:type="dxa"/>
            <w:vAlign w:val="bottom"/>
          </w:tcPr>
          <w:p>
            <w:pPr>
              <w:spacing w:after="0"/>
              <w:rPr>
                <w:sz w:val="24"/>
                <w:szCs w:val="24"/>
                <w:color w:val="auto"/>
              </w:rPr>
            </w:pPr>
          </w:p>
        </w:tc>
        <w:tc>
          <w:tcPr>
            <w:tcW w:w="410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2000 St. James Place</w:t>
            </w:r>
          </w:p>
        </w:tc>
        <w:tc>
          <w:tcPr>
            <w:tcW w:w="5680" w:type="dxa"/>
            <w:vAlign w:val="bottom"/>
            <w:gridSpan w:val="5"/>
          </w:tcPr>
          <w:p>
            <w:pPr>
              <w:spacing w:after="0"/>
              <w:rPr>
                <w:sz w:val="24"/>
                <w:szCs w:val="24"/>
                <w:color w:val="auto"/>
              </w:rPr>
            </w:pP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Houston, TX 77056</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2(a).</w:t>
            </w:r>
          </w:p>
        </w:tc>
        <w:tc>
          <w:tcPr>
            <w:tcW w:w="9780" w:type="dxa"/>
            <w:vAlign w:val="bottom"/>
            <w:gridSpan w:val="12"/>
          </w:tcPr>
          <w:p>
            <w:pPr>
              <w:spacing w:after="0"/>
              <w:rPr>
                <w:sz w:val="20"/>
                <w:szCs w:val="20"/>
                <w:color w:val="auto"/>
              </w:rPr>
            </w:pPr>
            <w:r>
              <w:rPr>
                <w:rFonts w:ascii="Arial" w:cs="Arial" w:eastAsia="Arial" w:hAnsi="Arial"/>
                <w:sz w:val="22"/>
                <w:szCs w:val="22"/>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5"/>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w w:val="89"/>
              </w:rPr>
              <w:t>The persons filing this Schedule 13G are (i) Yacktman Asset Management LP, an investment adviser registered</w:t>
            </w:r>
          </w:p>
        </w:tc>
      </w:tr>
      <w:tr>
        <w:trPr>
          <w:trHeight w:val="224"/>
        </w:trPr>
        <w:tc>
          <w:tcPr>
            <w:tcW w:w="1460" w:type="dxa"/>
            <w:vAlign w:val="bottom"/>
          </w:tcPr>
          <w:p>
            <w:pPr>
              <w:spacing w:after="0"/>
              <w:rPr>
                <w:sz w:val="19"/>
                <w:szCs w:val="19"/>
                <w:color w:val="auto"/>
              </w:rPr>
            </w:pPr>
          </w:p>
        </w:tc>
        <w:tc>
          <w:tcPr>
            <w:tcW w:w="9780" w:type="dxa"/>
            <w:vAlign w:val="bottom"/>
            <w:gridSpan w:val="12"/>
          </w:tcPr>
          <w:p>
            <w:pPr>
              <w:spacing w:after="0" w:line="224" w:lineRule="exact"/>
              <w:rPr>
                <w:sz w:val="20"/>
                <w:szCs w:val="20"/>
                <w:color w:val="auto"/>
              </w:rPr>
            </w:pPr>
            <w:r>
              <w:rPr>
                <w:rFonts w:ascii="Arial" w:cs="Arial" w:eastAsia="Arial" w:hAnsi="Arial"/>
                <w:sz w:val="22"/>
                <w:szCs w:val="22"/>
                <w:color w:val="auto"/>
                <w:w w:val="95"/>
              </w:rPr>
              <w:t>under Section 203 of the Investment Advisers Act of 1940 (the “Adviser”); and (ii) AMG Yacktman Fund, a</w:t>
            </w: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2"/>
        </w:trPr>
        <w:tc>
          <w:tcPr>
            <w:tcW w:w="1460" w:type="dxa"/>
            <w:vAlign w:val="bottom"/>
          </w:tcPr>
          <w:p>
            <w:pPr>
              <w:spacing w:after="0"/>
              <w:rPr>
                <w:sz w:val="21"/>
                <w:szCs w:val="21"/>
                <w:color w:val="auto"/>
              </w:rPr>
            </w:pPr>
          </w:p>
        </w:tc>
        <w:tc>
          <w:tcPr>
            <w:tcW w:w="9780" w:type="dxa"/>
            <w:vAlign w:val="bottom"/>
            <w:gridSpan w:val="12"/>
          </w:tcPr>
          <w:p>
            <w:pPr>
              <w:spacing w:after="0" w:line="242" w:lineRule="exact"/>
              <w:rPr>
                <w:sz w:val="20"/>
                <w:szCs w:val="20"/>
                <w:color w:val="auto"/>
              </w:rPr>
            </w:pPr>
            <w:r>
              <w:rPr>
                <w:rFonts w:ascii="Arial" w:cs="Arial" w:eastAsia="Arial" w:hAnsi="Arial"/>
                <w:sz w:val="22"/>
                <w:szCs w:val="22"/>
                <w:color w:val="auto"/>
                <w:w w:val="90"/>
              </w:rPr>
              <w:t>series of AMG Funds. AMG Funds is an investment company registered under the Investment Company Act of</w:t>
            </w:r>
          </w:p>
        </w:tc>
      </w:tr>
      <w:tr>
        <w:trPr>
          <w:trHeight w:val="224"/>
        </w:trPr>
        <w:tc>
          <w:tcPr>
            <w:tcW w:w="1460" w:type="dxa"/>
            <w:vAlign w:val="bottom"/>
          </w:tcPr>
          <w:p>
            <w:pPr>
              <w:spacing w:after="0"/>
              <w:rPr>
                <w:sz w:val="19"/>
                <w:szCs w:val="19"/>
                <w:color w:val="auto"/>
              </w:rPr>
            </w:pPr>
          </w:p>
        </w:tc>
        <w:tc>
          <w:tcPr>
            <w:tcW w:w="9780" w:type="dxa"/>
            <w:vAlign w:val="bottom"/>
            <w:gridSpan w:val="12"/>
          </w:tcPr>
          <w:p>
            <w:pPr>
              <w:spacing w:after="0" w:line="224" w:lineRule="exact"/>
              <w:rPr>
                <w:sz w:val="20"/>
                <w:szCs w:val="20"/>
                <w:color w:val="auto"/>
              </w:rPr>
            </w:pPr>
            <w:r>
              <w:rPr>
                <w:rFonts w:ascii="Arial" w:cs="Arial" w:eastAsia="Arial" w:hAnsi="Arial"/>
                <w:sz w:val="22"/>
                <w:szCs w:val="22"/>
                <w:color w:val="auto"/>
                <w:w w:val="93"/>
              </w:rPr>
              <w:t>1940 (the “Trust”). Attached as Exhibit 1 hereto, which is incorporated by reference herein, is an agreement</w:t>
            </w: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2"/>
        </w:trPr>
        <w:tc>
          <w:tcPr>
            <w:tcW w:w="1460" w:type="dxa"/>
            <w:vAlign w:val="bottom"/>
          </w:tcPr>
          <w:p>
            <w:pPr>
              <w:spacing w:after="0"/>
              <w:rPr>
                <w:sz w:val="21"/>
                <w:szCs w:val="21"/>
                <w:color w:val="auto"/>
              </w:rPr>
            </w:pPr>
          </w:p>
        </w:tc>
        <w:tc>
          <w:tcPr>
            <w:tcW w:w="9780" w:type="dxa"/>
            <w:vAlign w:val="bottom"/>
            <w:gridSpan w:val="12"/>
          </w:tcPr>
          <w:p>
            <w:pPr>
              <w:spacing w:after="0" w:line="242" w:lineRule="exact"/>
              <w:rPr>
                <w:sz w:val="20"/>
                <w:szCs w:val="20"/>
                <w:color w:val="auto"/>
              </w:rPr>
            </w:pPr>
            <w:r>
              <w:rPr>
                <w:rFonts w:ascii="Arial" w:cs="Arial" w:eastAsia="Arial" w:hAnsi="Arial"/>
                <w:sz w:val="22"/>
                <w:szCs w:val="22"/>
                <w:color w:val="auto"/>
                <w:w w:val="89"/>
              </w:rPr>
              <w:t>between Yacktman Asset Management LP and AMG Yacktman Fund that this Schedule 13G is filed on behalf of</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each of them.</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2(b).</w:t>
            </w:r>
          </w:p>
        </w:tc>
        <w:tc>
          <w:tcPr>
            <w:tcW w:w="9780" w:type="dxa"/>
            <w:vAlign w:val="bottom"/>
            <w:gridSpan w:val="12"/>
          </w:tcPr>
          <w:p>
            <w:pPr>
              <w:spacing w:after="0"/>
              <w:rPr>
                <w:sz w:val="20"/>
                <w:szCs w:val="20"/>
                <w:color w:val="auto"/>
              </w:rPr>
            </w:pPr>
            <w:r>
              <w:rPr>
                <w:rFonts w:ascii="Arial" w:cs="Arial" w:eastAsia="Arial" w:hAnsi="Arial"/>
                <w:sz w:val="22"/>
                <w:szCs w:val="22"/>
                <w:color w:val="auto"/>
              </w:rPr>
              <w:t>Address of Principal Business Office or, if none, Residence:</w:t>
            </w:r>
          </w:p>
        </w:tc>
      </w:tr>
      <w:tr>
        <w:trPr>
          <w:trHeight w:val="485"/>
        </w:trPr>
        <w:tc>
          <w:tcPr>
            <w:tcW w:w="1460" w:type="dxa"/>
            <w:vAlign w:val="bottom"/>
          </w:tcPr>
          <w:p>
            <w:pPr>
              <w:spacing w:after="0"/>
              <w:rPr>
                <w:sz w:val="24"/>
                <w:szCs w:val="24"/>
                <w:color w:val="auto"/>
              </w:rPr>
            </w:pPr>
          </w:p>
        </w:tc>
        <w:tc>
          <w:tcPr>
            <w:tcW w:w="514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6300 Bridgepoint Parkway</w:t>
            </w:r>
          </w:p>
        </w:tc>
        <w:tc>
          <w:tcPr>
            <w:tcW w:w="4640" w:type="dxa"/>
            <w:vAlign w:val="bottom"/>
            <w:gridSpan w:val="4"/>
          </w:tcPr>
          <w:p>
            <w:pPr>
              <w:spacing w:after="0"/>
              <w:rPr>
                <w:sz w:val="24"/>
                <w:szCs w:val="24"/>
                <w:color w:val="auto"/>
              </w:rPr>
            </w:pPr>
          </w:p>
        </w:tc>
      </w:tr>
      <w:tr>
        <w:trPr>
          <w:trHeight w:val="243"/>
        </w:trPr>
        <w:tc>
          <w:tcPr>
            <w:tcW w:w="1460" w:type="dxa"/>
            <w:vAlign w:val="bottom"/>
          </w:tcPr>
          <w:p>
            <w:pPr>
              <w:spacing w:after="0"/>
              <w:rPr>
                <w:sz w:val="21"/>
                <w:szCs w:val="21"/>
                <w:color w:val="auto"/>
              </w:rPr>
            </w:pPr>
          </w:p>
        </w:tc>
        <w:tc>
          <w:tcPr>
            <w:tcW w:w="9780" w:type="dxa"/>
            <w:vAlign w:val="bottom"/>
            <w:gridSpan w:val="12"/>
          </w:tcPr>
          <w:p>
            <w:pPr>
              <w:spacing w:after="0" w:line="243" w:lineRule="exact"/>
              <w:rPr>
                <w:sz w:val="20"/>
                <w:szCs w:val="20"/>
                <w:color w:val="auto"/>
              </w:rPr>
            </w:pPr>
            <w:r>
              <w:rPr>
                <w:rFonts w:ascii="Arial" w:cs="Arial" w:eastAsia="Arial" w:hAnsi="Arial"/>
                <w:sz w:val="22"/>
                <w:szCs w:val="22"/>
                <w:color w:val="auto"/>
              </w:rPr>
              <w:t>Building One, Suite 500</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Austin, TX 78730</w:t>
            </w:r>
          </w:p>
        </w:tc>
      </w:tr>
      <w:tr>
        <w:trPr>
          <w:trHeight w:val="436"/>
        </w:trPr>
        <w:tc>
          <w:tcPr>
            <w:tcW w:w="1460" w:type="dxa"/>
            <w:vAlign w:val="bottom"/>
          </w:tcPr>
          <w:p>
            <w:pPr>
              <w:spacing w:after="0"/>
              <w:rPr>
                <w:sz w:val="20"/>
                <w:szCs w:val="20"/>
                <w:color w:val="auto"/>
              </w:rPr>
            </w:pPr>
            <w:r>
              <w:rPr>
                <w:rFonts w:ascii="Arial" w:cs="Arial" w:eastAsia="Arial" w:hAnsi="Arial"/>
                <w:sz w:val="22"/>
                <w:szCs w:val="22"/>
                <w:color w:val="auto"/>
              </w:rPr>
              <w:t>Item 2(c).</w:t>
            </w:r>
          </w:p>
        </w:tc>
        <w:tc>
          <w:tcPr>
            <w:tcW w:w="9780" w:type="dxa"/>
            <w:vAlign w:val="bottom"/>
            <w:gridSpan w:val="12"/>
          </w:tcPr>
          <w:p>
            <w:pPr>
              <w:spacing w:after="0"/>
              <w:rPr>
                <w:sz w:val="20"/>
                <w:szCs w:val="20"/>
                <w:color w:val="auto"/>
              </w:rPr>
            </w:pPr>
            <w:r>
              <w:rPr>
                <w:rFonts w:ascii="Arial" w:cs="Arial" w:eastAsia="Arial" w:hAnsi="Arial"/>
                <w:sz w:val="22"/>
                <w:szCs w:val="22"/>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5"/>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w w:val="91"/>
              </w:rPr>
              <w:t>The Adviser is a Delaware limited partnership. AMG Yacktman Fund is a series of the Trust, a Massachusetts</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business trust.</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2(d).</w:t>
            </w:r>
          </w:p>
        </w:tc>
        <w:tc>
          <w:tcPr>
            <w:tcW w:w="9780" w:type="dxa"/>
            <w:vAlign w:val="bottom"/>
            <w:gridSpan w:val="12"/>
          </w:tcPr>
          <w:p>
            <w:pPr>
              <w:spacing w:after="0"/>
              <w:rPr>
                <w:sz w:val="20"/>
                <w:szCs w:val="20"/>
                <w:color w:val="auto"/>
              </w:rPr>
            </w:pPr>
            <w:r>
              <w:rPr>
                <w:rFonts w:ascii="Arial" w:cs="Arial" w:eastAsia="Arial" w:hAnsi="Arial"/>
                <w:sz w:val="22"/>
                <w:szCs w:val="22"/>
                <w:color w:val="auto"/>
              </w:rPr>
              <w:t>Title of Class of Securities: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Ordinary Shares, par value $0.001 per share</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2(e).</w:t>
            </w:r>
          </w:p>
        </w:tc>
        <w:tc>
          <w:tcPr>
            <w:tcW w:w="9780" w:type="dxa"/>
            <w:vAlign w:val="bottom"/>
            <w:gridSpan w:val="12"/>
          </w:tcPr>
          <w:p>
            <w:pPr>
              <w:spacing w:after="0"/>
              <w:rPr>
                <w:sz w:val="20"/>
                <w:szCs w:val="20"/>
                <w:color w:val="auto"/>
              </w:rPr>
            </w:pPr>
            <w:r>
              <w:rPr>
                <w:rFonts w:ascii="Arial" w:cs="Arial" w:eastAsia="Arial" w:hAnsi="Arial"/>
                <w:sz w:val="22"/>
                <w:szCs w:val="22"/>
                <w:color w:val="auto"/>
              </w:rPr>
              <w:t>CUSIP Number:</w:t>
            </w:r>
          </w:p>
        </w:tc>
      </w:tr>
      <w:tr>
        <w:trPr>
          <w:trHeight w:val="517"/>
        </w:trPr>
        <w:tc>
          <w:tcPr>
            <w:tcW w:w="1460" w:type="dxa"/>
            <w:vAlign w:val="bottom"/>
          </w:tcPr>
          <w:p>
            <w:pPr>
              <w:spacing w:after="0"/>
              <w:rPr>
                <w:sz w:val="24"/>
                <w:szCs w:val="24"/>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G48833118</w:t>
            </w:r>
          </w:p>
        </w:tc>
        <w:tc>
          <w:tcPr>
            <w:tcW w:w="8360" w:type="dxa"/>
            <w:vAlign w:val="bottom"/>
            <w:gridSpan w:val="8"/>
          </w:tcPr>
          <w:p>
            <w:pPr>
              <w:spacing w:after="0"/>
              <w:rPr>
                <w:sz w:val="24"/>
                <w:szCs w:val="24"/>
                <w:color w:val="auto"/>
              </w:rPr>
            </w:pP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3.</w:t>
            </w:r>
          </w:p>
        </w:tc>
        <w:tc>
          <w:tcPr>
            <w:tcW w:w="932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9"/>
              </w:rPr>
              <w:t>If this statement is filed pursuant to sections 240.13d-1(b), or 240.13d-2(b) or (c), check whether the person</w:t>
            </w:r>
          </w:p>
        </w:tc>
        <w:tc>
          <w:tcPr>
            <w:tcW w:w="46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9780" w:type="dxa"/>
            <w:vAlign w:val="bottom"/>
            <w:gridSpan w:val="12"/>
          </w:tcPr>
          <w:p>
            <w:pPr>
              <w:spacing w:after="0" w:line="223" w:lineRule="exact"/>
              <w:rPr>
                <w:sz w:val="20"/>
                <w:szCs w:val="20"/>
                <w:color w:val="auto"/>
              </w:rPr>
            </w:pPr>
            <w:r>
              <w:rPr>
                <w:rFonts w:ascii="Arial" w:cs="Arial" w:eastAsia="Arial" w:hAnsi="Arial"/>
                <w:sz w:val="22"/>
                <w:szCs w:val="22"/>
                <w:color w:val="auto"/>
              </w:rPr>
              <w:t>filing is a:</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960" w:type="dxa"/>
            <w:vAlign w:val="bottom"/>
            <w:gridSpan w:val="11"/>
          </w:tcPr>
          <w:p>
            <w:pPr>
              <w:spacing w:after="0" w:line="20" w:lineRule="exact"/>
              <w:rPr>
                <w:sz w:val="1"/>
                <w:szCs w:val="1"/>
                <w:color w:val="auto"/>
              </w:rPr>
            </w:pPr>
          </w:p>
        </w:tc>
      </w:tr>
      <w:tr>
        <w:trPr>
          <w:trHeight w:val="554"/>
        </w:trPr>
        <w:tc>
          <w:tcPr>
            <w:tcW w:w="1460" w:type="dxa"/>
            <w:vAlign w:val="bottom"/>
          </w:tcPr>
          <w:p>
            <w:pPr>
              <w:spacing w:after="0"/>
              <w:rPr>
                <w:sz w:val="24"/>
                <w:szCs w:val="24"/>
                <w:color w:val="auto"/>
              </w:rPr>
            </w:pPr>
          </w:p>
        </w:tc>
        <w:tc>
          <w:tcPr>
            <w:tcW w:w="9780" w:type="dxa"/>
            <w:vAlign w:val="bottom"/>
            <w:gridSpan w:val="12"/>
          </w:tcPr>
          <w:p>
            <w:pPr>
              <w:spacing w:after="0" w:line="253" w:lineRule="exact"/>
              <w:rPr>
                <w:sz w:val="20"/>
                <w:szCs w:val="20"/>
                <w:color w:val="auto"/>
              </w:rPr>
            </w:pPr>
            <w:r>
              <w:rPr>
                <w:rFonts w:ascii="MS PGothic" w:cs="MS PGothic" w:eastAsia="MS PGothic" w:hAnsi="MS PGothic"/>
                <w:sz w:val="22"/>
                <w:szCs w:val="22"/>
                <w:color w:val="auto"/>
                <w:w w:val="90"/>
              </w:rPr>
              <w:t>☒</w:t>
            </w:r>
            <w:r>
              <w:rPr>
                <w:rFonts w:ascii="Arial" w:cs="Arial" w:eastAsia="Arial" w:hAnsi="Arial"/>
                <w:sz w:val="22"/>
                <w:szCs w:val="22"/>
                <w:color w:val="auto"/>
                <w:w w:val="90"/>
              </w:rPr>
              <w:t xml:space="preserve">  Investment company registered under section 8 of the Investment Company Act of 1940 (15 U.S.C. 80a-8).</w:t>
            </w:r>
          </w:p>
        </w:tc>
      </w:tr>
      <w:tr>
        <w:trPr>
          <w:trHeight w:val="500"/>
        </w:trPr>
        <w:tc>
          <w:tcPr>
            <w:tcW w:w="1460" w:type="dxa"/>
            <w:vAlign w:val="bottom"/>
          </w:tcPr>
          <w:p>
            <w:pPr>
              <w:spacing w:after="0"/>
              <w:rPr>
                <w:sz w:val="24"/>
                <w:szCs w:val="24"/>
                <w:color w:val="auto"/>
              </w:rPr>
            </w:pPr>
          </w:p>
        </w:tc>
        <w:tc>
          <w:tcPr>
            <w:tcW w:w="9780" w:type="dxa"/>
            <w:vAlign w:val="bottom"/>
            <w:gridSpan w:val="12"/>
          </w:tcPr>
          <w:p>
            <w:pPr>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investment adviser in accordance with section 240.13d-1(b)(1)(ii)(E).</w:t>
            </w:r>
          </w:p>
        </w:tc>
      </w:tr>
      <w:tr>
        <w:trPr>
          <w:trHeight w:val="148"/>
        </w:trPr>
        <w:tc>
          <w:tcPr>
            <w:tcW w:w="1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332" w:right="339" w:bottom="1440" w:gutter="0" w:footer="0" w:header="0"/>
        </w:sectPr>
      </w:pPr>
    </w:p>
    <w:bookmarkStart w:id="4" w:name="page5"/>
    <w:bookmarkEnd w:id="4"/>
    <w:p>
      <w:pPr>
        <w:spacing w:after="0"/>
        <w:tabs>
          <w:tab w:leader="none" w:pos="14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8"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Yacktman Asset Management LP</w:t>
      </w:r>
    </w:p>
    <w:p>
      <w:pPr>
        <w:spacing w:after="0" w:line="239" w:lineRule="exact"/>
        <w:rPr>
          <w:sz w:val="20"/>
          <w:szCs w:val="20"/>
          <w:color w:val="auto"/>
        </w:rPr>
      </w:pPr>
    </w:p>
    <w:p>
      <w:pPr>
        <w:ind w:left="1960" w:hanging="494"/>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Amount Beneficially Owned: 8,155,746</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11.6%</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2,711,845</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vote or to direct the vote: 5,443,901</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2,711,845</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5,443,901</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AMG Yacktman Fund</w:t>
      </w:r>
    </w:p>
    <w:p>
      <w:pPr>
        <w:spacing w:after="0" w:line="239" w:lineRule="exact"/>
        <w:rPr>
          <w:sz w:val="20"/>
          <w:szCs w:val="20"/>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5,443,901</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7.8%</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5,443,901</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5,443,901</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33" w:lineRule="exact"/>
        <w:rPr>
          <w:sz w:val="20"/>
          <w:szCs w:val="20"/>
          <w:color w:val="auto"/>
        </w:rPr>
      </w:pPr>
    </w:p>
    <w:p>
      <w:pPr>
        <w:ind w:left="1460" w:right="20"/>
        <w:spacing w:after="0" w:line="277" w:lineRule="auto"/>
        <w:rPr>
          <w:sz w:val="20"/>
          <w:szCs w:val="20"/>
          <w:color w:val="auto"/>
        </w:rPr>
      </w:pPr>
      <w:r>
        <w:rPr>
          <w:rFonts w:ascii="Arial" w:cs="Arial" w:eastAsia="Arial" w:hAnsi="Arial"/>
          <w:sz w:val="19"/>
          <w:szCs w:val="19"/>
          <w:color w:val="auto"/>
        </w:rPr>
        <w:t>The securities reported in this statement are beneficially owned by advisory clients of the Adviser, which includes the AMG Yacktman Fund. The investment management contracts of these clients grant to the Adviser investment and voting power over the securities reported in this statement. Therefore, for purposes of Rule 13d-3 under the Securities Exchange Act of 1934, the Adviser is deemed to be a beneficial owner of the securities reported in this statement, and the AMG Yacktman Fund may also be deemed to be a beneficial owner of the securities it holds. The clients of the Adviser have the right to receive or power to direct the receipt of dividends from, as well as the proceeds from the sale of, the securities reported in this statement.</w:t>
      </w:r>
    </w:p>
    <w:p>
      <w:pPr>
        <w:spacing w:after="0" w:line="179" w:lineRule="exact"/>
        <w:rPr>
          <w:sz w:val="20"/>
          <w:szCs w:val="20"/>
          <w:color w:val="auto"/>
        </w:rPr>
      </w:pPr>
    </w:p>
    <w:p>
      <w:pPr>
        <w:ind w:left="1460" w:hanging="1457"/>
        <w:spacing w:after="0" w:line="250" w:lineRule="auto"/>
        <w:tabs>
          <w:tab w:leader="none" w:pos="14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 or Control Person</w:t>
      </w:r>
      <w:r>
        <w:rPr>
          <w:rFonts w:ascii="Arial" w:cs="Arial" w:eastAsia="Arial" w:hAnsi="Arial"/>
          <w:sz w:val="22"/>
          <w:szCs w:val="22"/>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33" w:lineRule="exact"/>
        <w:rPr>
          <w:sz w:val="20"/>
          <w:szCs w:val="20"/>
          <w:color w:val="auto"/>
        </w:rPr>
      </w:pPr>
    </w:p>
    <w:p>
      <w:pPr>
        <w:ind w:left="1460" w:right="6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3" w:lineRule="exact"/>
        <w:rPr>
          <w:sz w:val="20"/>
          <w:szCs w:val="20"/>
          <w:color w:val="auto"/>
        </w:rPr>
      </w:pPr>
    </w:p>
    <w:p>
      <w:pPr>
        <w:ind w:left="1460" w:right="160"/>
        <w:spacing w:after="0" w:line="250" w:lineRule="auto"/>
        <w:rPr>
          <w:sz w:val="20"/>
          <w:szCs w:val="20"/>
          <w:color w:val="auto"/>
        </w:rPr>
      </w:pPr>
      <w:r>
        <w:rPr>
          <w:rFonts w:ascii="Arial" w:cs="Arial" w:eastAsia="Arial" w:hAnsi="Arial"/>
          <w:sz w:val="22"/>
          <w:szCs w:val="22"/>
          <w:color w:val="auto"/>
        </w:rPr>
        <w:t>Agreement to file Schedule 13G jointly (previously filed as Exhibit 1 to the Reporting Person’s Schedule 13G filed April 8, 2020).</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12, 2021</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YACKTMAN ASSET MANAGEMENT LP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Russell G. Wilkins</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Russell G. Wilkins, Partner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FUNDS ON BEHALF OF ITS SERIES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YACKTMAN FUND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Patrick Spellman</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Patrick Spellman, Chief Compliance Officer</w:t>
      </w:r>
    </w:p>
    <w:sectPr>
      <w:pgSz w:w="11900" w:h="16838" w:orient="portrait"/>
      <w:cols w:equalWidth="0" w:num="1">
        <w:col w:w="11120"/>
      </w:cols>
      <w:pgMar w:left="320" w:top="6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2021-02-12T12:19:58Z</dcterms:created>
  <dcterms:modified xsi:type="dcterms:W3CDTF">2021-02-12T12:19:58Z</dcterms:modified>
</cp:coreProperties>
</file>