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960"/>
        <w:spacing w:after="0"/>
        <w:tabs>
          <w:tab w:leader="none" w:pos="50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67" w:lineRule="exact"/>
        <w:rPr>
          <w:sz w:val="24"/>
          <w:szCs w:val="24"/>
          <w:color w:val="auto"/>
        </w:rPr>
      </w:pPr>
    </w:p>
    <w:p>
      <w:pPr>
        <w:ind w:left="1200" w:hanging="321"/>
        <w:spacing w:after="0"/>
        <w:tabs>
          <w:tab w:leader="none" w:pos="12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ind w:left="1200"/>
        <w:spacing w:after="0"/>
        <w:tabs>
          <w:tab w:leader="none" w:pos="380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June 30, 2019</w:t>
      </w:r>
    </w:p>
    <w:p>
      <w:pPr>
        <w:spacing w:after="0" w:line="6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or</w:t>
      </w:r>
    </w:p>
    <w:p>
      <w:pPr>
        <w:spacing w:after="0" w:line="100" w:lineRule="exact"/>
        <w:rPr>
          <w:sz w:val="24"/>
          <w:szCs w:val="24"/>
          <w:color w:val="auto"/>
        </w:rPr>
      </w:pPr>
    </w:p>
    <w:p>
      <w:pPr>
        <w:ind w:left="1200" w:right="1060" w:hanging="321"/>
        <w:spacing w:after="0" w:line="317" w:lineRule="auto"/>
        <w:tabs>
          <w:tab w:leader="none" w:pos="120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tbl>
      <w:tblPr>
        <w:tblLayout w:type="fixed"/>
        <w:tblInd w:w="1200" w:type="dxa"/>
        <w:tblCellMar>
          <w:top w:w="0" w:type="dxa"/>
          <w:left w:w="0" w:type="dxa"/>
          <w:bottom w:w="0" w:type="dxa"/>
          <w:right w:w="0" w:type="dxa"/>
        </w:tblCellMar>
      </w:tblP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Commission file number</w:t>
            </w:r>
          </w:p>
        </w:tc>
        <w:tc>
          <w:tcPr>
            <w:tcW w:w="2800" w:type="dxa"/>
            <w:vAlign w:val="bottom"/>
          </w:tcPr>
          <w:p>
            <w:pPr>
              <w:jc w:val="right"/>
              <w:ind w:right="1770"/>
              <w:spacing w:after="0"/>
              <w:rPr>
                <w:sz w:val="20"/>
                <w:szCs w:val="20"/>
                <w:color w:val="auto"/>
              </w:rPr>
            </w:pPr>
            <w:r>
              <w:rPr>
                <w:rFonts w:ascii="Arial" w:cs="Arial" w:eastAsia="Arial" w:hAnsi="Arial"/>
                <w:sz w:val="18"/>
                <w:szCs w:val="18"/>
                <w:color w:val="auto"/>
              </w:rPr>
              <w:t>001-36504</w:t>
            </w:r>
          </w:p>
        </w:tc>
        <w:tc>
          <w:tcPr>
            <w:tcW w:w="3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97"/>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300" w:type="dxa"/>
            <w:vAlign w:val="bottom"/>
            <w:gridSpan w:val="3"/>
          </w:tcPr>
          <w:p>
            <w:pPr>
              <w:ind w:left="260"/>
              <w:spacing w:after="0"/>
              <w:rPr>
                <w:sz w:val="20"/>
                <w:szCs w:val="20"/>
                <w:color w:val="auto"/>
              </w:rPr>
            </w:pPr>
            <w:r>
              <w:rPr>
                <w:rFonts w:ascii="Arial" w:cs="Arial" w:eastAsia="Arial" w:hAnsi="Arial"/>
                <w:sz w:val="18"/>
                <w:szCs w:val="18"/>
                <w:b w:val="1"/>
                <w:bCs w:val="1"/>
                <w:color w:val="auto"/>
              </w:rPr>
              <w:t>Weatherford International public limited company</w:t>
            </w:r>
          </w:p>
        </w:tc>
      </w:tr>
      <w:tr>
        <w:trPr>
          <w:trHeight w:val="324"/>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300" w:type="dxa"/>
            <w:vAlign w:val="bottom"/>
            <w:gridSpan w:val="3"/>
          </w:tcPr>
          <w:p>
            <w:pPr>
              <w:ind w:left="260"/>
              <w:spacing w:after="0"/>
              <w:rPr>
                <w:sz w:val="20"/>
                <w:szCs w:val="20"/>
                <w:color w:val="auto"/>
              </w:rPr>
            </w:pPr>
            <w:r>
              <w:rPr>
                <w:rFonts w:ascii="Arial" w:cs="Arial" w:eastAsia="Arial" w:hAnsi="Arial"/>
                <w:sz w:val="18"/>
                <w:szCs w:val="18"/>
                <w:color w:val="auto"/>
              </w:rPr>
              <w:t>(Exact Name of Registrant as Specified in Its Charter)</w:t>
            </w:r>
          </w:p>
        </w:tc>
      </w:tr>
      <w:tr>
        <w:trPr>
          <w:trHeight w:val="378"/>
        </w:trPr>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4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94"/>
              </w:rPr>
              <w:t>Ireland</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280" w:type="dxa"/>
            <w:vAlign w:val="bottom"/>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3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280" w:type="dxa"/>
            <w:vAlign w:val="bottom"/>
          </w:tcPr>
          <w:p>
            <w:pPr>
              <w:spacing w:after="0"/>
              <w:rPr>
                <w:sz w:val="24"/>
                <w:szCs w:val="24"/>
                <w:color w:val="auto"/>
              </w:rPr>
            </w:pPr>
          </w:p>
        </w:tc>
        <w:tc>
          <w:tcPr>
            <w:tcW w:w="2180" w:type="dxa"/>
            <w:vAlign w:val="bottom"/>
          </w:tcPr>
          <w:p>
            <w:pPr>
              <w:ind w:left="100"/>
              <w:spacing w:after="0"/>
              <w:rPr>
                <w:sz w:val="20"/>
                <w:szCs w:val="20"/>
                <w:color w:val="auto"/>
              </w:rPr>
            </w:pPr>
            <w:r>
              <w:rPr>
                <w:rFonts w:ascii="Arial" w:cs="Arial" w:eastAsia="Arial" w:hAnsi="Arial"/>
                <w:sz w:val="18"/>
                <w:szCs w:val="18"/>
                <w:b w:val="1"/>
                <w:bCs w:val="1"/>
                <w:color w:val="auto"/>
                <w:w w:val="97"/>
              </w:rPr>
              <w:t>Westrasse 1 , 6340 Barr ,</w:t>
            </w:r>
          </w:p>
        </w:tc>
        <w:tc>
          <w:tcPr>
            <w:tcW w:w="314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91"/>
              </w:rPr>
              <w:t>Switzerland</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280" w:type="dxa"/>
            <w:vAlign w:val="bottom"/>
          </w:tcPr>
          <w:p>
            <w:pPr>
              <w:spacing w:after="0"/>
              <w:rPr>
                <w:sz w:val="2"/>
                <w:szCs w:val="2"/>
                <w:color w:val="auto"/>
              </w:rPr>
            </w:pPr>
          </w:p>
        </w:tc>
        <w:tc>
          <w:tcPr>
            <w:tcW w:w="498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3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4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Trading Symbol(s)</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jc w:val="center"/>
              <w:ind w:right="90"/>
              <w:spacing w:after="0"/>
              <w:rPr>
                <w:sz w:val="20"/>
                <w:szCs w:val="20"/>
                <w:color w:val="auto"/>
              </w:rPr>
            </w:pPr>
            <w:r>
              <w:rPr>
                <w:rFonts w:ascii="Arial" w:cs="Arial" w:eastAsia="Arial" w:hAnsi="Arial"/>
                <w:sz w:val="18"/>
                <w:szCs w:val="18"/>
                <w:color w:val="auto"/>
                <w:w w:val="88"/>
              </w:rPr>
              <w:t>Ordinary shares, $0.001 par value per share</w:t>
            </w:r>
          </w:p>
        </w:tc>
        <w:tc>
          <w:tcPr>
            <w:tcW w:w="2060" w:type="dxa"/>
            <w:vAlign w:val="bottom"/>
          </w:tcPr>
          <w:p>
            <w:pPr>
              <w:jc w:val="center"/>
              <w:ind w:right="10"/>
              <w:spacing w:after="0"/>
              <w:rPr>
                <w:sz w:val="20"/>
                <w:szCs w:val="20"/>
                <w:color w:val="auto"/>
              </w:rPr>
            </w:pPr>
            <w:r>
              <w:rPr>
                <w:rFonts w:ascii="Arial" w:cs="Arial" w:eastAsia="Arial" w:hAnsi="Arial"/>
                <w:sz w:val="18"/>
                <w:szCs w:val="18"/>
                <w:color w:val="auto"/>
                <w:w w:val="96"/>
              </w:rPr>
              <w:t>WFTIQ</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83"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4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firstLine="324"/>
        <w:spacing w:after="0" w:line="271"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6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960" w:type="dxa"/>
        <w:tblCellMar>
          <w:top w:w="0" w:type="dxa"/>
          <w:left w:w="0" w:type="dxa"/>
          <w:bottom w:w="0" w:type="dxa"/>
          <w:right w:w="0" w:type="dxa"/>
        </w:tblCellMar>
      </w:tblP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4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47"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5" w:lineRule="exact"/>
        <w:rPr>
          <w:sz w:val="24"/>
          <w:szCs w:val="24"/>
          <w:color w:val="auto"/>
        </w:rPr>
      </w:pPr>
    </w:p>
    <w:p>
      <w:pPr>
        <w:ind w:left="34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29, 2019, there were 1,004,079,258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Second Quarter and Six Months Ended June 30,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70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0"/>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00" w:type="dxa"/>
            <w:vAlign w:val="bottom"/>
            <w:gridSpan w:val="5"/>
          </w:tcPr>
          <w:p>
            <w:pPr>
              <w:jc w:val="center"/>
              <w:ind w:left="22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40" w:type="dxa"/>
            <w:vAlign w:val="bottom"/>
            <w:gridSpan w:val="8"/>
          </w:tcPr>
          <w:p>
            <w:pPr>
              <w:jc w:val="center"/>
              <w:ind w:left="10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4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Products</w:t>
            </w: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37"/>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Cost of Services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399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70</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Goodwill Impairment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2C2C2C"/>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Prepetition Charges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2C2C2C"/>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Asset Write-Downs and Other</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2C2C2C"/>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88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Transformation, Facility Restructuring and Severance Charges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8"/>
                <w:szCs w:val="18"/>
                <w:color w:val="auto"/>
              </w:rPr>
              <w:t>Gain on Sale of Businesses, Net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Interest Expense, Net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Bond Tender and Call Premium</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Currency Devaluation Charges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Other Expense, Net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C2C2C"/>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C2C2C"/>
              </w:rPr>
              <w:t>(15)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Loss Before Income Taxes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Income Tax Provision</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Net Loss</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97"/>
        </w:trPr>
        <w:tc>
          <w:tcPr>
            <w:tcW w:w="490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color w:val="auto"/>
              </w:rPr>
              <w:t>Net Loss Attributable to Weatherford</w:t>
            </w:r>
          </w:p>
        </w:tc>
        <w:tc>
          <w:tcPr>
            <w:tcW w:w="16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Weighted Average Shares Outstanding:</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3"/>
          </w:tcPr>
          <w:p>
            <w:pPr>
              <w:ind w:left="40"/>
              <w:spacing w:after="0"/>
              <w:rPr>
                <w:sz w:val="20"/>
                <w:szCs w:val="20"/>
                <w:color w:val="auto"/>
              </w:rPr>
            </w:pPr>
            <w:r>
              <w:rPr>
                <w:rFonts w:ascii="Arial" w:cs="Arial" w:eastAsia="Arial" w:hAnsi="Arial"/>
                <w:sz w:val="17"/>
                <w:szCs w:val="17"/>
                <w:color w:val="auto"/>
              </w:rPr>
              <w:t>Basic &amp; Diluted</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995</w:t>
            </w:r>
          </w:p>
        </w:tc>
      </w:tr>
    </w:tbl>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2" w:right="239" w:bottom="1440" w:gutter="0" w:footer="0" w:header="0"/>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378"/>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61"/>
        </w:trPr>
        <w:tc>
          <w:tcPr>
            <w:tcW w:w="1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800" w:type="dxa"/>
            <w:vAlign w:val="bottom"/>
            <w:gridSpan w:val="4"/>
          </w:tcPr>
          <w:p>
            <w:pPr>
              <w:ind w:left="170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CONDENSED CONSOLIDATED BALANCE SHEETS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120" w:type="dxa"/>
            <w:vAlign w:val="bottom"/>
          </w:tcPr>
          <w:p>
            <w:pPr>
              <w:spacing w:after="0"/>
              <w:rPr>
                <w:sz w:val="23"/>
                <w:szCs w:val="23"/>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29"/>
        </w:trPr>
        <w:tc>
          <w:tcPr>
            <w:tcW w:w="12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w w:val="97"/>
              </w:rPr>
              <w:t>Accounts Receivable, Net of Allowance for Uncollectible Accounts of $120 at June 30, 2019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$123 at December 31, 2018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3,450</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97"/>
        </w:trPr>
        <w:tc>
          <w:tcPr>
            <w:tcW w:w="1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29"/>
        </w:trPr>
        <w:tc>
          <w:tcPr>
            <w:tcW w:w="12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w w:val="96"/>
              </w:rPr>
              <w:t>Property, Plant and Equipment, Net of Accumulated Depreciation of $6,048 at June 30, 2019 and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$5,786 at December 31, 2018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1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6,601</w:t>
            </w: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Accrued Salaries and Benefits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1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324"/>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1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r>
      <w:tr>
        <w:trPr>
          <w:trHeight w:val="291"/>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Deficiency: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12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w w:val="90"/>
              </w:rPr>
              <w:t>Shares - Par Value $0.001; Authorized 1,356 shares, Issued and Outstanding 1,004 shares at June 30,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2019 and 1,002 shares at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w:t>
            </w:r>
          </w:p>
        </w:tc>
      </w:tr>
      <w:tr>
        <w:trPr>
          <w:trHeight w:val="243"/>
        </w:trPr>
        <w:tc>
          <w:tcPr>
            <w:tcW w:w="120" w:type="dxa"/>
            <w:vAlign w:val="bottom"/>
          </w:tcPr>
          <w:p>
            <w:pPr>
              <w:spacing w:after="0"/>
              <w:rPr>
                <w:sz w:val="21"/>
                <w:szCs w:val="21"/>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(8,671)</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7"/>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Weatherford Shareholders’ Deficiency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w:t>
            </w:r>
          </w:p>
        </w:tc>
      </w:tr>
      <w:tr>
        <w:trPr>
          <w:trHeight w:val="27"/>
        </w:trPr>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120" w:type="dxa"/>
            <w:vAlign w:val="bottom"/>
          </w:tcPr>
          <w:p>
            <w:pPr>
              <w:spacing w:after="0"/>
              <w:rPr>
                <w:sz w:val="20"/>
                <w:szCs w:val="20"/>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Total Shareholders’ Deficiency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w:t>
            </w:r>
          </w:p>
        </w:tc>
      </w:tr>
      <w:tr>
        <w:trPr>
          <w:trHeight w:val="27"/>
        </w:trPr>
        <w:tc>
          <w:tcPr>
            <w:tcW w:w="1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Deficiency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6,601</w:t>
            </w: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580" w:top="432" w:right="679" w:bottom="1440" w:gutter="0" w:footer="0" w:header="0"/>
        </w:sectPr>
      </w:pPr>
    </w:p>
    <w:bookmarkStart w:id="5" w:name="page6"/>
    <w:bookmarkEnd w:id="5"/>
    <w:p>
      <w:pPr>
        <w:ind w:left="2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9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10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9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291</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Employee Share-Based Compensation Expense</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Long-Lived Asset Impairments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Inventory Write-off and Other Related Charges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64</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 Write-Downs and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Gain on Sale Businesses, Net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Bond Tender and Call Premium</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Currency Devaluation Charges</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 Fair Value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Effect of Businesses Acquired:</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Accrued Litigation and Settlements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9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0"/>
        </w:trPr>
        <w:tc>
          <w:tcPr>
            <w:tcW w:w="9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of Businesses,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Acquisition of Intellectual Property</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Proceeds from Sale of Businesses, Net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w:t>
            </w:r>
          </w:p>
        </w:tc>
      </w:tr>
      <w:tr>
        <w:trPr>
          <w:trHeight w:val="33"/>
        </w:trPr>
        <w:tc>
          <w:tcPr>
            <w:tcW w:w="9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9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588</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Borrowings of Short-term Debt, Net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Bond Tender Premium</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9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r>
      <w:tr>
        <w:trPr>
          <w:trHeight w:val="217"/>
        </w:trPr>
        <w:tc>
          <w:tcPr>
            <w:tcW w:w="9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r>
      <w:tr>
        <w:trPr>
          <w:trHeight w:val="284"/>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r>
      <w:tr>
        <w:trPr>
          <w:trHeight w:val="203"/>
        </w:trPr>
        <w:tc>
          <w:tcPr>
            <w:tcW w:w="9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r>
      <w:tr>
        <w:trPr>
          <w:trHeight w:val="237"/>
        </w:trPr>
        <w:tc>
          <w:tcPr>
            <w:tcW w:w="9100" w:type="dxa"/>
            <w:vAlign w:val="bottom"/>
          </w:tcPr>
          <w:p>
            <w:pPr>
              <w:ind w:left="20"/>
              <w:spacing w:after="0"/>
              <w:rPr>
                <w:sz w:val="20"/>
                <w:szCs w:val="20"/>
                <w:color w:val="auto"/>
              </w:rPr>
            </w:pPr>
            <w:r>
              <w:rPr>
                <w:rFonts w:ascii="Arial" w:cs="Arial" w:eastAsia="Arial" w:hAnsi="Arial"/>
                <w:sz w:val="16"/>
                <w:szCs w:val="16"/>
                <w:color w:val="auto"/>
              </w:rPr>
              <w:t>Income Taxes Paid, Net of Refunds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w:t>
            </w:r>
          </w:p>
        </w:tc>
      </w:tr>
    </w:tbl>
    <w:p>
      <w:pPr>
        <w:spacing w:after="0" w:line="200" w:lineRule="exact"/>
        <w:rPr>
          <w:sz w:val="20"/>
          <w:szCs w:val="20"/>
          <w:color w:val="auto"/>
        </w:rPr>
      </w:pPr>
    </w:p>
    <w:p>
      <w:pPr>
        <w:spacing w:after="0" w:line="33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40" w:top="449" w:right="319" w:bottom="416" w:gutter="0" w:footer="0" w:header="0"/>
        </w:sectPr>
      </w:pPr>
    </w:p>
    <w:p>
      <w:pPr>
        <w:spacing w:after="0" w:line="6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40" w:top="449" w:right="319" w:bottom="416" w:gutter="0" w:footer="0" w:header="0"/>
          <w:type w:val="continuous"/>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“Weatherford”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June 30, 2019 and December 31, 2018, Condensed Consolidated Statements of Operations and Condensed Consolidated Statements of Comprehensive Loss for the three and six months ended June 30, 2019 and 2018 and Condensed Consolidated Statements of Cash Flows for the six months ended June 30, 2019 and 2018. When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206"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2018 included in our Annual Report on Form 10-K. The results of operations for the three and six months ended June 30, 2019 are not necessarily indicative of the results expected for the year ending December 31, 2019 for which we expect to file the related Annual Report on Form 10-K as an accelerated filer, our first period affected by the change in filing status based on our public float as of the last business day of our second fiscal quarter of 2019.</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w:t>
      </w:r>
    </w:p>
    <w:p>
      <w:pPr>
        <w:spacing w:after="0" w:line="18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an on-going basis, we evaluate our estimates and assumptions, including those related to uncollectible accounts receivable, lower of cost or net realizable value of inventories, assets and liabilities held for sale, derivative financial instruments, intangible assets and goodwill, property, plant and equipment (“PP&amp;E”), right-of-use (“ROU”) lease assets, income taxes, accounting for long-term contracts, self-insurance, foreign currency exchange rates, lease liabilities, pension and post-retirement benefit plans, disputes, litigation, contingencies and share-based compensation. We base our estimates on historical experience, adjusted for current conditions if necessary,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and controlled joint ventures. All material intercompany accounts and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reclassifications of the financial statements and accompanying footnotes for the three and six months ended June 30, 2018 have been made to conform to the presentation for the three and six months ended June 30, 2019. See “Note 3 – New Accounting Pronouncements” for additional details regarding accounting changes impacting the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Chapter 11 Proceedings and Ability to Continue as a Going Concern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Reorganization Under Chapter 11 of the U.S. Bankruptcy Code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July 1, 2019, Weatherford Ireland, Weatherford International Ltd. (“Weatherford Bermuda”), and Weatherford International, LLC (“Weatherford Delaware”) (collectively, “Weatherford Parties,” or “Debtors”), filed voluntary petitions under Chapter 11 of the U.S. Bankruptcy Code (“Bankruptcy Code”) in the U.S. Bankruptcy Court for the Southern District of Texas (“Bankruptcy Court”). The Debtors have obtained joint administration of their Chapter 11 cases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Case No. 19-33694 (“Cases”). On June 28, 2019, the Debtors commenced a solicitation for acceptance of their prepackaged plan of reorganization (“Plan”) by causing the Plan and the corresponding disclosure statement to be distributed to certain creditors of the Company.</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Weatherford Ireland anticipates filing a petition under the Irish Companies Act 2014 in Ireland (“Irish Examinership Proceeding”) following confirmation of the Plan by the Bankruptcy Court to seek approval for its scheme of arrangement. The filing of the Irish Examinership Proceeding will commence a 100 calendar day protection period under Irish law, during which Weatherford Ireland will have the benefit of protection against enforcement and other actions by its creditors. Weatherford Ireland intends to continue operating its business in the ordinary course during the protection period.</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Weatherford Bermuda has commenced provisional liquidation proceedings (“Bermuda Proceedings”) pursuant to the Bermuda Companies Act 1981 by presenting a winding up petition to the Supreme Court of Bermuda (“Bermuda Court”). The Bermuda Court appointed a provisional liquidator who acts as an officer of the Bermuda Court, and is required under the Bermuda Court’s order to report from time to time on the progress of the Bermuda Proceedings. The provisional liquidator will have the power to oversee Weatherford Bermuda’s restructuring process. The Debtors’ management team and board of directors will remain in control of Weatherford Bermuda’s day-to-day operations and its Cases.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will seek to postpone its petition for a specified period, while the U.S. Bankruptcy Court and the Irish Examiner administer its Cases. Before the Debtors emerge from Chapter 11, Weatherford Bermuda may, along with the provisional liquidator and subject to the direction of the Bermuda Court, convene meetings of the impaired creditors in order to consider and approve, if appropriate, a scheme of arrangement pursuant to the Bermuda Companies Act 1981. It is anticipated that a the terms of the scheme will mirror the terms of the Plan and once properly approved, is a mechanism for ensuring that all of the impaired creditors of Weatherford Bermuda are bound by the terms of the Plan.</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remaining non-debtor affiliates that have not filed voluntary petitions under the Plan will continue operating their businesses and facilities without disruption to customers, vendors, partners or employees. The Plan and requested first day relief provide that vendors and other unsecured creditors who continue to work with the non-debtor affiliates on existing terms will be paid in full and in the ordinary course of business (in the case of creditors of the Debtors, following consummation of the Plan). All existing customer and vendor contracts are expected to remain in place and be serviced in the ordinary course of business.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certain exceptions, under the Bankruptcy Code, the filing of the Cases automatically enjoined, or stayed, the continuation of most judicial or administrative proceedings or filing of other actions against the Debtors or their property to recover, collect or secure a claim arising prior to the date of the Cases. All of the Debtors’ prepetition unsecured senior notes are subject to compromise and treatment under the Bankruptcy Code. Since the commencement of the Cases, the Debtors have continued to operate their businesses as debtors-in-possession under the jurisdiction of the Bankruptcy Court and in accordance with the applicable provisions of the Bankruptcy Code and orders of the Bankruptcy Court.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10, 2019, the Debtors entered into the Restructuring Support Agreement (“RSA”) with certain holders of our unsecured notes (“Consenting Creditors”). The RSA sets forth, subject to certain conditions, the terms of the capital financial restructuring of the Company (“Transaction”) and, as of July 12, 2019, includes the commitment of Consenting Creditors holding over 80% in aggregate principal amount of our outstanding unsecured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Transaction will be approved through the confirmation of the Plan filed in the Cases.</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RSA contemplates a comprehensive deleveraging of our balance sheet and a reduction of approximately $5.85 billion of our funded debt and provides, in pertinent part, as follows (as further described in later paragraphs):</w:t>
      </w:r>
    </w:p>
    <w:p>
      <w:pPr>
        <w:spacing w:after="0" w:line="170" w:lineRule="exact"/>
        <w:rPr>
          <w:sz w:val="20"/>
          <w:szCs w:val="20"/>
          <w:color w:val="auto"/>
        </w:rPr>
      </w:pPr>
    </w:p>
    <w:p>
      <w:pPr>
        <w:jc w:val="both"/>
        <w:ind w:left="1300" w:hanging="320"/>
        <w:spacing w:after="0" w:line="279"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existing unsecured notes will be cancelled and exchanged for 99% of the ordinary shares of the reorganized Company (“New Common Stock”) and $1.25 billion of new tranche B senior unsecured notes to be issued by the reorganized Company with a seven-year maturity. Holders shall have the option to convert up to $500 million of the tranche B unsecured notes to New Common Stock at the mid-point of plan equity value. The tranche B unsecured notes will be pari passu with the tranche A senior unsecured notes.</w:t>
      </w:r>
    </w:p>
    <w:p>
      <w:pPr>
        <w:spacing w:after="0" w:line="171"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existing secured funded debt and unsecured revolving credit facility debt will be repaid in full in cash in connection with the Transaction. The secured funded debt was repaid in full on July 3, 2019.</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existing equity will be cancelled and exchanged for 1% of the New Common Stock and three-year warrants to purchase 10% of the New Common Stock.</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DIP Credit Agreement will be repaid or refinanced in full upon completion of the Transaction through the Company’s entry into a first lien exit revolving credit facility in the principal amount of up to $1.0 billion and issuance of up to $1.25 billion of new tranche A senior unsecured notes with a five-year maturity (the “Tranche A Notes”), which will be fully backstopped by the Consenting Creditors. On July 1, 2019, the Weatherford Parties entered into the backstop commitment agreement and on July 3, 2019, the Weatherford Parties entered into the DIP Credit Agreement.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RSA includes certain milestones for the progress of the Cases, which include the dates by which the Weatherford Parties are required to, among other things, obtain certain court orders and complete the Transaction. In addition, the parties to the RSA will have the right to terminate the RSA and their support for the Transaction under certain circumstances, including, in the case of the Weatherford Parties, if the board of directors of any Weatherford Party determines in good faith that performance under the RSA would be inconsistent with its fiduciary duties. Accordingly, no assurance can be given that the Transaction described in the RSA will be completed.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Debtors’ 7.75% Senior Notes due 2021, 8.25% Senior Notes due 2023 and 6.80% Senior Notes due 2037 (together,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would occur under the applicable indenture. The Debtors elected to not make this interest payment on the due date and to utilize the 30-day grace period provided by the indentures. As of June 30, 2019, there was no event of default.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Debtors’ Term Loan Agreement required a quarterly payment of $12.5 million plus interest that became due on June 30, 2019 and was unpaid as of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of July 3, 2019, all unpaid principal and interest under the Term Loan Agreement were repaid in full. See discussion below.</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1, 2019, the Debtors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Debtors’ commencement of the Cases. Specifically, under the Credit Agreement Forbearance Agreement, the Credit Agreement Lenders agreed to forbear from exercising their rights and remedies available to them due to the Specified Defaults defined in the agreement, including the right to accelerate any indebtedness, for a specified period of time. Under the terms of the Credit Agreement Forbearance Agreement, the Debtors paid a fee for the ratable account of the Credit Agreement Lenders in an amount equal to 0.25% on the outstanding principal amount of the loans and total letter of credit exposure under the A&amp;R Credit Agreement. Additionally, (i) to the extent such entities were not already guarantors under the Credit Agreement, all subsidiaries of the Company who are guarantors under the DIP Credit Agreement (defined below) joined as guarantors under the Credit Agreement and (ii) all U.S. and Canadian subsidiaries of the Company granted a second lien security interest in favor of the Credit Agreement Lenders in the same assets that such U.S. and Canadian subsidiaries pledged a first lien security interest in under the DIP Credit Agreement; provided that the aggregate amount of the guaranteed obligations to be secured under the Credit Agreement did not exceed $100 million; and provided, further, that if the obligations under the A&amp;R Credit Agreement are not paid in full by November 30, 2019, such second lien security interest of the Credit Agreement Lenders shall automatically transition from second liens to pari passu liens with the liens under the DIP Credit Agreement.</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Term Loan Lenders under the Term Loan Agreement, dated as of May 4, 2016, among Weatherford Bermuda, as borrower, the Company, JPMorgan Chase Bank, N.A., as administrative agent, and the lenders from time to time party thereto (the “Term Loan Agreement”) entered into a forbearance agreement (the “Term Loan Forbearance Agreement”) with respect to certain defaults under the Term Loan Agreement. Specifically, under the Term Loan Forbearance Agreement, the Term Loan Lenders agreed to forbear from exercising their rights and remedies available to them due to the Specified Defaults defined in the agreement, including the right to accelerate any indebtedness, for a specified period of time. On July 3, 2019, the Company repaid its outstanding indebtedness under the Term Loan.</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Specifically, under the 364-Day Revolving Forbearance Agreement, the 364-Day Lenders agreed to forbear from exercising their rights and remedies available to them due to the Specified Defaults defined in the agreement, including the right to accelerate any indebtedness, for a specified period of time. On July 3, 2019, the Company repaid its outstanding indebtedness under the 364-Day Revolving Credit Agreement.</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Debtors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1, 2019, the Weatherford Parties and the commitment parties thereto (the “Commitment Parties”) entered into a Backstop Commitment Agreement. Pursuant to the terms of the Debtors’ Plan, and subject to approval by the Bankruptcy Court in connection with confirmation of the Plan, the Company intends to offer to holders of its existing unsecured notes, including the Commitment Parties, subscription rights to purchase the Tranche A Notes in aggregate principal amount of $1.25 billion, upon the Company’s emergence from bankruptcy.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the terms and conditions contained in the Backstop Commitment Agreement, the Consenting Creditors have committed to purchase any Tranche A Notes that are not duly subscribed for pursuant to the rights offering at a price equal to $1,000 per $1,000 in principal amount of the Tranche A Notes purchased by such Commitment Party. As consideration for the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10" w:name="page11"/>
    <w:bookmarkEnd w:id="1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commitment by the Commitment Parties, the Weatherford Parties made an aggregate payment in an amount equal to $62.5 million in cash to the Commitment Parties. Except under certain circumstances set forth in the Backstop Commitment Agreement, such payment is non-refundable, regardless of the principal amount of unsubscribed Tranche A Notes (if any) purchased by the Commitment Parties.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 attached as an exhibit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Debtor-in-Possession Credit Agreement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July 3, 2019, the Weatherford Parties entered into a senior secured superpriority debtor-in-possession credit agreement (the “DIP Credit Agreement”). The DIP Credit Agreement has two debtor-in-possession (“DIP”) facilities to provide liquidity during the pendency of the Cases. The facilities consist of (a) a DIP revolving credit facility in the principal amount of up to $750 million provided by banks or other lenders and (b) a DIP term loan facility in the amount of up to $1.0 billion, which is fully backstopped by the Consenting Creditors. The DIP Credit Agreement will mature on the earlier of (i) the date that is 12 months after the Weatherford Parties’ entry into the DIP Credit Agreement or (ii) the date of completion of the Transaction. The DIP Credit Agreement bears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Debtors will be required to pay an unused commitment fee to the revolving facility lenders in respect of the unutilized DIP revolving facility commitments at a rate equal to 0.375% per annum on the average daily amount of the unutilized revolving facility commitments.</w:t>
      </w:r>
    </w:p>
    <w:p>
      <w:pPr>
        <w:spacing w:after="0" w:line="16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DIP Credit Agreement has a minimum liquidity covenant of $150 million and is secured by substantially all the personal assets and properties of the Debtors and certain of their subsidiaries. The DIP Credit Agreement is also guaranteed on an unsecured basis by certain other subsidiaries of the Debtors.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3, 2019, the Debtors borrowed approximately $1.4 billion under the DIP Credit Agreement and the proceeds of the borrowings under the DIP Credit Agreement were used to repay certain prepetition indebtedness, cash collateralize certain obligations with respect to letters of credit and similar instruments and finance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11 – Short-term Borrowings and Other Debt Obligations” for additional details.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Expenses, gains and losses that are realized or incurred before July 1, 2019 and in relation to the Cases are recorded under the caption “Prepetition Charges” on our Condensed Consolidated Statements of Operations. These charges were $76 million in the second quarter ended June 30, 2019 and $86 million for the six months ended June 30, 2019, and primarily consisted of professional and other fees related to the Cases.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bond and share price decline, as well as our declining credit ratings, have over time increased the level of uncertainty in our business and have impacted various key stakeholders, including our employees, our customers and suppliers, and our key lenders. Continued weak industry conditions have negatively impacted our results of operations and cash flows and may continue to do so in the future. In order to decrease our level of indebtedness and maintain the liquidity at levels we believed would be sufficient to meet our commitments, we undertook a number of actions, including minimizing capital expenditures and further reducing our recurring operating expenses. Ultimately, we concluded, even after taking these actions, we would not have sufficient liquidity to satisfy our debt service obligations and meet other financial obligations as they came due. As a result, on May 10, 2019, we announced the Company’s execution of the RSA and on July 1, 2019 the Debtors filed the Cases. We expect the DIP Credit Agreement should provide sufficient liquidity for the Company during the pendency of the Cases.</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Industry conditions and the risks and uncertainties associated with the Cases, raise substantial doubt about our ability to continue as a going concern. The consolidated financial statements have been prepared in conformity with U.S. GAAP which contemplate the continuation of the Company as a going concern. There are no assurances that the Transaction as described in the RSA and the Plan will be completed successfully.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our unaudited Condensed Consolidated Financial Statements do not include any adjustments that might be necessary should we be unable to continue as a going concern. In addition, our unaudited Condensed Consolidated Financial Statements do not reflect any adjustments related to bankruptcy or liquidation accounting.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Appeal of New York Stock Exchange Determination to Delist our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ordinary shares are registered on the New York Stock Exchange (the “NYSE”) and were previously traded on the NYSE under the symbol “WFT.” As a result of our failure to satisfy the continued listing requirements of the NYSE, on May 13, 2019, the NYSE suspended trading in our ordinary shares and commenced procedures to delist us, which the Company has appealed. Following the NYSE’s suspension of trading of our ordinary shares, the Company’s ordinary shares commenced trading on the OTC Bulletin Board or “pink sheets” market on May 14, 2019 under the symbol “WFTIF.” After filing the Cases on July 1, 2019, our ordinary shares began trading under the symbol “WFTIQ.”</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Effective January 1, 2019, we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issued by the Financial Accounting Standards Board (“FASB”) in February 2016 and the series of related updates that followed (collectively referred to as “Topic 842”), which requires a lessee to recognize a ROU lease asset and lease liability for all qualifying leases with terms longer than twelve months on the balance sheet, including those classified as operating leases under previously existing U.S. GAAP. The ASU also changes the definition of a lease and requires expanded quantitative and qualitative disclosures for both lessees and lessors.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elected to adopt Topic 842 using the modified retrospective approach. As such, comparative financial information for prior periods has not been restated and continues to be reported under the previous accounting guidance for those periods. We did not elect the hindsight practical expedient. See “Note 10 – Leases” for additional lease information and practical expedients elected.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Topic 842 on our consolidated balance sheet beginning January 1, 2019 was through the recognition of ROU assets and lease liabilities for operating leases, while our accounting for finance leases (previously referred to as capital leases) remains substantially unchanged. Amounts recognized at January 1, 2019 for operating leases were as follows:</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Balance at January 1,</w:t>
            </w:r>
          </w:p>
        </w:tc>
      </w:tr>
      <w:tr>
        <w:trPr>
          <w:trHeight w:val="234"/>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04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
        </w:trPr>
        <w:tc>
          <w:tcPr>
            <w:tcW w:w="48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48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r>
    </w:tbl>
    <w:p>
      <w:pPr>
        <w:spacing w:after="0" w:line="200" w:lineRule="exact"/>
        <w:rPr>
          <w:sz w:val="20"/>
          <w:szCs w:val="20"/>
          <w:color w:val="auto"/>
        </w:rPr>
      </w:pPr>
    </w:p>
    <w:p>
      <w:pPr>
        <w:spacing w:after="0" w:line="24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February 2018, the FASB issued ASU 2018-02</w:t>
      </w:r>
      <w:r>
        <w:rPr>
          <w:rFonts w:ascii="Arial" w:cs="Arial" w:eastAsia="Arial" w:hAnsi="Arial"/>
          <w:sz w:val="17"/>
          <w:szCs w:val="17"/>
          <w:i w:val="1"/>
          <w:iCs w:val="1"/>
          <w:color w:val="auto"/>
        </w:rPr>
        <w:t>, 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permits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Tax Cuts and Jobs Act. We adopted this standard in the first quarter of 2019 and an election was not made to reclassify the income tax effects of the Tax Cuts and Jobs Act from Accumulated Other Comprehensive Income to retained earnings.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Part I Accounting for Certain Financial Instruments with Down Round Features</w:t>
      </w:r>
      <w:r>
        <w:rPr>
          <w:rFonts w:ascii="Arial" w:cs="Arial" w:eastAsia="Arial" w:hAnsi="Arial"/>
          <w:sz w:val="18"/>
          <w:szCs w:val="18"/>
          <w:color w:val="auto"/>
        </w:rPr>
        <w:t>,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ordinary shareholders in basic earnings per share. We adopted this standard in the first</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quarter of 2019 on a retrospective basis and the adoption did not have a significant impact on our Condensed Consolidated Financial Statements.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Framework — Changes to the Disclosure Requirements for Defined Benefit Plans, </w:t>
      </w:r>
      <w:r>
        <w:rPr>
          <w:rFonts w:ascii="Arial" w:cs="Arial" w:eastAsia="Arial" w:hAnsi="Arial"/>
          <w:sz w:val="18"/>
          <w:szCs w:val="18"/>
          <w:color w:val="auto"/>
        </w:rPr>
        <w:t>which makes minor changes to the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that sponsor defined benefit pension and other postretirement benefit plans. The ASU is effective for the fiscal year ending December 31, 2020, but early adoption is permitted. The ASU is required to be applied retrospectively. This new standard will not have a significant impact on our Condensed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eliminates, adds and modifies certain disclosure requirements for fair value measurements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The ASU is effective beginning with the first quarter of 2020, and early adoption is permitted. The ASU is required to be applied retrospectively, except the new Level 3 disclosure requirements which are applied prospectively. We evaluated the impact of this new standard and concluded that the adoption of the ASU will not have a significant impact on our Condensed Consolidated Financial Statements.</w:t>
      </w:r>
    </w:p>
    <w:p>
      <w:pPr>
        <w:spacing w:after="0" w:line="1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replaces the incurred loss impairment methodology in current U.S. GAAP with a methodology that reflects expected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consideration of a broader range of reasonable and supportable 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w:t>
      </w:r>
    </w:p>
    <w:p>
      <w:pPr>
        <w:spacing w:after="0" w:line="2" w:lineRule="exact"/>
        <w:rPr>
          <w:sz w:val="20"/>
          <w:szCs w:val="20"/>
          <w:color w:val="auto"/>
        </w:rPr>
      </w:pPr>
    </w:p>
    <w:p>
      <w:pPr>
        <w:jc w:val="both"/>
        <w:ind w:firstLine="8"/>
        <w:spacing w:after="0" w:line="273" w:lineRule="auto"/>
        <w:tabs>
          <w:tab w:leader="none" w:pos="295" w:val="left"/>
        </w:tabs>
        <w:numPr>
          <w:ilvl w:val="0"/>
          <w:numId w:val="4"/>
        </w:numPr>
        <w:rPr>
          <w:rFonts w:ascii="Arial" w:cs="Arial" w:eastAsia="Arial" w:hAnsi="Arial"/>
          <w:sz w:val="17"/>
          <w:szCs w:val="17"/>
          <w:color w:val="auto"/>
        </w:rPr>
      </w:pPr>
      <w:r>
        <w:rPr>
          <w:rFonts w:ascii="Arial" w:cs="Arial" w:eastAsia="Arial" w:hAnsi="Arial"/>
          <w:sz w:val="17"/>
          <w:szCs w:val="17"/>
          <w:color w:val="auto"/>
        </w:rPr>
        <w:t>loan commitments and other off-balance sheet credit exposures, (iii) debt securities and other financial assets measured at fair value through other comprehensive income, and (iv) beneficial interests in securitized financial assets. The amended guidance is effective for fiscal years beginning after December 15, 2019, including interim periods within those fiscal years. We will adopt the new standard on the effective date of January 1, 2020 and are evaluating the effect, if any, that the guidance will have on our Condensed Consolidated Financial Statements and related disclosures.</w:t>
      </w:r>
    </w:p>
    <w:p>
      <w:pPr>
        <w:spacing w:after="0" w:line="172" w:lineRule="exact"/>
        <w:rPr>
          <w:rFonts w:ascii="Arial" w:cs="Arial" w:eastAsia="Arial" w:hAnsi="Arial"/>
          <w:sz w:val="17"/>
          <w:szCs w:val="17"/>
          <w:color w:val="auto"/>
        </w:rPr>
      </w:pPr>
    </w:p>
    <w:p>
      <w:pPr>
        <w:ind w:left="540" w:hanging="208"/>
        <w:spacing w:after="0"/>
        <w:tabs>
          <w:tab w:leader="none" w:pos="54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Factoring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six months of 2019, we sold accounts receivable of $162 million and recognized a loss of $1 million on these sales. We received cash proceeds totaling $152 million. In the first six months of 2018, we sold accounts receivable of $188 million and recognized a loss of $1 million. We received cash proceeds totaling $181 million. Our factoring transactions in the first six months of 2019 and 2018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accounts receivable factoring arrangements are subject to additional limitations as result of entering into the DIP Credit Agreement and Credit Agreement Forbearance Agreement, where (a) net cash proceeds from U.S. and Canadian entities will pay down the DIP Credit Agreement and (b) net cash proceeds from other countries up to $75 million in a calendar quarter can be retained for the Company (with any excess to prepay the DIP Credit Agreement). This factoring limitation begins in the third quarter of 2019.</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5. Inventories, Net</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six months of 2019, we made no acquisitions of businesses.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2018, we acquired the remaining 50% equity interest in our Qatari joint venture that we previously accounted for as an equity method investment and consolidated the entity.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in 2020. As a result of this step acquisition transaction with a change in control, we remeasured our previously held equity investment to fair value and recognized a $12 million gain. The Level 3 fair value of the acquisition was determined using an income approach.</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30, 2019, we completed the sale of our Reservoir Solutions business, also known as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personnel and associated contracts related to the business. We recognized a gain of $117 million and divested a carrying amount of $61 million in net assets previously included in held for sale.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 We recognized an insignificant loss and divested a carrying amount of $34 million in net assets previously included in held for sale.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first quarter of 2019, we completed the final closings in a series of closings pursuant to the purchase and sale agreements (“Agreements”) entered into with ADES International Holding Ltd. (“ADES”). We entered into the Agreements in July of 2018 to sell our land drilling rig operations in Algeria, Kuwait and Saudi Arabia, as well as two idle land rigs in Iraq, for an aggregate purchase price of $287.5 million. We received gross proceeds of $72 million in the first quarter of 2019. The ADES sale was subject to regulatory approvals, consents and other customary closing conditions, including potential adjustments based on working capital, net cash, loss or destruction of rigs and drilling contract backlog. The $11 million ADES advance of the purchase price held in escrow as of December 31, 2018 was released in the first quarter of 2019 as a credit towards the purchase price. The loss on the sale of land drilling rigs operations recognized in the first quarter of 2019 was $6 million and divested a carrying amount of $66 million in net assets previously included in held for sale. The Agreements divest a majority of our land drilling rig operations.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2018, we completed the sale of our continuous sucker rod service business in Canada for a purchase price of $25 million and recognized a gain of $2 million. The carrying amounts of the major classes of assets divested total $23 million and included PP&amp;E, allocated goodwill and inventory.</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32"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second quarter of 2019, we reclassified remaining land drilling rigs held for sale assets of $53 million to assets held for use. We continue to pursue options to sell all of our remaining land drilling rigs operations however the time required to close the recent land drilling rigs sales indicate that we may not be able to conclude that a sale is probable to occur in an appropriate timeline. At June 30, 2019, assets qualifying as held for sale were insignificant.</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2018, assets qualifying as held for sale totaled $265 million and liabilities held for sale totaled $17 million. These amounts primarily consisted of our surface data logging and laboratory services business held for sale (which was completed as of April 30, 2019) and our remaining land drilling rigs operations held for sale (which the unsold portions were reclassified back to held for use in the second quarter of 2019).</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Long-Lived Asset Impairments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recognized long-lived asset impairments of $13 million and $20 million, respectively, for the three and six months ended June 30, 2019, and $92 million for the three and six months ended June 30, 2018, to write-down our assets to the lower of carrying amount or fair value less cost to sell for our land drilling rigs. The impairments were primarily related to our Western Hemisphere segment in the second quarter of 2019 and Eastern Hemisphere in the first quarter of 2019. The impairments recognized for the three and six months ended June 30, 2018, were comprised of $37 million from our Western Hemisphere segment and $55 million from our Eastern Hemisphere segment. During the second quarter of 2019, we reclassified our remaining land drilling rigs assets back into held for use.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second quarter ended June 30, 2019, our interim goodwill impairment tests indicated that goodwill for our Asia and Middle East/North Africa (“MENA”) reporting units were impaired and as a result we incurred a goodwill impairment charge of $102 million. In the first quarter ended March 31, 2019 our interim goodwill impairment tests indicated that goodwill for our North America reporting unit was impaired and as a result we incurred a goodwill impairment charge of $229 million. The impairment indicators during the first and second quarters of 2019 were a result of lower activity levels and lower exploration and production capital spending that resulted in a decline in drilling activity and forecasted growth in North America, Asia and MENA reporting units. Our cumulative impairment loss for goodwill was $3.0 billion at June 30, 2019. The changes in the carrying amount of goodwill by reporting segment at June 30, 2019, are presented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Eastern Hemisphere</w:t>
            </w:r>
          </w:p>
        </w:tc>
        <w:tc>
          <w:tcPr>
            <w:tcW w:w="50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from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Impairment Assessment Factors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perform an impairment test for goodwill annually as of October 1 or more frequently if indicators of potential impairment exist that would more likely than not reduce the fair value of the reporting unit below its carrying value. In assessing the possibility that a reporting unit’s fair value has been reduced below its carrying amount due to the occurrence of events or circumstances</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49"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annual impairment testing dates, we consider all available evidence, including, but not limited to, (i) the results of our impairment testing at the prior annual impairment testing date, in particular the magnitude of the excess of fair value over carrying value, (ii) changes in market conditions, (iii) downward revisions to internal forecasts, and the magnitude thereof, if any, (iv) decline in our market capitalization below our book value, and the magnitude and duration of those declines, if any.</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share price has historically experienced volatility as a result of industry-wide and macroeconomic factors, including global oil prices and rig counts. In addition, our financial results and our inability to meet our Transformation Plan (as defined in “Note 9 – Transformation, Facility Restructuring and Severance Charges”) initiatives in the magnitude and desired time-frame, contributed to the NYSE suspension of the trading in our ordinary shares and commencement of procedures to delist our shares, which the Company has appealed. These circumstances, along with the filing of the Cases, prompted us to evaluate whether circumstances had changed that would more likely than not reduce the fair value of one or more of our reporting units below their carrying amount as of June 30, 2019. While conducting this evaluation, we considered macroeconomic and industry conditions, including the outlook for exploration and production spending by our customers, the magnitude and declines in our market capitalization and overall financial performance of each of our reporting units. We also considered whether there were any changes in our long-term forecasts, which are impacted by assumptions about the future commodity pricing and supply and demand for our goods and services, all of which require considerable judgment in estimation.</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second quarter ended June 30, 2019, our interim goodwill impairment tests indicated that goodwill for our Asia and MENA reporting units were impaired and as a result we incurred a goodwill impairment charge of $102 million. We impaired our entire balance of our MENA reporting unit by recognizing a $43 million impairment charge.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believe that we will continue to operate in the ordinary course during our bankruptcy process and upon emergence from Chapter 11 bankruptcy proceedings, our estimates of fair values are sensitive to inputs to the valuation approaches, including our forecasts of revenues and earnings growth. There can be no assurances that changes to our inputs would not result in a material impairment of goodwill.</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Transformation, Facility Restructuring and Severance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our geographic regions.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reduction plans before the Transformation Plan (“Prior Plans”) included a workforce reduction and other cost reduction measures initiated across our geographic regions due to the ongoing low levels of exploration and production spending. The plans were initiated to reduce our overall cost structure and workforce to better align with current activity levels of exploration and production.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$20 million and $40 million in the second quarter and first six months of 2019, respectively, which include severance charges of $1 million and $3 million, respectively, other restructuring charges of $15 million and $29 million, respectively, and restructuring related asset charges of $4 million and $8 million, respectively. Other restructuring charges in both periods included contract termination costs, relocation and other associated costs.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the second quarter and first six months of 2018 we recognized restructuring charges of $38 million and $63 million, respectively, which included severance charges of $29 million and $40 million, respectively and other restructuring charges of $9 million and $23 million, respectively.</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restructuring charges by segment for the second quarter and first six months ended June 30, 2019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jc w:val="right"/>
              <w:ind w:right="5070"/>
              <w:spacing w:after="0"/>
              <w:rPr>
                <w:sz w:val="20"/>
                <w:szCs w:val="20"/>
                <w:color w:val="auto"/>
              </w:rPr>
            </w:pPr>
            <w:r>
              <w:rPr>
                <w:rFonts w:ascii="Arial" w:cs="Arial" w:eastAsia="Arial" w:hAnsi="Arial"/>
                <w:sz w:val="18"/>
                <w:szCs w:val="18"/>
                <w:color w:val="auto"/>
                <w:w w:val="88"/>
              </w:rPr>
              <w:t>2018.</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2019</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2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220" w:type="dxa"/>
            <w:vAlign w:val="bottom"/>
          </w:tcPr>
          <w:p>
            <w:pPr>
              <w:spacing w:after="0"/>
              <w:rPr>
                <w:sz w:val="22"/>
                <w:szCs w:val="22"/>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0"/>
        </w:trPr>
        <w:tc>
          <w:tcPr>
            <w:tcW w:w="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2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57"/>
        </w:trPr>
        <w:tc>
          <w:tcPr>
            <w:tcW w:w="220" w:type="dxa"/>
            <w:vAlign w:val="bottom"/>
          </w:tcPr>
          <w:p>
            <w:pPr>
              <w:spacing w:after="0"/>
              <w:rPr>
                <w:sz w:val="22"/>
                <w:szCs w:val="22"/>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r>
      <w:tr>
        <w:trPr>
          <w:trHeight w:val="20"/>
        </w:trPr>
        <w:tc>
          <w:tcPr>
            <w:tcW w:w="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35"/>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Six Months Ended June 30, 2019</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43"/>
        </w:trPr>
        <w:tc>
          <w:tcPr>
            <w:tcW w:w="2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57"/>
        </w:trPr>
        <w:tc>
          <w:tcPr>
            <w:tcW w:w="220" w:type="dxa"/>
            <w:vAlign w:val="bottom"/>
          </w:tcPr>
          <w:p>
            <w:pPr>
              <w:spacing w:after="0"/>
              <w:rPr>
                <w:sz w:val="22"/>
                <w:szCs w:val="22"/>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919"/>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Six Months Ended June 30, 2018</w:t>
            </w:r>
          </w:p>
        </w:tc>
        <w:tc>
          <w:tcPr>
            <w:tcW w:w="154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2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2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57"/>
        </w:trPr>
        <w:tc>
          <w:tcPr>
            <w:tcW w:w="220" w:type="dxa"/>
            <w:vAlign w:val="bottom"/>
          </w:tcPr>
          <w:p>
            <w:pPr>
              <w:spacing w:after="0"/>
              <w:rPr>
                <w:sz w:val="22"/>
                <w:szCs w:val="22"/>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r>
      <w:tr>
        <w:trPr>
          <w:trHeight w:val="20"/>
        </w:trPr>
        <w:tc>
          <w:tcPr>
            <w:tcW w:w="2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16</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liabilities accrued as part of the 2016-17 and 2016 Plans that will be paid pursuant to the respective arrangements and statutory requirements.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June 30, 2019</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Prior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restructuring liability activity for the first six months of 2019. In the first quarter of 2019, we reclassified $12 million of restructuring cease-use liability to the initial ROU asset in accordance with the adoption of Topic 842.</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Six Months Ended June 30, 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Prior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color w:val="auto"/>
              </w:rPr>
              <w:t>Total severance and other 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lease certain facilities, land, vehicles, and equipment. Leases with an initial term of 12 months or less are not recorded on the balance sheet (including short-term sale leaseback transactions); we recognize lease expense for these leases on a straight-line basis over the lease term.</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Beginning January 1, 2019, operating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adoption of Topic 842 we used the December 31, 2018 incremental borrowing rate, for operating leases that commenced prior to December 31, 2018. 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9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See “Note 18 – Revenues” for additional details on our equipment rental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leases are recorded net of $48 million in accumulated amortization as of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560" w:type="dxa"/>
            <w:vAlign w:val="bottom"/>
          </w:tcPr>
          <w:p>
            <w:pPr>
              <w:ind w:left="300"/>
              <w:spacing w:after="0"/>
              <w:rPr>
                <w:sz w:val="20"/>
                <w:szCs w:val="20"/>
                <w:color w:val="auto"/>
              </w:rPr>
            </w:pPr>
            <w:r>
              <w:rPr>
                <w:rFonts w:ascii="Arial" w:cs="Arial" w:eastAsia="Arial" w:hAnsi="Arial"/>
                <w:sz w:val="18"/>
                <w:szCs w:val="18"/>
                <w:color w:val="auto"/>
              </w:rPr>
              <w:t>Classification</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Components:</w:t>
            </w:r>
          </w:p>
        </w:tc>
        <w:tc>
          <w:tcPr>
            <w:tcW w:w="3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Assets</w:t>
            </w:r>
          </w:p>
        </w:tc>
        <w:tc>
          <w:tcPr>
            <w:tcW w:w="3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w:t>
            </w:r>
          </w:p>
        </w:tc>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Finance</w:t>
            </w:r>
          </w:p>
        </w:tc>
        <w:tc>
          <w:tcPr>
            <w:tcW w:w="3560" w:type="dxa"/>
            <w:vAlign w:val="bottom"/>
          </w:tcPr>
          <w:p>
            <w:pPr>
              <w:ind w:left="300"/>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leased assets</w:t>
            </w:r>
          </w:p>
        </w:tc>
        <w:tc>
          <w:tcPr>
            <w:tcW w:w="3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03"/>
        </w:trPr>
        <w:tc>
          <w:tcPr>
            <w:tcW w:w="3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43"/>
        </w:trPr>
        <w:tc>
          <w:tcPr>
            <w:tcW w:w="40" w:type="dxa"/>
            <w:vAlign w:val="bottom"/>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5020" w:type="dxa"/>
            <w:vAlign w:val="bottom"/>
            <w:gridSpan w:val="2"/>
          </w:tcPr>
          <w:p>
            <w:pPr>
              <w:ind w:left="300"/>
              <w:spacing w:after="0"/>
              <w:rPr>
                <w:sz w:val="20"/>
                <w:szCs w:val="20"/>
                <w:color w:val="auto"/>
              </w:rPr>
            </w:pPr>
            <w:r>
              <w:rPr>
                <w:rFonts w:ascii="Arial" w:cs="Arial" w:eastAsia="Arial" w:hAnsi="Arial"/>
                <w:sz w:val="18"/>
                <w:szCs w:val="18"/>
                <w:color w:val="auto"/>
                <w:w w:val="95"/>
              </w:rPr>
              <w:t>Short-term Borrowings and Current Portion of Long-term Debt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tcBorders>
              <w:right w:val="single" w:sz="8" w:color="CCEEFF"/>
            </w:tcBorders>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5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03"/>
        </w:trPr>
        <w:tc>
          <w:tcPr>
            <w:tcW w:w="3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Non-Current</w:t>
            </w:r>
          </w:p>
        </w:tc>
        <w:tc>
          <w:tcPr>
            <w:tcW w:w="3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3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43"/>
        </w:trPr>
        <w:tc>
          <w:tcPr>
            <w:tcW w:w="40" w:type="dxa"/>
            <w:vAlign w:val="bottom"/>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3560" w:type="dxa"/>
            <w:vAlign w:val="bottom"/>
          </w:tcPr>
          <w:p>
            <w:pPr>
              <w:ind w:left="300"/>
              <w:spacing w:after="0"/>
              <w:rPr>
                <w:sz w:val="20"/>
                <w:szCs w:val="20"/>
                <w:color w:val="auto"/>
              </w:rPr>
            </w:pPr>
            <w:r>
              <w:rPr>
                <w:rFonts w:ascii="Arial" w:cs="Arial" w:eastAsia="Arial" w:hAnsi="Arial"/>
                <w:sz w:val="18"/>
                <w:szCs w:val="18"/>
                <w:color w:val="auto"/>
              </w:rPr>
              <w:t>Long-term Debt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35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7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3"/>
              </w:rPr>
              <w:t>Three Months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Ended June 30,</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30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2019</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Lease Expense Components:</w:t>
            </w:r>
          </w:p>
        </w:tc>
        <w:tc>
          <w:tcPr>
            <w:tcW w:w="3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3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w w:val="97"/>
              </w:rPr>
              <w:t>Short-term and variable lease expense</w:t>
            </w:r>
          </w:p>
        </w:tc>
        <w:tc>
          <w:tcPr>
            <w:tcW w:w="3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6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9"/>
              </w:rPr>
              <w:t>Finance lease expense: Amortization of ROU assets and interest on lease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Sublease income</w:t>
            </w:r>
          </w:p>
        </w:tc>
        <w:tc>
          <w:tcPr>
            <w:tcW w:w="3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35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79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Finance</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0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3560" w:type="dxa"/>
            <w:vAlign w:val="bottom"/>
          </w:tcPr>
          <w:p>
            <w:pPr>
              <w:spacing w:after="0"/>
              <w:rPr>
                <w:sz w:val="23"/>
                <w:szCs w:val="23"/>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Leases</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Leases</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Maturity of Lease Liabilities as of June 30, 2019:</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060" w:type="dxa"/>
            <w:vAlign w:val="bottom"/>
            <w:gridSpan w:val="4"/>
          </w:tcPr>
          <w:p>
            <w:pPr>
              <w:ind w:left="960"/>
              <w:spacing w:after="0"/>
              <w:rPr>
                <w:sz w:val="20"/>
                <w:szCs w:val="20"/>
                <w:color w:val="auto"/>
              </w:rPr>
            </w:pPr>
            <w:r>
              <w:rPr>
                <w:rFonts w:ascii="Arial" w:cs="Arial" w:eastAsia="Arial" w:hAnsi="Arial"/>
                <w:sz w:val="18"/>
                <w:szCs w:val="18"/>
                <w:color w:val="auto"/>
              </w:rPr>
              <w:t>2019</w:t>
            </w:r>
          </w:p>
        </w:tc>
        <w:tc>
          <w:tcPr>
            <w:tcW w:w="356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1"/>
                <w:szCs w:val="21"/>
                <w:color w:val="auto"/>
              </w:rPr>
            </w:pPr>
          </w:p>
        </w:tc>
      </w:tr>
      <w:tr>
        <w:trPr>
          <w:trHeight w:val="243"/>
        </w:trPr>
        <w:tc>
          <w:tcPr>
            <w:tcW w:w="3060" w:type="dxa"/>
            <w:vAlign w:val="bottom"/>
            <w:gridSpan w:val="4"/>
          </w:tcPr>
          <w:p>
            <w:pPr>
              <w:ind w:left="960"/>
              <w:spacing w:after="0"/>
              <w:rPr>
                <w:sz w:val="20"/>
                <w:szCs w:val="20"/>
                <w:color w:val="auto"/>
              </w:rPr>
            </w:pPr>
            <w:r>
              <w:rPr>
                <w:rFonts w:ascii="Arial" w:cs="Arial" w:eastAsia="Arial" w:hAnsi="Arial"/>
                <w:sz w:val="18"/>
                <w:szCs w:val="18"/>
                <w:color w:val="auto"/>
              </w:rPr>
              <w:t>2021</w:t>
            </w:r>
          </w:p>
        </w:tc>
        <w:tc>
          <w:tcPr>
            <w:tcW w:w="3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3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1"/>
                <w:szCs w:val="21"/>
                <w:color w:val="auto"/>
              </w:rPr>
            </w:pPr>
          </w:p>
        </w:tc>
      </w:tr>
      <w:tr>
        <w:trPr>
          <w:trHeight w:val="243"/>
        </w:trPr>
        <w:tc>
          <w:tcPr>
            <w:tcW w:w="3060" w:type="dxa"/>
            <w:vAlign w:val="bottom"/>
            <w:gridSpan w:val="4"/>
          </w:tcPr>
          <w:p>
            <w:pPr>
              <w:ind w:left="960"/>
              <w:spacing w:after="0"/>
              <w:rPr>
                <w:sz w:val="20"/>
                <w:szCs w:val="20"/>
                <w:color w:val="auto"/>
              </w:rPr>
            </w:pPr>
            <w:r>
              <w:rPr>
                <w:rFonts w:ascii="Arial" w:cs="Arial" w:eastAsia="Arial" w:hAnsi="Arial"/>
                <w:sz w:val="18"/>
                <w:szCs w:val="18"/>
                <w:color w:val="auto"/>
              </w:rPr>
              <w:t>2023</w:t>
            </w:r>
          </w:p>
        </w:tc>
        <w:tc>
          <w:tcPr>
            <w:tcW w:w="3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2023</w:t>
            </w:r>
          </w:p>
        </w:tc>
        <w:tc>
          <w:tcPr>
            <w:tcW w:w="35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9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Total Lease Payments</w:t>
            </w:r>
          </w:p>
        </w:tc>
        <w:tc>
          <w:tcPr>
            <w:tcW w:w="356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491</w:t>
            </w: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Borders>
              <w:right w:val="single" w:sz="8" w:color="CCEEFF"/>
            </w:tcBorders>
          </w:tcPr>
          <w:p>
            <w:pPr>
              <w:spacing w:after="0"/>
              <w:rPr>
                <w:sz w:val="23"/>
                <w:szCs w:val="23"/>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Interest</w:t>
            </w:r>
          </w:p>
        </w:tc>
        <w:tc>
          <w:tcPr>
            <w:tcW w:w="35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Present Value of Lease Liabilities</w:t>
            </w:r>
          </w:p>
        </w:tc>
        <w:tc>
          <w:tcPr>
            <w:tcW w:w="14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11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9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49"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23"/>
        </w:trPr>
        <w:tc>
          <w:tcPr>
            <w:tcW w:w="4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5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Six Months Ended</w:t>
            </w:r>
          </w:p>
        </w:tc>
      </w:tr>
      <w:tr>
        <w:trPr>
          <w:trHeight w:val="234"/>
        </w:trPr>
        <w:tc>
          <w:tcPr>
            <w:tcW w:w="460" w:type="dxa"/>
            <w:vAlign w:val="bottom"/>
          </w:tcPr>
          <w:p>
            <w:pPr>
              <w:spacing w:after="0"/>
              <w:rPr>
                <w:sz w:val="20"/>
                <w:szCs w:val="20"/>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162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4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Supplemental Information:</w:t>
            </w: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57</w:t>
            </w: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43"/>
        </w:trPr>
        <w:tc>
          <w:tcPr>
            <w:tcW w:w="460" w:type="dxa"/>
            <w:vAlign w:val="bottom"/>
          </w:tcPr>
          <w:p>
            <w:pPr>
              <w:spacing w:after="0"/>
              <w:rPr>
                <w:sz w:val="21"/>
                <w:szCs w:val="21"/>
                <w:color w:val="auto"/>
              </w:rPr>
            </w:pP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w:t>
            </w: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460" w:type="dxa"/>
            <w:vAlign w:val="bottom"/>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43"/>
        </w:trPr>
        <w:tc>
          <w:tcPr>
            <w:tcW w:w="460" w:type="dxa"/>
            <w:vAlign w:val="bottom"/>
          </w:tcPr>
          <w:p>
            <w:pPr>
              <w:spacing w:after="0"/>
              <w:rPr>
                <w:sz w:val="21"/>
                <w:szCs w:val="21"/>
                <w:color w:val="auto"/>
              </w:rPr>
            </w:pPr>
          </w:p>
        </w:tc>
        <w:tc>
          <w:tcPr>
            <w:tcW w:w="6660" w:type="dxa"/>
            <w:vAlign w:val="bottom"/>
            <w:gridSpan w:val="2"/>
          </w:tcPr>
          <w:p>
            <w:pPr>
              <w:ind w:left="20"/>
              <w:spacing w:after="0"/>
              <w:rPr>
                <w:sz w:val="20"/>
                <w:szCs w:val="20"/>
                <w:color w:val="auto"/>
              </w:rPr>
            </w:pPr>
            <w:r>
              <w:rPr>
                <w:rFonts w:ascii="Arial" w:cs="Arial" w:eastAsia="Arial" w:hAnsi="Arial"/>
                <w:sz w:val="18"/>
                <w:szCs w:val="18"/>
                <w:color w:val="auto"/>
              </w:rPr>
              <w:t>ROU assets obtained in exchange of new operating lease liabilities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35</w:t>
            </w: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66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Loss on sale leaseback transactions (short-term) </w:t>
            </w:r>
            <w:r>
              <w:rPr>
                <w:rFonts w:ascii="Arial" w:cs="Arial" w:eastAsia="Arial" w:hAnsi="Arial"/>
                <w:sz w:val="25"/>
                <w:szCs w:val="25"/>
                <w:color w:val="auto"/>
                <w:vertAlign w:val="superscript"/>
              </w:rPr>
              <w:t>(a)</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r>
      <w:tr>
        <w:trPr>
          <w:trHeight w:val="189"/>
        </w:trPr>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0"/>
        </w:trPr>
        <w:tc>
          <w:tcPr>
            <w:tcW w:w="46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62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6.8</w:t>
            </w: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w:t>
            </w:r>
          </w:p>
        </w:tc>
      </w:tr>
      <w:tr>
        <w:trPr>
          <w:trHeight w:val="176"/>
        </w:trPr>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50"/>
        </w:trPr>
        <w:tc>
          <w:tcPr>
            <w:tcW w:w="460" w:type="dxa"/>
            <w:vAlign w:val="bottom"/>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 (percentages)</w:t>
            </w:r>
          </w:p>
        </w:tc>
        <w:tc>
          <w:tcPr>
            <w:tcW w:w="16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6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60" w:type="dxa"/>
            <w:vAlign w:val="bottom"/>
          </w:tcPr>
          <w:p>
            <w:pPr>
              <w:spacing w:after="0"/>
              <w:rPr>
                <w:sz w:val="21"/>
                <w:szCs w:val="21"/>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60" w:type="dxa"/>
            <w:vAlign w:val="bottom"/>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160" w:right="1960" w:hanging="6"/>
        <w:spacing w:after="0" w:line="346"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“Asset Write-Downs and Other” of our Condensed Consolidated Statements of Operations and “Other, Net” of adjustments to net loss of our Condensed Consolidated Statements of Cash Flows.</w:t>
      </w:r>
    </w:p>
    <w:p>
      <w:pPr>
        <w:spacing w:after="0" w:line="35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300"/>
          </w:cols>
          <w:pgMar w:left="580" w:top="432" w:right="10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11. Short-Term Borrowings and Other Debt Obligations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1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364-Day Credit Agreement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A&amp;R Credit Agreement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Short-term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Portion of Long-term Debt (includes Term Loan Agreement)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June 30, 2019, we have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June 30, 2019, we have principal borrowings of $298 million under the Term Loan Agreement. We collectively refer to our Revolving Credit Agreements and Term Loan Agreement as the “Credit Agreements.” Under the terms of the A&amp;R Credit Agreement, commitments of $226 million from non-extending lenders matured on July 12, 2019 and commitments of $303 million from extending lenders will mature on July 13, 2020.</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Term Loan Agreement required a quarterly payment of $12.5 million plus interest that became due on June 30, 2019 and was unpaid as of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Loans under the Credit Agreements were subject to varying interest rates based on whether the loan is a Eurodollar or alternate base rate loan. We also incurred a quarterly facility fee on the amount of the A&amp;R Credit Agreement. For the three months ended June 30, 2019, the interest rate for the A&amp;R Credit Agreement was LIBOR plus a margin rate of 3.55% for extending lenders and LIBOR plus a margin rate of 2.80% for non-extending lenders. For the three months ended June 30, 2019, the interest rate for borrowings under our Term Loan Agreement and 364-Day Credit Agreement were LIBOR plus a margin rate of 2.30% and LIBOR plus a margin rate of 3.05%, respectively.</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Credit Agreements contain customary events of default, including in the event of our failure to comply with our financial covenants. We must also maintain a leverage ratio of no greater than 2.5 to 1, a leverage and letters of credit ratio of no greater than 3.5 to 1, an asset coverage ratio of at least 4.0 to 1 and a current asset coverage ratio of at least 2.1 to 1, in each case with the terms and definitions for the ratios as provided in the Credit Agreements. The Term Loan Agreement and 364-Day Credit Agreement require us to pledge assets as collateral in order to borrow under the credit facility. These were repaid in full on July 3, 2019 as described earlier. The filing of the Cases on July 1, 2019, constitutes an event of default that accelerated the Company’s obligations under each of the Credit Agreements, however forbearance agreements were obtained for each agreement and efforts to enforce payments under the Credit Agreements are automatically stayed as a result of the Cases. See “Note 2 – Chapter 11 Proceedings and Ability to Continue as a Going Concern” for additional details regarding how the Plan and Transaction will impact the Credit Agreements.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3, 2019, we repaid the outstanding principal and interest remaining under the Term Loan Agreement and 364-Day Credit Agreement with borrowings from our DIP Credit Agreement, leaving only the A&amp;R Credit Agreement outstanding. We have reclassified the Term Loan Agreement balance to current maturities of long-term debt as of June 30, 2019. See “Note 2 – Chapter 11 Proceedings and Ability to Continue as a Going Concern” for additional details regarding how the Plan and Transaction will impact the Credit Agreements.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Debtors’ 7.75% Senior Notes due 2021, 8.25% Senior Notes due 2023 and 6.80% Senior Notes due 2037 (together, the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will occur under the applicable indenture. The Debtors elected to not make this interest payment on the due date and to utilize the 30-day grace period provided by the indentures. As of June 30, 2019, there was no event of default. As a result of filing the Cases on July 1, 2019, an event of default occurred under each indenture governing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2"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we issued $600 million in aggregate principal amount of our 9.875% senior notes due 2025.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Arrangements and Debt Activity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June 30, 2019, we had no short-term borrowings under these arrangements. In addition, we had $247 million of letters of credit under various uncommitted facilities and $166 million of letters of credit under the A&amp;R Credit Agreement. At June 30, 2019, we have cash collateralized $113 million of our letters of credit, which is included “Cash and Cash Equivalents” in the accompanying Condensed Consolidated Balance Sheets. On July 3, 2019, we cash collateralized approximately $271 million of letters of credit and similar instruments with borrowings from the DIP Credit Agreement. See “Note 2 – Chapter 11 Proceedings and Ability to Continue as a Going Concern” for additional details.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fair value of our long-term debt fluctuates with changes in applicable interest rates among other factors including the events occurring after releasing our first quarter 2019 Form 10-Q (see “Note 2 – Chapter 11 Proceedings and Ability to Continue as a Going Concern” for additional details).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discussion on fair value is continued at “Note 12 – Fair Value of Financial Instruments, Assets and Other Assets.” The fair value and carrying value of our senior notes were as follows:</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60" w:type="dxa"/>
            <w:vAlign w:val="bottom"/>
          </w:tcPr>
          <w:p>
            <w:pPr>
              <w:spacing w:after="0"/>
              <w:rPr>
                <w:sz w:val="20"/>
                <w:szCs w:val="20"/>
                <w:color w:val="auto"/>
              </w:rPr>
            </w:pPr>
          </w:p>
        </w:tc>
        <w:tc>
          <w:tcPr>
            <w:tcW w:w="17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 2019</w:t>
            </w:r>
          </w:p>
        </w:tc>
        <w:tc>
          <w:tcPr>
            <w:tcW w:w="2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35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6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7,304</w:t>
            </w:r>
          </w:p>
        </w:tc>
        <w:tc>
          <w:tcPr>
            <w:tcW w:w="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7,285</w:t>
            </w:r>
          </w:p>
        </w:tc>
      </w:tr>
      <w:tr>
        <w:trPr>
          <w:trHeight w:val="918"/>
        </w:trPr>
        <w:tc>
          <w:tcPr>
            <w:tcW w:w="3540" w:type="dxa"/>
            <w:vAlign w:val="bottom"/>
          </w:tcPr>
          <w:p>
            <w:pPr>
              <w:spacing w:after="0"/>
              <w:rPr>
                <w:sz w:val="24"/>
                <w:szCs w:val="24"/>
                <w:color w:val="auto"/>
              </w:rPr>
            </w:pPr>
          </w:p>
        </w:tc>
        <w:tc>
          <w:tcPr>
            <w:tcW w:w="3660" w:type="dxa"/>
            <w:vAlign w:val="bottom"/>
          </w:tcPr>
          <w:p>
            <w:pPr>
              <w:jc w:val="right"/>
              <w:ind w:right="1370"/>
              <w:spacing w:after="0"/>
              <w:rPr>
                <w:sz w:val="20"/>
                <w:szCs w:val="20"/>
                <w:color w:val="auto"/>
              </w:rPr>
            </w:pPr>
            <w:r>
              <w:rPr>
                <w:rFonts w:ascii="Arial" w:cs="Arial" w:eastAsia="Arial" w:hAnsi="Arial"/>
                <w:sz w:val="18"/>
                <w:szCs w:val="18"/>
                <w:color w:val="auto"/>
              </w:rPr>
              <w:t>21</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13 – Derivative Instruments,” we had no other material assets or liabilities measured and recognized at fair value on a recurring basis at June 30, 2019 and December 31,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financial instruments include cash and cash equivalents, accounts receivable, accounts payable, held-to-maturity investments,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The fair value of our short-term and long-term borrowings are discussed in “Note 11 – Short-term Borrowings and Other Debt Obligations.”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and December 31, 2018, we have $50 million of held-to-maturity Angolan government bonds maturing in 2020. The carrying value of $50 million in both periods approximate their fair value as of June 30, 2019 and December 31, 2018. We assess whether an other-than-temporary impairment loss on the investment has occurred due to a decline in fair value or other market conditions. If the fair value of the security is below amortized cost and it is more likely than not that we will not be able to recover its amortized cost basis before its stated maturity, we will record an other-than-temporary impairment charge in the Condensed Consolidated Statements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first quarter and second quarter of 2019, our interim goodwill impairment tests indicated that our goodwill was impaired and as a result three of our reporting units was written down to its estimated fair value. The Level 3 fair values of our reporting units were determined using a combination of the income and market approach. The unobservable inputs to the income approach included each reporting unit’s estimated future cash flows and estimates of discount rates commensurate with the reporting unit’s risks. The market approach considered market multiples of comparable publicly traded companies to estimate fair value as a multiple of each reporting unit’s actual and forecasted earnings. See further discussion at “Note 8 – Goodwill.”</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three and six months ended 2019, we recognized long-lived asset impairments to write-down our assets to the lower of carrying amount or fair value less cost to sell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See further discussion at “Note 7 - Long-Lived Asset Impairments.”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7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fourth quarter of 2016, in conjunction with the issuance of 84.5 million ordinary shares, we issued a warrant that gave the holder the option to acquire an additional 84.5 million ordinary shares. The exercise price on the warrant was $6.43 per share and was exercisable prior to May 21, 2019 (option period lapsed and was not exercised as of May 21, 2019). The warrant was carried at fair value on the Condensed Consolidated Balance Sheets and changes in the fair value were reported through earnings. The warrant participated in dividends and other distributions as if the shares subject to the warrants were outstanding. In addition, the warrant permitted early redemption due to a change in control.</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warrant fair value was considered a Level 2 valuation and was estimated using the Black Scholes valuation model. Inputs to the model included Weatherford’s share price, volatility of our share price, and the risk-free interest rate. The fair value of the warrant was zero at June 30, 2019 and December 31, 2018. We recognized an insignificant amount of unrealized gain in the six months ended June 30, 2019 prior to its expiration and unrealized gains of $10 million and $56 million for the second quarter and six months ended June 30, 2018, respectively, with changes in fair value of the warrants recorded each period in “Warrant Fair Value Adjustment” on the accompanying Condensed Consolidated Statements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June 30, 2019 and December 31, 2018, we had an estimated net current liability for the fair value of our outstanding foreign currency forward contracts of $1 million and $4 million, respectively, with notional amounts aggregating to $585 million and $435 million, respectively. These foreign currency forward contracts are not designated as hedges under ASU 2014-03</w:t>
      </w:r>
      <w:r>
        <w:rPr>
          <w:rFonts w:ascii="Arial" w:cs="Arial" w:eastAsia="Arial" w:hAnsi="Arial"/>
          <w:sz w:val="18"/>
          <w:szCs w:val="18"/>
          <w:i w:val="1"/>
          <w:iCs w:val="1"/>
          <w:color w:val="auto"/>
        </w:rPr>
        <w:t>, Derivatives and Hedging (Topic 815)</w:t>
      </w:r>
      <w:r>
        <w:rPr>
          <w:rFonts w:ascii="Arial" w:cs="Arial" w:eastAsia="Arial" w:hAnsi="Arial"/>
          <w:sz w:val="18"/>
          <w:szCs w:val="18"/>
          <w:color w:val="auto"/>
        </w:rPr>
        <w:t>, and their notional amounts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changes in fair value of the contracts are recorded each period in “Other Expense, Net” on the accompanying Condensed Consolidated Statements of Operations. For the second quarter ended June 30, 2019 and June 30, 2018, we had a loss on the foreign currency forward contracts of $2 million and a loss of foreign currency forward contracts of $1 million, respectively. For the six months ended June 30, 2019, we had a gain on the foreign currency forward contracts of $3 million and for the six months ended June 30, 2018, we had no gain or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may use interest rate swaps to help mitigate our exposures related to changes in the fair values of fixed-rate debt and to mitigate our exposure to variability in forecasted cash flows due to changes in interest rates. As of June 30, 2019, we did not have any fair value or cash flow hedges designated under ASU 2014-03.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See “Note 15 – Shareholders' (Deficiency) Equity” for additional information.</w:t>
      </w: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2010, three shareholder derivative actions were filed, purportedly on behalf of the Company, asserting breach of duty and other claims against certain then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Neff v. Brady, et al., No. 2010040764 (collectively referred to as the “Neff Case”).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Neff Case. That case, captioned Erste-Sparinvest KAG v. Duroc-Danner, et al., No. 201420933 (Harris County, Texas) was consolidated into the Neff Case in September 2014.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and the appeal is now stayed during the pendency of the Cases. We cannot reliably predict the outcome of the remaining claims, including the amount of any possible loss.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 RC appealed the decisions of the PTAB. On June 3, 2019, the Federal Circuit heard RC’s oral arguments on the appeal related to the ‘505, ‘634, and ‘774 patents and affirmed on June 6, 2019 the PTAB’s decision that the patents are invalid. We are awaiting the oral argument on RC’s appeal of the of the PTAB’s decision on the ‘501 patent.</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hearing of the appeal took place on February 6, 2019, and on April 24, 2019, the appeal was dismissed in favor of Weatherford. Packers Plus and RC have filed an Application for Leave to the Supreme Court of Canada requesting that the Supreme Court hear their appeal from the appellate court’s decision. The Company will respond to the application by August 26, 2019.</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this time, we believe it is unlikely that we will incur a loss related to the patent infringement matters, and therefore we have not accrued any loss provisions related to these matters. If one or more negative outcomes were to occur in any case, the impact to our financial position, results of operations, or cash flows could be material.</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30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June 30, 2019 and December 31, 2018 were $29 million and $29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minimum purchase commitments related to a supply contract and maintain a liability at June 30, 2019 for expected penalties to be paid of $24 million in “Other Current Liabilities” on our Condensed Consolidated Balance Sheets. Our minimum obligation for these commitments at December 31, 2018 was $46 million, of which $22 million was recorded in “Other Current Liabilities” and $24 million was recorded in “Other Non-Current Liabilities” on our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Shareholders’ (Deficiency)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second quarter of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7"/>
                <w:szCs w:val="17"/>
                <w:color w:val="auto"/>
              </w:rPr>
            </w:pPr>
          </w:p>
        </w:tc>
        <w:tc>
          <w:tcPr>
            <w:tcW w:w="860" w:type="dxa"/>
            <w:vAlign w:val="bottom"/>
          </w:tcPr>
          <w:p>
            <w:pPr>
              <w:jc w:val="right"/>
              <w:ind w:right="71"/>
              <w:spacing w:after="0"/>
              <w:rPr>
                <w:sz w:val="20"/>
                <w:szCs w:val="20"/>
                <w:color w:val="auto"/>
              </w:rPr>
            </w:pPr>
            <w:r>
              <w:rPr>
                <w:rFonts w:ascii="Arial" w:cs="Arial" w:eastAsia="Arial" w:hAnsi="Arial"/>
                <w:sz w:val="16"/>
                <w:szCs w:val="16"/>
                <w:b w:val="1"/>
                <w:bCs w:val="1"/>
                <w:color w:val="auto"/>
                <w:w w:val="94"/>
              </w:rPr>
              <w:t>Capital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80" w:type="dxa"/>
            <w:vAlign w:val="bottom"/>
          </w:tcPr>
          <w:p>
            <w:pPr>
              <w:jc w:val="center"/>
              <w:ind w:right="5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8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of Issued</w:t>
            </w: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Excess of Par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controlling</w:t>
            </w:r>
          </w:p>
        </w:tc>
        <w:tc>
          <w:tcPr>
            <w:tcW w:w="140" w:type="dxa"/>
            <w:vAlign w:val="bottom"/>
          </w:tcPr>
          <w:p>
            <w:pPr>
              <w:spacing w:after="0"/>
              <w:rPr>
                <w:sz w:val="17"/>
                <w:szCs w:val="17"/>
                <w:color w:val="auto"/>
              </w:rPr>
            </w:pPr>
          </w:p>
        </w:tc>
        <w:tc>
          <w:tcPr>
            <w:tcW w:w="11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16"/>
        </w:trPr>
        <w:tc>
          <w:tcPr>
            <w:tcW w:w="3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118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Deficiency</w:t>
            </w:r>
          </w:p>
        </w:tc>
        <w:tc>
          <w:tcPr>
            <w:tcW w:w="0" w:type="dxa"/>
            <w:vAlign w:val="bottom"/>
          </w:tcPr>
          <w:p>
            <w:pPr>
              <w:spacing w:after="0"/>
              <w:rPr>
                <w:sz w:val="1"/>
                <w:szCs w:val="1"/>
                <w:color w:val="auto"/>
              </w:rPr>
            </w:pPr>
          </w:p>
        </w:tc>
      </w:tr>
      <w:tr>
        <w:trPr>
          <w:trHeight w:val="27"/>
        </w:trPr>
        <w:tc>
          <w:tcPr>
            <w:tcW w:w="3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840" w:type="dxa"/>
            <w:vAlign w:val="bottom"/>
          </w:tcPr>
          <w:p>
            <w:pPr>
              <w:ind w:left="40"/>
              <w:spacing w:after="0"/>
              <w:rPr>
                <w:sz w:val="20"/>
                <w:szCs w:val="20"/>
                <w:color w:val="auto"/>
              </w:rPr>
            </w:pPr>
            <w:r>
              <w:rPr>
                <w:rFonts w:ascii="Arial" w:cs="Arial" w:eastAsia="Arial" w:hAnsi="Arial"/>
                <w:sz w:val="18"/>
                <w:szCs w:val="18"/>
                <w:color w:val="auto"/>
                <w:w w:val="96"/>
              </w:rPr>
              <w:t>Adoption of Intra-Entity Transfers of Assets Other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0"/>
              <w:spacing w:after="0"/>
              <w:rPr>
                <w:sz w:val="20"/>
                <w:szCs w:val="20"/>
                <w:color w:val="auto"/>
              </w:rPr>
            </w:pPr>
            <w:r>
              <w:rPr>
                <w:rFonts w:ascii="Arial" w:cs="Arial" w:eastAsia="Arial" w:hAnsi="Arial"/>
                <w:sz w:val="18"/>
                <w:szCs w:val="18"/>
                <w:color w:val="auto"/>
                <w:w w:val="96"/>
              </w:rPr>
              <w:t>Than Inventory and Revenue from Contracts with</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8"/>
                <w:szCs w:val="18"/>
                <w:color w:val="auto"/>
              </w:rPr>
              <w:t>Customers</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49" w:right="6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second quarter of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employee share-based compensation expense during the second quarter of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six months of 2019, we granted 76 thousand restricted share units at a weighted average grant date fair value of $0.90 per share. As of June 30, 2019, there was $22 million of unrecognized compensation expense related to our unvested restricted share grants and $6 million of unrecognized compensation expense related to our performance share units. This cost is expected to be recognized over a weighted average period of less than two years or until our emergence from bankruptcy, whichever is earlier.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March 2019, we discontinued the use of equity awards as long-term incentive compensation.</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second quarter and the first six months of 2019 and 2018:</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5400" w:type="dxa"/>
            <w:vAlign w:val="bottom"/>
          </w:tcPr>
          <w:p>
            <w:pPr>
              <w:spacing w:after="0"/>
              <w:rPr>
                <w:sz w:val="20"/>
                <w:szCs w:val="20"/>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b w:val="1"/>
                <w:bCs w:val="1"/>
                <w:color w:val="auto"/>
                <w:w w:val="87"/>
              </w:rPr>
              <w:t>30,</w:t>
            </w:r>
          </w:p>
        </w:tc>
      </w:tr>
      <w:tr>
        <w:trPr>
          <w:trHeight w:val="27"/>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r>
      <w:tr>
        <w:trPr>
          <w:trHeight w:val="27"/>
        </w:trPr>
        <w:tc>
          <w:tcPr>
            <w:tcW w:w="5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5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second quarter and the first six months of 2019 and 2018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second quarter and the first six months of 2019 and 2018:</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second quarter and the first six months ended June 30, 2019 and 2018:</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Three Months Ended June 30, 2019</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373</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299</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57"/>
        </w:trPr>
        <w:tc>
          <w:tcPr>
            <w:tcW w:w="4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1,225</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4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394</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321</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1,335</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581"/>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Six Months Ended June 30, 2019</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764</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625</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2,493</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797"/>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Six Months Ended June 30, 2018</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775</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671</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2,676</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78"/>
        </w:trPr>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360"/>
          </w:cols>
          <w:pgMar w:left="580" w:top="432" w:right="959" w:bottom="1440" w:gutter="0" w:footer="0" w:header="0"/>
        </w:sectPr>
      </w:pPr>
    </w:p>
    <w:bookmarkStart w:id="30" w:name="page31"/>
    <w:bookmarkEnd w:id="3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42"/>
        </w:trPr>
        <w:tc>
          <w:tcPr>
            <w:tcW w:w="20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27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900" w:type="dxa"/>
            <w:vAlign w:val="bottom"/>
            <w:gridSpan w:val="3"/>
          </w:tcPr>
          <w:p>
            <w:pPr>
              <w:ind w:left="20"/>
              <w:spacing w:after="0"/>
              <w:rPr>
                <w:sz w:val="20"/>
                <w:szCs w:val="20"/>
                <w:color w:val="auto"/>
              </w:rPr>
            </w:pPr>
            <w:r>
              <w:rPr>
                <w:rFonts w:ascii="Arial" w:cs="Arial" w:eastAsia="Arial" w:hAnsi="Arial"/>
                <w:sz w:val="18"/>
                <w:szCs w:val="18"/>
                <w:b w:val="1"/>
                <w:bCs w:val="1"/>
                <w:color w:val="auto"/>
              </w:rPr>
              <w:t>Geographic Areas: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r>
      <w:tr>
        <w:trPr>
          <w:trHeight w:val="237"/>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Western Hemisphere</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1,384</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1"/>
        </w:trPr>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Middle East &amp; North Africa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719</w:t>
            </w:r>
          </w:p>
        </w:tc>
      </w:tr>
      <w:tr>
        <w:trPr>
          <w:trHeight w:val="27"/>
        </w:trPr>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r>
      <w:tr>
        <w:trPr>
          <w:trHeight w:val="243"/>
        </w:trPr>
        <w:tc>
          <w:tcPr>
            <w:tcW w:w="4900" w:type="dxa"/>
            <w:vAlign w:val="bottom"/>
            <w:gridSpan w:val="3"/>
          </w:tcPr>
          <w:p>
            <w:pPr>
              <w:ind w:left="100"/>
              <w:spacing w:after="0"/>
              <w:rPr>
                <w:sz w:val="20"/>
                <w:szCs w:val="20"/>
                <w:color w:val="auto"/>
              </w:rPr>
            </w:pPr>
            <w:r>
              <w:rPr>
                <w:rFonts w:ascii="Arial" w:cs="Arial" w:eastAsia="Arial" w:hAnsi="Arial"/>
                <w:sz w:val="18"/>
                <w:szCs w:val="18"/>
                <w:color w:val="auto"/>
              </w:rPr>
              <w:t>Asia</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132</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r>
      <w:tr>
        <w:trPr>
          <w:trHeight w:val="291"/>
        </w:trPr>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Product and Service Revenue before Rental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2,676</w:t>
            </w:r>
          </w:p>
        </w:tc>
      </w:tr>
      <w:tr>
        <w:trPr>
          <w:trHeight w:val="243"/>
        </w:trPr>
        <w:tc>
          <w:tcPr>
            <w:tcW w:w="4900" w:type="dxa"/>
            <w:vAlign w:val="bottom"/>
            <w:gridSpan w:val="3"/>
          </w:tcPr>
          <w:p>
            <w:pPr>
              <w:ind w:left="120"/>
              <w:spacing w:after="0"/>
              <w:rPr>
                <w:sz w:val="20"/>
                <w:szCs w:val="20"/>
                <w:color w:val="auto"/>
              </w:rPr>
            </w:pPr>
            <w:r>
              <w:rPr>
                <w:rFonts w:ascii="Arial" w:cs="Arial" w:eastAsia="Arial" w:hAnsi="Arial"/>
                <w:sz w:val="18"/>
                <w:szCs w:val="18"/>
                <w:color w:val="auto"/>
              </w:rPr>
              <w:t>Equipment Rental Revenues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7"/>
        </w:trPr>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r>
      <w:tr>
        <w:trPr>
          <w:trHeight w:val="20"/>
        </w:trPr>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 primarily of drilling rental tools and artificial lift pumping equipment. These equipment rental revenues are generally provided based on call-out work orders that include fixed per unit prices and are derived from short-term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at June 30, 2019 and December 31, 2018,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20" w:type="dxa"/>
            <w:vAlign w:val="bottom"/>
          </w:tcPr>
          <w:p>
            <w:pPr>
              <w:spacing w:after="0"/>
              <w:rPr>
                <w:sz w:val="20"/>
                <w:szCs w:val="20"/>
                <w:color w:val="auto"/>
              </w:rPr>
            </w:pPr>
          </w:p>
        </w:tc>
        <w:tc>
          <w:tcPr>
            <w:tcW w:w="16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June 30, 2019</w:t>
            </w:r>
          </w:p>
        </w:tc>
        <w:tc>
          <w:tcPr>
            <w:tcW w:w="21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7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648"/>
        </w:trPr>
        <w:tc>
          <w:tcPr>
            <w:tcW w:w="7300" w:type="dxa"/>
            <w:vAlign w:val="bottom"/>
          </w:tcPr>
          <w:p>
            <w:pPr>
              <w:ind w:left="340"/>
              <w:spacing w:after="0"/>
              <w:rPr>
                <w:sz w:val="20"/>
                <w:szCs w:val="20"/>
                <w:color w:val="auto"/>
              </w:rPr>
            </w:pPr>
            <w:r>
              <w:rPr>
                <w:rFonts w:ascii="Arial" w:cs="Arial" w:eastAsia="Arial" w:hAnsi="Arial"/>
                <w:sz w:val="18"/>
                <w:szCs w:val="18"/>
                <w:color w:val="auto"/>
              </w:rPr>
              <w:t>Changes in the contract assets and liabilities balances during the period are as follows: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7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7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7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w w:val="89"/>
              </w:rPr>
              <w:t>Revenue recognized that was included in the deferred revenue balance at the beginning of the period</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Increase due to consideration received, excluding amount recognized as revenue during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w w:val="99"/>
              </w:rPr>
              <w:t>Increase due to revenue recognized during the period but contingent on future performance</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Adjustments due to changes in estimates or contract modifications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3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3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June 30, 2019 primarily relate to subsea services and an artificial lift contract. All consideration from contracts with customers is included in the amounts presented in the following table.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3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2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42"/>
        </w:trPr>
        <w:tc>
          <w:tcPr>
            <w:tcW w:w="160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second quarter and the first six months of 2019, we had a tax expense of $33 million and $45 million, respectively, on a loss before income taxes of $279 million and $744 million, respectively, compared to the second quarter and the first six months of 2018 tax expense of $26 million and $58 million, respectively on a loss before income taxes of $233 million and $443 million, respectively. The sum of goodwill impairment, prepetition charges, asset write-downs and other, transformation, facility restructuring and severance charges, and the net gain on sale of businesses resulted in no significant tax expense for the second quarter of 2019 and no significant tax benefit in the first six months of 2019, respectively. The tax expense for the second quarter and the first six months of 2019 and 2018 also includes withholding taxes, minimum taxes and deemed profit taxes that do not directly correlate to ordinary income or loss.</w:t>
      </w:r>
    </w:p>
    <w:p>
      <w:pPr>
        <w:spacing w:after="0" w:line="178"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$22 million in the next twelve months due to expiration of statutes of limitations, settlements and/or conclusions of tax examinations.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Annual Report on Form 10-K.</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1"/>
              </w:rPr>
              <w:t>Three Months Ended June 30, 2019</w:t>
            </w: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Prepetition Charges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Write-Downs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5"/>
                <w:szCs w:val="25"/>
                <w:color w:val="auto"/>
                <w:vertAlign w:val="superscript"/>
              </w:rPr>
              <w:t>(c)</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57"/>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goodwill impairment in the Eastern Hemisphere.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Primarily includes prepetition charges for professional and other fees related to the Cases.</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Primarily includes the gain on sale of our laboratory services business in the second quarter of 2019.</w:t>
      </w: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32" w:right="239" w:bottom="1440" w:gutter="0" w:footer="0" w:header="0"/>
        </w:sectPr>
      </w:pPr>
    </w:p>
    <w:bookmarkStart w:id="32" w:name="page33"/>
    <w:bookmarkEnd w:id="32"/>
    <w:tbl>
      <w:tblPr>
        <w:tblLayout w:type="fixed"/>
        <w:tblInd w:w="34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12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2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(d)</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5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12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330"/>
        <w:spacing w:after="0" w:line="275"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long-lived asset impairments and other asset write-downs, partially offset by gains on property sales and a reduction of a contingency reserve on a legacy contract.</w:t>
      </w:r>
    </w:p>
    <w:p>
      <w:pPr>
        <w:spacing w:after="0" w:line="11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89"/>
              </w:rPr>
              <w:t>Six Months Ended June 30, 2019</w:t>
            </w:r>
          </w:p>
        </w:tc>
      </w:tr>
      <w:tr>
        <w:trPr>
          <w:trHeight w:val="27"/>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6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7"/>
        </w:trPr>
        <w:tc>
          <w:tcPr>
            <w:tcW w:w="6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0"/>
        </w:trPr>
        <w:tc>
          <w:tcPr>
            <w:tcW w:w="6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Prepetition Charges </w:t>
            </w:r>
            <w:r>
              <w:rPr>
                <w:rFonts w:ascii="Arial" w:cs="Arial" w:eastAsia="Arial" w:hAnsi="Arial"/>
                <w:sz w:val="25"/>
                <w:szCs w:val="25"/>
                <w:color w:val="auto"/>
                <w:vertAlign w:val="superscript"/>
              </w:rPr>
              <w:t>(f)</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24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Asset Write-Downs and Other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Transformation, Facility Restructuring and Severance Charges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Gain on Sale of Businesses, Net </w:t>
            </w:r>
            <w:r>
              <w:rPr>
                <w:rFonts w:ascii="Arial" w:cs="Arial" w:eastAsia="Arial" w:hAnsi="Arial"/>
                <w:sz w:val="25"/>
                <w:szCs w:val="25"/>
                <w:color w:val="auto"/>
                <w:vertAlign w:val="superscript"/>
              </w:rPr>
              <w:t>(h)</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57"/>
        </w:trPr>
        <w:tc>
          <w:tcPr>
            <w:tcW w:w="6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goodwill impairment in the first quarter and second quarter of 2019 in the Western and Eastern Hemisphere, respectively.</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Primarily includes prepetition charges for professional and other fees related to the Cases.</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asset write-downs and other charges, partially offset by a reduction of a contingency reserve on a legacy contract.</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Primarily includes the gain on sale of our laboratory services business in the second quarter of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4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Six Months Ended June 30, 2018</w:t>
            </w:r>
          </w:p>
        </w:tc>
      </w:tr>
      <w:tr>
        <w:trPr>
          <w:trHeight w:val="27"/>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Transformation, Facility Restructuring and Severance Charges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(i)</w:t>
            </w: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long-lived asset impairments, other asset write-downs and inventory charges, partially offset by gains on purchase of the remaining interest in a joint venture, property sales and a reduction of a contingency reserve on a legacy contract.</w:t>
      </w:r>
    </w:p>
    <w:p>
      <w:pPr>
        <w:spacing w:after="0" w:line="3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32"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21.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Ireland, a public limited company organized under the laws of Ireland, a Swiss tax resident, and the ultimate parent of the Weatherford group, guarantees the obligations of its subsidiaries – Weatherford Bermuda and Weatherford Delaware, including the notes and credit facilities listed below. Weatherford Ireland, Weatherford Bermuda, and Weatherford Delaware are the Debtors to the Plan under the Bankruptcy Code. See “Note 2 – Chapter 11 Proceedings and Ability to Continue as a Going Concern” for further details.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and 9.875% senior notes due 2025 of Weatherford Delaware were guaranteed by Weatherford Bermuda at June 30, 2019 and December 31, 2018.</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following obligations of Weatherford Bermuda were guaranteed by Weatherford Delaware at June 30, 2019 and December 31, 2018: (1) A&amp;R Credit Agreement, (2) Term Loan Agreement, (3) 364-Day Credit Agreement, (4) 6.50% senior notes due 2036, (5) 7.00% senior notes due 2038, (6) 9.875% senior notes due 2039, (7) 5.125% senior notes due 2020, (8) 6.75% senior notes due 2040, (9) 4.50% senior notes due 2022, (10) 5.95% senior notes due 2042, (11) 5.875% exchangeable senior notes due 2021, (12) 7.75% senior notes due 2021, (13) 8.25% senior notes due 2023 and (14) 9.875% senior notes due 2024.</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 The columns denoted with a “g” below represent the guarantor financial requirements consistent with SEC requirements and are not indicative of the stand-alone Debtor entities.</w:t>
      </w:r>
    </w:p>
    <w:p>
      <w:pPr>
        <w:spacing w:after="0" w:line="18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Ireland </w:t>
            </w:r>
            <w:r>
              <w:rPr>
                <w:rFonts w:ascii="Arial" w:cs="Arial" w:eastAsia="Arial" w:hAnsi="Arial"/>
                <w:sz w:val="21"/>
                <w:szCs w:val="21"/>
                <w:b w:val="1"/>
                <w:bCs w:val="1"/>
                <w:color w:val="auto"/>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 xml:space="preserve">Bermuda </w:t>
            </w:r>
            <w:r>
              <w:rPr>
                <w:rFonts w:ascii="Arial" w:cs="Arial" w:eastAsia="Arial" w:hAnsi="Arial"/>
                <w:sz w:val="21"/>
                <w:szCs w:val="21"/>
                <w:b w:val="1"/>
                <w:bCs w:val="1"/>
                <w:color w:val="auto"/>
                <w:w w:val="98"/>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 xml:space="preserve">Delaware </w:t>
            </w:r>
            <w:r>
              <w:rPr>
                <w:rFonts w:ascii="Arial" w:cs="Arial" w:eastAsia="Arial" w:hAnsi="Arial"/>
                <w:sz w:val="21"/>
                <w:szCs w:val="21"/>
                <w:b w:val="1"/>
                <w:bCs w:val="1"/>
                <w:color w:val="auto"/>
                <w:w w:val="97"/>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Subsidiaries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Eliminations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Ireland </w:t>
            </w:r>
            <w:r>
              <w:rPr>
                <w:rFonts w:ascii="Arial" w:cs="Arial" w:eastAsia="Arial" w:hAnsi="Arial"/>
                <w:sz w:val="21"/>
                <w:szCs w:val="21"/>
                <w:b w:val="1"/>
                <w:bCs w:val="1"/>
                <w:color w:val="auto"/>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 xml:space="preserve">Bermuda </w:t>
            </w:r>
            <w:r>
              <w:rPr>
                <w:rFonts w:ascii="Arial" w:cs="Arial" w:eastAsia="Arial" w:hAnsi="Arial"/>
                <w:sz w:val="21"/>
                <w:szCs w:val="21"/>
                <w:b w:val="1"/>
                <w:bCs w:val="1"/>
                <w:color w:val="auto"/>
                <w:w w:val="98"/>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 xml:space="preserve">Delaware </w:t>
            </w:r>
            <w:r>
              <w:rPr>
                <w:rFonts w:ascii="Arial" w:cs="Arial" w:eastAsia="Arial" w:hAnsi="Arial"/>
                <w:sz w:val="21"/>
                <w:szCs w:val="21"/>
                <w:b w:val="1"/>
                <w:bCs w:val="1"/>
                <w:color w:val="auto"/>
                <w:w w:val="97"/>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Subsidiaries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Eliminations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Ireland </w:t>
            </w:r>
            <w:r>
              <w:rPr>
                <w:rFonts w:ascii="Arial" w:cs="Arial" w:eastAsia="Arial" w:hAnsi="Arial"/>
                <w:sz w:val="21"/>
                <w:szCs w:val="21"/>
                <w:b w:val="1"/>
                <w:bCs w:val="1"/>
                <w:color w:val="auto"/>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 xml:space="preserve">Bermuda </w:t>
            </w:r>
            <w:r>
              <w:rPr>
                <w:rFonts w:ascii="Arial" w:cs="Arial" w:eastAsia="Arial" w:hAnsi="Arial"/>
                <w:sz w:val="21"/>
                <w:szCs w:val="21"/>
                <w:b w:val="1"/>
                <w:bCs w:val="1"/>
                <w:color w:val="auto"/>
                <w:w w:val="98"/>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 xml:space="preserve">Delaware </w:t>
            </w:r>
            <w:r>
              <w:rPr>
                <w:rFonts w:ascii="Arial" w:cs="Arial" w:eastAsia="Arial" w:hAnsi="Arial"/>
                <w:sz w:val="21"/>
                <w:szCs w:val="21"/>
                <w:b w:val="1"/>
                <w:bCs w:val="1"/>
                <w:color w:val="auto"/>
                <w:w w:val="97"/>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Subsidiaries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Eliminations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Weatherford</w:t>
            </w:r>
          </w:p>
        </w:tc>
        <w:tc>
          <w:tcPr>
            <w:tcW w:w="180" w:type="dxa"/>
            <w:vAlign w:val="bottom"/>
          </w:tcPr>
          <w:p>
            <w:pPr>
              <w:spacing w:after="0"/>
              <w:rPr>
                <w:sz w:val="17"/>
                <w:szCs w:val="17"/>
                <w:color w:val="auto"/>
              </w:rPr>
            </w:pPr>
          </w:p>
        </w:tc>
        <w:tc>
          <w:tcPr>
            <w:tcW w:w="128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xml:space="preserve">Ireland </w:t>
            </w:r>
            <w:r>
              <w:rPr>
                <w:rFonts w:ascii="Arial" w:cs="Arial" w:eastAsia="Arial" w:hAnsi="Arial"/>
                <w:sz w:val="21"/>
                <w:szCs w:val="21"/>
                <w:b w:val="1"/>
                <w:bCs w:val="1"/>
                <w:color w:val="auto"/>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 xml:space="preserve">Bermuda </w:t>
            </w:r>
            <w:r>
              <w:rPr>
                <w:rFonts w:ascii="Arial" w:cs="Arial" w:eastAsia="Arial" w:hAnsi="Arial"/>
                <w:sz w:val="21"/>
                <w:szCs w:val="21"/>
                <w:b w:val="1"/>
                <w:bCs w:val="1"/>
                <w:color w:val="auto"/>
                <w:w w:val="98"/>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 xml:space="preserve">Delaware </w:t>
            </w:r>
            <w:r>
              <w:rPr>
                <w:rFonts w:ascii="Arial" w:cs="Arial" w:eastAsia="Arial" w:hAnsi="Arial"/>
                <w:sz w:val="21"/>
                <w:szCs w:val="21"/>
                <w:b w:val="1"/>
                <w:bCs w:val="1"/>
                <w:color w:val="auto"/>
                <w:w w:val="97"/>
                <w:vertAlign w:val="superscript"/>
              </w:rPr>
              <w:t>(g)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Subsidiaries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6"/>
              </w:rPr>
              <w:t>Eliminations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June 30, 2019</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 xml:space="preserve">Ireland </w:t>
            </w:r>
            <w:r>
              <w:rPr>
                <w:rFonts w:ascii="Arial" w:cs="Arial" w:eastAsia="Arial" w:hAnsi="Arial"/>
                <w:sz w:val="21"/>
                <w:szCs w:val="21"/>
                <w:b w:val="1"/>
                <w:bCs w:val="1"/>
                <w:color w:val="auto"/>
                <w:w w:val="88"/>
                <w:vertAlign w:val="superscript"/>
              </w:rPr>
              <w:t>(g)</w:t>
            </w:r>
          </w:p>
        </w:tc>
        <w:tc>
          <w:tcPr>
            <w:tcW w:w="14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Bermuda </w:t>
            </w:r>
            <w:r>
              <w:rPr>
                <w:rFonts w:ascii="Arial" w:cs="Arial" w:eastAsia="Arial" w:hAnsi="Arial"/>
                <w:sz w:val="21"/>
                <w:szCs w:val="21"/>
                <w:b w:val="1"/>
                <w:bCs w:val="1"/>
                <w:color w:val="auto"/>
                <w:w w:val="87"/>
                <w:vertAlign w:val="superscript"/>
              </w:rPr>
              <w:t>(g)</w:t>
            </w:r>
          </w:p>
        </w:tc>
        <w:tc>
          <w:tcPr>
            <w:tcW w:w="16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 xml:space="preserve">Delaware </w:t>
            </w:r>
            <w:r>
              <w:rPr>
                <w:rFonts w:ascii="Arial" w:cs="Arial" w:eastAsia="Arial" w:hAnsi="Arial"/>
                <w:sz w:val="21"/>
                <w:szCs w:val="21"/>
                <w:b w:val="1"/>
                <w:bCs w:val="1"/>
                <w:color w:val="auto"/>
                <w:w w:val="86"/>
                <w:vertAlign w:val="superscript"/>
              </w:rPr>
              <w:t>(g)</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Subsidiaries</w:t>
            </w:r>
          </w:p>
        </w:tc>
        <w:tc>
          <w:tcPr>
            <w:tcW w:w="18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4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Short-term Borrowings and Current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Portion of Long-Term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Current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7,366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 Net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10,770</w:t>
            </w:r>
          </w:p>
        </w:tc>
        <w:tc>
          <w:tcPr>
            <w:tcW w:w="0" w:type="dxa"/>
            <w:vAlign w:val="bottom"/>
          </w:tcPr>
          <w:p>
            <w:pPr>
              <w:spacing w:after="0"/>
              <w:rPr>
                <w:sz w:val="1"/>
                <w:szCs w:val="1"/>
                <w:color w:val="auto"/>
              </w:rPr>
            </w:pPr>
          </w:p>
        </w:tc>
      </w:tr>
      <w:tr>
        <w:trPr>
          <w:trHeight w:val="291"/>
        </w:trPr>
        <w:tc>
          <w:tcPr>
            <w:tcW w:w="28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Weatherford Shareholders’ (Deficiency)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7,965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7,601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9,394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(14,234)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(Deficiency) 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60" w:top="449" w:right="4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 xml:space="preserve">Ireland </w:t>
            </w:r>
            <w:r>
              <w:rPr>
                <w:rFonts w:ascii="Arial" w:cs="Arial" w:eastAsia="Arial" w:hAnsi="Arial"/>
                <w:sz w:val="21"/>
                <w:szCs w:val="21"/>
                <w:b w:val="1"/>
                <w:bCs w:val="1"/>
                <w:color w:val="auto"/>
                <w:w w:val="88"/>
                <w:vertAlign w:val="superscript"/>
              </w:rPr>
              <w:t>(g)</w:t>
            </w:r>
          </w:p>
        </w:tc>
        <w:tc>
          <w:tcPr>
            <w:tcW w:w="18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 xml:space="preserve">Bermuda </w:t>
            </w:r>
            <w:r>
              <w:rPr>
                <w:rFonts w:ascii="Arial" w:cs="Arial" w:eastAsia="Arial" w:hAnsi="Arial"/>
                <w:sz w:val="21"/>
                <w:szCs w:val="21"/>
                <w:b w:val="1"/>
                <w:bCs w:val="1"/>
                <w:color w:val="auto"/>
                <w:w w:val="87"/>
                <w:vertAlign w:val="superscript"/>
              </w:rPr>
              <w:t>(g)</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 xml:space="preserve">Delaware </w:t>
            </w:r>
            <w:r>
              <w:rPr>
                <w:rFonts w:ascii="Arial" w:cs="Arial" w:eastAsia="Arial" w:hAnsi="Arial"/>
                <w:sz w:val="21"/>
                <w:szCs w:val="21"/>
                <w:b w:val="1"/>
                <w:bCs w:val="1"/>
                <w:color w:val="auto"/>
                <w:w w:val="86"/>
                <w:vertAlign w:val="superscript"/>
              </w:rPr>
              <w:t>(g)</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44"/>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Weatherford Shareholders’ (Deficiency)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 xml:space="preserve">Ireland </w:t>
            </w:r>
            <w:r>
              <w:rPr>
                <w:rFonts w:ascii="Arial" w:cs="Arial" w:eastAsia="Arial" w:hAnsi="Arial"/>
                <w:sz w:val="21"/>
                <w:szCs w:val="21"/>
                <w:b w:val="1"/>
                <w:bCs w:val="1"/>
                <w:color w:val="auto"/>
                <w:w w:val="88"/>
                <w:vertAlign w:val="superscript"/>
              </w:rPr>
              <w:t>(g)</w:t>
            </w:r>
          </w:p>
        </w:tc>
        <w:tc>
          <w:tcPr>
            <w:tcW w:w="18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 xml:space="preserve">Bermuda </w:t>
            </w:r>
            <w:r>
              <w:rPr>
                <w:rFonts w:ascii="Arial" w:cs="Arial" w:eastAsia="Arial" w:hAnsi="Arial"/>
                <w:sz w:val="21"/>
                <w:szCs w:val="21"/>
                <w:b w:val="1"/>
                <w:bCs w:val="1"/>
                <w:color w:val="auto"/>
                <w:w w:val="87"/>
                <w:vertAlign w:val="superscript"/>
              </w:rPr>
              <w:t>(g)</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 xml:space="preserve">Delaware </w:t>
            </w:r>
            <w:r>
              <w:rPr>
                <w:rFonts w:ascii="Arial" w:cs="Arial" w:eastAsia="Arial" w:hAnsi="Arial"/>
                <w:sz w:val="21"/>
                <w:szCs w:val="21"/>
                <w:b w:val="1"/>
                <w:bCs w:val="1"/>
                <w:color w:val="auto"/>
                <w:w w:val="86"/>
                <w:vertAlign w:val="superscript"/>
              </w:rPr>
              <w:t>(g)</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44"/>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7"/>
              </w:rPr>
              <w:t>Proceeds from Sale of Businesses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 xml:space="preserve">Ireland </w:t>
            </w:r>
            <w:r>
              <w:rPr>
                <w:rFonts w:ascii="Arial" w:cs="Arial" w:eastAsia="Arial" w:hAnsi="Arial"/>
                <w:sz w:val="21"/>
                <w:szCs w:val="21"/>
                <w:b w:val="1"/>
                <w:bCs w:val="1"/>
                <w:color w:val="auto"/>
                <w:w w:val="88"/>
                <w:vertAlign w:val="superscript"/>
              </w:rPr>
              <w:t>(g)</w:t>
            </w:r>
          </w:p>
        </w:tc>
        <w:tc>
          <w:tcPr>
            <w:tcW w:w="18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 xml:space="preserve">Bermuda </w:t>
            </w:r>
            <w:r>
              <w:rPr>
                <w:rFonts w:ascii="Arial" w:cs="Arial" w:eastAsia="Arial" w:hAnsi="Arial"/>
                <w:sz w:val="21"/>
                <w:szCs w:val="21"/>
                <w:b w:val="1"/>
                <w:bCs w:val="1"/>
                <w:color w:val="auto"/>
                <w:w w:val="87"/>
                <w:vertAlign w:val="superscript"/>
              </w:rPr>
              <w:t>(g)</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 xml:space="preserve">Delaware </w:t>
            </w:r>
            <w:r>
              <w:rPr>
                <w:rFonts w:ascii="Arial" w:cs="Arial" w:eastAsia="Arial" w:hAnsi="Arial"/>
                <w:sz w:val="21"/>
                <w:szCs w:val="21"/>
                <w:b w:val="1"/>
                <w:bCs w:val="1"/>
                <w:color w:val="auto"/>
                <w:w w:val="86"/>
                <w:vertAlign w:val="superscript"/>
              </w:rPr>
              <w:t>(g)</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1"/>
                <w:szCs w:val="21"/>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44"/>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Business,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Proceeds from Sale of Businesses,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Reorganization Under Chapter 11 of the U.S. Bankruptcy Code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Weatherford Ireland, Weatherford Bermuda and Weatherford Delaware filed voluntary petitions under Chapter 11 of the Bankruptcy Code in the U.S. Bankruptcy Court for the Southern District of Texas. Prior to filing the bankruptcy petition, the Debtors entered into an RSA on May 10, 2019, with a majority of holders of our unsecured notes. The parties to the RSA have agreed to support the capital financial restructuring of the Company and, as of July 12, 2019, include holders of over 80% in aggregate principal amount of our outstanding unsecured notes. The Transaction is contemplated to be implemented through cases commenced by the Debtors under Chapter 11 of the United States Bankruptcy Code, an examinership proceeding to be commenced by Weatherford Ireland under the laws of Ireland and “provisional liquidation” proceedings under the laws of Bermuda. See “Note 2 – Chapter 11 Proceedings and Ability to Continue as a Going Concern” for additional details.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“Weatherford Ireland,” “we,” “us” and “our” refer to Weatherford International plc, a public limited company organized under the laws of Ireland, and its subsidiaries on a consolidated basis. The following discussion should be read in conjunction with the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include: (1) Production, (2) Completions, (3) Drilling and Evaluation and (4) Well Construction.</w:t>
      </w:r>
    </w:p>
    <w:p>
      <w:pPr>
        <w:spacing w:after="0" w:line="211" w:lineRule="exact"/>
        <w:rPr>
          <w:sz w:val="20"/>
          <w:szCs w:val="20"/>
          <w:color w:val="auto"/>
        </w:rPr>
      </w:pPr>
    </w:p>
    <w:p>
      <w:pPr>
        <w:ind w:left="840" w:hanging="332"/>
        <w:spacing w:after="0" w:line="277" w:lineRule="auto"/>
        <w:tabs>
          <w:tab w:leader="none" w:pos="8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25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Drilling and Evaluation </w:t>
      </w:r>
      <w:r>
        <w:rPr>
          <w:rFonts w:ascii="Arial" w:cs="Arial" w:eastAsia="Arial" w:hAnsi="Arial"/>
          <w:sz w:val="18"/>
          <w:szCs w:val="18"/>
          <w:color w:val="auto"/>
        </w:rPr>
        <w:t>comprises a suite of services ranging from early well planning to reservoir management. The drilling services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 On April 30, 2019, we completed the sale of our laboratory services and surface data logging businesses for an aggregate consideration of $256 million.</w:t>
      </w:r>
    </w:p>
    <w:p>
      <w:pPr>
        <w:spacing w:after="0" w:line="188" w:lineRule="exact"/>
        <w:rPr>
          <w:rFonts w:ascii="Arial" w:cs="Arial" w:eastAsia="Arial" w:hAnsi="Arial"/>
          <w:sz w:val="18"/>
          <w:szCs w:val="18"/>
          <w:color w:val="auto"/>
        </w:rPr>
      </w:pPr>
    </w:p>
    <w:p>
      <w:pPr>
        <w:jc w:val="both"/>
        <w:ind w:left="840" w:hanging="332"/>
        <w:spacing w:after="0" w:line="30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builds or rebuilds well integrity for the full life cycle of the well. Using conventional to advanced equipment, we offer safe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 We divested a majority of our land drilling rig operations in the fourth quarter of 2018 and first quarter of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Voluntary Reorganization Under Chapter 11 of the U.S. Bankruptcy Code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July 1, 2019, Weatherford Ireland, Weatherford International Ltd. (“Weatherford Bermuda”), and Weatherford International, LLC (“Weatherford Delaware”) (collectively, “Weatherford Parties,” or “Debtors”), filed voluntary petitions under Chapter 11 of the U.S. Bankruptcy Code (“Bankruptcy Code”) in the U.S. Bankruptcy Court for the Southern District of Texas (“Bankruptcy Court”). The Debtors have obtained joint administration of their Chapter 11 cases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Case No. 19-33694 (“Cases”). On June 28, 2019, the Debtors commenced a solicitation for acceptance of their prepackaged plan of reorganization (“Plan”) by causing the Plan and the corresponding disclosure statement to be distributed to certain creditors of the Company.</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Weatherford Ireland anticipates filing a petition under the Irish Companies Act 2014 in Ireland (“Irish Examinership Proceeding”) following confirmation of the Plan by the Bankruptcy Court to seek approval for its scheme of arrangement. The filing of the Irish Examinership Proceeding will commence a 100 calendar day protection period under Irish law, during which Weatherford Ireland will have the benefit of protection against enforcement and other actions by its creditors. Weatherford Ireland intends to continue operating its business in the ordinary course during the protection period.</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Weatherford Bermuda has commenced provisional liquidation proceedings (“Bermuda Proceedings”) pursuant to the Bermuda Companies Act 1981 by presenting a winding up petition to the Supreme Court of Bermuda (“Bermuda Court”). The Bermuda Court appointed a provisional liquidator who acts as an officer of the Bermuda Court, and is required under the Bermuda Court’s order to report from time to time on the progress of the Bermuda Proceedings. The provisional liquidator will have the power to oversee Weatherford Bermuda’s restructuring process. The Debtors’ management team and board of directors will remain in control of Weatherford Bermuda’s day-to-day operations and its Cases. The appointment of the provisional liquidator provided an automatic statutory stay of proceedings in Bermuda against Weatherford Bermuda and its assets. On the return date of September 6, 2019 for the Bermuda petition – similar to a second day hearing in a Chapter 11 proceeding – Weatherford Bermuda will seek to postpone its petition for a specified period, while the U.S. Bankruptcy Court and the Irish Examiner administer its Cases. Before the Debtors emerge from Chapter 11, Weatherford Bermuda may, along with the provisional liquidator and subject to the direction of the Bermuda Court, convene meetings of the impaired creditors in order to consider and approve, if appropriate, a scheme of arrangement pursuant to the Bermuda Companies Act 1981. It is anticipated that a the terms of the scheme will mirror the terms of the Plan and once properly approved, is a mechanism for ensuring that all of the impaired creditors of Weatherford Bermuda are bound by the terms of the Plan.</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remaining non-debtor affiliates that have not filed voluntary petitions under the Plan will continue operating their businesses and facilities without disruption to customers, vendors, partners or employees. The Plan and requested first day relief provide that vendors and other unsecured creditors who continue to work with the non-debtor affiliates on existing terms will be paid in full and in the ordinary course of business (in the case of creditors of the Debtors, following consummation of the Plan). All existing customer and vendor contracts are expected to remain in place and be serviced in the ordinary course of business.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certain exceptions, under the Bankruptcy Code, the filing of the Cases automatically enjoined, or stayed, the continuation of most judicial or administrative proceedings or filing of other actions against the Debtors or their property to recover, collect or secure a claim arising prior to the date of the Cases. All of the Debtors’ prepetition unsecured senior notes are subject to compromise and treatment under the Bankruptcy Code. Since the commencement of the Cases, the Debtors have continued to operate their businesses as debtors-in-possession under the jurisdiction of the Bankruptcy Court and in accordance with the applicable provisions of the Bankruptcy Code and orders of the Bankruptcy Court.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10, 2019, the Debtors entered into the Restructuring Support Agreement (“RSA”) with certain holders of our unsecured notes (“Consenting Creditors”). The RSA sets forth, subject to certain conditions, the terms of the capital financial restructuring of the Company (“Transaction”) and, as of July 12, 2019, includes the commitment of Consenting Creditors holding over 80% in aggregate principal amount of our outstanding unsecured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Transaction will be approved through the confirmation of the Plan filed in the Cases.</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3" w:name="page44"/>
    <w:bookmarkEnd w:id="43"/>
    <w:p>
      <w:pPr>
        <w:ind w:firstLine="324"/>
        <w:spacing w:after="0" w:line="277" w:lineRule="auto"/>
        <w:rPr>
          <w:sz w:val="20"/>
          <w:szCs w:val="20"/>
          <w:color w:val="auto"/>
        </w:rPr>
      </w:pPr>
      <w:r>
        <w:rPr>
          <w:rFonts w:ascii="Arial" w:cs="Arial" w:eastAsia="Arial" w:hAnsi="Arial"/>
          <w:sz w:val="18"/>
          <w:szCs w:val="18"/>
          <w:color w:val="auto"/>
        </w:rPr>
        <w:t>The RSA contemplates a comprehensive deleveraging of our balance sheet and a reduction of approximately $5.85 billion of our funded debt and provides, in pertinent part, as follows (as further described in later paragraphs):</w:t>
      </w:r>
    </w:p>
    <w:p>
      <w:pPr>
        <w:spacing w:after="0" w:line="170" w:lineRule="exact"/>
        <w:rPr>
          <w:sz w:val="20"/>
          <w:szCs w:val="20"/>
          <w:color w:val="auto"/>
        </w:rPr>
      </w:pPr>
    </w:p>
    <w:p>
      <w:pPr>
        <w:jc w:val="both"/>
        <w:ind w:left="1300" w:hanging="320"/>
        <w:spacing w:after="0" w:line="279"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existing unsecured notes will be cancelled and exchanged for 99% of the ordinary shares of the reorganized Company (“New Common Stock”) and $1.25 billion of new tranche B senior unsecured notes to be issued by the reorganized Company with a seven-year maturity. Holders shall have the option to convert up to $500 million of the tranche B unsecured notes to New Common Stock at the mid-point of plan equity value. The tranche B unsecured notes will be pari passu with the tranche A senior unsecured notes.</w:t>
      </w:r>
    </w:p>
    <w:p>
      <w:pPr>
        <w:spacing w:after="0" w:line="171"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existing secured funded debt and unsecured revolving credit facility debt will be repaid in full in cash in connection with the Transaction. The secured funded debt was repaid in full on July 3, 2019.</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existing equity will be cancelled and exchanged for 1% of the New Common Stock and three-year warrants to purchase 10% of the New Common Stock.</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DIP Credit Agreement will be repaid or refinanced in full upon completion of the Transaction through the Company’s entry into a first lien exit revolving credit facility in the principal amount of up to $1.0 billion and issuance of up to $1.25 billion of new tranche A senior unsecured notes with a five-year maturity (the “Tranche A Notes”), which will be fully backstopped by the Consenting Creditors. On July 1, 2019, the Weatherford Parties entered into the backstop commitment agreement and on July 3, 2019, the Weatherford Parties entered into the DIP Credit Agreement.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RSA includes certain milestones for the progress of the Cases, which include the dates by which the Weatherford Parties are required to, among other things, obtain certain court orders and complete the Transaction. In addition, the parties to the RSA will have the right to terminate the RSA and their support for the Transaction under certain circumstances, including, in the case of the Weatherford Parties, if the board of directors of any Weatherford Party determines in good faith that performance under the RSA would be inconsistent with its fiduciary duties. Accordingly, no assurance can be given that the Transaction described in the RSA will be completed.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Due on Certain Indebtedness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Debtors’ 7.75% Senior Notes due 2021, 8.25% Senior Notes due 2023 and 6.80% Senior Notes due 2037 (together, “Certain Senior Notes”) provide for an aggregate $69 million interest payment that became due on June 15, 2019. The applicable indenture governing the Certain Senior Notes provides a 30-day grace period that extended the latest date for making this interest payment to July 16, 2019, before an event of default would occur under the applicable indenture. The Debtors elected to not make this interest payment on the due date and to utilize the 30-day grace period provided by the indentures. As of June 30, 2019, there was no event of default. As a result of filing the Cases on July 1, 2019, an event of default occurred under each indenture governing these unsecured notes, which automatically accelerated maturity of the principal, plus any accrued and unpaid interest, on such series of unsecured notes and certain other obligations of the Debtors. Any efforts to enforce such payment obligations under the unsecured notes or other accelerated obligations of the Debtors are automatically stayed as a result of the Cases, and the creditors’ rights of enforcement in respect of the unsecured notes and other accelerated obligations of the Debtors are subject to the applicable provisions of the Bankruptcy Code. The interest and principal on this indebtedness remains unpaid as of this report date.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Debtors’ Term Loan Agreement required a quarterly payment of $12.5 million plus interest that became due on June 30, 2019 and was unpaid as of June 30, 2019. On July 1, 2019, the Debtors and the Term Loan Lenders entered into a Term Loan Forbearance Agreement where the lenders agreed to forbear from exercising their rights and remedies available to them, including the right to accelerate any indebtedness, for a specified period of time. As of July 3, 2019, all unpaid principal and interest under the Term Loan Agreement were repaid in full. See discussion below.</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b w:val="1"/>
          <w:bCs w:val="1"/>
          <w:i w:val="1"/>
          <w:iCs w:val="1"/>
          <w:color w:val="auto"/>
        </w:rPr>
        <w:t>Forbearance Agreements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1, 2019, the Debtors and the Credit Agreement Lenders under the Amended and Restated Credit Agreement (the “A&amp;R Credit Agreement”), dated as of May 9, 2016, among WOFS Assurance Limited and Weatherford Bermuda, as borrowers, the Company, JPMorgan Chase Bank, N.A., as administrative agent, and the lenders from time to time party thereto entered into a forbearance agreement (the “Credit Agreement Forbearance Agreement”) with respect to certain defaults under the A&amp;R Credit Agreement, including those arising from the Debtors’ commencement of the Cases. Specifically, under the Credit Agreement Forbearance Agreement, the Credit Agreement Lenders agreed to forbear from exercising their rights and remedies available to them due to the Specified Defaults defined in the agreement, including the right to accelerate any indebtedness, for a specified period of time. Under the terms of the Credit Agreement Forbearance Agreement, the Debtors paid a fee for the ratable account of the Credit Agreement Lenders in an amount equal to 0.25% on the outstanding principal amount of the loans and total letter of credit exposure under the A&amp;R Credit Agreement. Additionally, (i) to the extent such entities were not already guarantors under the Credit Agreement, all subsidiaries of the Company who are guarantors under the DIP Credit Agreement (defined below) joined as guarantors under the Credit Agreement and (ii) all U.S. and Canadian subsidiaries of the Company granted a second lien security interest in favor of the Credit Agreement Lenders in the same assets that such U.S. and Canadian subsidiaries pledged a first lien security interest in under the DIP Credit Agreement; provided that the aggregate amount of the guaranteed obligations to be secured under the Credit Agreement did not exceed $100 million; and provided, further, that if the obligations under the A&amp;R Credit Agreement are not paid in full by November 30, 2019, such second lien security interest of the Credit Agreement Lenders shall automatically transition from second liens to pari passu liens with the liens under the DIP Credit Agreement.</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Term Loan Lenders under the Term Loan Agreement, dated as of May 4, 2016, among Weatherford Bermuda, as borrower, the Company, JPMorgan Chase Bank, N.A., as administrative agent, and the lenders from time to time party thereto (the “Term Loan Agreement”) entered into a forbearance agreement (the “Term Loan Forbearance Agreement”) with respect to certain defaults under the Term Loan Agreement. Specifically, under the Term Loan Forbearance Agreement, the Term Loan Lenders agreed to forbear from exercising their rights and remedies available to them due to the Specified Defaults defined in the agreement, including the right to accelerate any indebtedness, for a specified period of time. On July 3, 2019, the Company repaid its outstanding indebtedness under the Term Loan.</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 2019, the Debtors and the 364-Day Lenders under the 364-Day Revolving Credit Agreement, dated August 16, 2018, among Weatherford Bermuda, as borrower, the other borrowers party thereto, the Company, JPMorgan Chase Bank, N.A., as administrative agent, and the lenders from time to time party thereto (“364-Day Credit Agreement”) entered into a forbearance agreement (the “364-Day Revolving Forbearance Agreement”) with respect to certain defaults under the 364-Day Credit Agreement. Specifically, under the 364-Day Revolving Forbearance Agreement, the 364-Day Lenders agreed to forbear from exercising their rights and remedies available to them due to the Specified Defaults defined in the agreement, including the right to accelerate any indebtedness, for a specified period of time. On July 3, 2019, the Company repaid its outstanding indebtedness under the 364-Day Revolving Credit Agreement.</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1, 2019, the Debtors and three lenders under the DIP Credit Agreement (the “Swap Counterparties”) each party to a hedging agreement with Weatherford Bermuda for the purpose of hedging foreign currency exposure incurred by the Weatherford Parties (each, a “Swap Agreement” and, collectively, the “Swap Agreements”) entered into a consent to swap agreement termination forbearance (the “Swap Forbearance Agreement”) with respect to certain defaults under the Swap Agreements. Specifically, under the Swap Forbearance Agreement, the Swap Counterparties agreed to forbear from exercising their rights and remedies available to them due to certain Events of Default and Termination Events defined in the agreements for a specified period of time. On July 3, 2019, the Weatherford Parties entered into amended and restated Swap Agreements with such Swap Counterparties to govern existing and future foreign currency transactions entered into with such Swap Counterparties.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Backstop Commitment Agreement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1, 2019, the Weatherford Parties and the commitment parties thereto (the “Commitment Parties”) entered into a Backstop Commitment Agreement. Pursuant to the terms of the Debtors’ Plan, and subject to approval by the Bankruptcy Court in connection with confirmation of the Plan, the Company intends to offer to holders of its existing unsecured notes, including the Commitment Parties, subscription rights to purchase the Tranche A Notes in aggregate principal amount of $1.25 billion, upon the Company’s emergence from bankruptcy.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Subject to the terms and conditions contained in the Backstop Commitment Agreement, the Consenting Creditors have committed to purchase any Tranche A Notes that are not duly subscribed for pursuant to the rights offering at a price equal to $1,000 per $1,000 in principal amount of the Tranche A Notes purchased by such Commitment Party. As consideration for the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commitment by the Commitment Parties, the Weatherford Parties made an aggregate payment in an amount equal to $62.5 million in cash to the Commitment Parties. Except under certain circumstances set forth in the Backstop Commitment Agreement, such payment is non-refundable, regardless of the principal amount of unsubscribed Tranche A Notes (if any) purchased by the Commitment Parties.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without limitation, that (i) the Bankruptcy Court shall have approved the rights offering, (ii) the Bankruptcy Court shall have confirmed the Plan and (iii) the rights offering shall have been conducted, in all material respects, in accordance with the approval of the Bankruptcy Court, the Plan and the Backstop Commitment Agreement attached as an exhibit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Debtor-in-Possession Credit Agreement</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July 3, 2019, the Weatherford Parties entered into a senior secured superpriority debtor-in-possession credit agreement (the “DIP Credit Agreement”). The DIP Credit Agreement has two debtor-in-possession (“DIP”) facilities to provide liquidity during the pendency of the Cases. The facilities consist of (a) a DIP revolving credit facility in the principal amount of up to $750 million provided by banks or other lenders and (b) a DIP term loan facility in the amount of up to $1.0 billion, which is fully backstopped by the Consenting Creditors. The DIP Credit Agreement will mature on the earlier of (i) the date that is 12 months after the Weatherford Parties’ entry into the DIP Credit Agreement or (ii) the date of completion of the Transaction. The DIP Credit Agreement bears interest (i) with respect to Eurodollar borrowings, based on an adjusted LIBOR rate plus an applicable margin of 3.00%, with a 0.00% LIBOR floor and (ii) with respect to alternate base rate borrowings, a base rate plus an applicable margin of 2.00%. In addition to paying interest on outstanding principal amounts under the DIP Credit Agreement, the Debtors will be required to pay an unused commitment fee to the revolving facility lenders in respect of the unutilized DIP revolving facility commitments at a rate equal to 0.375% per annum on the average daily amount of the unutilized revolving facility commitments.</w:t>
      </w:r>
    </w:p>
    <w:p>
      <w:pPr>
        <w:spacing w:after="0" w:line="16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DIP Credit Agreement has a minimum liquidity covenant of $150 million and is secured by substantially all the personal assets and properties of the Debtors and certain of their subsidiaries. The DIP Credit Agreement is also guaranteed on an unsecured basis by certain other subsidiaries of the Debtors.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3, 2019, the Debtors borrowed approximately $1.4 billion under the DIP Credit Agreement and the proceeds of the borrowings under the DIP Credit Agreement were used to repay certain prepetition indebtedness, cash collateralize certain obligations with respect to letters of credit and similar instruments and finance the working capital needs and general corporate purposes of the Debtors and certain of their subsidiaries. On July 3, 2019, the Company repaid all outstanding amounts due under the secured Term Loan Agreement and 364-Day Credit Agreement totaling approximately $616 million with borrowings from our DIP Credit Agreement. In addition, we cash collateralized approximately $271 million of letters of credit and similar instruments with borrowings from the DIP Credit Agreement. See “Note 11 – Short-term Borrowings and Other Debt Obligations” for additional details.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Prepetition Charges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Expenses, gains and losses that are realized or incurred before July 1, 2019 and in relation to the Cases are recorded under the caption “Prepetition Charges” on our Condensed Consolidated Statements of Operations. These charges were $76 million in the second quarter ended June 30, 2019 and $86 million for the six months ended June 30, 2019, and primarily consisted of professional and other fees related to the Cases.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bond and share price decline, as well as our declining credit ratings, have over time increased the level of uncertainty in our business and have impacted various key stakeholders, including our employees, our customers and suppliers, and our key lenders. Continued weak industry conditions have negatively impacted our results of operations and cash flows and may continue to do so in the future. In order to decrease our level of indebtedness and maintain the liquidity at levels we believed would be sufficient to meet our commitments, we undertook a number of actions, including minimizing capital expenditures and further reducing our recurring operating expenses. Ultimately, we concluded, even after taking these actions, we would not have sufficient liquidity to satisfy our debt service obligations and meet other financial obligations as they came due. As a result, on May 10, 2019, we announced the Company’s execution of the RSA and on July 1, 2019 the Debtors filed the Cases. We expect the DIP Credit Agreement should provide sufficient liquidity for the Company during the pendency of the Cases.</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6" w:name="page47"/>
    <w:bookmarkEnd w:id="46"/>
    <w:p>
      <w:pPr>
        <w:jc w:val="both"/>
        <w:ind w:firstLine="324"/>
        <w:spacing w:after="0" w:line="286" w:lineRule="auto"/>
        <w:rPr>
          <w:sz w:val="20"/>
          <w:szCs w:val="20"/>
          <w:color w:val="auto"/>
        </w:rPr>
      </w:pPr>
      <w:r>
        <w:rPr>
          <w:rFonts w:ascii="Arial" w:cs="Arial" w:eastAsia="Arial" w:hAnsi="Arial"/>
          <w:sz w:val="17"/>
          <w:szCs w:val="17"/>
          <w:color w:val="auto"/>
        </w:rPr>
        <w:t>Industry conditions and the risks and uncertainties associated with the Cases, raise substantial doubt about our ability to continue as a going concern. The consolidated financial statements have been prepared in conformity with U.S. GAAP which contemplate the continuation of the Company as a going concern. There are no assurances that the Transaction as described in the RSA and the Plan will be completed successfully.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2019, our unaudited Condensed Consolidated Financial Statements do not include any adjustments that might be necessary should we be unable to continue as a going concern. In addition, our unaudited Condensed Consolidated Financial Statements do not reflect any adjustments related to bankruptcy or liquidation accounting.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Appeal of New York Stock Exchange Determination to Delist our Ordinary Shares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ordinary shares are registered on the New York Stock Exchange (the “NYSE”) and were previously traded on the NYSE under the symbol “WFT.” As a result of our failure to satisfy the continued listing requirements of the NYSE, on May 13, 2019, the NYSE suspended trading in our ordinary shares and commenced procedures to delist us, which the Company has appealed. Following the NYSE’s suspension of trading of our ordinary shares, the Company’s ordinary shares commenced trading on the OTC Bulletin Board or “pink sheets” market on May 14, 2019 under the symbol “WFTIF.” After filing the Cases on July 1, 2019, our ordinary shares began trading under the symbol “WFTIQ.”</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uncertain oil price environment, weak energy sector conditions in the first half of 2019 in North America, primarily in Canada, combined with seasonal and weather related disruptions in the United States, Europe and Russia, as well as project start-up costs and an unfavorable impact from foreign exchange in Argentina, our operational results, working capital and cash flows were negatively impacted. These factors led to lower demand for our products and services, and when coupled with an unfavorable product mix and significantly lower than expected benefits from our transformation, resulted in lower operational results compared to our expectations.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generated revenues of $1.3 billion in the second quarter of 2019 and $2.7 billion in the first six months of 2019, a decrease of $139 million, or 10%, and $216 million, or 8%, compared to the second quarter and first six months of 2018, respectively. Our revenue decline was predominantly driven by lower activity levels in Canada and the United States, decreased revenues associated with the divested land drilling rigs, laboratory services and surface logging businesses, partially offset by higher revenues from integrated service projects and product sales in Latin America and higher Completions activity in the Eastern Hemisphere. Excluding the impact of revenues from the divested portion of the land drilling rigs, laboratory services and surface logging businesses, consolidated revenues were down $29 million, or 2%, in the second quarter of 2019 and $21 million, or 1%, in first six months of 2019 compared to the second quarter and first six months of 2018, respectively.</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Consolidated operating results declined $45 million in the second quarter of 2019 and $307 million in the first six months of 2019, compared to the second quarter and first six months of 2018, respectively. The decline in operating results in the second quarter and first six months of 2019 was primarily due to the impairment of our goodwill and prepetition charges, partially offset by the net gain on sale of business, lower overhead and severance expenses. Excluding goodwill impairment, prepetition charges, and the net gain on sale of businesses of $64 million in the second quarter and $305 million in the first six months of 2019, respectively, consolidated results were up $19 million in the second quarter of 2019 and down $2 million in first six months of 2019 compared to the second quarter and first six months of 2018, respectively.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operating income was $39 million in the second quarter of 2019, a decrease of $30 million compared to the second quarter of 2018. Segment operating income was $68 million in the first six months of 2019, a decrease of $41 million compared to the first six months of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laboratory services and surface logging businesses, segment operating results in the second quarter and first six months of 2019 declined $13 million and $11 million, respectively, compared to the second quarter and first six months of 2018,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decline of our bond price, share price, and credit ratings, the suspension of trading of our ordinary shares from the NYSE, as well as the first public announcement of our RSA on May 10, 2019, has increased the level of uncertainty in our business and has impacted various key stakeholders, including our equity holders, employees, our customers and suppliers, and our key lenders. This uncertainty negatively impacted the Company’s ability to retain key personnel, access credit at suitable terms, decreased our</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cash flow and negatively impacted our ability to execute on our Transformation Plan, which ultimately led to the filing of the Cases on July 1, 2019.</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did not fully achieve our projected savings targets for the transformation primarily due to market headwinds and higher than anticipated costs associated with rationalizing our manufacturing footprint. Concurrently, our Chapter 11 filing negatively impacted our pricing leverage with customers as well as our buying power with suppliers which squeezed margins and reduced overall benefits of the transformation. While we remain committed to improving our business performance through our transformation strategy, which is designed to improve our execution capabilities and lower our cost structure, we expect that the achievement of our targeted $1 billion in incremental adjusted earnings before interest, taxes and depreciation (compared to 2017) will extend beyond the year-end 2019 target date.</w:t>
      </w:r>
    </w:p>
    <w:p>
      <w:pPr>
        <w:spacing w:after="0" w:line="19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the first six months of 2019, cash used in operating activities was $478 million. Cash used in operating activities in the first six months of 2019 was driven by working capital needs, cash payments for debt interest, professional fees related to our financial restructuring and transformation and restructuring costs. Customer collections slowed meaningfully, vendor credit limits were lowered and some payment terms were shortened.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While our industry offers many opportunities, there were significant challenges that materialized in the first half of 2019 and challenges that continue to persist and overhang our organization, which include but are not limited to slower collections from customers, pressure from suppliers to shorten payment terms or lower credit limits and continued uncertainty until we successfully emerge from Chapter 11. Our challenges also include our targeted transformation benefits being more difficult to obtain due to the adverse market conditions, uncertainty related to our capital structure and the ability to recruit and retain employees. The cyclicality of the energy industry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and creating value for all of our stakeholders. Our long-term success will be determined by our ability to manage effectively the cyclicality of our industry, including the ongoing and prolonged industry downturn, our ability to respond to industry demands and periods of over-supply or low oil prices, successfully divesting businesses that are no longer a strategic fit within our short and long term objectives, emerging from Chapter 11 pursuant to the terms of the Plan and on the timeline anticipated and ultimately to generate consistent positive cash flow and positive returns on the invested capital. During bankruptcy proceedings our non-debtor affiliates that have not filed voluntary petitions under the Plan will continue operating their businesses and facilities without disruption to customers, vendors, partners or employees. Vendors and other unsecured creditors who continue to work with the non-debtor affiliates on existing terms will be paid in full and in the ordinary course of business. All existing customer and vendor contracts are expected to remain in place and be serviced in the ordinary course of business. Upon emergence from bankruptcy our lower leverage ratio and debt levels should enable us to capture additional market share. There is no assurance that we will be able to execute on our strategies or achieve the intended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Western Hemisphere for 2019, North American exploration and production (“E&amp;P”) capital spending levels are expected to decrease by mid-single digit to low double-digit levels compared to 2018 due to commodity price volatility, an increasing focus on financial returns versus production growth and infrastructure challenges, which would negatively impact activity and the demand for our products and services. The number of active rigs in the United States have declined from peak levels achieved at the end of the third quarter of 2018 and are not expected to increase through the end of the current year based on forecasted E&amp;P spending plans. Activity in Canada remains at subdued levels as infrastructure constraints have resulted in lower realized oil prices for producers and total production. These conditions are anticipated to persist through 2019, creating continued negative effects on product and service pricing and utilization. We expect activity levels in Latin America to remain constructive as recent contract wins and the introduction of new technologies to various markets are expected to support business throughout the region. Foreign exchange rates, lower prices for natural gas and political and social unrest are expected to negatively affect activity levels and consequently our results in Argentina during 2019 as compared to 2018.</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Eastern Hemisphere, we anticipate the North Sea to remain stable, with a slight change in the mix of product lines in favor of our Completions and Well Construction businesses and growth in Eastern Europe and the Mediterranean Sea from increased sales and activity levels. We expect activity levels in Asia to remain stable and we anticipate that foreign exchange rates will</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negatively affect results in Russia during 2019 as compared to 2018. Operating results from our core businesses in the Middle East are expected to increase, driven by market share gains and new technology introductions across the region. Overall revenue and operating income in the region are expected to decline in 2019 as compared to 2018 as gains associated with our core businesses are offset by the effect of the divestiture of our land drilling rigs, laboratory services and surface logging businesses in the region.</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absence of any geopolitical events, we believe our industry will remain within a ‘medium-for-longer’ price level paradigm. We will continue to push innovation, both from a technological and a business model perspective, and we intend to deliver operational excellence to help bring the cost of production down to a point where all market participants can make acceptable returns. Customer collections are anticipated to continue at a slow pace, with little to no fundamental improvement and we expect suppliers to return to normal payment terms. We continue to focus on our Transformation Plan, which started late in the fourth quarter of 2017. This program has already generated significant cost savings through the flattening of our organizational structure, the implementation of process changes, the enhancement of our capabilities and the improvement of our efficiency in our supply chain, sales and general administrative organizations as well as the rationalization of our manufacturing footprint. Furthermore, through our transformation program we have seen improvements in our operating efficiency, reduced our non-productive time and improved our collaboration with our customers. We made steady progress towards our transformation targets during 2018, recognizing approximately 40% of the identified opportunities in our operating results on a run-rate basis by the end of the year. During the first half of 2019 our transformation cost savings targets were not achieved due to higher than expected costs associated with rationalizing our manufacturing footprint combined with market headwinds negatively impacting progress towards our sales and commercial savings targets. We believe that these same factors will continue to negatively impact the progress of our transformation and while we anticipate achieving additional cost savings and operational efficiencies, we expect that the impact of these savings and efficiencies will take significantly longer than the original year-end 2019 target date.</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persist and reservoir productivity complexities increase, our clients will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or purchases of assets, businesses, investments or joint ventures.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first quarter of 2019, we completed the sale of our Algerian land drilling rigs and delivered two idle land drilling rigs from Iraq for aggregate proceeds of $72 million. On April 30, 2019, we completed the sale of our Reservoir Solutions business, also known as our laboratory services business, to an affiliate of CSL Capital Management, L.P. for an aggregate purchase price of $206 million in cash, subject to escrow release and customary post-closing working capital adjustments. Additionally, on April 30, 2019, we completed the sale of our Surface Data Logging business to Excellence Logging for $50 million in total consideration, subject to customary post-closing working capital adjustments. We continue to evaluate our disposition candidates based on the strategic fit within our business and/or our short and long-term objectives. Divestitures, however, can be complex and may be affected by unanticipated developments, such as the significant decrease in crude oil prices and delays in obtaining regulatory, customer or third party approvals, which may result in the completion of such divestitures, if agreed upon, being delayed or terminated, which could have a negative impact on our liquidity position, ability to repay indebtedness and comply with certain covenants in our debt instruments. Cash proceeds from any further divestitures are expected to be used for working capital needs.</w:t>
      </w:r>
    </w:p>
    <w:p>
      <w:pPr>
        <w:spacing w:after="0" w:line="1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rig count – Source: Baker Hughes Rig Count</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six months of 2019 oil prices ranged from a low of $46.54 per barrel in early-January to a high of $66.30 per barrel in late April. Natural gas ranged from a high of $3.59 MM/BTU in mid-January to a low of $2.19 MM/BTU in late-June.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second quarter and first six months of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5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5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574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Prepetition Charges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Transformation, Facility Restructuring and Severance Charges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Sale of Businesses,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r>
      <w:tr>
        <w:trPr>
          <w:trHeight w:val="311"/>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Loss per Diluted Share Attributable to Weatherford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486"/>
        </w:trPr>
        <w:tc>
          <w:tcPr>
            <w:tcW w:w="57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939"/>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gridSpan w:val="3"/>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Total Segment Operating Income</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Prepetition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gridSpan w:val="3"/>
          </w:tcPr>
          <w:p>
            <w:pPr>
              <w:ind w:left="180"/>
              <w:spacing w:after="0"/>
              <w:rPr>
                <w:sz w:val="20"/>
                <w:szCs w:val="20"/>
                <w:color w:val="auto"/>
              </w:rPr>
            </w:pPr>
            <w:r>
              <w:rPr>
                <w:rFonts w:ascii="Arial" w:cs="Arial" w:eastAsia="Arial" w:hAnsi="Arial"/>
                <w:sz w:val="18"/>
                <w:szCs w:val="18"/>
                <w:color w:val="auto"/>
              </w:rPr>
              <w:t>Asset Write-Downs and Other</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Transformation, Facility Restructuring and Severance Charges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5740" w:type="dxa"/>
            <w:vAlign w:val="bottom"/>
            <w:gridSpan w:val="3"/>
          </w:tcPr>
          <w:p>
            <w:pPr>
              <w:ind w:left="120"/>
              <w:spacing w:after="0"/>
              <w:rPr>
                <w:sz w:val="20"/>
                <w:szCs w:val="20"/>
                <w:color w:val="auto"/>
              </w:rPr>
            </w:pPr>
            <w:r>
              <w:rPr>
                <w:rFonts w:ascii="Arial" w:cs="Arial" w:eastAsia="Arial" w:hAnsi="Arial"/>
                <w:sz w:val="18"/>
                <w:szCs w:val="18"/>
                <w:color w:val="auto"/>
              </w:rPr>
              <w:t>Gain on Sale of Businesses, Net</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Bond Tender and Call Premium</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7"/>
                <w:szCs w:val="17"/>
                <w:color w:val="auto"/>
              </w:rPr>
              <w:t>Currency Devaluation Charges</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7"/>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97"/>
        </w:trPr>
        <w:tc>
          <w:tcPr>
            <w:tcW w:w="5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w:t>
            </w:r>
          </w:p>
        </w:tc>
      </w:tr>
      <w:tr>
        <w:trPr>
          <w:trHeight w:val="31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4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Net Loss per Diluted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48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52" w:name="page53"/>
    <w:bookmarkEnd w:id="5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chart contains the consolidated revenues of our business groups for the second quarter and first six months of 2019 and 2018:</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3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660" w:type="dxa"/>
            <w:vAlign w:val="bottom"/>
          </w:tcPr>
          <w:p>
            <w:pPr>
              <w:spacing w:after="0"/>
              <w:rPr>
                <w:sz w:val="23"/>
                <w:szCs w:val="23"/>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revenues decreased $139 million, or 10%, in the second quarter of 2019 and $216 million, or 8%, in the first six months of 2019, compared to the second quarter and first six months of 2018, respectively. Excluding the impact of revenues from the divested portion of the land drilling rigs, laboratory services and surface logging businesses, consolidated revenues were down $29 million, or 2%, in the second quarter of 2019 and $21 million, or 1%, in first six months of 2019 compared to the second quarter and first six months of 2018, respectively.</w:t>
      </w:r>
    </w:p>
    <w:p>
      <w:pPr>
        <w:spacing w:after="0" w:line="187" w:lineRule="exact"/>
        <w:rPr>
          <w:sz w:val="20"/>
          <w:szCs w:val="20"/>
          <w:color w:val="auto"/>
        </w:rPr>
      </w:pPr>
    </w:p>
    <w:p>
      <w:pPr>
        <w:jc w:val="both"/>
        <w:ind w:left="900" w:hanging="325"/>
        <w:spacing w:after="0" w:line="30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Western Hemisphere revenues decreased $50 million, or 7%, in the second quarter of 2019 and $80 million, or 5%, for the first six months of 2019 compared to the second quarter and for the first six months of 2018, respectively, due to lower activity levels in the U.S. and Canada as a result of a decline in rig related activity and exploration spending, which has reduced demand for drilling, completion and production products and services. The decline in Canada was partially offset by higher activity in integrated service projects and product sales in Latin America.</w:t>
      </w:r>
    </w:p>
    <w:p>
      <w:pPr>
        <w:spacing w:after="0" w:line="46" w:lineRule="exact"/>
        <w:rPr>
          <w:rFonts w:ascii="Arial" w:cs="Arial" w:eastAsia="Arial" w:hAnsi="Arial"/>
          <w:sz w:val="16"/>
          <w:szCs w:val="16"/>
          <w:color w:val="auto"/>
        </w:rPr>
      </w:pPr>
    </w:p>
    <w:p>
      <w:pPr>
        <w:jc w:val="both"/>
        <w:ind w:left="90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Eastern Hemisphere revenues decreased $89 million, or 13%, in the second quarter of 2019 and $136 million, or 10%, for the first six months of 2019 compared to the second quarter and first six months of 2018, respectively. The decline in revenues was primarily due to lower revenues from our divested land drilling rigs businesses in the Middle East and North Africa, as well as our divested laboratories and surface logging businesses. Increased revenues in the completions product line partially offset this decline. Excluding the impact of revenues from the divested portion of the land drilling rigs, laboratory services and surface logging businesses, revenues in the second quarter of 2019 increased $11 million, or 2%, in the second quarter of 2019 and increased $47 million, or 4% for the first six months of 2019 compared to the first quarter for the first six months of 2018, respectively.</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Consolidated operating results declined $45 million in the second quarter of 2019 and $307 million in the first six months of 2019, compared to the second quarter and first six months of 2018, respectively. The decline in operating results in the second quarter and first six months of 2019 was primarily due to the impairment of our goodwill and prepetition charges, partially offset by the net gain on sale of businesses, lower overhead and severance expenses. Excluding goodwill impairment, prepetition charges, and the net gain on sale of businesses of $64 million in the second quarter and $305 million in the first six months of 2019, respectively, consolidated results were up $19 million in the second quarter of 2019 and down $2 million in first six months of 2019 compared to the second quarter and first six months of 2018, respectively.</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Additionally, lower demand for our products and services coupled with an unfavorable product mix and lack of supply chain savings have caused the expected benefits from our transformation initiatives to slow and consequently resulted in significantly lower actual results compared to our expectations for the first half of 2019. During the first half of 2019, transformation cost savings targets were not achieved due to higher than forecasted costs associated with rationalizing our manufacturing footprint and market headwinds negatively impacting progress towards our sales and commercial savings targets.</w:t>
      </w:r>
    </w:p>
    <w:p>
      <w:pPr>
        <w:spacing w:after="0" w:line="3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49" w:right="239" w:bottom="1440" w:gutter="0" w:footer="0" w:header="0"/>
        </w:sectPr>
      </w:pPr>
    </w:p>
    <w:bookmarkStart w:id="53" w:name="page54"/>
    <w:bookmarkEnd w:id="5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Segment operating income was $39 million in the second quarter of 2019, a decrease of $30 million compared to the second quarter of 2018. Segment operating income was $68 million in the first six months of 2019, a decrease of $41 million compared to the first six months of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laboratory services and surface logging businesses, segment operating results in the second quarter and first six months of 2019 declined $13 million and $11 million, respectively, compared to the second quarter and first six months of 2018, respectively.</w:t>
      </w:r>
    </w:p>
    <w:p>
      <w:pPr>
        <w:spacing w:after="0" w:line="189" w:lineRule="exact"/>
        <w:rPr>
          <w:sz w:val="20"/>
          <w:szCs w:val="20"/>
          <w:color w:val="auto"/>
        </w:rPr>
      </w:pPr>
    </w:p>
    <w:p>
      <w:pPr>
        <w:jc w:val="both"/>
        <w:ind w:left="900" w:hanging="325"/>
        <w:spacing w:after="0" w:line="25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Western Hemisphere segment operating income of $11 million in the second quarter 2019 and $20 million in the first six months of 2019 declined $39 million and $54 million, respectively, compared to the second quarter and first six months of 2018, respectively. The segment income decline was driven by lower activity levels, lower operating margin product sales in Canada, start-up costs for projects in Latin America and employee retention expenses. These declines were partially offset by improved operating results from higher integrated service project activity in in Latin America.</w:t>
      </w:r>
    </w:p>
    <w:p>
      <w:pPr>
        <w:spacing w:after="0" w:line="80" w:lineRule="exact"/>
        <w:rPr>
          <w:rFonts w:ascii="Arial" w:cs="Arial" w:eastAsia="Arial" w:hAnsi="Arial"/>
          <w:sz w:val="18"/>
          <w:szCs w:val="18"/>
          <w:color w:val="auto"/>
        </w:rPr>
      </w:pPr>
    </w:p>
    <w:p>
      <w:pPr>
        <w:jc w:val="both"/>
        <w:ind w:left="9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Eastern Hemisphere segment operating income of $28 million in the second quarter of 2019 improved $9 million, or 47%, compared to the second quarter of 2018. Eastern Hemisphere segment operating income of $48 million in the first six months of 2019 improved $13 million, or 37%, compared to the first six months of 2018. The improvement in segment operating income was due to the lower direct expenses, cost improvements from our transformation program offset by the impact of the divestitures. Excluding the impact of operating results from the divested portion of the land drilling rigs, laboratory services and surface logging businesses, segment operating results in the second quarter and first six months of 2019 improved $24 million and $43 million, respectively, compared to the second quarter and first six months of 2018, respectively.</w:t>
      </w:r>
    </w:p>
    <w:p>
      <w:pPr>
        <w:spacing w:after="0" w:line="81" w:lineRule="exact"/>
        <w:rPr>
          <w:rFonts w:ascii="Arial" w:cs="Arial" w:eastAsia="Arial" w:hAnsi="Arial"/>
          <w:sz w:val="18"/>
          <w:szCs w:val="18"/>
          <w:color w:val="auto"/>
        </w:rPr>
      </w:pPr>
    </w:p>
    <w:p>
      <w:pPr>
        <w:jc w:val="both"/>
        <w:ind w:left="900" w:hanging="325"/>
        <w:spacing w:after="0" w:line="273"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second quarter ended June 30, 2019, our interim goodwill impairment tests indicated that goodwill for our Asia and Middle East/North Africa (“MENA”) reporting units were impaired and as a result we incurred a goodwill impairment charge of $102 million. In the first quarter ended March 31, 2019 our interim goodwill impairment tests indicated that goodwill for our North America reporting unit was impaired and as a result we incurred a goodwill impairment charge of $229 million. The impairment indicators during the first and second quarters of 2019 were a result of lower activity levels and lower exploration and production capital spending that resulted in a decline in drilling activity and forecasted growth in North America, Asia and MENA reporting units for the rest of 2019 and beyond.</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Prepetition charges were for professional and other fees related to the Cases incurred before the petition date and were $76 million in the second quarter ended June 30, 2019 and $86 million for the six months ended June 30, 2019.</w:t>
      </w:r>
    </w:p>
    <w:p>
      <w:pPr>
        <w:spacing w:after="0" w:line="6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Transformation, facility restructuring and severance charges decreased $18 million in the second quarter of 2019 and $23 million in the first six months of 2019 compared to the second quarter and first six months of 2018.</w:t>
      </w:r>
    </w:p>
    <w:p>
      <w:pPr>
        <w:spacing w:after="0" w:line="62" w:lineRule="exact"/>
        <w:rPr>
          <w:sz w:val="20"/>
          <w:szCs w:val="20"/>
          <w:color w:val="auto"/>
        </w:rPr>
      </w:pPr>
    </w:p>
    <w:p>
      <w:pPr>
        <w:jc w:val="both"/>
        <w:ind w:left="900" w:hanging="325"/>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Asset write-downs and other charges decreased $29 million in the second quarter of 2019 and $10 million in the first six months of 2019 compared to the second quarter and for the first six months of 2018, respectively. Charges in the first half of 2019 primarily included the asset write-downs and other charges, partially offset by a reduction of a contingency reserve on a legacy contract. Charges in the first half of 2018 primarily includes long-lived asset impairments, other asset write-downs and inventory charges, partially offset by gains on purchase of the remaining interest in a joint venture, property sales and a reduction of a contingency reserve on a legacy contract.</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$160 million and $315 million in the second quarter and the first six months of 2019, respectively, compared to $152 million and $301 million in the second quarter and the first six months of 2018, respectively. The increase in interest expense for the second quarter and the first six months of 2019 is primarily from higher average borrowings and interest rates in 2019 compared to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an insignificant amount of warrant fair value gain in the second quarter and first six months of 2019, compared to a warrant fair value gain of $10 million in the second quarter and $56 million for the first six months of 2018, respectively, related to the fair value adjustment to our warrant liability. On May 21, 2019, the warrant option period lapsed and was not exercised. The change in fair value of the warrant in the second quarter and first six months of 2018 was primarily driven by the decrease in our share price.</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49" w:right="239" w:bottom="1440" w:gutter="0" w:footer="0" w:header="0"/>
        </w:sectPr>
      </w:pPr>
    </w:p>
    <w:bookmarkStart w:id="54" w:name="page55"/>
    <w:bookmarkEnd w:id="5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did not recognize currency devaluation charges in the second quarter and the first six months ended June 30, 2019, compared to $11 million and $37 million in the second quarter and the first six months ended June 30, 2018, respectively, primarily related to the devaluation of the Angolan kwanza. The devaluation of the Angolan kwanza was due to a change in Angolan central bank policy in January 2018. For additional information see “Cash Requirements” of the “Liquidity and Capital Resources” section in “Item 2. – Management’s Discussion and Analysis of Financial Condition and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For the second quarter and the first six months of 2019, we had a tax expense of $33 million and $45 million, respectively, on a loss before income taxes of $279 million and $744 million, respectively, compared to the second quarter and the first six months of 2018 tax expense of $26 million and $58 million, respectively on a loss before income taxes of $233 million and $443 million, respectively. The sum of goodwill impairment, prepetition charges, asset write-downs and other, transformation, facility restructuring and severance charges, and the net gain on sale of businesses resulted in no significant tax expense for the second quarter of 2019 and no significant tax benefit in the first six months of 2019, respectively. The tax expense for the second quarter and the first six months of 2019 and 2018 also includes withholding taxes, minimum taxes and deemed profit taxes that do not directly correlate to ordinary income or loss.</w:t>
      </w:r>
    </w:p>
    <w:p>
      <w:pPr>
        <w:spacing w:after="0" w:line="178"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$22 million in the next twelve months due to expiration of statutes of limitations, settlements and/or conclusions of tax examinations.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Transformation, Facility Restructuring and Severance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our geographic regions.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Transformation Plan, we recognized restructuring and transformation charges of $20 million and $40 million in the second quarter and first six months of 2019, respectively, which include severance charges of $1 million and $3 million, respectively, other restructuring charges of $15 million and $29 million, respectively, and restructuring related asset charges of $4 million and $8 million, respectively. Other restructuring charges in both periods included contract termination costs, relocation and other associated costs. Please see “Note 9 – Transformation, Facility Restructuring and Severance Charges” to our Condensed Consolidated Financial Statements for additional details of our charges by segment.</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49" w:right="239" w:bottom="1440" w:gutter="0" w:footer="0" w:header="0"/>
        </w:sectPr>
      </w:pPr>
    </w:p>
    <w:bookmarkStart w:id="55" w:name="page56"/>
    <w:bookmarkEnd w:id="5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2019, we had cash and cash equivalents of $618 million compared to $602 million at December 31, 2018. The following table summarizes cash flows provided by (used in) each type of activity for the first six months of 2019 and 2018:</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7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used in operating activities was $478 million during the first six months of 2019 compared to cash used of $315 million during the first six months of 2018. Cash used in operating activities in 2019 and 2018 were driven by working capital needs, payments for debt interest, bonus, severance and other restructuring and transformation costs. In 2019, primarily in the second quarter, cash used in operating activities included payments for prepetition charges primarily for professional and other fees related to the Cases.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investing activities was $223 million during the first six months of 2019 compared to cash used of $14 million during the first six months of 2018.</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six months of 2019, the primary uses of cash in investing activities were (i) capital expenditures of $114 million for property, plant and equipment and the acquisition of assets held for sale and (ii) cash paid of $9 million to acquire intellectual property and other intangibles. During the first six months of 2019, the primary sources of cash were (i) proceeds from the sale of business of $301 million primarily from completed dispositions of our rigs business, laboratory services and surface data logging businesses and (ii) proceeds of $45 million from the disposition of other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six months of 2018, the primary uses of cash in investing activities were (i) capital expenditures of $86 million for property, plant and equipment and the acquisition of assets held for sale and (ii) cash paid of $7 million to acquire intellectual property and other intangibles. During the first six months of 2018, the primary sources of cash primarily included cash proceeds of $50 million from asset dispositions and cash proceeds of $25 million from the sale of our continuous sucker rod service business in Canada.</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we spend for capital expenditures varies each year and is based on the types of contracts into which we enter, our asset availability and our expectations with respect to activity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cash provided by financing activities was $269 million during the first six months of 2019 compared to cash provided of $172 million during the first six months of 2018.</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49" w:right="239" w:bottom="1440" w:gutter="0" w:footer="0" w:header="0"/>
        </w:sectPr>
      </w:pPr>
    </w:p>
    <w:bookmarkStart w:id="56" w:name="page57"/>
    <w:bookmarkEnd w:id="5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six months of 2019, we had short-term borrowings net of repayments of $298 million primarily from our Revolving Credit Agreements, and long-term debt repayments of $17 million on our Term Loan Agreement and financed leases.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$588 million. We used part of the proceeds from our debt offering to repay in full our 6.00% senior notes due March 2018 and to fund a concurrent tender offer to purchase all of our 9.625% senior notes due 2019.</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long- and short-term debt repayments, including the tender offer and net payments under the prior Revolving Credit Agreement in the first six months of 2018 totaled $402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financing activities in the first six months of 2019 and 2018 included payments of noncontrolling interest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sources of available liquidity have included cash and cash equivalent balances, accounts receivable factoring, dispositions, and availability under committed lines of credit. In addition, we expect to continue to evaluate and enter into transactions to dispose of businesses or capital assets that no longer fit our long-term strategy. As discussed in Note 2 – Chapter 11 Proceedings and Ability to Continue as a Going Concern and earlier in “Item 2. – Management’s Discussion and Analysis of Financial Condition and Results of Operations”, we believed we would not have sufficient liquidity to satisfy our debt service obligations and meet other financial obligations as they came due and as a result, the Debtors filed petitions for reorganization under Chapter 11 of the Bankruptcy Code. We expect the DIP Credit Agreement should provide sufficient liquidity for the Company during the pendency of the Cases.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our cash requirements will continue to include payments for capital expenditures, repayment of debt, interest payments primarily from our DIP Credit Agreement and A&amp;R Credit Agreement (interest payments on our unsecured senior notes are stayed during the pendency of the Cases), payments for short-term working capital needs and transformation costs, including severance and professional consulting payments. Our cash requirements also include employee retention programs and awards under our employee incentive programs and other amounts to settle litigation related matters. We anticipate funding these requirements from cash and cash equivalent balances, availability under our DIP Credit Agreement (during the pendency of the Cases), accounts receivable factoring and proceeds from disposals of businesses or capital assets that no longer fit our long-term strategy. While we expect these sources of liquidity to be sufficient, there is uncertainty as discussed above and we cannot provide assurance that cash flows and other internal and external sources of liquidity will at all times be sufficient to satisfy our cash requirements.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2019 are projected to be approximately $250 million due to anticipated activity in the oil and gas business related to stabilizing active rig counts. The amounts we ultimately spend will depend on a number of factors including the type of contracts we enter into, asset availability and actual industry activity levels in 2019. Expenditures are expected to be used primarily to support the ongoing activities of our core business. If we are unable to generate positive cash flows or access other sources of liquidity described in the previous section, we may need to reduce or eliminate our anticipated capital expenditures in 2019.</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Cash and cash equivalents of $592 million at June 30, 2019, are held by subsidiaries outside of Switzerland, the Company’s taxing jurisdiction. Based on the nature of our structure, we are generally able to redeploy cash with no incremental tax. As of June 30, 2019, we had cash and cash equivalents of $17 million denominated in Angolan kwanza. The National Bank of Angola supervises all kwanza exchange operations and has limited U.S. dollar conversions.</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49" w:right="239" w:bottom="1440" w:gutter="0" w:footer="0" w:header="0"/>
        </w:sectPr>
      </w:pPr>
    </w:p>
    <w:bookmarkStart w:id="57" w:name="page58"/>
    <w:bookmarkEnd w:id="5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June 30, 2019, we have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June 30, 2019, we have principal borrowings of $298 million under the Term Loan Agreement. We collectively refer to our Revolving Credit Agreements and Term Loan Agreement as the “Credit Agreements.” Under the terms of the A&amp;R Credit Agreement, commitments of $226 million from non-extending lenders matured on July 12, 2019 and commitments of $303 million from extending lenders will mature on July 13, 2020.</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June 30, 2019, we have principal borrowings of $298 million under our term loan agreement, dated May 4, 2016, among Weatherford Bermuda, the borrower, and Weatherford Ireland, the guarantor, and the lenders party thereof (the “Term Loan Agreement”). The Term Loan Agreement required a quarterly payment of $12.5 million plus interest that became due on June 30, 2019 and was unpaid as of June 30, 2019. On July 1, 2019, the Debtors and the lenders under the Term Loan Agreement entered into a forbearance agreement where the lenders agreed to forbear from exercising their rights and remedies available to them, including the right to accelerate any indebtedness, for a specified period of time.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3, 2019, we repaid the outstanding principal and interest remaining under the Term Loan Agreement and 364-Day Credit Agreement with borrowings from our DIP Credit Agreement and have reclassified the Term Loan balance to current maturities of long-term debt as of June 30, 2019. See “Note 2 – Chapter 11 Proceedings and Ability to Continue as a Going Concern” for additional details regarding how the Plan and Transaction will impact the Credit Agreements.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As of June 30, 2019, we were in compliance with our financial covenants as defined in the Credit Agreements as well as under our indentures. The Company’s existing secured funded debt under the Credit Agreements was paid in full on July 3, 2019 using borrowings under the DIP Credit Agreement. As a result of filing the Cases, an event of default occurred under each indenture governing the unsecured notes and each Credit Agreement, which automatically accelerated maturity of the principal, plus any accrued and unpaid interest, on such series of unsecured notes and obligations under the Credit Agreements. Any efforts to enforce such payment obligations are automatically stayed as a result of the Cases, and the creditors’ rights of enforcement are subject to the applicable provisions of the Bankruptcy Code. See “Note 2 – Chapter 11 Proceedings and Ability to Continue as a Going Concern” for additional details regarding how the Plan and Transaction will impact the Credit Agreements.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See “Note 4 – Accounts Receivable Factoring” to our Condensed Consolidated Financial Statements for details on our factoring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our credit ratings were downgraded from our credit ratings reported in our audited Consolidated Financial Statements for the year ended December 31, 2018 included in our Annual Report on Form 10-K after the announcement of our RSA on May 10, 2019. Our S&amp;P Global Ratings on our senior unsecured notes was downgraded from CCC– to C, with a negative outlook, and our issuer credit rating was downgraded from CCC to CC. Our Moody’s Investors Service credit rating on our senior unsecured notes was downgraded from Caa3 to Ca and our speculative grade liquidity rating was affirmed at SGL-4, both with a negative outlook.</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2019, after we filed the Plan in the Bankruptcy Court, our S&amp;P Global Ratings on our senior unsecured notes were downgraded from C to D, with a negative outlook, and our issuer credit rating was downgraded from CC to D. Our Moody’s Investors Service credit rating on our senior unsecured notes was affirmed at Ca and our speculative grade liquidity rating was affirmed at SGL-4, both with a negative outlook. Moody’s also downgraded our probability of default rating from Ca-PD to D-PD. Shortly after Moody’s ratings action, they withdrew all of Weatherford’s ratings.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49" w:right="239" w:bottom="1440" w:gutter="0" w:footer="0" w:header="0"/>
        </w:sectPr>
      </w:pPr>
    </w:p>
    <w:bookmarkStart w:id="58" w:name="page59"/>
    <w:bookmarkEnd w:id="5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and as a result of certain of these guarantee arrangements, we are required to present condensed consolidating financial information. See “Note 21 – Condensed Consolidating Financial Statements” to our Condensed Consolidated Financial Statements for our guarantor financial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June 30, 2019, we had no short-term borrowings under these arrangements. In addition, we had $247 million of letters of credit under various uncommitted facilities and $166 million of letters of credit under the A&amp;R Credit Agreement. At June 30, 2019, we have cash collateralized $113 million of our letters of credit, which is included “Cash and Cash Equivalents” in the accompanying Condensed Consolidated Balance Sheets. Subsequent to the quarter ended June 30, 2019, we cash collateralized approximately $271 million of letters of credit and similar instruments with borrowings from the DIP Credit Agreement. See “Note 2 – Chapter 11 Proceedings and Ability to Continue as a Going Concern” for additional details.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Latin America we utilize surety bonds as part of our customary business practice,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13 – Derivative Instruments” to our Condensed Consolidated Financial Statements for details regarding our derivative activities.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Annual Report on Form 10-K for the year ended December 31, 2018, except as noted below.</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As of October 1, 2018, we performed a quantitative assessment under the revised reporting unit structure. Our reporting units are based on our regions and include North America, Latin America, Europe and Sub-Sahara Africa, Russia/China, Middle East/North Africa, and Asia.</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perform an impairment test for goodwill annually as of October 1 or more frequently if indicators of potential impairment exist that would more likely than not reduce the fair value of the reporting unit below its carrying value. In assessing the possibility that a reporting unit’s fair value has been reduced below its carrying amount due to the occurrence of events or circumstances between annual impairment testing dates, we consider all available evidence, including, but not limited to, (i) the results of our impairment testing at the prior annual impairment testing date, in particular the magnitude of the excess of fair value over carrying value, (ii) changes in market conditions, (iii) downward revisions to internal forecasts, and the magnitude thereof, if any, (iv) decline in our market capitalization below our book value, and the magnitude and duration of those declines, if any.</w:t>
      </w:r>
    </w:p>
    <w:p>
      <w:pPr>
        <w:spacing w:after="0" w:line="17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share price has historically experienced volatility as a result of industry-wide and macroeconomic factors, including global oil prices and rig counts. In addition, more recently, we believe that our share price has be subject to increased volatility resulting from our financial results and our inability to meet our Transformation Plan initiatives in the magnitude and desired time-frame,</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49" w:right="239" w:bottom="1440" w:gutter="0" w:footer="0" w:header="0"/>
        </w:sectPr>
      </w:pPr>
    </w:p>
    <w:bookmarkStart w:id="59" w:name="page60"/>
    <w:bookmarkEnd w:id="5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contributing to the NYSE suspension of trading in our ordinary shares and their commencement of procedures to delist our shares, which the Company has appealed. These circumstances prompted us to evaluate whether circumstances had changed that would more likely than not reduce the fair value of one or more of our reporting units below their carrying amount as of June 30, 2019. While conducting this evaluation, we considered macroeconomic and industry conditions, including the outlook for exploration and production spending by our customers, the magnitude and declines in our market capitalization and overall financial performance of each of our reporting units. We also considered whether there were any changes in our long-term forecasts, which are impacted by assumptions about the future commodity pricing and supply and demand for our goods and services, all of which require considerable judgment in estimation.</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is not amortized but is evaluated for impairment. We perform an impairment test for goodwill annually as of October 1 or more frequently if indicators of potential impairment exist that would more likely than not reduce the fair value of the reporting unit below its carrying value. We have the option to assess qualitative factors to determine if it is necessary to perform the quantitative goodwill impairment test. If it is more likely than 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identified lower exploration and production capital spending during the quarter that resulted in lower drilling activity and forecasted activity as impairment indicators and performed an interim goodwill impairment test as of the second quarter ended June 30, 2019. We performed a qualitative goodwill impairment test for all of our reporting units with goodwill and determined it was more likely than not that the fair values for the Latin America and Russia/China reporting units exceeded their respective carrying values. For the Middle East/North Africa and Asia reporting unit, we conducted a further assessment by performing a quantitative goodwill impairment test.</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quantitative assessment, the fair values of our Middle East/North Africa (“MENA”) and Asia reporting units were determined using a combination of the income approach and the market approach. The income approach estimates fair value by discounting the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a financial forecast. This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 for the MENA and Asia reporting units were 13.75% and 13.00%, respectively, as of our June 30, 2019 impairment test. The market approach estimates fair value as a multiple of the reporting unit’s actual and forecasted earnings based on market multiples of comparable publicly traded companies over a three-year period. The market multiples for the MENA and Asia reporting units ranged from 3.7x – 5.4x as of our June 30, 2019 impairment test.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engaged an independent valuation specialist for the assumptions used in our quantitative impairment test to assist us in our valuations under both methods. The final estimates of the MENA and Asia reporting units’ fair values were determined by using an appropriate weighting of the values from each method, where the income method was weighted more heavily than the market method as we believe that the income method and assumptions therein are more reflective of a market participant’s view of fair value given current market conditions.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second quarter ended June 30, 2019, our interim goodwill impairment tests indicated that goodwill for our Asia and MENA reporting units were impaired and as a result we incurred a goodwill impairment charge of $102 million. In the first quarter ended March 31, 2019 our interim goodwill impairment tests indicated that goodwill for our North America reporting unit was impaired and as a result we incurred a goodwill impairment charge of $229 million. The impairment indicators during the first and second quarters of 2019 were a result of lower activity levels and lower exploration and production capital spending that resulted in a decline in drilling activity and forecasted growth in North America, Asia and MENA reporting units. Our cumulative impairment loss for goodwill was $3.0 billion at June 30, 2019. The impairment reflects the overall decline in the fair value of the reporting unit.</w:t>
      </w: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9" w:right="239" w:bottom="1440" w:gutter="0" w:footer="0" w:header="0"/>
        </w:sectPr>
      </w:pPr>
    </w:p>
    <w:bookmarkStart w:id="60" w:name="page61"/>
    <w:bookmarkEnd w:id="60"/>
    <w:tbl>
      <w:tblPr>
        <w:tblLayout w:type="fixed"/>
        <w:tblInd w:w="340" w:type="dxa"/>
        <w:tblCellMar>
          <w:top w:w="0" w:type="dxa"/>
          <w:left w:w="0" w:type="dxa"/>
          <w:bottom w:w="0" w:type="dxa"/>
          <w:right w:w="0" w:type="dxa"/>
        </w:tblCellMar>
      </w:tblPr>
      <w:tr>
        <w:trPr>
          <w:trHeight w:val="207"/>
        </w:trPr>
        <w:tc>
          <w:tcPr>
            <w:tcW w:w="72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80"/>
        </w:trPr>
        <w:tc>
          <w:tcPr>
            <w:tcW w:w="7280" w:type="dxa"/>
            <w:vAlign w:val="bottom"/>
            <w:gridSpan w:val="3"/>
          </w:tcPr>
          <w:p>
            <w:pPr>
              <w:spacing w:after="0"/>
              <w:rPr>
                <w:sz w:val="20"/>
                <w:szCs w:val="20"/>
                <w:color w:val="auto"/>
              </w:rPr>
            </w:pPr>
            <w:r>
              <w:rPr>
                <w:rFonts w:ascii="Arial" w:cs="Arial" w:eastAsia="Arial" w:hAnsi="Arial"/>
                <w:sz w:val="18"/>
                <w:szCs w:val="18"/>
                <w:color w:val="auto"/>
              </w:rPr>
              <w:t>The carrying amounts of goodwill by reporting unit as of June 30, 2019 are as follows: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4"/>
                <w:szCs w:val="24"/>
                <w:color w:val="auto"/>
              </w:rPr>
            </w:pPr>
          </w:p>
        </w:tc>
        <w:tc>
          <w:tcPr>
            <w:tcW w:w="16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7"/>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18"/>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Russia/China</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Middle East/North Africa</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Asia</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318"/>
        </w:trPr>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estimates of fair value are sensitive to the aforementioned inputs to the valuation approaches. For our Latin America, Russia/China, and Asia reporting units, if any one of the above inputs changes, it could reduce the estimated fair value of the reporting unit and result in a potentially material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our Asia reporting unit:</w:t>
      </w:r>
    </w:p>
    <w:p>
      <w:pPr>
        <w:spacing w:after="0" w:line="225"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hypothetical 25 basis point increase in the discount rate used for Asia, holding all other assumptions constant, could result in a potentially material impairment charge to goodwill for the reporting unit.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hypothetical five percentage point decrease in the growth rate used for Asia, holding all other assumptions constant, could result in a potentially material impairment charge to goodwill for the reporting unit.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hypothetical decrease in our valuation multiple used to 3x for Asia, holding all other assumptions constant, could result in a potentially material impairment charge to goodwill for the reporting unit.</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believe that we will continue to operate in the ordinary course during our bankruptcy process and upon emergence from Chapter 11 bankruptcy proceedings, our estimates of fair values are sensitive to inputs to the valuation approaches, including our forecasts of revenues and earnings growth. There can be no assurances that changes to our inputs would not result in a material impairment of goodwill.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also to “Notes to Condensed Consolidated Financial Statements – Note 8 – Goodwill” of this Form 10-Q.</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32" w:right="239" w:bottom="1440" w:gutter="0" w:footer="0" w:header="0"/>
        </w:sectPr>
      </w:pPr>
    </w:p>
    <w:bookmarkStart w:id="61" w:name="page62"/>
    <w:bookmarkEnd w:id="6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7" w:lineRule="exact"/>
        <w:rPr>
          <w:sz w:val="20"/>
          <w:szCs w:val="20"/>
          <w:color w:val="auto"/>
        </w:rPr>
      </w:pPr>
    </w:p>
    <w:p>
      <w:pPr>
        <w:ind w:left="740" w:hanging="327"/>
        <w:spacing w:after="0" w:line="281" w:lineRule="auto"/>
        <w:tabs>
          <w:tab w:leader="none" w:pos="7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our ability to satisfy our liquidity needs, including our ability to generate sufficient liquidity or cash flow from operations or to obtain adequate financing to fund our operations or otherwise meet our obligations as they come due in the future and our ability to continue as a going concern;</w:t>
      </w:r>
    </w:p>
    <w:p>
      <w:pPr>
        <w:spacing w:after="0" w:line="1" w:lineRule="exact"/>
        <w:rPr>
          <w:rFonts w:ascii="Arial" w:cs="Arial" w:eastAsia="Arial" w:hAnsi="Arial"/>
          <w:sz w:val="16"/>
          <w:szCs w:val="16"/>
          <w:color w:val="auto"/>
        </w:rPr>
      </w:pPr>
    </w:p>
    <w:p>
      <w:pPr>
        <w:ind w:left="7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 intangible assets or other assets and impact our ability to generate sufficient liquidity;</w:t>
      </w: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confirm and complete the proposed financial restructuring in accordance with the terms of the RSA;</w:t>
      </w:r>
    </w:p>
    <w:p>
      <w:pPr>
        <w:spacing w:after="0" w:line="9" w:lineRule="exact"/>
        <w:rPr>
          <w:rFonts w:ascii="Arial" w:cs="Arial" w:eastAsia="Arial" w:hAnsi="Arial"/>
          <w:sz w:val="18"/>
          <w:szCs w:val="18"/>
          <w:color w:val="auto"/>
        </w:rPr>
      </w:pPr>
    </w:p>
    <w:p>
      <w:pPr>
        <w:jc w:val="both"/>
        <w:ind w:left="7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attendant to the bankruptcy process, including the effects thereof on our business and liquidity and on the interests of various constituents, the length of time that we might be required to operate in bankruptcy and the continued availability of operating capital during the pendency of such proceedings;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high level of indebtedness, including following the Transaction, and its impact on our ability to maintain sufficient liquidity;</w:t>
      </w:r>
    </w:p>
    <w:p>
      <w:pPr>
        <w:spacing w:after="0" w:line="9" w:lineRule="exact"/>
        <w:rPr>
          <w:rFonts w:ascii="Arial" w:cs="Arial" w:eastAsia="Arial" w:hAnsi="Arial"/>
          <w:sz w:val="18"/>
          <w:szCs w:val="18"/>
          <w:color w:val="auto"/>
        </w:rPr>
      </w:pPr>
    </w:p>
    <w:p>
      <w:pPr>
        <w:ind w:left="720" w:right="18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capital, significantly higher cost of capital, or difficulty or inability to raise additional funds in the equity or debt capital markets or from other financing sources, as a result of changes in market conditions, our financial situation or our credit rating;</w:t>
      </w: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9" w:lineRule="exact"/>
        <w:rPr>
          <w:rFonts w:ascii="Arial" w:cs="Arial" w:eastAsia="Arial" w:hAnsi="Arial"/>
          <w:sz w:val="18"/>
          <w:szCs w:val="18"/>
          <w:color w:val="auto"/>
        </w:rPr>
      </w:pPr>
    </w:p>
    <w:p>
      <w:pPr>
        <w:ind w:left="720" w:right="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20" w:right="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 including as a result of our suppliers shortening payment terms and/or tightening credit limits;</w:t>
      </w: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transformation efforts;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and close such acquisitions and dispositions;</w:t>
      </w: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jc w:val="both"/>
        <w:ind w:left="720" w:hanging="320"/>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20" w:right="120" w:hanging="320"/>
        <w:spacing w:after="0" w:line="261"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49" w:right="239" w:bottom="1440" w:gutter="0" w:footer="0" w:header="0"/>
        </w:sectPr>
      </w:pPr>
    </w:p>
    <w:bookmarkStart w:id="62" w:name="page63"/>
    <w:bookmarkEnd w:id="6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 of 1933 (as amended,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2018. Other than the decrease in the fair value of our debt as discussed in “Note 11 – Short-term Borrowings and Other Debt Obligations” to our Condensed Consolidated Financial Statements, our exposure to market risk has not changed materially since December 31, 2018.</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Disclosure controls and procedures (as defined in Rules 13a-15(e) and 15d-15(e)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“Exchange Act”) are designed to 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2019. Based on that evaluation, our CEO and CFO concluded that our disclosure controls and procedures were effective as of June 30, 2019.</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Beginning January 1, 2019, we adopted Accounting Standards Update No.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and the series of related updates and implemented changes to our processes and related control activities.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other changes in our internal control over financial reporting that occurred during the three months ended June 30, 2019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14 – Disputes, Litigation and Contingencies” to our Condensed Consolidated Financial Statements for details regarding our ongoing disputes and litigation.</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49" w:right="239" w:bottom="1440" w:gutter="0" w:footer="0" w:header="0"/>
        </w:sectPr>
      </w:pPr>
    </w:p>
    <w:bookmarkStart w:id="63" w:name="page64"/>
    <w:bookmarkEnd w:id="6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June 30, 2019, there have been no material changes in our assessment of our risk factors from those set forth in our Annual Report on Form 10-K for the fiscal year ended December 31, 2018, except as noted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the filing of the Cases, we will be subject to the risks and uncertainties associated with bankruptcy proceedings.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 2019, the Company filed for voluntary relief under Chapter 11 of the Bankruptcy Code in the U.S. Bankruptcy Court in the Southern District of Texas and filed the Company’s pre-packaged plan of reorganization. Throughout the duration of the Cases, our operations and our ability to develop and execute our business plan (including our transformation), as well as our continuation as a going concern, will be subject to the risks and uncertainties associated with bankruptcy proceedings. These risks include the following:</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confirm and complete the Plan or an alternative restructuring plan;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 costs of bankruptcy proceedings and related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the Bankruptcy Court’s approval with respect to motions filed in the Cases from time to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RSA terms and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suppliers, service providers, customers, employees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contracts that are critical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execute our business and Transformation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motivate and retain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contracts and other agreements with us;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third parties to seek and obtain the Bankruptcy Court’s approval to terminate or shorten the exclusivity period for us to propose and confirm a Chapter 11 plan of reorganization, to appoint a Chapter 11 trustee, or to convert the Cases to proceedings under Chapter 7 of the Bankruptcy Code;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actions and decisions of our creditors and other third parties who have interests in the Cases that may be inconsistent with our plans.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our Chapter 11 proceedings increase the risks of our inability to reorganize our business and emerge from bankruptcy and may increase our costs associated with the bankruptcy process.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These risks and uncertainties could affect our business and operations in various ways. For example, negative events associated with the Cases could adversely affect our relationships with our suppliers, service providers, customers, employees, and other third parties, which in turn could adversely affect our operations and financial condition. Also, we need the prior approval of the Bankruptcy Court for transactions outside the ordinary course of business, which may limit our ability to respond timely to certain events or take advantage of certain opportunities. Because of the risks and uncertainties associated with the Cases, we cannot accurately predict or quantify the ultimate impact of events that will occur during the Cases that may be inconsistent with our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confirmation of the Plan as outlined in the RSA.</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can be no assurance that the Plan as outlined in the RSA (or any other plan of reorganization) will be approved by the Bankruptcy Court, so we urge caution with respect to existing and future investments in our securities.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success of any reorganization will depend on approval by the Bankruptcy Court and the willingness of existing debt and security holders to agree to the exchange or modification of their interests as outlined in the Plan, and there can be no guarantee of success with respect to the Plan or any other plan of reorganization. We might receive objections to confirmation of the Plan from the various bankruptcy committees and stakeholders in the Chapter 11 proceedings. We cannot predict the impact that any objection might have on the Plan or on a Bankruptcy Court's decision to confirm the Plan. Any objection may cause us to devote significant resources in response which could materially and adversely affect our business,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49" w:right="239" w:bottom="1440" w:gutter="0" w:footer="0" w:header="0"/>
        </w:sectPr>
      </w:pPr>
    </w:p>
    <w:bookmarkStart w:id="64" w:name="page65"/>
    <w:bookmarkEnd w:id="6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Plan is not confirmed by the Bankruptcy Court, it is unclear whether we would be able to reorganize our business and what, if any, distributions holders of claims against us, including holders of our secured and unsecured debt and equity, would ultimately receive with respect to their claims and interests. Once commenced, there can be no assurance as to whether we will successfully reorganize and emerge from Chapter 11 or, if we do successfully reorganize, as to when we would emerge from Chapter 11. 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our assets for distribution in accordance with the priorities established by the Bankruptcy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emergence from bankruptcy, our historical financial information may not be indicative of our future financial performance.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capital structure will be significantly altered under the Plan. Under fresh-start accounting rules that should apply to us upon the effective date of the Plan (or any alternative plan of reorganization), our assets and liabilities would be adjusted to fair values and our accumulated deficit would be restated to zero. Accordingly, under fresh-start accounting rules, our financial condition and results of operations following our emergence from Chapter 11 would not be comparable to the financial condition and results of operations reflected in our historical financial statements. Further, a plan of reorganization could materially change the amounts and classifications reported in our consolidated historical financial statements, which do not give effect to any adjustments to the carrying value of assets or amounts of liabilities that might be necessary as a consequence of confirmation of a plan of reorganization.</w:t>
      </w:r>
    </w:p>
    <w:p>
      <w:pPr>
        <w:spacing w:after="0" w:line="16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The RSA consumed, and the Chapter 11 proceedings will continue to consume, a substantial portion of the time and attention of our management, which may have an adverse effect on our business and results of operations, and we may face increased levels of employee attrition.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the Plan is designed to minimize the length of our Chapter 11 proceedings, it is impossible to predict with certainty the amount of time that we may spend in bankruptcy or to assure parties in interest that the Plan will be confirmed. The Chapter 11 proceedings will involve additional expense and our management will be required to spend a significant amount of time and effort focusing on the proceedings. This diversion of attention may materially adversely affect the conduct of our business, and, as a result, our financial condition and results of operations, particularly if the Chapter 11 proceedings are protracted.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pendency of the Chapter 11 proceedings, our employees will face considerable distraction and uncertainty, and we may experience increased levels of employee attrition. A loss of key personnel or material erosion of employee morale could have a material adverse effect on our ability to effectively, efficiently and safely conduct our business, and could impair our ability to execute our strategy and implement operational initiatives, thereby having a material adverse effect on our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Trading in our securities is highly speculative and poses substantial risks. Under the Plan, following effectiveness of the Plan, the holders of our existing ordinary shares will receive their pro rata share of 1% of the New Common Stock and warrants for up to 10% of the post-petition equity exercisable upon the Company reaching certain benchmarks pursuant to the terms of the proposed new warrants, which interests could be further diluted by the warrants, the potential conversion of up to $500 million of convertible unsecured notes to be issued under the Plan, and the management incentive plan contemplated by the Plan.</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Plan, as contemplated in the RSA, provides that upon the Company's emergence from Chapter 11, Consenting Noteholders will receive, among other things, their pro rata share of 99% of the New Common Stock and that the holders of the existing ordinary shares of the Company will receive their pro rata share of 1% of the New Common Stock and warrants for up to 10% of the post-petition equity exercisable upon the Company reaching certain benchmarks pursuant to the terms of the proposed new warrants. If the Plan as contemplated in the RSA is confirmed, (i) up to 5% of the equity interests in the reorganized Company will be reserved for issuance as awards under a post-restructuring management incentive plan and (ii) up to $500 million of new unsecured notes to be issued under the Plan will be convertible into New Common Stock at the election of the holders of such notes. Issuances of ordinary shares (or securities convertible into or exercisable for ordinary shares) under the Plan or management incentive plan and any exercises of the warrants or conversion rights for ordinary shares of ordinary shares will dilute the voting power of the outstanding ordinary shares and may adversely affect the trading price of such ordinary shares.</w:t>
      </w:r>
    </w:p>
    <w:p>
      <w:pPr>
        <w:spacing w:after="0" w:line="200" w:lineRule="exact"/>
        <w:rPr>
          <w:sz w:val="20"/>
          <w:szCs w:val="20"/>
          <w:color w:val="auto"/>
        </w:r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49" w:right="239" w:bottom="1440" w:gutter="0" w:footer="0" w:header="0"/>
        </w:sectPr>
      </w:pPr>
    </w:p>
    <w:bookmarkStart w:id="65" w:name="page66"/>
    <w:bookmarkEnd w:id="6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our emergence from bankruptcy, the composition of our board of directors may change significantly.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Plan, the composition of our board of directors may change significantly. Upon emergence, the board will be made up of seven directors selected by the Consenting Noteholders, one of which will be our current Chief Executive Officer. The Consenting Noteholders have agreed to interview any of the existing members of our board who wishes to continue as a member of our board. However, it is possible that up to six of our seven board members may be new to the Company. Any new directors are likely to have different backgrounds, experiences and perspectives from those individuals who previously served on the board and, thus, may have different views on the issues that will determine the future of the Company. As a result, the future strategy and plans of the Company may differ materially from those of the past.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circumstances in which the interests of our significant shareholders could be in conflict with the interests of our other shareholders.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Assuming the Plan were effective as of the date hereof, it is estimated that certain bondholders would own or otherwise control a material percentage of our New Common Stock.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New Common Stock. In addition, our significant concentration of share ownership post-reorganization may adversely affect the trading price of our New Common Stock because investors may perceive disadvantages in owning shares in companies with significant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insufficient liquidity for our business operations during the Chapter 11 proceedings.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our transformation efforts to date have resulted in lowering our cost structure and creating efficiencies, our business remains capital intensive. In addition to the cash requirements necessary to fund ongoing operations, we have incurred significant professional fees and other costs in connection with our Chapter 11 proceedings and expect that we will continue to incur significant professional fees and costs throughout the Chapter 11 proceedings. Although we believe that we will have sufficient liquidity to operate our business during the pendency of the Chapter 11 proceedings, there can be no assurance that the cash made available to us under the DIP Credit Agreement or otherwise in our restructuring process and revenue generated by our business operations will be sufficient to fund our operations. In the event that revenue flows and other available cash are not sufficient to meet our liquidity requirements, we may be required to seek additional financing. There can be no assurance that such additional financing would be available or, if available, offered on terms that are acceptable.</w:t>
      </w:r>
    </w:p>
    <w:p>
      <w:pPr>
        <w:spacing w:after="0" w:line="1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The Plan and any other plan of reorganization that we may implement will be based in large part upon assumptions and analyses developed by us. If these assumptions and analyses prove to be incorrect, our Plan may be unsuccessful in its execution.</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Plan and any other plan of reorganization that we may implement could affect both our capital structure and the ownership, structure and operation of our businesses and will reflect assumptions and analyses based on our experience and perception of historical trends, current conditions and expected future developments, as well as other factors that we consider appropriate under the circumstances. Whether actual future results and developments will be consistent with our expectations and assumptions depends on a number of factors, including but not limited to (i) our ability to change substantially our capital structure; (ii) our ability to obtain adequate liquidity and financing sources; (iii) our ability to maintain customers’ confidence in our viability as a continuing entity and to attract and retain sufficient business from them; (iv) our ability to retain key employees, and (v) the overall strength and stability of general economic conditions of the financial and oil and gas industries, both in the U.S. and in global markets. The failure of any of these factors could materially adversely affect the successful reorganization of our businesses.</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Plan and any other plan of reorganization will rely upon financial projections, including with respect to revenues, EBITDA, capital expenditures, debt service and cash flow. Financial forecasts are necessarily speculative, and it is likely that one or more of the assumptions and estimates that are the basis of these financial forecasts will not be accurate. In our case, the forecasts will be even more speculative than normal, because they may involve fundamental changes in the nature of our capital structure. Accordingly, we expect that our actual financial condition and results of operations will differ, perhaps materially, from what we have anticipated. Consequently, there can be no assurance that the results or developments contemplated by any plan of reorganization we may implement will occur or, even if they do occur, that they will have the anticipated effects on us and our subsidiaries or our businesses or operations. The failure of any such results or developments to materialize as anticipated could materially adversely affect the successful execution of any plan of reorganization.</w:t>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49" w:right="239" w:bottom="1440" w:gutter="0" w:footer="0" w:header="0"/>
        </w:sectPr>
      </w:pPr>
    </w:p>
    <w:bookmarkStart w:id="66" w:name="page67"/>
    <w:bookmarkEnd w:id="6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will not be discharged in our Chapter 11 proceedings, which could have a material adverse effect on our financial condition and results of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Bankruptcy Code provides that the confirmation of a Chapter 11 plan of reorganization discharges a debtor from substantially all debts arising prior to confirmation. With few exceptions, all claims that arose prior to confirmation of the Plan (i) would be subject to compromise and/or treatment under the Plan and (ii) would be discharged in accordance with the Bankruptcy Code and the terms of the Plan. Any claims not ultimately discharged through the Plan or any other Chapter 11 plan of reorganization could be asserted against the reorganized entities and may have an adverse effect on our financial condition and results of operations on a post-reorganization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 Chapter 11 plan of reorganization is consummated, we may not be able to achieve our stated goals.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Even if the Plan or any other Chapter 11 plan of reorganization is consummated, we will continue to face a number of risks, including changes in economic conditions, changes in our industry, changes in demand for our products and services and increasing expenses. Accordingly, we cannot guarantee that the Plan or any other Chapter 11 plan of reorganization will achieve our stated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approval of the Plan as outlined in the RSA from the Irish High Court</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Even if approved by the Bankruptcy Court in the United States, there can be no assurance that the Irish High Court will admit the Company to Irish examinership proceedings or that the Plan as outlined in the RSA (or any other plan of reorganization) will be approved as an examinership scheme of arrangement by the Irish High Court, so we urge caution with respect to existing and future investments in our securities.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Company is not admitted to Irish examinership proceedings or the Plan is not approved as an examinership scheme of arrangement by the Irish High Court, it is unclear whether we would be able to implement the Plan as approved by the Bankruptcy Court in the United States and reorganize our business and what, if any, distributions holders of claims against us, including holders of our secured and unsecured debt and equity, would ultimately receive with respect to their claims and interests. There can be no assurance as to whether we will successfully reorganize and emerge from the Irish examinership proceeding or, if we do successfully reorganize, as to when we would emerge from the Irish examinership proceeding. If no examinership scheme of arrangement is approved by the Irish High Court, we may be forced to liquidate our assets for distribution in accordance with the priorities established by applicable Irish insolvency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Bermuda Court may not sanction the Bermuda Scheme.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Effective Date, Weatherford Bermuda intends to put forward a scheme of arrangement pursuant to the Companies Act 1981 of Bermuda (the “Bermuda Scheme”) in Bermuda. In the event that the Bermuda Scheme is put forward, the Bermuda Court is expected to direct that a meeting of creditors affected by the Bermuda Scheme be convened at which point such creditors are expected to approve the Bermuda Scheme. There is a risk that the creditors will not approve the Bermuda Scheme in accordance with the requisite majority under Bermuda law (a majority of those present and voting and seventy-five percent in value of those present and voting). There is a risk that the Bermuda Court will not sanction the scheme, which may affect Weatherford Bermuda’s ability to ensure that certain creditors are bound by the terms of the Confirmation Order.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Weatherford Bermuda’s bye-laws restrict shareholders from bringing legal action against Weatherford Bermuda’s officers and directors.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Bermuda’s bye-laws contain a broad waiver by its shareholders of any claim or right of action, both individually and on Weatherford Bermuda’s behalf, against any of its officers or directors. The waiver applies to any action taken by an officer or director, or the failure of an officer or director to take any action, in the performance of his or her duties, except with respect to any matter involving any fraud or dishonesty on the part of the officer or director. This waiver limits the right of shareholders to assert claims against Weatherford Bermuda’s officers and directors unless the act or failure to act involves fraud or dishonesty.</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49" w:right="239" w:bottom="1440" w:gutter="0" w:footer="0" w:header="0"/>
        </w:sectPr>
      </w:pPr>
    </w:p>
    <w:bookmarkStart w:id="67" w:name="page68"/>
    <w:bookmarkEnd w:id="6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under bankruptcy court protection for a long period of time may harm our business.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results are dependent upon the successful confirmation and implementation of the Plan or any other Chapter 11 plan of reorganization. A long period of operations under bankruptcy court protection could have a material adverse effect on our business, financial condition, results of operations and liquidity. So long as the Cases continue, our senior management will be required to spend a significant amount of time and effort dealing with the reorganization instead of focusing exclusively on our business operations. A prolonged period of operating under bankruptcy court protection also may make it more difficult to retain management and other key personnel necessary to the success and growth of our business. In addition, the longer the Cases continue, the more likely it is that our customers, suppliers and service providers will lose confidence in our ability to reorganize our business successfully and will seek to establish alternative commercial relationships.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Furthermore, so long as the Cases continue, we will be required to incur substantial costs for professional fees and other expenses associated with the administration of the Cases.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cannot predict the ultimate amount of all settlement terms for the liabilities that will be subject to the Plan or any other Chapter 11 plan of reorganization. Even once a plan of reorganization is approved and implemented, our operating results may be adversely affected by the possible reluctance of prospective lenders and other counterparties to do business with a company that recently emerged from bankruptcy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RSA is subject to significant conditions and milestones that may be difficult for us to satisfy.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are certain material conditions we must satisfy under the RSA, including the timely satisfaction of milestones for the progress of the Cases, including, among other things, to obtain certain Bankruptcy Court orders and complete the Plan. Our ability to timely complete such milestones is subject to risks and uncertainties that may be beyond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RSA is terminated, our ability to confirm and complete a Chapter 11 plan of reorganization could be materially and adversely affected.</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RSA contains certain limited termination events that upon the occurrence of which parties to the RSA may terminate the agreement (and their support for the Plan). If the RSA were terminated, each of the parties thereto would be released from their obligations in accordance with the terms of the RSA. Such termination may result in the loss of support for the Plan by the parties to the RSA, which could adversely affect our ability to confirm and complete a Chapter 11 plan of reorganization. If the Plan is not completed, there can be no assurance that any alternative restructuring transaction would be as favorable to holders of claims as the Plan.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obtain confirmation of a Chapter 11 plan of reorganization to, or if current financing is insufficient or exit financing is not available, we could be required to seek a sale of the Company or certain of its material assets pursuant to Section 363 of the Bankruptcy Code or liquidate under Chapter 7 of the Bankruptcy Code.</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order to successfully emerge from Chapter 11 bankruptcy protection, we must obtain, among other approvals, confirmation of a Chapter 11 plan of reorganization by the Bankruptcy Court. If confirmation of a plan of reorganization by the bankruptcy court does not occur, we could be forced to sell the Company or certain of its material assets pursuant to Section 363 of the Bankruptcy Code or liquidate under Chapter 7 of the Bankruptcy Code.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can be no assurance that our current cash position and amounts of cash from future operations will be sufficient to fund operations. In the event that we do not have sufficient cash to meet our liquidity requirements, and our current financing is insufficient or exit financing is not available, we may be required to seek additional financing. There can be no assurance that such additional financing would be available, or, if available, would be available on acceptable terms. Failure to secure any necessary exit financing or additional financing would have a material adverse effect on our operations and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liquidity requirements and the adequacy of our capital resources are difficult to predict at this time.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face uncertainty regarding the adequacy of our liquidity and capital resources and have extremely limited, if any, access to additional financing beyond the DIP Credit Agreement. In addition to the cash requirements necessary to fund ongoing operations, we have incurred, and will continue to incur, significant professional fees and other costs throughout the Cases. We cannot assure you that cash on hand, cash flow from operations and any financing we are able to obtain through the DIP Credit Agreement will</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49" w:right="239" w:bottom="1440" w:gutter="0" w:footer="0" w:header="0"/>
        </w:sectPr>
      </w:pPr>
    </w:p>
    <w:bookmarkStart w:id="68" w:name="page69"/>
    <w:bookmarkEnd w:id="6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be sufficient to continue to fund our operations and allow us to satisfy our obligations related to the Cases until we are able to emerge from the Cases.</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including our ability to meet our ongoing operational obligations, is dependent upon, among other things: (i) our ability to comply with the terms and conditions of any cash collateral order that may be entered by the Bankruptcy Court in connection with the Cases; (ii) our ability to maintain adequate cash on hand; (iii) our ability to generate cash flow from operations; (iv) our ability to confirm and complete the Plan or any other Chapter 11 plan of reorganization ; and (v) the cost, duration and outcome of the Cases.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the Cases, our financial results may be volatile and may not reflect historical trends.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pendency of the Cases, we expect our financial results to continue to be volatile as restructuring activities and expenses, contract terminations and rejections, and claims assessments significantly impact our consolidated financial statements. As a result, our historical financial performance is likely not indicative of our financial performance during this period. In addition, if we emerge from Chapter 11 bankruptcy protection, the amounts reported in subsequent consolidated financial statements may materially change relative to historical consolidated financial statements, including as a result of revisions to our operating plans pursuant to a plan of reorganization. We also will be required to adopt fresh start accounting, whereby our assets and liabilities will be recorded at fair value as of the fresh start reporting date, which may differ materially from the recorded values of assets and liabilities on our consolidated balance sheets. Our financial results after the application of fresh start accounting also may be different from historical trends.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Transfers or issuances of Existing Common Stock or New Common Stock, before or in connection with our Chapter 11 proceedings, may impair our ability to utilize our federal income tax net operating loss carryforwards in future years.</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Under federal income tax law, a corporation is generally permitted to deduct from taxable income net operating losses carried forward from prior years. As of December 31, 2018, we had gross net operating loss (“NOL”) and research tax credit carryforwards of approximately $2.0 billion and $34 million, respectively, for federal income tax purposes, expiring in varying amounts through the year 2037. As a result of the recent losses we have incurred in the U.S., we have recorded a valuation allowance against all future tax benefits of our U.S. net operating loss carryforwards. Our ability to utilize our net operating loss carryforwards to offset future taxable income and to reduce federal income tax liability is subject to certain requirements and restrictions.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June 30, 2019, we believe we have not experienced an ownership change. However, we may experience ownership changes following the implementation of prepackaged plan of reorganization. In connection with confirmation of the Plan, certain trading that might trigger an ownership change is currently subject to certain procedures adopted by the Bankruptcy Court on July 2, 2019 requiring (among other things) prior notification and advance approval from the Company. Under Section 382 of the Internal Revenue Code, absent an applicable exception, if the Company undergoes an “ownership change” the amount of its net operating losses that may be utilized to offset future taxable income generally is subject to an annual limitation. As a result, if we earn net taxable income, our ability to utilize our pre-change NOL carryforwards to offset U.S. federal taxable income may be subject to annual limitations, which could potentially result in increased future tax liability to us.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20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49" w:right="239" w:bottom="1440" w:gutter="0" w:footer="0" w:header="0"/>
        </w:sectPr>
      </w:pPr>
    </w:p>
    <w:bookmarkStart w:id="69" w:name="page70"/>
    <w:bookmarkEnd w:id="6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Debtors and Holders of Allowed Claims and Allowed Equity Interests May Suffer Adverse U.S. Federal Income Tax Consequences as a Result of the Implementation of the Plan.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Following the implementation of prepackaged plan of reorganization, the Company intends to continue to operate under the laws of Ireland, which is expected to be an Irish tax resident. The United States Internal Revenue Service (the “IRS”) may, however, assert that Weatherford Ireland should be treated as a U.S. corporation for U.S. federal income tax purposes pursuant to IRC Section 7874. For U.S. federal tax purposes, a corporation generally is classified as either a U.S. corporation or a foreign corporation by reference to the jurisdiction of its organization or incorporation. Because Weatherford Ireland is an Irish incorporated entity, it would generally be classified as a foreign corporation under these rules. IRC Section 7874 provides (i) an exception to this general rule under which a foreign incorporated entity may, in certain circumstances, be treated as a U.S. corporation for U.S. federal income tax purposes, or, in the alternative, (ii) for certain adverse tax consequences in certain cases where a foreign incorporated entity is treated as a non-U.S. corporation for U.S. federal income tax purposes. The application of IRC Section 7874 to the Company is unclear and subject to factual uncertainty and may result in significant adverse tax consequences.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the New Common Stock, Such Holder May be Subject to Adverse U.S. Federal Income Tax Consequences.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Many of Company’s non-U.S. subsidiaries are classified as “controlled foreign corporations” for U.S. federal income tax purposes due to the application of certain ownership attribution rules within a multinational corporate group (although there is a legislative proposal to significantly limit the application of these rules). If a United States person is treated as owning (directly, indirectly or constructively) at least 10% of the value or voting power of Weatherford Ireland’s shares, such person may be treated as a “United States shareholder” with respect to one or more of Weatherford Ireland’s controlled foreign corporation subsidiaries. In addition, if Weatherford Ireland’s shares are treated as owned more than 50% (by voting power or value) by United States shareholders, Weatherford Ireland itself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Weatherford Ireland makes any distributions to such United States shareholder. An individual United States shareholder generally would not be allowed certain tax deductions or foreign tax credits that would be allowed to a corporate United States shareholder.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Weatherford Ireland cannot provide any assurances that it will assist investors in determining whether it or any of its non-U.S. subsidiaries are controlled foreign corporations. Weatherford Ireland also cannot guarantee that it will furnish to United States shareholders information that may be necessary for them to comply with the aforementioned obligations. The risk of being subject to increased reporting and compliance obligations and taxation could impact the demand for, and value of, the New Common Stock.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Part I. Item 1. “Note 2 – Chapter 11 Proceedings and Ability to Continue as a Going Concern” and “Note 11 – Short-term Borrowings and Other Debt Obligations” to our Condensed Consolidated Financial Statements which are incorporated in this item by reference.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49" w:right="239" w:bottom="1440" w:gutter="0" w:footer="0" w:header="0"/>
        </w:sectPr>
      </w:pPr>
    </w:p>
    <w:bookmarkStart w:id="70" w:name="page71"/>
    <w:bookmarkEnd w:id="7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 w:lineRule="exact"/>
        <w:rPr>
          <w:sz w:val="20"/>
          <w:szCs w:val="20"/>
          <w:color w:val="auto"/>
        </w:rPr>
      </w:pPr>
    </w:p>
    <w:p>
      <w:pPr>
        <w:ind w:left="1180" w:right="260" w:hanging="766"/>
        <w:spacing w:after="0" w:line="277" w:lineRule="auto"/>
        <w:tabs>
          <w:tab w:leader="none" w:pos="1160" w:val="left"/>
        </w:tabs>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1">
        <w:r>
          <w:rPr>
            <w:rFonts w:ascii="Arial" w:cs="Arial" w:eastAsia="Arial" w:hAnsi="Arial"/>
            <w:sz w:val="18"/>
            <w:szCs w:val="18"/>
            <w:u w:val="single" w:color="auto"/>
            <w:color w:val="0000FF"/>
          </w:rPr>
          <w:t>Disclosure Statement and Plan of Reorganization of Weatherford International plc, dated as of June 28, 2019 (incorporated by reference as</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Exhibit 99.1 of the Company’s Form 8-K filed June 28, 2019, File No. 1-36504).</w:t>
        </w:r>
      </w:hyperlink>
    </w:p>
    <w:p>
      <w:pPr>
        <w:spacing w:after="0" w:line="224" w:lineRule="exact"/>
        <w:rPr>
          <w:rFonts w:ascii="Arial" w:cs="Arial" w:eastAsia="Arial" w:hAnsi="Arial"/>
          <w:sz w:val="18"/>
          <w:szCs w:val="18"/>
          <w:u w:val="single" w:color="auto"/>
          <w:color w:val="0000FF"/>
        </w:rPr>
      </w:pPr>
    </w:p>
    <w:p>
      <w:pPr>
        <w:ind w:left="1180" w:right="160" w:hanging="766"/>
        <w:spacing w:after="0" w:line="277" w:lineRule="auto"/>
        <w:tabs>
          <w:tab w:leader="none" w:pos="1160" w:val="left"/>
        </w:tabs>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2">
        <w:r>
          <w:rPr>
            <w:rFonts w:ascii="Arial" w:cs="Arial" w:eastAsia="Arial" w:hAnsi="Arial"/>
            <w:sz w:val="18"/>
            <w:szCs w:val="18"/>
            <w:u w:val="single" w:color="auto"/>
            <w:color w:val="0000FF"/>
          </w:rPr>
          <w:t>Memorandum and Articles of Association of Weatherford International public limited company (incorporated by reference as Exhibit 2.1 of</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the Company’s Form 8-K filed April 2, 2014, File No. 1-36504).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1180" w:right="260" w:hanging="811"/>
        <w:spacing w:after="0" w:line="264" w:lineRule="auto"/>
        <w:tabs>
          <w:tab w:leader="none" w:pos="1160" w:val="left"/>
        </w:tabs>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4">
        <w:r>
          <w:rPr>
            <w:rFonts w:ascii="Arial" w:cs="Arial" w:eastAsia="Arial" w:hAnsi="Arial"/>
            <w:sz w:val="18"/>
            <w:szCs w:val="18"/>
            <w:u w:val="single" w:color="auto"/>
            <w:color w:val="0000FF"/>
          </w:rPr>
          <w:t>Restructuring Support Agreement, dated as of May 10, 2019, by and among Weatherford International plc, Weatherford International Ltd.,</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Weatherford International, LLC and the Consenting Creditors (incorporated by reference as Exhibit 10.1 of the Company’s Form 8-K filed</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May 13, 2019, File No. 1-36504).</w:t>
        </w:r>
      </w:hyperlink>
    </w:p>
    <w:p>
      <w:pPr>
        <w:spacing w:after="0" w:line="235" w:lineRule="exact"/>
        <w:rPr>
          <w:rFonts w:ascii="Arial" w:cs="Arial" w:eastAsia="Arial" w:hAnsi="Arial"/>
          <w:sz w:val="18"/>
          <w:szCs w:val="18"/>
          <w:u w:val="single" w:color="auto"/>
          <w:color w:val="0000FF"/>
        </w:rPr>
      </w:pPr>
    </w:p>
    <w:p>
      <w:pPr>
        <w:ind w:left="1180" w:right="380" w:hanging="811"/>
        <w:spacing w:after="0" w:line="264" w:lineRule="auto"/>
        <w:tabs>
          <w:tab w:leader="none" w:pos="1160" w:val="left"/>
        </w:tabs>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5">
        <w:r>
          <w:rPr>
            <w:rFonts w:ascii="Arial" w:cs="Arial" w:eastAsia="Arial" w:hAnsi="Arial"/>
            <w:sz w:val="18"/>
            <w:szCs w:val="18"/>
            <w:u w:val="single" w:color="auto"/>
            <w:color w:val="0000FF"/>
          </w:rPr>
          <w:t>First Amendment to the Restructuring Support Agreement, dated as of July 1, 2019, by and among Weatherford International plc,</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Weatherford International Ltd., Weatherford International, LLC and certain noteholders (incorporated by reference as Exhibit 10.2 of the</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Company’s Form 8-K filed July 2, 2019, File No. 1-36504).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80" w:right="180" w:hanging="811"/>
        <w:spacing w:after="0" w:line="264" w:lineRule="auto"/>
        <w:tabs>
          <w:tab w:leader="none" w:pos="1160" w:val="left"/>
        </w:tabs>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7">
        <w:r>
          <w:rPr>
            <w:rFonts w:ascii="Arial" w:cs="Arial" w:eastAsia="Arial" w:hAnsi="Arial"/>
            <w:sz w:val="18"/>
            <w:szCs w:val="18"/>
            <w:u w:val="single" w:color="auto"/>
            <w:color w:val="0000FF"/>
          </w:rPr>
          <w:t>Backstop Commitment Agreement, dated as of July 1, 2019, by and among Weatherford International plc, Weatherford International Ltd.,</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Weatherford International, LLC and the commitment parties thereto (incorporated by reference as Exhibit 10.1 of the Company’s Form 8-K</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filed July 2, 2019, File No. 1-36504).</w:t>
        </w:r>
      </w:hyperlink>
    </w:p>
    <w:p>
      <w:pPr>
        <w:spacing w:after="0" w:line="19" w:lineRule="exact"/>
        <w:rPr>
          <w:rFonts w:ascii="Arial" w:cs="Arial" w:eastAsia="Arial" w:hAnsi="Arial"/>
          <w:sz w:val="18"/>
          <w:szCs w:val="18"/>
          <w:u w:val="single" w:color="auto"/>
          <w:color w:val="0000FF"/>
        </w:rPr>
      </w:pPr>
    </w:p>
    <w:p>
      <w:pPr>
        <w:ind w:left="1180" w:right="140" w:hanging="811"/>
        <w:spacing w:after="0" w:line="264" w:lineRule="auto"/>
        <w:tabs>
          <w:tab w:leader="none" w:pos="1160" w:val="left"/>
        </w:tabs>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8">
        <w:r>
          <w:rPr>
            <w:rFonts w:ascii="Arial" w:cs="Arial" w:eastAsia="Arial" w:hAnsi="Arial"/>
            <w:sz w:val="18"/>
            <w:szCs w:val="18"/>
            <w:u w:val="single" w:color="auto"/>
            <w:color w:val="0000FF"/>
          </w:rPr>
          <w:t>Credit Agreement Forbearance Agreement, dated as of July 1, 2019, by and among Weatherford International plc, Weatherford International</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Ltd., Weatherford International, LLC and the lenders under the Credit Agreement (incorporated by reference as Exhibit 10.3 of the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Company’s Form 8-K filed July 2, 2019, File No. 1-36504).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80" w:right="80" w:hanging="811"/>
        <w:spacing w:after="0" w:line="264" w:lineRule="auto"/>
        <w:tabs>
          <w:tab w:leader="none" w:pos="1160" w:val="left"/>
        </w:tabs>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0">
        <w:r>
          <w:rPr>
            <w:rFonts w:ascii="Arial" w:cs="Arial" w:eastAsia="Arial" w:hAnsi="Arial"/>
            <w:sz w:val="18"/>
            <w:szCs w:val="18"/>
            <w:u w:val="single" w:color="auto"/>
            <w:color w:val="0000FF"/>
          </w:rPr>
          <w:t>Term Loan Forbearance Agreement, dated as of July 1, 2019, by and among Weatherford International plc, Weatherford International Ltd.,</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Weatherford International, LLC and the lenders under the Term Loan (incorporated by reference as Exhibit 10.4 of the Company’s Form 8-K</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filed July 2, 2019, File No. 1-36504).</w:t>
        </w:r>
      </w:hyperlink>
    </w:p>
    <w:p>
      <w:pPr>
        <w:spacing w:after="0" w:line="19" w:lineRule="exact"/>
        <w:rPr>
          <w:rFonts w:ascii="Arial" w:cs="Arial" w:eastAsia="Arial" w:hAnsi="Arial"/>
          <w:sz w:val="18"/>
          <w:szCs w:val="18"/>
          <w:u w:val="single" w:color="auto"/>
          <w:color w:val="0000FF"/>
        </w:rPr>
      </w:pPr>
    </w:p>
    <w:p>
      <w:pPr>
        <w:ind w:left="1180" w:right="420" w:hanging="811"/>
        <w:spacing w:after="0" w:line="264" w:lineRule="auto"/>
        <w:tabs>
          <w:tab w:leader="none" w:pos="1160" w:val="left"/>
        </w:tabs>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21">
        <w:r>
          <w:rPr>
            <w:rFonts w:ascii="Arial" w:cs="Arial" w:eastAsia="Arial" w:hAnsi="Arial"/>
            <w:sz w:val="18"/>
            <w:szCs w:val="18"/>
            <w:u w:val="single" w:color="auto"/>
            <w:color w:val="0000FF"/>
          </w:rPr>
          <w:t>364-Day Forbearance Agreement, dated as of July 1, 2019, by and among Weatherford International plc, Weatherford International Ltd.,</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Weatherford International, LLC and the lenders under the 364-Day Credit Agreement (incorporated by reference as Exhibit 10.5 of the</w:t>
        </w:r>
      </w:hyperlink>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Company’s Form 8-K filed July 2, 2019, File No. 1-36504).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180" w:right="180" w:hanging="811"/>
        <w:spacing w:after="0" w:line="264" w:lineRule="auto"/>
        <w:tabs>
          <w:tab w:leader="none" w:pos="1160" w:val="left"/>
        </w:tabs>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23">
        <w:r>
          <w:rPr>
            <w:rFonts w:ascii="Arial" w:cs="Arial" w:eastAsia="Arial" w:hAnsi="Arial"/>
            <w:sz w:val="18"/>
            <w:szCs w:val="18"/>
            <w:u w:val="single" w:color="auto"/>
            <w:color w:val="0000FF"/>
          </w:rPr>
          <w:t>Swap Agreement Forbearance Agreement, dated as of July 1, 2019, by and among Weatherford International plc, Weatherford International</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Ltd., Weatherford International, LLC and the lenders under the swap agreements (incorporated by reference as Exhibit 10.6 of the</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Company’s Form 8-K filed July 2, 2019, File No. 1-36504).</w:t>
        </w:r>
      </w:hyperlink>
    </w:p>
    <w:p>
      <w:pPr>
        <w:spacing w:after="0" w:line="19" w:lineRule="exact"/>
        <w:rPr>
          <w:rFonts w:ascii="Arial" w:cs="Arial" w:eastAsia="Arial" w:hAnsi="Arial"/>
          <w:sz w:val="18"/>
          <w:szCs w:val="18"/>
          <w:u w:val="single" w:color="auto"/>
          <w:color w:val="0000FF"/>
        </w:rPr>
      </w:pPr>
    </w:p>
    <w:p>
      <w:pPr>
        <w:ind w:left="1180" w:right="480" w:hanging="811"/>
        <w:spacing w:after="0" w:line="259" w:lineRule="auto"/>
        <w:tabs>
          <w:tab w:leader="none" w:pos="1160" w:val="left"/>
        </w:tabs>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24">
        <w:r>
          <w:rPr>
            <w:rFonts w:ascii="Arial" w:cs="Arial" w:eastAsia="Arial" w:hAnsi="Arial"/>
            <w:sz w:val="18"/>
            <w:szCs w:val="18"/>
            <w:u w:val="single" w:color="auto"/>
            <w:color w:val="0000FF"/>
          </w:rPr>
          <w:t>Senior Secured Superpriority Debtor-In-Possession Credit Agreement, dated July 3, 2019, by and among Weatherford International plc,</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Weatherford International, Ltd., Weatherford International, LLC and the Lenders thereto and Citibank, N.A. as administrative agent,</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collateral agent and issuing bank (incorporated by reference as Exhibit 10.1 of the Company’s Form 8-K filed July 5, 2019, File No. 1-</w:t>
        </w:r>
      </w:hyperlink>
      <w:hyperlink r:id="rId24">
        <w:r>
          <w:rPr>
            <w:rFonts w:ascii="Arial" w:cs="Arial" w:eastAsia="Arial" w:hAnsi="Arial"/>
            <w:sz w:val="18"/>
            <w:szCs w:val="18"/>
            <w:u w:val="single" w:color="auto"/>
            <w:color w:val="0000FF"/>
          </w:rPr>
          <w:t>36504).</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ind w:left="3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†31.1</w:t>
      </w:r>
      <w:r>
        <w:rPr>
          <w:sz w:val="20"/>
          <w:szCs w:val="20"/>
          <w:color w:val="auto"/>
        </w:rPr>
        <w:tab/>
      </w:r>
      <w:hyperlink w:anchor="page74">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63" w:lineRule="exact"/>
        <w:rPr>
          <w:rFonts w:ascii="Arial" w:cs="Arial" w:eastAsia="Arial" w:hAnsi="Arial"/>
          <w:sz w:val="18"/>
          <w:szCs w:val="18"/>
          <w:u w:val="single" w:color="auto"/>
          <w:color w:val="0000FF"/>
        </w:rPr>
      </w:pPr>
    </w:p>
    <w:p>
      <w:pPr>
        <w:ind w:left="3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†31.2</w:t>
      </w:r>
      <w:r>
        <w:rPr>
          <w:sz w:val="20"/>
          <w:szCs w:val="20"/>
          <w:color w:val="auto"/>
        </w:rPr>
        <w:tab/>
      </w:r>
      <w:hyperlink w:anchor="page75">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28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††32.1</w:t>
      </w:r>
      <w:r>
        <w:rPr>
          <w:sz w:val="20"/>
          <w:szCs w:val="20"/>
          <w:color w:val="auto"/>
        </w:rPr>
        <w:tab/>
      </w:r>
      <w:hyperlink w:anchor="page76">
        <w:r>
          <w:rPr>
            <w:rFonts w:ascii="Arial" w:cs="Arial" w:eastAsia="Arial" w:hAnsi="Arial"/>
            <w:sz w:val="18"/>
            <w:szCs w:val="18"/>
            <w:u w:val="single" w:color="auto"/>
            <w:color w:val="0000FF"/>
          </w:rPr>
          <w:t>Certification of Chief Executive Officer pursuant to Section 906 of the Sarbanes-Oxley Act of 2002.</w:t>
        </w:r>
      </w:hyperlink>
    </w:p>
    <w:p>
      <w:pPr>
        <w:spacing w:after="0" w:line="63" w:lineRule="exact"/>
        <w:rPr>
          <w:rFonts w:ascii="Arial" w:cs="Arial" w:eastAsia="Arial" w:hAnsi="Arial"/>
          <w:sz w:val="18"/>
          <w:szCs w:val="18"/>
          <w:u w:val="single" w:color="auto"/>
          <w:color w:val="0000FF"/>
        </w:rPr>
      </w:pPr>
    </w:p>
    <w:p>
      <w:pPr>
        <w:ind w:left="28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††32.2</w:t>
      </w:r>
      <w:r>
        <w:rPr>
          <w:sz w:val="20"/>
          <w:szCs w:val="20"/>
          <w:color w:val="auto"/>
        </w:rPr>
        <w:tab/>
      </w:r>
      <w:hyperlink w:anchor="page77">
        <w:r>
          <w:rPr>
            <w:rFonts w:ascii="Arial" w:cs="Arial" w:eastAsia="Arial" w:hAnsi="Arial"/>
            <w:sz w:val="18"/>
            <w:szCs w:val="18"/>
            <w:u w:val="single" w:color="auto"/>
            <w:color w:val="0000FF"/>
          </w:rPr>
          <w:t>Certification of Chief Financial Officer pursuant to Section 906 of the Sarbanes-Oxley Act of 2002.</w:t>
        </w:r>
      </w:hyperlink>
    </w:p>
    <w:p>
      <w:pPr>
        <w:spacing w:after="0" w:line="279" w:lineRule="exact"/>
        <w:rPr>
          <w:rFonts w:ascii="Arial" w:cs="Arial" w:eastAsia="Arial" w:hAnsi="Arial"/>
          <w:sz w:val="18"/>
          <w:szCs w:val="18"/>
          <w:u w:val="single" w:color="auto"/>
          <w:color w:val="0000FF"/>
        </w:rPr>
      </w:pPr>
    </w:p>
    <w:p>
      <w:pPr>
        <w:jc w:val="center"/>
        <w:ind w:left="3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49" w:right="239" w:bottom="1440" w:gutter="0" w:footer="0" w:header="0"/>
        </w:sectPr>
      </w:pPr>
    </w:p>
    <w:bookmarkStart w:id="71" w:name="page72"/>
    <w:bookmarkEnd w:id="71"/>
    <w:p>
      <w:pPr>
        <w:ind w:left="3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10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the inline XBRL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04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324"/>
        </w:trPr>
        <w:tc>
          <w:tcPr>
            <w:tcW w:w="1040" w:type="dxa"/>
            <w:vAlign w:val="bottom"/>
            <w:shd w:val="clear" w:color="auto" w:fill="CCEEFF"/>
          </w:tcPr>
          <w:p>
            <w:pPr>
              <w:spacing w:after="0"/>
              <w:rPr>
                <w:sz w:val="24"/>
                <w:szCs w:val="24"/>
                <w:color w:val="auto"/>
              </w:rPr>
            </w:pPr>
          </w:p>
        </w:tc>
        <w:tc>
          <w:tcPr>
            <w:tcW w:w="103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60" w:top="449" w:right="259" w:bottom="1440" w:gutter="0" w:footer="0" w:header="0"/>
        </w:sectPr>
      </w:pPr>
    </w:p>
    <w:bookmarkStart w:id="72" w:name="page73"/>
    <w:bookmarkEnd w:id="7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80" w:type="dxa"/>
            <w:vAlign w:val="bottom"/>
          </w:tcPr>
          <w:p>
            <w:pPr>
              <w:spacing w:after="0"/>
              <w:rPr>
                <w:sz w:val="20"/>
                <w:szCs w:val="20"/>
                <w:color w:val="auto"/>
              </w:rPr>
            </w:pPr>
            <w:r>
              <w:rPr>
                <w:rFonts w:ascii="Arial" w:cs="Arial" w:eastAsia="Arial" w:hAnsi="Arial"/>
                <w:sz w:val="18"/>
                <w:szCs w:val="18"/>
                <w:color w:val="auto"/>
              </w:rPr>
              <w:t>Date: August 5, 2019</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Christoph Bausch</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180" w:type="dxa"/>
            <w:vAlign w:val="bottom"/>
          </w:tcPr>
          <w:p>
            <w:pPr>
              <w:spacing w:after="0"/>
              <w:rPr>
                <w:sz w:val="20"/>
                <w:szCs w:val="20"/>
                <w:color w:val="auto"/>
              </w:rPr>
            </w:pPr>
            <w:r>
              <w:rPr>
                <w:rFonts w:ascii="Arial" w:cs="Arial" w:eastAsia="Arial" w:hAnsi="Arial"/>
                <w:sz w:val="18"/>
                <w:szCs w:val="18"/>
                <w:color w:val="auto"/>
              </w:rPr>
              <w:t>Date: August 5, 2019</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Stuart Fraser</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20"/>
          </w:cols>
          <w:pgMar w:left="240" w:top="449" w:right="10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5,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5,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2019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2019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lvl w:ilvl="1">
      <w:lvlJc w:val="left"/>
      <w:lvlText w:val="%2."/>
      <w:numFmt w:val="decimal"/>
      <w:start w:val="4"/>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4"/>
    </w:lvl>
  </w:abstractNum>
  <w:abstractNum w:abstractNumId="7">
    <w:nsid w:val="1BEFD79F"/>
    <w:multiLevelType w:val="hybridMultilevel"/>
    <w:lvl w:ilvl="0">
      <w:lvlJc w:val="left"/>
      <w:lvlText w:val="(%1)"/>
      <w:numFmt w:val="lowerLetter"/>
      <w:start w:val="5"/>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lvl w:ilvl="1">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1" Type="http://schemas.openxmlformats.org/officeDocument/2006/relationships/hyperlink" Target="http://www.sec.gov/Archives/edgar/data/1603923/000110465919038313/a19-12248_1ex99d1.htm" TargetMode="External"/><Relationship Id="rId12" Type="http://schemas.openxmlformats.org/officeDocument/2006/relationships/hyperlink" Target="http://www.sec.gov/Archives/edgar/data/1453090/000145309014000034/exhibit21mergeragreementir.htm" TargetMode="External"/><Relationship Id="rId14" Type="http://schemas.openxmlformats.org/officeDocument/2006/relationships/hyperlink" Target="http://www.sec.gov/Archives/edgar/data/1603923/000160392319000065/ex101rsaagreement051019.htm" TargetMode="External"/><Relationship Id="rId15" Type="http://schemas.openxmlformats.org/officeDocument/2006/relationships/hyperlink" Target="http://www.sec.gov/Archives/edgar/data/1603923/000110465919038767/a19-12248_2ex10d2.htm" TargetMode="External"/><Relationship Id="rId17" Type="http://schemas.openxmlformats.org/officeDocument/2006/relationships/hyperlink" Target="http://www.sec.gov/Archives/edgar/data/1603923/000110465919038767/a19-12248_2ex10d1.htm" TargetMode="External"/><Relationship Id="rId18" Type="http://schemas.openxmlformats.org/officeDocument/2006/relationships/hyperlink" Target="http://www.sec.gov/Archives/edgar/data/1603923/000110465919038767/a19-12248_2ex10d3.htm" TargetMode="External"/><Relationship Id="rId20" Type="http://schemas.openxmlformats.org/officeDocument/2006/relationships/hyperlink" Target="http://www.sec.gov/Archives/edgar/data/1603923/000110465919038767/a19-12248_2ex10d4.htm" TargetMode="External"/><Relationship Id="rId21" Type="http://schemas.openxmlformats.org/officeDocument/2006/relationships/hyperlink" Target="http://www.sec.gov/Archives/edgar/data/1603923/000110465919038767/a19-12248_2ex10d5.htm" TargetMode="External"/><Relationship Id="rId23" Type="http://schemas.openxmlformats.org/officeDocument/2006/relationships/hyperlink" Target="http://www.sec.gov/Archives/edgar/data/1603923/000110465919038767/a19-12248_2ex10d6.htm" TargetMode="External"/><Relationship Id="rId24" Type="http://schemas.openxmlformats.org/officeDocument/2006/relationships/hyperlink" Target="http://www.sec.gov/Archives/edgar/data/1603923/000110465919039343/a19-12248_3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2019-12-28T08:25:46Z</dcterms:created>
  <dcterms:modified xsi:type="dcterms:W3CDTF">2019-12-28T08:25:46Z</dcterms:modified>
</cp:coreProperties>
</file>