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-129540</wp:posOffset>
            </wp:positionV>
            <wp:extent cx="67659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5925" cy="5715"/>
                    </a:xfrm>
                    <a:prstGeom prst="rect">
                      <a:avLst/>
                    </a:prstGeom>
                    <a:noFill/>
                  </pic:spPr>
                </pic:pic>
              </a:graphicData>
            </a:graphic>
          </wp:anchor>
        </w:drawing>
      </w:r>
    </w:p>
    <w:p>
      <w:pPr>
        <w:spacing w:after="0" w:line="9"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58"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20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w:t>
      </w:r>
    </w:p>
    <w:p>
      <w:pPr>
        <w:spacing w:after="0" w:line="1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3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Date of Report (Date of earliest event reported): February 27, 2018</w:t>
      </w:r>
    </w:p>
    <w:p>
      <w:pPr>
        <w:spacing w:after="0" w:line="37"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u w:val="single" w:color="auto"/>
          <w:color w:val="auto"/>
        </w:rPr>
        <w:t>Weatherford International public limited company</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44" w:lineRule="exact"/>
        <w:rPr>
          <w:sz w:val="24"/>
          <w:szCs w:val="24"/>
          <w:color w:val="auto"/>
        </w:rPr>
      </w:pPr>
    </w:p>
    <w:tbl>
      <w:tblPr>
        <w:tblLayout w:type="fixed"/>
        <w:tblInd w:w="2668" w:type="dxa"/>
        <w:tblCellMar>
          <w:top w:w="0" w:type="dxa"/>
          <w:left w:w="0" w:type="dxa"/>
          <w:bottom w:w="0" w:type="dxa"/>
          <w:right w:w="0" w:type="dxa"/>
        </w:tblCellMar>
      </w:tblPr>
      <w:tr>
        <w:trPr>
          <w:trHeight w:val="166"/>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Ireland</w:t>
            </w:r>
          </w:p>
        </w:tc>
        <w:tc>
          <w:tcPr>
            <w:tcW w:w="19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001-36504</w:t>
            </w:r>
          </w:p>
        </w:tc>
        <w:tc>
          <w:tcPr>
            <w:tcW w:w="2140" w:type="dxa"/>
            <w:vAlign w:val="bottom"/>
            <w:tcBorders>
              <w:bottom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90"/>
              </w:rPr>
              <w:t>98-0606750</w:t>
            </w:r>
          </w:p>
        </w:tc>
        <w:tc>
          <w:tcPr>
            <w:tcW w:w="20" w:type="dxa"/>
            <w:vAlign w:val="bottom"/>
            <w:tcBorders>
              <w:bottom w:val="single" w:sz="8" w:color="auto"/>
            </w:tcBorders>
          </w:tcPr>
          <w:p>
            <w:pPr>
              <w:spacing w:after="0"/>
              <w:rPr>
                <w:sz w:val="14"/>
                <w:szCs w:val="14"/>
                <w:color w:val="auto"/>
              </w:rPr>
            </w:pPr>
          </w:p>
        </w:tc>
      </w:tr>
      <w:tr>
        <w:trPr>
          <w:trHeight w:val="151"/>
        </w:trPr>
        <w:tc>
          <w:tcPr>
            <w:tcW w:w="2060" w:type="dxa"/>
            <w:vAlign w:val="bottom"/>
          </w:tcPr>
          <w:p>
            <w:pPr>
              <w:jc w:val="center"/>
              <w:spacing w:after="0"/>
              <w:rPr>
                <w:sz w:val="20"/>
                <w:szCs w:val="20"/>
                <w:color w:val="auto"/>
              </w:rPr>
            </w:pPr>
            <w:r>
              <w:rPr>
                <w:rFonts w:ascii="Arial" w:cs="Arial" w:eastAsia="Arial" w:hAnsi="Arial"/>
                <w:sz w:val="12"/>
                <w:szCs w:val="12"/>
                <w:color w:val="auto"/>
                <w:w w:val="93"/>
              </w:rPr>
              <w:t>(State or other jurisdiction of</w:t>
            </w:r>
          </w:p>
        </w:tc>
        <w:tc>
          <w:tcPr>
            <w:tcW w:w="1940" w:type="dxa"/>
            <w:vAlign w:val="bottom"/>
          </w:tcPr>
          <w:p>
            <w:pPr>
              <w:jc w:val="center"/>
              <w:ind w:left="40"/>
              <w:spacing w:after="0"/>
              <w:rPr>
                <w:sz w:val="20"/>
                <w:szCs w:val="20"/>
                <w:color w:val="auto"/>
              </w:rPr>
            </w:pPr>
            <w:r>
              <w:rPr>
                <w:rFonts w:ascii="Arial" w:cs="Arial" w:eastAsia="Arial" w:hAnsi="Arial"/>
                <w:sz w:val="12"/>
                <w:szCs w:val="12"/>
                <w:color w:val="auto"/>
                <w:w w:val="92"/>
              </w:rPr>
              <w:t>(Commission File Number)</w:t>
            </w:r>
          </w:p>
        </w:tc>
        <w:tc>
          <w:tcPr>
            <w:tcW w:w="2160" w:type="dxa"/>
            <w:vAlign w:val="bottom"/>
            <w:gridSpan w:val="2"/>
          </w:tcPr>
          <w:p>
            <w:pPr>
              <w:jc w:val="center"/>
              <w:ind w:left="40"/>
              <w:spacing w:after="0"/>
              <w:rPr>
                <w:sz w:val="20"/>
                <w:szCs w:val="20"/>
                <w:color w:val="auto"/>
              </w:rPr>
            </w:pPr>
            <w:r>
              <w:rPr>
                <w:rFonts w:ascii="Arial" w:cs="Arial" w:eastAsia="Arial" w:hAnsi="Arial"/>
                <w:sz w:val="12"/>
                <w:szCs w:val="12"/>
                <w:color w:val="auto"/>
                <w:w w:val="94"/>
              </w:rPr>
              <w:t>(I.R.S. Employer Identification No.)</w:t>
            </w:r>
          </w:p>
        </w:tc>
      </w:tr>
      <w:tr>
        <w:trPr>
          <w:trHeight w:val="153"/>
        </w:trPr>
        <w:tc>
          <w:tcPr>
            <w:tcW w:w="2060" w:type="dxa"/>
            <w:vAlign w:val="bottom"/>
          </w:tcPr>
          <w:p>
            <w:pPr>
              <w:jc w:val="center"/>
              <w:spacing w:after="0"/>
              <w:rPr>
                <w:sz w:val="20"/>
                <w:szCs w:val="20"/>
                <w:color w:val="auto"/>
              </w:rPr>
            </w:pPr>
            <w:r>
              <w:rPr>
                <w:rFonts w:ascii="Arial" w:cs="Arial" w:eastAsia="Arial" w:hAnsi="Arial"/>
                <w:sz w:val="12"/>
                <w:szCs w:val="12"/>
                <w:color w:val="auto"/>
                <w:w w:val="92"/>
              </w:rPr>
              <w:t>incorporation)</w:t>
            </w:r>
          </w:p>
        </w:tc>
        <w:tc>
          <w:tcPr>
            <w:tcW w:w="1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9"/>
        </w:trPr>
        <w:tc>
          <w:tcPr>
            <w:tcW w:w="4000" w:type="dxa"/>
            <w:vAlign w:val="bottom"/>
            <w:tcBorders>
              <w:bottom w:val="single" w:sz="8" w:color="auto"/>
            </w:tcBorders>
            <w:gridSpan w:val="2"/>
          </w:tcPr>
          <w:p>
            <w:pPr>
              <w:jc w:val="center"/>
              <w:ind w:left="40"/>
              <w:spacing w:after="0"/>
              <w:rPr>
                <w:sz w:val="20"/>
                <w:szCs w:val="20"/>
                <w:color w:val="auto"/>
              </w:rPr>
            </w:pPr>
            <w:r>
              <w:rPr>
                <w:rFonts w:ascii="Arial" w:cs="Arial" w:eastAsia="Arial" w:hAnsi="Arial"/>
                <w:sz w:val="12"/>
                <w:szCs w:val="12"/>
                <w:b w:val="1"/>
                <w:bCs w:val="1"/>
                <w:color w:val="auto"/>
                <w:w w:val="89"/>
              </w:rPr>
              <w:t>Weststrasse 1, 6340 Baar, Switzerland</w:t>
            </w:r>
          </w:p>
        </w:tc>
        <w:tc>
          <w:tcPr>
            <w:tcW w:w="2140" w:type="dxa"/>
            <w:vAlign w:val="bottom"/>
            <w:tcBorders>
              <w:bottom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97"/>
              </w:rPr>
              <w:t>CH 6340</w:t>
            </w:r>
          </w:p>
        </w:tc>
        <w:tc>
          <w:tcPr>
            <w:tcW w:w="20" w:type="dxa"/>
            <w:vAlign w:val="bottom"/>
          </w:tcPr>
          <w:p>
            <w:pPr>
              <w:spacing w:after="0"/>
              <w:rPr>
                <w:sz w:val="24"/>
                <w:szCs w:val="24"/>
                <w:color w:val="auto"/>
              </w:rPr>
            </w:pPr>
          </w:p>
        </w:tc>
      </w:tr>
      <w:tr>
        <w:trPr>
          <w:trHeight w:val="160"/>
        </w:trPr>
        <w:tc>
          <w:tcPr>
            <w:tcW w:w="4000" w:type="dxa"/>
            <w:vAlign w:val="bottom"/>
            <w:gridSpan w:val="2"/>
          </w:tcPr>
          <w:p>
            <w:pPr>
              <w:jc w:val="center"/>
              <w:ind w:left="40"/>
              <w:spacing w:after="0"/>
              <w:rPr>
                <w:sz w:val="20"/>
                <w:szCs w:val="20"/>
                <w:color w:val="auto"/>
              </w:rPr>
            </w:pPr>
            <w:r>
              <w:rPr>
                <w:rFonts w:ascii="Arial" w:cs="Arial" w:eastAsia="Arial" w:hAnsi="Arial"/>
                <w:sz w:val="12"/>
                <w:szCs w:val="12"/>
                <w:color w:val="auto"/>
                <w:w w:val="92"/>
              </w:rPr>
              <w:t>(Address of principal executive offices)</w:t>
            </w:r>
          </w:p>
        </w:tc>
        <w:tc>
          <w:tcPr>
            <w:tcW w:w="2160" w:type="dxa"/>
            <w:vAlign w:val="bottom"/>
            <w:gridSpan w:val="2"/>
          </w:tcPr>
          <w:p>
            <w:pPr>
              <w:jc w:val="center"/>
              <w:ind w:left="40"/>
              <w:spacing w:after="0"/>
              <w:rPr>
                <w:sz w:val="20"/>
                <w:szCs w:val="20"/>
                <w:color w:val="auto"/>
              </w:rPr>
            </w:pPr>
            <w:r>
              <w:rPr>
                <w:rFonts w:ascii="Arial" w:cs="Arial" w:eastAsia="Arial" w:hAnsi="Arial"/>
                <w:sz w:val="12"/>
                <w:szCs w:val="12"/>
                <w:color w:val="auto"/>
                <w:w w:val="95"/>
              </w:rPr>
              <w:t>(Zip Code)</w:t>
            </w:r>
          </w:p>
        </w:tc>
      </w:tr>
    </w:tbl>
    <w:p>
      <w:pPr>
        <w:spacing w:after="0" w:line="194" w:lineRule="exact"/>
        <w:rPr>
          <w:sz w:val="24"/>
          <w:szCs w:val="24"/>
          <w:color w:val="auto"/>
        </w:rPr>
      </w:pPr>
    </w:p>
    <w:p>
      <w:pPr>
        <w:ind w:left="3988"/>
        <w:spacing w:after="0"/>
        <w:rPr>
          <w:sz w:val="20"/>
          <w:szCs w:val="20"/>
          <w:color w:val="auto"/>
        </w:rPr>
      </w:pPr>
      <w:r>
        <w:rPr>
          <w:rFonts w:ascii="Arial" w:cs="Arial" w:eastAsia="Arial" w:hAnsi="Arial"/>
          <w:sz w:val="12"/>
          <w:szCs w:val="12"/>
          <w:b w:val="1"/>
          <w:bCs w:val="1"/>
          <w:color w:val="auto"/>
        </w:rPr>
        <w:t>Registrant’s telephone number, including area code: +41.22.816.1500</w:t>
      </w:r>
    </w:p>
    <w:p>
      <w:pPr>
        <w:spacing w:after="0" w:line="114" w:lineRule="exact"/>
        <w:rPr>
          <w:sz w:val="24"/>
          <w:szCs w:val="24"/>
          <w:color w:val="auto"/>
        </w:rPr>
      </w:pPr>
    </w:p>
    <w:p>
      <w:pPr>
        <w:ind w:left="5348"/>
        <w:spacing w:after="0"/>
        <w:rPr>
          <w:sz w:val="20"/>
          <w:szCs w:val="20"/>
          <w:color w:val="auto"/>
        </w:rPr>
      </w:pPr>
      <w:r>
        <w:rPr>
          <w:rFonts w:ascii="Arial" w:cs="Arial" w:eastAsia="Arial" w:hAnsi="Arial"/>
          <w:sz w:val="12"/>
          <w:szCs w:val="12"/>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1835785</wp:posOffset>
            </wp:positionH>
            <wp:positionV relativeFrom="paragraph">
              <wp:posOffset>23495</wp:posOffset>
            </wp:positionV>
            <wp:extent cx="36144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4420" cy="5715"/>
                    </a:xfrm>
                    <a:prstGeom prst="rect">
                      <a:avLst/>
                    </a:prstGeom>
                    <a:noFill/>
                  </pic:spPr>
                </pic:pic>
              </a:graphicData>
            </a:graphic>
          </wp:anchor>
        </w:drawing>
      </w:r>
    </w:p>
    <w:p>
      <w:pPr>
        <w:spacing w:after="0" w:line="35"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208"/>
        <w:spacing w:after="0"/>
        <w:tabs>
          <w:tab w:leader="none" w:pos="162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Arial" w:cs="Arial" w:eastAsia="Arial" w:hAnsi="Arial"/>
          <w:sz w:val="10"/>
          <w:szCs w:val="10"/>
          <w:color w:val="auto"/>
        </w:rPr>
        <w:t>o</w:t>
      </w:r>
    </w:p>
    <w:p>
      <w:pPr>
        <w:spacing w:after="0" w:line="150" w:lineRule="exact"/>
        <w:rPr>
          <w:sz w:val="24"/>
          <w:szCs w:val="24"/>
          <w:color w:val="auto"/>
        </w:rPr>
      </w:pPr>
    </w:p>
    <w:p>
      <w:pPr>
        <w:ind w:left="8" w:firstLine="216"/>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68"/>
          </w:cols>
          <w:pgMar w:left="212" w:top="676" w:right="219" w:bottom="1440" w:gutter="0" w:footer="0" w:header="0"/>
        </w:sectPr>
      </w:pPr>
    </w:p>
    <w:bookmarkStart w:id="1" w:name="page2"/>
    <w:bookmarkEnd w:id="1"/>
    <w:p>
      <w:pPr>
        <w:ind w:left="20"/>
        <w:spacing w:after="0"/>
        <w:tabs>
          <w:tab w:leader="none" w:pos="1600"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On February 28, 2018, Weatherford International, LLC, a Delaware limited liability company (“Weatherford Delaware” or the “Company”) and an indirect wholly owned subsidiary of Weatherford International plc, an Irish public limited company (“Weatherford Ireland”), completed its offering (the “Offering”) of $600 million aggregate principal amount of its 9.875% senior notes due 2025 (the “Notes”). The Notes were issued in a private offering exempt from, or not subject to, the registration requirements of the Securities Act of 1933 (the “Securities Act”) to persons reasonably believed to be qualified institutional buyers in accordance with Rule 144A under the Securities Act and to non-U.S. persons outside of the United States in accordance with Regulation S under the Securities Act.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Sixth Supplemental Indenture</w:t>
      </w:r>
    </w:p>
    <w:p>
      <w:pPr>
        <w:spacing w:after="0" w:line="16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1"/>
          <w:szCs w:val="11"/>
          <w:color w:val="auto"/>
        </w:rPr>
        <w:t>The Notes were issued under an Indenture (as previously supplemented and amended, the “Base Indenture”), dated as of June 18, 2007, among Weatherford Delaware (f/k/a Weatherford International, Inc.), as issuer, Weatherford International Ltd., a Bermuda exempt company and an indirect wholly owned subsidiary of Weatherford Ireland (“Weatherford Bermuda” and together with Weatherford Delaware and Weatherford Ireland, the “Weatherford Parties”), as guarantor, and Deutsche Bank Trust Company Americas, as trustee (the “Trustee”), as supplemented by the Sixth Supplemental Indenture, dated as of February 28, 2018, by and among Weatherford Delaware, as issuer, Weatherford Ireland, as guarantor, Weatherford Bermuda, as guarantor, and the Trustee (the “Supplemental Indenture” and, together with the Base Indenture, the “Indenture”).</w:t>
      </w:r>
    </w:p>
    <w:p>
      <w:pPr>
        <w:spacing w:after="0" w:line="8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Notes will pay interest semi-annually in arrears on May 1 and November 1 of each year, beginning on November 1, 2018. The Notes will mature on March 1, 2025. The Notes are fully and unconditionally guaranteed, on a senior, unsecured basis, by Weatherford Ireland and by Weatherford Bermuda. We also refer to Weatherford Ireland and Weatherford Bermuda together as the guarantors.</w:t>
      </w:r>
    </w:p>
    <w:p>
      <w:pPr>
        <w:spacing w:after="0" w:line="11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Weatherford Delaware, at its option, may redeem the Notes in whole or part, at any time or from time to time prior to December 1, 2024, at a redemption price equal to 100% of the principal amount of such Notes to be redeemed, plus accrued and unpaid interest, if any, on those Notes to, but excluding, the redemption date, plus a make-whole premium. Additionally, commencing on December 1, 2024, the Company, at its option, may redeem the Notes in whole or part, at a redemption price equal to 100% of the principal amount of the Notes to be redeemed, plus accrued and unpaid interest, if any, on those Notes to, but excluding, the redemption date.</w:t>
      </w:r>
    </w:p>
    <w:p>
      <w:pPr>
        <w:spacing w:after="0" w:line="10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If a “Change of Control Triggering Event” (as defined in the Indenture) occurs, then holders may require Weatherford Delaware to repurchase their Notes at a cash repurchase price equal to 101% of the principal amount of the Notes to be repurchased, plus accrued and unpaid interest, if any, to the repurchase date.</w:t>
      </w:r>
    </w:p>
    <w:p>
      <w:pPr>
        <w:spacing w:after="0" w:line="1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The Notes and the guarantees are senior, unsecured obligations of Weatherford Delaware and the guarantors and are (1) equal in right of payment with existing and future senior indebtedness of Weatherford Delaware and the guarantors, as applicable; (2) senior in right of payment to existing and future indebtedness of Weatherford Delaware and the guarantors that is expressly subordinated to the Notes and the guarantees, as applicable; and (3) effectively subordinated to existing and future secured indebtedness of Weatherford Delaware and the guarantors, as applicable, to the extent of the value of the collateral securing that indebtedness. Holders’ rights to payment under the Notes and the guarantees are also structurally subordinated to all existing and future indebtedness and other liabilities, including trade payables, and (to the extent Weatherford Delaware, Weatherford Ireland or Weatherford Bermuda, as applicable, is not a holder thereof) preferred equity, if any, of Weatherford Ireland’s subsidiaries, other than Weatherford Delaware and Weatherford Bermuda.</w:t>
      </w:r>
    </w:p>
    <w:p>
      <w:pPr>
        <w:spacing w:after="0" w:line="111"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A copy of the Supplemental Indenture is attached to this Current Report on Form 8-K as Exhibit 4.1 and is incorporated into this Item 1.01. The foregoing is only a brief description of the material terms of the Supplemental Indenture and does not purport to be a complete description of the rights and obligations of the parties thereunder and such description is qualified in its entirety by reference to this Exhibit.</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Registration Rights Agreement</w:t>
      </w:r>
    </w:p>
    <w:p>
      <w:pPr>
        <w:spacing w:after="0" w:line="15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On February 28, 2018, in connection with the closing of the Offering, the Weatherford Parties entered into a Registration Rights Agreement with Deutsche Bank Securities Inc., as representative of the initial purchasers of the Notes (the “Registration Rights Agreement”). Under the Registration Rights Agreement, the Weatherford Parties have agreed to use commercially reasonable efforts to file and cause to become effective a registration statement with respect to an offer to exchange the Notes for substantially</w:t>
      </w:r>
    </w:p>
    <w:p>
      <w:pPr>
        <w:sectPr>
          <w:pgSz w:w="11900" w:h="16838" w:orient="portrait"/>
          <w:cols w:equalWidth="0" w:num="1">
            <w:col w:w="11480"/>
          </w:cols>
          <w:pgMar w:left="220" w:top="541" w:right="199" w:bottom="1440" w:gutter="0" w:footer="0" w:header="0"/>
        </w:sectPr>
      </w:pPr>
    </w:p>
    <w:bookmarkStart w:id="2" w:name="page3"/>
    <w:bookmarkEnd w:id="2"/>
    <w:p>
      <w:pPr>
        <w:jc w:val="both"/>
        <w:spacing w:after="0" w:line="340" w:lineRule="auto"/>
        <w:rPr>
          <w:sz w:val="20"/>
          <w:szCs w:val="20"/>
          <w:color w:val="auto"/>
        </w:rPr>
      </w:pPr>
      <w:r>
        <w:rPr>
          <w:rFonts w:ascii="Arial" w:cs="Arial" w:eastAsia="Arial" w:hAnsi="Arial"/>
          <w:sz w:val="10"/>
          <w:szCs w:val="10"/>
          <w:color w:val="auto"/>
        </w:rPr>
        <w:t>identical notes that are registered under the Securities Act so as to permit the exchange offer to be consummated no later than April 4, 2019. Under specified circumstances, Weatherford Delaware and the guarantors have also agreed to use commercially reasonable efforts to cause to become effective a shelf registration statement relating to resales of the Notes. Weatherford Delaware is required to pay additional interest (initially 1.0%, which amount will increase annually) if it fails to comply with the obligations to consummate the exchange offer or to cause a shelf registration statement relating to resales of the Notes to become effective within the time periods specified in the Registration Rights Agreement.</w:t>
      </w:r>
    </w:p>
    <w:p>
      <w:pPr>
        <w:spacing w:after="0" w:line="8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A copy of the Registration Rights Agreement is attached to this Current Report on Form 8-K as Exhibit 4.2 and is incorporated into this Item 1.01. The foregoing is only a brief description of the material terms of the Registration Rights Agreement and does not purport to be a complete description of the rights and obligations of the parties thereunder and such description is qualified in its entirety by reference to this Exhibit.</w:t>
      </w:r>
    </w:p>
    <w:p>
      <w:pPr>
        <w:spacing w:after="0" w:line="363"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2"/>
          <w:szCs w:val="12"/>
          <w:b w:val="1"/>
          <w:bCs w:val="1"/>
          <w:color w:val="auto"/>
        </w:rPr>
        <w:t>Item 2.03</w:t>
      </w:r>
      <w:r>
        <w:rPr>
          <w:sz w:val="20"/>
          <w:szCs w:val="20"/>
          <w:color w:val="auto"/>
        </w:rPr>
        <w:tab/>
      </w:r>
      <w:r>
        <w:rPr>
          <w:rFonts w:ascii="Arial" w:cs="Arial" w:eastAsia="Arial" w:hAnsi="Arial"/>
          <w:sz w:val="10"/>
          <w:szCs w:val="10"/>
          <w:b w:val="1"/>
          <w:bCs w:val="1"/>
          <w:color w:val="auto"/>
        </w:rPr>
        <w:t>Creation of a Direct Financial Obligation or an Obligation Under an Off-Balance Sheet Arrangement of a Registrant.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information regarding the Notes and the Indenture set forth in Item 1.01 of this report is incorporated into this Item 2.03.</w:t>
      </w:r>
    </w:p>
    <w:p>
      <w:pPr>
        <w:spacing w:after="0" w:line="254"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On February 27, 2018, Weatherford Bermuda announced the final results and expiration of its previously announced offer to purchase for cash any and all of Weatherford Bermuda’s 9.625% senior notes due 2019. A copy of the press release is furnished herewith as Exhibit 99.1 and is incorporated herein by reference.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00" w:type="dxa"/>
            <w:vAlign w:val="bottom"/>
            <w:gridSpan w:val="2"/>
          </w:tcPr>
          <w:p>
            <w:pPr>
              <w:ind w:left="20"/>
              <w:spacing w:after="0"/>
              <w:rPr>
                <w:sz w:val="20"/>
                <w:szCs w:val="20"/>
                <w:color w:val="auto"/>
              </w:rPr>
            </w:pPr>
            <w:r>
              <w:rPr>
                <w:rFonts w:ascii="Arial" w:cs="Arial" w:eastAsia="Arial" w:hAnsi="Arial"/>
                <w:sz w:val="12"/>
                <w:szCs w:val="12"/>
                <w:b w:val="1"/>
                <w:bCs w:val="1"/>
                <w:color w:val="auto"/>
              </w:rPr>
              <w:t>Item 9.01</w:t>
            </w:r>
          </w:p>
        </w:tc>
        <w:tc>
          <w:tcPr>
            <w:tcW w:w="9880" w:type="dxa"/>
            <w:vAlign w:val="bottom"/>
          </w:tcPr>
          <w:p>
            <w:pPr>
              <w:ind w:left="2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69"/>
        </w:trPr>
        <w:tc>
          <w:tcPr>
            <w:tcW w:w="1600" w:type="dxa"/>
            <w:vAlign w:val="bottom"/>
            <w:gridSpan w:val="2"/>
          </w:tcPr>
          <w:p>
            <w:pPr>
              <w:jc w:val="center"/>
              <w:ind w:right="140"/>
              <w:spacing w:after="0"/>
              <w:rPr>
                <w:sz w:val="20"/>
                <w:szCs w:val="20"/>
                <w:color w:val="auto"/>
              </w:rPr>
            </w:pPr>
            <w:r>
              <w:rPr>
                <w:rFonts w:ascii="Arial" w:cs="Arial" w:eastAsia="Arial" w:hAnsi="Arial"/>
                <w:sz w:val="12"/>
                <w:szCs w:val="12"/>
                <w:color w:val="auto"/>
                <w:w w:val="95"/>
              </w:rPr>
              <w:t>(d)</w:t>
            </w:r>
          </w:p>
        </w:tc>
        <w:tc>
          <w:tcPr>
            <w:tcW w:w="9880" w:type="dxa"/>
            <w:vAlign w:val="bottom"/>
          </w:tcPr>
          <w:p>
            <w:pPr>
              <w:ind w:left="20"/>
              <w:spacing w:after="0"/>
              <w:rPr>
                <w:sz w:val="20"/>
                <w:szCs w:val="20"/>
                <w:color w:val="auto"/>
              </w:rPr>
            </w:pPr>
            <w:r>
              <w:rPr>
                <w:rFonts w:ascii="Arial" w:cs="Arial" w:eastAsia="Arial" w:hAnsi="Arial"/>
                <w:sz w:val="12"/>
                <w:szCs w:val="12"/>
                <w:color w:val="auto"/>
              </w:rPr>
              <w:t>Exhibits</w:t>
            </w:r>
          </w:p>
        </w:tc>
      </w:tr>
      <w:tr>
        <w:trPr>
          <w:trHeight w:val="612"/>
        </w:trPr>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Exhibit Number</w:t>
            </w:r>
          </w:p>
        </w:tc>
        <w:tc>
          <w:tcPr>
            <w:tcW w:w="9880" w:type="dxa"/>
            <w:vAlign w:val="bottom"/>
          </w:tcPr>
          <w:p>
            <w:pPr>
              <w:ind w:left="20"/>
              <w:spacing w:after="0"/>
              <w:rPr>
                <w:sz w:val="20"/>
                <w:szCs w:val="20"/>
                <w:color w:val="auto"/>
              </w:rPr>
            </w:pPr>
            <w:r>
              <w:rPr>
                <w:rFonts w:ascii="Arial" w:cs="Arial" w:eastAsia="Arial" w:hAnsi="Arial"/>
                <w:sz w:val="12"/>
                <w:szCs w:val="12"/>
                <w:b w:val="1"/>
                <w:bCs w:val="1"/>
                <w:color w:val="auto"/>
              </w:rPr>
              <w:t>Exhibit Description</w:t>
            </w:r>
          </w:p>
        </w:tc>
      </w:tr>
      <w:tr>
        <w:trPr>
          <w:trHeight w:val="151"/>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4.1</w:t>
            </w:r>
          </w:p>
        </w:tc>
        <w:tc>
          <w:tcPr>
            <w:tcW w:w="120" w:type="dxa"/>
            <w:vAlign w:val="bottom"/>
          </w:tcPr>
          <w:p>
            <w:pPr>
              <w:spacing w:after="0"/>
              <w:rPr>
                <w:sz w:val="13"/>
                <w:szCs w:val="13"/>
                <w:color w:val="auto"/>
              </w:rPr>
            </w:pPr>
          </w:p>
        </w:tc>
        <w:tc>
          <w:tcPr>
            <w:tcW w:w="98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w w:val="93"/>
              </w:rPr>
              <w:t>Sixth Supplemental Indenture, dated as of February 28, 2018, by and among Weatherford International, LLC, as issuer, Weatherford International plc, as guarantor, Weatherford International Ltd., as</w:t>
            </w: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rPr>
              <w:t>guarantor, and Deutsche Bank Trust Company Americas, as trustee.</w:t>
            </w:r>
          </w:p>
        </w:tc>
      </w:tr>
      <w:tr>
        <w:trPr>
          <w:trHeight w:val="171"/>
        </w:trPr>
        <w:tc>
          <w:tcPr>
            <w:tcW w:w="1480" w:type="dxa"/>
            <w:vAlign w:val="bottom"/>
          </w:tcPr>
          <w:p>
            <w:pPr>
              <w:jc w:val="center"/>
              <w:spacing w:after="0"/>
              <w:rPr>
                <w:sz w:val="20"/>
                <w:szCs w:val="20"/>
                <w:color w:val="auto"/>
              </w:rPr>
            </w:pPr>
            <w:r>
              <w:rPr>
                <w:rFonts w:ascii="Arial" w:cs="Arial" w:eastAsia="Arial" w:hAnsi="Arial"/>
                <w:sz w:val="12"/>
                <w:szCs w:val="12"/>
                <w:color w:val="auto"/>
                <w:w w:val="95"/>
              </w:rPr>
              <w:t>4.2</w:t>
            </w:r>
          </w:p>
        </w:tc>
        <w:tc>
          <w:tcPr>
            <w:tcW w:w="120" w:type="dxa"/>
            <w:vAlign w:val="bottom"/>
          </w:tcPr>
          <w:p>
            <w:pPr>
              <w:spacing w:after="0"/>
              <w:rPr>
                <w:sz w:val="14"/>
                <w:szCs w:val="14"/>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w w:val="92"/>
              </w:rPr>
              <w:t>Registration Rights Agreement, dated February 28, 2018, by and among Weatherford International plc, Weatherford International Ltd., Weatherford International, LLC and Deutsche Bank Securities Inc.,</w:t>
            </w: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rPr>
              <w:t>as representative of the several initial purchasers named therein.</w:t>
            </w:r>
          </w:p>
        </w:tc>
      </w:tr>
      <w:tr>
        <w:trPr>
          <w:trHeight w:val="180"/>
        </w:trPr>
        <w:tc>
          <w:tcPr>
            <w:tcW w:w="1480" w:type="dxa"/>
            <w:vAlign w:val="bottom"/>
          </w:tcPr>
          <w:p>
            <w:pPr>
              <w:jc w:val="center"/>
              <w:spacing w:after="0"/>
              <w:rPr>
                <w:sz w:val="20"/>
                <w:szCs w:val="20"/>
                <w:color w:val="auto"/>
              </w:rPr>
            </w:pPr>
            <w:r>
              <w:rPr>
                <w:rFonts w:ascii="Arial" w:cs="Arial" w:eastAsia="Arial" w:hAnsi="Arial"/>
                <w:sz w:val="12"/>
                <w:szCs w:val="12"/>
                <w:color w:val="auto"/>
                <w:w w:val="85"/>
              </w:rPr>
              <w:t>99.1</w:t>
            </w:r>
          </w:p>
        </w:tc>
        <w:tc>
          <w:tcPr>
            <w:tcW w:w="120" w:type="dxa"/>
            <w:vAlign w:val="bottom"/>
          </w:tcPr>
          <w:p>
            <w:pPr>
              <w:spacing w:after="0"/>
              <w:rPr>
                <w:sz w:val="15"/>
                <w:szCs w:val="15"/>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rPr>
              <w:t>Press release, dated February 27, 2018, relating to the Tender Offer.</w:t>
            </w:r>
          </w:p>
        </w:tc>
      </w:tr>
    </w:tbl>
    <w:p>
      <w:pPr>
        <w:sectPr>
          <w:pgSz w:w="11900" w:h="16838" w:orient="portrait"/>
          <w:cols w:equalWidth="0" w:num="1">
            <w:col w:w="11480"/>
          </w:cols>
          <w:pgMar w:left="220" w:top="437" w:right="19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7920"/>
        <w:spacing w:after="0"/>
        <w:rPr>
          <w:sz w:val="20"/>
          <w:szCs w:val="20"/>
          <w:color w:val="auto"/>
        </w:rPr>
      </w:pPr>
      <w:r>
        <w:rPr>
          <w:rFonts w:ascii="Arial" w:cs="Arial" w:eastAsia="Arial" w:hAnsi="Arial"/>
          <w:sz w:val="12"/>
          <w:szCs w:val="12"/>
          <w:b w:val="1"/>
          <w:bCs w:val="1"/>
          <w:color w:val="auto"/>
        </w:rPr>
        <w:t>Weatherford International plc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 March 5, 2018</w:t>
      </w:r>
    </w:p>
    <w:p>
      <w:pPr>
        <w:spacing w:after="0" w:line="42" w:lineRule="exact"/>
        <w:rPr>
          <w:sz w:val="20"/>
          <w:szCs w:val="20"/>
          <w:color w:val="auto"/>
        </w:rPr>
      </w:pPr>
    </w:p>
    <w:p>
      <w:pPr>
        <w:jc w:val="center"/>
        <w:ind w:left="5920"/>
        <w:spacing w:after="0"/>
        <w:rPr>
          <w:sz w:val="20"/>
          <w:szCs w:val="20"/>
          <w:color w:val="auto"/>
        </w:rPr>
      </w:pPr>
      <w:r>
        <w:rPr>
          <w:rFonts w:ascii="Arial" w:cs="Arial" w:eastAsia="Arial" w:hAnsi="Arial"/>
          <w:sz w:val="12"/>
          <w:szCs w:val="12"/>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20955</wp:posOffset>
            </wp:positionV>
            <wp:extent cx="339153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1535" cy="5715"/>
                    </a:xfrm>
                    <a:prstGeom prst="rect">
                      <a:avLst/>
                    </a:prstGeom>
                    <a:noFill/>
                  </pic:spPr>
                </pic:pic>
              </a:graphicData>
            </a:graphic>
          </wp:anchor>
        </w:drawing>
      </w:r>
    </w:p>
    <w:p>
      <w:pPr>
        <w:spacing w:after="0" w:line="31" w:lineRule="exact"/>
        <w:rPr>
          <w:sz w:val="20"/>
          <w:szCs w:val="20"/>
          <w:color w:val="auto"/>
        </w:rPr>
      </w:pPr>
    </w:p>
    <w:p>
      <w:pPr>
        <w:jc w:val="center"/>
        <w:ind w:left="5920"/>
        <w:spacing w:after="0"/>
        <w:rPr>
          <w:sz w:val="20"/>
          <w:szCs w:val="20"/>
          <w:color w:val="auto"/>
        </w:rPr>
      </w:pPr>
      <w:r>
        <w:rPr>
          <w:rFonts w:ascii="Arial" w:cs="Arial" w:eastAsia="Arial" w:hAnsi="Arial"/>
          <w:sz w:val="12"/>
          <w:szCs w:val="12"/>
          <w:color w:val="auto"/>
        </w:rPr>
        <w:t>Christina M. Ibrahim</w:t>
      </w:r>
    </w:p>
    <w:p>
      <w:pPr>
        <w:spacing w:after="0" w:line="42" w:lineRule="exact"/>
        <w:rPr>
          <w:sz w:val="20"/>
          <w:szCs w:val="20"/>
          <w:color w:val="auto"/>
        </w:rPr>
      </w:pPr>
    </w:p>
    <w:p>
      <w:pPr>
        <w:jc w:val="center"/>
        <w:ind w:left="5920"/>
        <w:spacing w:after="0"/>
        <w:rPr>
          <w:sz w:val="20"/>
          <w:szCs w:val="20"/>
          <w:color w:val="auto"/>
        </w:rPr>
      </w:pPr>
      <w:r>
        <w:rPr>
          <w:rFonts w:ascii="Arial" w:cs="Arial" w:eastAsia="Arial" w:hAnsi="Arial"/>
          <w:sz w:val="10"/>
          <w:szCs w:val="10"/>
          <w:color w:val="auto"/>
        </w:rPr>
        <w:t>Executive Vice President, General Counsel, Chief Compliance Officer and Corporate Secretary</w:t>
      </w:r>
    </w:p>
    <w:p>
      <w:pPr>
        <w:sectPr>
          <w:pgSz w:w="11900" w:h="16838" w:orient="portrait"/>
          <w:cols w:equalWidth="0" w:num="1">
            <w:col w:w="10980"/>
          </w:cols>
          <w:pgMar w:left="220" w:top="433" w:right="6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7"/>
        </w:trPr>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Pr>
          <w:p>
            <w:pPr>
              <w:ind w:left="3660"/>
              <w:spacing w:after="0"/>
              <w:rPr>
                <w:sz w:val="20"/>
                <w:szCs w:val="20"/>
                <w:color w:val="auto"/>
              </w:rPr>
            </w:pPr>
            <w:r>
              <w:rPr>
                <w:rFonts w:ascii="Arial" w:cs="Arial" w:eastAsia="Arial" w:hAnsi="Arial"/>
                <w:sz w:val="12"/>
                <w:szCs w:val="12"/>
                <w:b w:val="1"/>
                <w:bCs w:val="1"/>
                <w:color w:val="auto"/>
              </w:rPr>
              <w:t>EXHIBIT INDEX</w:t>
            </w:r>
          </w:p>
        </w:tc>
      </w:tr>
      <w:tr>
        <w:trPr>
          <w:trHeight w:val="405"/>
        </w:trPr>
        <w:tc>
          <w:tcPr>
            <w:tcW w:w="1600" w:type="dxa"/>
            <w:vAlign w:val="bottom"/>
            <w:gridSpan w:val="4"/>
          </w:tcPr>
          <w:p>
            <w:pPr>
              <w:ind w:left="320"/>
              <w:spacing w:after="0"/>
              <w:rPr>
                <w:sz w:val="20"/>
                <w:szCs w:val="20"/>
                <w:color w:val="auto"/>
              </w:rPr>
            </w:pPr>
            <w:r>
              <w:rPr>
                <w:rFonts w:ascii="Arial" w:cs="Arial" w:eastAsia="Arial" w:hAnsi="Arial"/>
                <w:sz w:val="12"/>
                <w:szCs w:val="12"/>
                <w:b w:val="1"/>
                <w:bCs w:val="1"/>
                <w:color w:val="auto"/>
              </w:rPr>
              <w:t>Exhibit Number</w:t>
            </w:r>
          </w:p>
        </w:tc>
        <w:tc>
          <w:tcPr>
            <w:tcW w:w="9880" w:type="dxa"/>
            <w:vAlign w:val="bottom"/>
          </w:tcPr>
          <w:p>
            <w:pPr>
              <w:ind w:left="20"/>
              <w:spacing w:after="0"/>
              <w:rPr>
                <w:sz w:val="20"/>
                <w:szCs w:val="20"/>
                <w:color w:val="auto"/>
              </w:rPr>
            </w:pPr>
            <w:r>
              <w:rPr>
                <w:rFonts w:ascii="Arial" w:cs="Arial" w:eastAsia="Arial" w:hAnsi="Arial"/>
                <w:sz w:val="12"/>
                <w:szCs w:val="12"/>
                <w:b w:val="1"/>
                <w:bCs w:val="1"/>
                <w:color w:val="auto"/>
              </w:rPr>
              <w:t>Exhibit Description</w:t>
            </w:r>
          </w:p>
        </w:tc>
      </w:tr>
      <w:tr>
        <w:trPr>
          <w:trHeight w:val="133"/>
        </w:trPr>
        <w:tc>
          <w:tcPr>
            <w:tcW w:w="840" w:type="dxa"/>
            <w:vAlign w:val="bottom"/>
            <w:tcBorders>
              <w:top w:val="single" w:sz="8" w:color="auto"/>
            </w:tcBorders>
            <w:gridSpan w:val="2"/>
          </w:tcPr>
          <w:p>
            <w:pPr>
              <w:jc w:val="center"/>
              <w:ind w:left="580"/>
              <w:spacing w:after="0" w:line="133" w:lineRule="exact"/>
              <w:rPr>
                <w:rFonts w:ascii="Arial" w:cs="Arial" w:eastAsia="Arial" w:hAnsi="Arial"/>
                <w:sz w:val="12"/>
                <w:szCs w:val="12"/>
                <w:color w:val="0000FF"/>
                <w:w w:val="95"/>
              </w:rPr>
            </w:pPr>
            <w:hyperlink w:anchor="page6">
              <w:r>
                <w:rPr>
                  <w:rFonts w:ascii="Arial" w:cs="Arial" w:eastAsia="Arial" w:hAnsi="Arial"/>
                  <w:sz w:val="12"/>
                  <w:szCs w:val="12"/>
                  <w:color w:val="0000FF"/>
                  <w:w w:val="95"/>
                </w:rPr>
                <w:t>4.</w:t>
              </w:r>
              <w:r>
                <w:rPr>
                  <w:rFonts w:ascii="Arial" w:cs="Arial" w:eastAsia="Arial" w:hAnsi="Arial"/>
                  <w:sz w:val="12"/>
                  <w:szCs w:val="12"/>
                  <w:u w:val="single" w:color="auto"/>
                  <w:color w:val="0000FF"/>
                  <w:w w:val="95"/>
                </w:rPr>
                <w:t>1</w:t>
              </w:r>
            </w:hyperlink>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8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2"/>
                <w:szCs w:val="12"/>
                <w:color w:val="auto"/>
                <w:w w:val="93"/>
              </w:rPr>
              <w:t>Sixth Supplemental Indenture, dated as of February 28, 2018, by and among Weatherford International, LLC, as issuer, Weatherford International plc, as guarantor, Weatherford International Ltd., as</w:t>
            </w:r>
          </w:p>
        </w:tc>
      </w:tr>
      <w:tr>
        <w:trPr>
          <w:trHeight w:val="151"/>
        </w:trPr>
        <w:tc>
          <w:tcPr>
            <w:tcW w:w="6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rPr>
              <w:t>guarantor, and Deutsche Bank Trust Company Americas, as trustee.</w:t>
            </w:r>
          </w:p>
        </w:tc>
      </w:tr>
      <w:tr>
        <w:trPr>
          <w:trHeight w:val="153"/>
        </w:trPr>
        <w:tc>
          <w:tcPr>
            <w:tcW w:w="840" w:type="dxa"/>
            <w:vAlign w:val="bottom"/>
            <w:gridSpan w:val="2"/>
          </w:tcPr>
          <w:p>
            <w:pPr>
              <w:jc w:val="center"/>
              <w:ind w:left="580"/>
              <w:spacing w:after="0"/>
              <w:rPr>
                <w:rFonts w:ascii="Arial" w:cs="Arial" w:eastAsia="Arial" w:hAnsi="Arial"/>
                <w:sz w:val="12"/>
                <w:szCs w:val="12"/>
                <w:color w:val="0000FF"/>
                <w:w w:val="95"/>
              </w:rPr>
            </w:pPr>
            <w:hyperlink w:anchor="page128">
              <w:r>
                <w:rPr>
                  <w:rFonts w:ascii="Arial" w:cs="Arial" w:eastAsia="Arial" w:hAnsi="Arial"/>
                  <w:sz w:val="12"/>
                  <w:szCs w:val="12"/>
                  <w:color w:val="0000FF"/>
                  <w:w w:val="95"/>
                </w:rPr>
                <w:t>4.</w:t>
              </w:r>
              <w:r>
                <w:rPr>
                  <w:rFonts w:ascii="Arial" w:cs="Arial" w:eastAsia="Arial" w:hAnsi="Arial"/>
                  <w:sz w:val="12"/>
                  <w:szCs w:val="12"/>
                  <w:u w:val="single" w:color="auto"/>
                  <w:color w:val="0000FF"/>
                  <w:w w:val="95"/>
                </w:rPr>
                <w:t>2</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w w:val="92"/>
              </w:rPr>
              <w:t>Registration Rights Agreement, dated February 28, 2018, by and among Weatherford International plc, Weatherford International Ltd., Weatherford International, LLC and Deutsche Bank Securities Inc.,</w:t>
            </w:r>
          </w:p>
        </w:tc>
      </w:tr>
      <w:tr>
        <w:trPr>
          <w:trHeight w:val="151"/>
        </w:trPr>
        <w:tc>
          <w:tcPr>
            <w:tcW w:w="6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rPr>
              <w:t>as representative of the several initial purchasers named therein.</w:t>
            </w:r>
          </w:p>
        </w:tc>
      </w:tr>
      <w:tr>
        <w:trPr>
          <w:trHeight w:val="153"/>
        </w:trPr>
        <w:tc>
          <w:tcPr>
            <w:tcW w:w="840" w:type="dxa"/>
            <w:vAlign w:val="bottom"/>
            <w:gridSpan w:val="2"/>
          </w:tcPr>
          <w:p>
            <w:pPr>
              <w:jc w:val="center"/>
              <w:ind w:left="580"/>
              <w:spacing w:after="0"/>
              <w:rPr>
                <w:rFonts w:ascii="Arial" w:cs="Arial" w:eastAsia="Arial" w:hAnsi="Arial"/>
                <w:sz w:val="12"/>
                <w:szCs w:val="12"/>
                <w:color w:val="0000FF"/>
                <w:w w:val="85"/>
              </w:rPr>
            </w:pPr>
            <w:hyperlink w:anchor="page145">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rPr>
              <w:t>Press release, dated February 27, 2018, relating to the Tender Offer.</w:t>
            </w:r>
          </w:p>
        </w:tc>
      </w:tr>
      <w:tr>
        <w:trPr>
          <w:trHeight w:val="20"/>
        </w:trPr>
        <w:tc>
          <w:tcPr>
            <w:tcW w:w="6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bl>
    <w:p>
      <w:pPr>
        <w:sectPr>
          <w:pgSz w:w="11900" w:h="16838" w:orient="portrait"/>
          <w:cols w:equalWidth="0" w:num="1">
            <w:col w:w="11480"/>
          </w:cols>
          <w:pgMar w:left="220" w:top="433"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423545</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360680</wp:posOffset>
            </wp:positionV>
            <wp:extent cx="72923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WEATHERFORD INTERNATIONAL, LLC,</w:t>
      </w:r>
    </w:p>
    <w:p>
      <w:pPr>
        <w:spacing w:after="0" w:line="85"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 Delaware limited liability company,</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as Issuer,</w:t>
      </w:r>
    </w:p>
    <w:p>
      <w:pPr>
        <w:spacing w:after="0" w:line="76"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WEATHERFORD INTERNATIONAL PLC,</w:t>
      </w:r>
    </w:p>
    <w:p>
      <w:pPr>
        <w:spacing w:after="0" w:line="85"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an Irish public limited company,</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as Parent Guarantor,</w:t>
      </w:r>
    </w:p>
    <w:p>
      <w:pPr>
        <w:spacing w:after="0" w:line="76"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WEATHERFORD INTERNATIONAL LTD.,</w:t>
      </w:r>
    </w:p>
    <w:p>
      <w:pPr>
        <w:spacing w:after="0" w:line="85"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 Bermuda exempted company,</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as Subsidiary Guarantor,</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and</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DEUTSCHE BANK TRUST COMPANY AMERICAS,</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as Trustee</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SIXTH SUPPLEMENTAL INDENTURE</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dated as of February 28, 2018</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to Indenture</w:t>
      </w:r>
    </w:p>
    <w:p>
      <w:pPr>
        <w:spacing w:after="0" w:line="15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dated as of June 18, 2007</w:t>
      </w:r>
    </w:p>
    <w:p>
      <w:pPr>
        <w:spacing w:after="0" w:line="157"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____________________________________</w:t>
      </w:r>
    </w:p>
    <w:p>
      <w:pPr>
        <w:spacing w:after="0" w:line="157"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9.875%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566420</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503555</wp:posOffset>
            </wp:positionV>
            <wp:extent cx="72923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260"/>
          </w:cols>
          <w:pgMar w:left="1440" w:top="539" w:right="199" w:bottom="1440" w:gutter="0" w:footer="0" w:header="0"/>
        </w:sectPr>
      </w:pPr>
    </w:p>
    <w:bookmarkStart w:id="6" w:name="page7"/>
    <w:bookmarkEnd w:id="6"/>
    <w:tbl>
      <w:tblPr>
        <w:tblLayout w:type="fixed"/>
        <w:tblInd w:w="38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720" w:type="dxa"/>
            <w:vAlign w:val="bottom"/>
          </w:tcPr>
          <w:p>
            <w:pPr>
              <w:ind w:left="1480"/>
              <w:spacing w:after="0"/>
              <w:rPr>
                <w:sz w:val="20"/>
                <w:szCs w:val="20"/>
                <w:color w:val="auto"/>
              </w:rPr>
            </w:pPr>
            <w:r>
              <w:rPr>
                <w:rFonts w:ascii="Arial" w:cs="Arial" w:eastAsia="Arial" w:hAnsi="Arial"/>
                <w:sz w:val="13"/>
                <w:szCs w:val="13"/>
                <w:b w:val="1"/>
                <w:bCs w:val="1"/>
                <w:color w:val="auto"/>
              </w:rPr>
              <w:t>CROSS-REFERENCE TABLE</w:t>
            </w:r>
          </w:p>
        </w:tc>
      </w:tr>
      <w:tr>
        <w:trPr>
          <w:trHeight w:val="389"/>
        </w:trPr>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TIA</w:t>
            </w:r>
          </w:p>
        </w:tc>
        <w:tc>
          <w:tcPr>
            <w:tcW w:w="2260" w:type="dxa"/>
            <w:vAlign w:val="bottom"/>
          </w:tcPr>
          <w:p>
            <w:pPr>
              <w:spacing w:after="0"/>
              <w:rPr>
                <w:sz w:val="24"/>
                <w:szCs w:val="24"/>
                <w:color w:val="auto"/>
              </w:rPr>
            </w:pPr>
          </w:p>
        </w:tc>
        <w:tc>
          <w:tcPr>
            <w:tcW w:w="7720" w:type="dxa"/>
            <w:vAlign w:val="bottom"/>
          </w:tcPr>
          <w:p>
            <w:pPr>
              <w:ind w:left="5920"/>
              <w:spacing w:after="0"/>
              <w:rPr>
                <w:sz w:val="20"/>
                <w:szCs w:val="20"/>
                <w:color w:val="auto"/>
              </w:rPr>
            </w:pPr>
            <w:r>
              <w:rPr>
                <w:rFonts w:ascii="Arial" w:cs="Arial" w:eastAsia="Arial" w:hAnsi="Arial"/>
                <w:sz w:val="13"/>
                <w:szCs w:val="13"/>
                <w:b w:val="1"/>
                <w:bCs w:val="1"/>
                <w:color w:val="auto"/>
              </w:rPr>
              <w:t>Indenture</w:t>
            </w:r>
          </w:p>
        </w:tc>
      </w:tr>
      <w:tr>
        <w:trPr>
          <w:trHeight w:val="178"/>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Section</w:t>
            </w:r>
          </w:p>
        </w:tc>
        <w:tc>
          <w:tcPr>
            <w:tcW w:w="226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ind w:left="5920"/>
              <w:spacing w:after="0"/>
              <w:rPr>
                <w:sz w:val="20"/>
                <w:szCs w:val="20"/>
                <w:color w:val="auto"/>
              </w:rPr>
            </w:pPr>
            <w:r>
              <w:rPr>
                <w:rFonts w:ascii="Arial" w:cs="Arial" w:eastAsia="Arial" w:hAnsi="Arial"/>
                <w:sz w:val="13"/>
                <w:szCs w:val="13"/>
                <w:b w:val="1"/>
                <w:bCs w:val="1"/>
                <w:color w:val="auto"/>
              </w:rPr>
              <w:t>Section</w:t>
            </w:r>
          </w:p>
        </w:tc>
      </w:tr>
      <w:tr>
        <w:trPr>
          <w:trHeight w:val="170"/>
        </w:trPr>
        <w:tc>
          <w:tcPr>
            <w:tcW w:w="720" w:type="dxa"/>
            <w:vAlign w:val="bottom"/>
          </w:tcPr>
          <w:p>
            <w:pPr>
              <w:ind w:left="20"/>
              <w:spacing w:after="0"/>
              <w:rPr>
                <w:sz w:val="20"/>
                <w:szCs w:val="20"/>
                <w:color w:val="auto"/>
              </w:rPr>
            </w:pPr>
            <w:r>
              <w:rPr>
                <w:rFonts w:ascii="Arial" w:cs="Arial" w:eastAsia="Arial" w:hAnsi="Arial"/>
                <w:sz w:val="13"/>
                <w:szCs w:val="13"/>
                <w:color w:val="auto"/>
              </w:rPr>
              <w:t>310</w:t>
            </w:r>
          </w:p>
        </w:tc>
        <w:tc>
          <w:tcPr>
            <w:tcW w:w="2260" w:type="dxa"/>
            <w:vAlign w:val="bottom"/>
          </w:tcPr>
          <w:p>
            <w:pPr>
              <w:ind w:left="280"/>
              <w:spacing w:after="0"/>
              <w:rPr>
                <w:sz w:val="20"/>
                <w:szCs w:val="20"/>
                <w:color w:val="auto"/>
              </w:rPr>
            </w:pPr>
            <w:r>
              <w:rPr>
                <w:rFonts w:ascii="Arial" w:cs="Arial" w:eastAsia="Arial" w:hAnsi="Arial"/>
                <w:sz w:val="13"/>
                <w:szCs w:val="13"/>
                <w:color w:val="auto"/>
              </w:rPr>
              <w:t>(a)(1)</w:t>
            </w:r>
          </w:p>
        </w:tc>
        <w:tc>
          <w:tcPr>
            <w:tcW w:w="7720" w:type="dxa"/>
            <w:vAlign w:val="bottom"/>
          </w:tcPr>
          <w:p>
            <w:pPr>
              <w:ind w:left="5920"/>
              <w:spacing w:after="0"/>
              <w:rPr>
                <w:sz w:val="20"/>
                <w:szCs w:val="20"/>
                <w:color w:val="auto"/>
              </w:rPr>
            </w:pPr>
            <w:r>
              <w:rPr>
                <w:rFonts w:ascii="Arial" w:cs="Arial" w:eastAsia="Arial" w:hAnsi="Arial"/>
                <w:sz w:val="13"/>
                <w:szCs w:val="13"/>
                <w:color w:val="auto"/>
              </w:rPr>
              <w:t>709</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(a)(2)</w:t>
            </w:r>
          </w:p>
        </w:tc>
        <w:tc>
          <w:tcPr>
            <w:tcW w:w="7720" w:type="dxa"/>
            <w:vAlign w:val="bottom"/>
          </w:tcPr>
          <w:p>
            <w:pPr>
              <w:ind w:left="5920"/>
              <w:spacing w:after="0"/>
              <w:rPr>
                <w:sz w:val="20"/>
                <w:szCs w:val="20"/>
                <w:color w:val="auto"/>
              </w:rPr>
            </w:pPr>
            <w:r>
              <w:rPr>
                <w:rFonts w:ascii="Arial" w:cs="Arial" w:eastAsia="Arial" w:hAnsi="Arial"/>
                <w:sz w:val="13"/>
                <w:szCs w:val="13"/>
                <w:color w:val="auto"/>
              </w:rPr>
              <w:t>709</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(a)(3)</w:t>
            </w:r>
          </w:p>
        </w:tc>
        <w:tc>
          <w:tcPr>
            <w:tcW w:w="7720" w:type="dxa"/>
            <w:vAlign w:val="bottom"/>
          </w:tcPr>
          <w:p>
            <w:pPr>
              <w:ind w:left="5920"/>
              <w:spacing w:after="0"/>
              <w:rPr>
                <w:sz w:val="20"/>
                <w:szCs w:val="20"/>
                <w:color w:val="auto"/>
              </w:rPr>
            </w:pPr>
            <w:r>
              <w:rPr>
                <w:rFonts w:ascii="Arial" w:cs="Arial" w:eastAsia="Arial" w:hAnsi="Arial"/>
                <w:sz w:val="13"/>
                <w:szCs w:val="13"/>
                <w:color w:val="auto"/>
              </w:rPr>
              <w:t>N.A.</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(a)(4)</w:t>
            </w:r>
          </w:p>
        </w:tc>
        <w:tc>
          <w:tcPr>
            <w:tcW w:w="7720" w:type="dxa"/>
            <w:vAlign w:val="bottom"/>
          </w:tcPr>
          <w:p>
            <w:pPr>
              <w:ind w:left="5920"/>
              <w:spacing w:after="0"/>
              <w:rPr>
                <w:sz w:val="20"/>
                <w:szCs w:val="20"/>
                <w:color w:val="auto"/>
              </w:rPr>
            </w:pPr>
            <w:r>
              <w:rPr>
                <w:rFonts w:ascii="Arial" w:cs="Arial" w:eastAsia="Arial" w:hAnsi="Arial"/>
                <w:sz w:val="13"/>
                <w:szCs w:val="13"/>
                <w:color w:val="auto"/>
              </w:rPr>
              <w:t>N.A.</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(b)</w:t>
            </w:r>
          </w:p>
        </w:tc>
        <w:tc>
          <w:tcPr>
            <w:tcW w:w="7720" w:type="dxa"/>
            <w:vAlign w:val="bottom"/>
          </w:tcPr>
          <w:p>
            <w:pPr>
              <w:ind w:left="5920"/>
              <w:spacing w:after="0"/>
              <w:rPr>
                <w:sz w:val="20"/>
                <w:szCs w:val="20"/>
                <w:color w:val="auto"/>
              </w:rPr>
            </w:pPr>
            <w:r>
              <w:rPr>
                <w:rFonts w:ascii="Arial" w:cs="Arial" w:eastAsia="Arial" w:hAnsi="Arial"/>
                <w:sz w:val="13"/>
                <w:szCs w:val="13"/>
                <w:color w:val="auto"/>
              </w:rPr>
              <w:t>708</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(b)</w:t>
            </w:r>
          </w:p>
        </w:tc>
        <w:tc>
          <w:tcPr>
            <w:tcW w:w="7720" w:type="dxa"/>
            <w:vAlign w:val="bottom"/>
          </w:tcPr>
          <w:p>
            <w:pPr>
              <w:ind w:left="5920"/>
              <w:spacing w:after="0"/>
              <w:rPr>
                <w:sz w:val="20"/>
                <w:szCs w:val="20"/>
                <w:color w:val="auto"/>
              </w:rPr>
            </w:pPr>
            <w:r>
              <w:rPr>
                <w:rFonts w:ascii="Arial" w:cs="Arial" w:eastAsia="Arial" w:hAnsi="Arial"/>
                <w:sz w:val="13"/>
                <w:szCs w:val="13"/>
                <w:color w:val="auto"/>
              </w:rPr>
              <w:t>710</w:t>
            </w:r>
          </w:p>
        </w:tc>
      </w:tr>
      <w:tr>
        <w:trPr>
          <w:trHeight w:val="189"/>
        </w:trPr>
        <w:tc>
          <w:tcPr>
            <w:tcW w:w="720" w:type="dxa"/>
            <w:vAlign w:val="bottom"/>
          </w:tcPr>
          <w:p>
            <w:pPr>
              <w:ind w:left="20"/>
              <w:spacing w:after="0"/>
              <w:rPr>
                <w:sz w:val="20"/>
                <w:szCs w:val="20"/>
                <w:color w:val="auto"/>
              </w:rPr>
            </w:pPr>
            <w:r>
              <w:rPr>
                <w:rFonts w:ascii="Arial" w:cs="Arial" w:eastAsia="Arial" w:hAnsi="Arial"/>
                <w:sz w:val="13"/>
                <w:szCs w:val="13"/>
                <w:color w:val="auto"/>
              </w:rPr>
              <w:t>311</w:t>
            </w:r>
          </w:p>
        </w:tc>
        <w:tc>
          <w:tcPr>
            <w:tcW w:w="2260" w:type="dxa"/>
            <w:vAlign w:val="bottom"/>
          </w:tcPr>
          <w:p>
            <w:pPr>
              <w:ind w:left="280"/>
              <w:spacing w:after="0"/>
              <w:rPr>
                <w:sz w:val="20"/>
                <w:szCs w:val="20"/>
                <w:color w:val="auto"/>
              </w:rPr>
            </w:pPr>
            <w:r>
              <w:rPr>
                <w:rFonts w:ascii="Arial" w:cs="Arial" w:eastAsia="Arial" w:hAnsi="Arial"/>
                <w:sz w:val="13"/>
                <w:szCs w:val="13"/>
                <w:color w:val="auto"/>
              </w:rPr>
              <w:t>(a)</w:t>
            </w:r>
          </w:p>
        </w:tc>
        <w:tc>
          <w:tcPr>
            <w:tcW w:w="7720" w:type="dxa"/>
            <w:vAlign w:val="bottom"/>
          </w:tcPr>
          <w:p>
            <w:pPr>
              <w:ind w:left="5920"/>
              <w:spacing w:after="0"/>
              <w:rPr>
                <w:sz w:val="20"/>
                <w:szCs w:val="20"/>
                <w:color w:val="auto"/>
              </w:rPr>
            </w:pPr>
            <w:r>
              <w:rPr>
                <w:rFonts w:ascii="Arial" w:cs="Arial" w:eastAsia="Arial" w:hAnsi="Arial"/>
                <w:sz w:val="13"/>
                <w:szCs w:val="13"/>
                <w:color w:val="auto"/>
              </w:rPr>
              <w:t>713</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(b)</w:t>
            </w:r>
          </w:p>
        </w:tc>
        <w:tc>
          <w:tcPr>
            <w:tcW w:w="7720" w:type="dxa"/>
            <w:vAlign w:val="bottom"/>
          </w:tcPr>
          <w:p>
            <w:pPr>
              <w:ind w:left="5920"/>
              <w:spacing w:after="0"/>
              <w:rPr>
                <w:sz w:val="20"/>
                <w:szCs w:val="20"/>
                <w:color w:val="auto"/>
              </w:rPr>
            </w:pPr>
            <w:r>
              <w:rPr>
                <w:rFonts w:ascii="Arial" w:cs="Arial" w:eastAsia="Arial" w:hAnsi="Arial"/>
                <w:sz w:val="13"/>
                <w:szCs w:val="13"/>
                <w:color w:val="auto"/>
              </w:rPr>
              <w:t>713</w:t>
            </w:r>
          </w:p>
        </w:tc>
      </w:tr>
      <w:tr>
        <w:trPr>
          <w:trHeight w:val="189"/>
        </w:trPr>
        <w:tc>
          <w:tcPr>
            <w:tcW w:w="720" w:type="dxa"/>
            <w:vAlign w:val="bottom"/>
          </w:tcPr>
          <w:p>
            <w:pPr>
              <w:ind w:left="20"/>
              <w:spacing w:after="0"/>
              <w:rPr>
                <w:sz w:val="20"/>
                <w:szCs w:val="20"/>
                <w:color w:val="auto"/>
              </w:rPr>
            </w:pPr>
            <w:r>
              <w:rPr>
                <w:rFonts w:ascii="Arial" w:cs="Arial" w:eastAsia="Arial" w:hAnsi="Arial"/>
                <w:sz w:val="13"/>
                <w:szCs w:val="13"/>
                <w:color w:val="auto"/>
              </w:rPr>
              <w:t>312</w:t>
            </w:r>
          </w:p>
        </w:tc>
        <w:tc>
          <w:tcPr>
            <w:tcW w:w="2260" w:type="dxa"/>
            <w:vAlign w:val="bottom"/>
          </w:tcPr>
          <w:p>
            <w:pPr>
              <w:ind w:left="280"/>
              <w:spacing w:after="0"/>
              <w:rPr>
                <w:sz w:val="20"/>
                <w:szCs w:val="20"/>
                <w:color w:val="auto"/>
              </w:rPr>
            </w:pPr>
            <w:r>
              <w:rPr>
                <w:rFonts w:ascii="Arial" w:cs="Arial" w:eastAsia="Arial" w:hAnsi="Arial"/>
                <w:sz w:val="13"/>
                <w:szCs w:val="13"/>
                <w:color w:val="auto"/>
              </w:rPr>
              <w:t>(a)</w:t>
            </w:r>
          </w:p>
        </w:tc>
        <w:tc>
          <w:tcPr>
            <w:tcW w:w="7720" w:type="dxa"/>
            <w:vAlign w:val="bottom"/>
          </w:tcPr>
          <w:p>
            <w:pPr>
              <w:ind w:left="5920"/>
              <w:spacing w:after="0"/>
              <w:rPr>
                <w:sz w:val="20"/>
                <w:szCs w:val="20"/>
                <w:color w:val="auto"/>
              </w:rPr>
            </w:pPr>
            <w:r>
              <w:rPr>
                <w:rFonts w:ascii="Arial" w:cs="Arial" w:eastAsia="Arial" w:hAnsi="Arial"/>
                <w:sz w:val="13"/>
                <w:szCs w:val="13"/>
                <w:color w:val="auto"/>
              </w:rPr>
              <w:t>801</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w:t>
            </w:r>
          </w:p>
        </w:tc>
        <w:tc>
          <w:tcPr>
            <w:tcW w:w="7720" w:type="dxa"/>
            <w:vAlign w:val="bottom"/>
          </w:tcPr>
          <w:p>
            <w:pPr>
              <w:ind w:left="5920"/>
              <w:spacing w:after="0"/>
              <w:rPr>
                <w:sz w:val="20"/>
                <w:szCs w:val="20"/>
                <w:color w:val="auto"/>
              </w:rPr>
            </w:pPr>
            <w:r>
              <w:rPr>
                <w:rFonts w:ascii="Arial" w:cs="Arial" w:eastAsia="Arial" w:hAnsi="Arial"/>
                <w:sz w:val="13"/>
                <w:szCs w:val="13"/>
                <w:color w:val="auto"/>
              </w:rPr>
              <w:t>802</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(b)</w:t>
            </w:r>
          </w:p>
        </w:tc>
        <w:tc>
          <w:tcPr>
            <w:tcW w:w="7720" w:type="dxa"/>
            <w:vAlign w:val="bottom"/>
          </w:tcPr>
          <w:p>
            <w:pPr>
              <w:ind w:left="5920"/>
              <w:spacing w:after="0"/>
              <w:rPr>
                <w:sz w:val="20"/>
                <w:szCs w:val="20"/>
                <w:color w:val="auto"/>
              </w:rPr>
            </w:pPr>
            <w:r>
              <w:rPr>
                <w:rFonts w:ascii="Arial" w:cs="Arial" w:eastAsia="Arial" w:hAnsi="Arial"/>
                <w:sz w:val="13"/>
                <w:szCs w:val="13"/>
                <w:color w:val="auto"/>
              </w:rPr>
              <w:t>802</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(c)</w:t>
            </w:r>
          </w:p>
        </w:tc>
        <w:tc>
          <w:tcPr>
            <w:tcW w:w="7720" w:type="dxa"/>
            <w:vAlign w:val="bottom"/>
          </w:tcPr>
          <w:p>
            <w:pPr>
              <w:ind w:left="5920"/>
              <w:spacing w:after="0"/>
              <w:rPr>
                <w:sz w:val="20"/>
                <w:szCs w:val="20"/>
                <w:color w:val="auto"/>
              </w:rPr>
            </w:pPr>
            <w:r>
              <w:rPr>
                <w:rFonts w:ascii="Arial" w:cs="Arial" w:eastAsia="Arial" w:hAnsi="Arial"/>
                <w:sz w:val="13"/>
                <w:szCs w:val="13"/>
                <w:color w:val="auto"/>
              </w:rPr>
              <w:t>802</w:t>
            </w:r>
          </w:p>
        </w:tc>
      </w:tr>
      <w:tr>
        <w:trPr>
          <w:trHeight w:val="189"/>
        </w:trPr>
        <w:tc>
          <w:tcPr>
            <w:tcW w:w="720" w:type="dxa"/>
            <w:vAlign w:val="bottom"/>
          </w:tcPr>
          <w:p>
            <w:pPr>
              <w:ind w:left="20"/>
              <w:spacing w:after="0"/>
              <w:rPr>
                <w:sz w:val="20"/>
                <w:szCs w:val="20"/>
                <w:color w:val="auto"/>
              </w:rPr>
            </w:pPr>
            <w:r>
              <w:rPr>
                <w:rFonts w:ascii="Arial" w:cs="Arial" w:eastAsia="Arial" w:hAnsi="Arial"/>
                <w:sz w:val="13"/>
                <w:szCs w:val="13"/>
                <w:color w:val="auto"/>
              </w:rPr>
              <w:t>313</w:t>
            </w:r>
          </w:p>
        </w:tc>
        <w:tc>
          <w:tcPr>
            <w:tcW w:w="2260" w:type="dxa"/>
            <w:vAlign w:val="bottom"/>
          </w:tcPr>
          <w:p>
            <w:pPr>
              <w:ind w:left="280"/>
              <w:spacing w:after="0"/>
              <w:rPr>
                <w:sz w:val="20"/>
                <w:szCs w:val="20"/>
                <w:color w:val="auto"/>
              </w:rPr>
            </w:pPr>
            <w:r>
              <w:rPr>
                <w:rFonts w:ascii="Arial" w:cs="Arial" w:eastAsia="Arial" w:hAnsi="Arial"/>
                <w:sz w:val="13"/>
                <w:szCs w:val="13"/>
                <w:color w:val="auto"/>
              </w:rPr>
              <w:t>(a)</w:t>
            </w:r>
          </w:p>
        </w:tc>
        <w:tc>
          <w:tcPr>
            <w:tcW w:w="7720" w:type="dxa"/>
            <w:vAlign w:val="bottom"/>
          </w:tcPr>
          <w:p>
            <w:pPr>
              <w:ind w:left="5920"/>
              <w:spacing w:after="0"/>
              <w:rPr>
                <w:sz w:val="20"/>
                <w:szCs w:val="20"/>
                <w:color w:val="auto"/>
              </w:rPr>
            </w:pPr>
            <w:r>
              <w:rPr>
                <w:rFonts w:ascii="Arial" w:cs="Arial" w:eastAsia="Arial" w:hAnsi="Arial"/>
                <w:sz w:val="13"/>
                <w:szCs w:val="13"/>
                <w:color w:val="auto"/>
              </w:rPr>
              <w:t>803</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(b)</w:t>
            </w:r>
          </w:p>
        </w:tc>
        <w:tc>
          <w:tcPr>
            <w:tcW w:w="7720" w:type="dxa"/>
            <w:vAlign w:val="bottom"/>
          </w:tcPr>
          <w:p>
            <w:pPr>
              <w:ind w:left="5920"/>
              <w:spacing w:after="0"/>
              <w:rPr>
                <w:sz w:val="20"/>
                <w:szCs w:val="20"/>
                <w:color w:val="auto"/>
              </w:rPr>
            </w:pPr>
            <w:r>
              <w:rPr>
                <w:rFonts w:ascii="Arial" w:cs="Arial" w:eastAsia="Arial" w:hAnsi="Arial"/>
                <w:sz w:val="13"/>
                <w:szCs w:val="13"/>
                <w:color w:val="auto"/>
              </w:rPr>
              <w:t>803</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(c)</w:t>
            </w:r>
          </w:p>
        </w:tc>
        <w:tc>
          <w:tcPr>
            <w:tcW w:w="7720" w:type="dxa"/>
            <w:vAlign w:val="bottom"/>
          </w:tcPr>
          <w:p>
            <w:pPr>
              <w:ind w:left="5920"/>
              <w:spacing w:after="0"/>
              <w:rPr>
                <w:sz w:val="20"/>
                <w:szCs w:val="20"/>
                <w:color w:val="auto"/>
              </w:rPr>
            </w:pPr>
            <w:r>
              <w:rPr>
                <w:rFonts w:ascii="Arial" w:cs="Arial" w:eastAsia="Arial" w:hAnsi="Arial"/>
                <w:sz w:val="13"/>
                <w:szCs w:val="13"/>
                <w:color w:val="auto"/>
              </w:rPr>
              <w:t>803</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(d)</w:t>
            </w:r>
          </w:p>
        </w:tc>
        <w:tc>
          <w:tcPr>
            <w:tcW w:w="7720" w:type="dxa"/>
            <w:vAlign w:val="bottom"/>
          </w:tcPr>
          <w:p>
            <w:pPr>
              <w:ind w:left="5920"/>
              <w:spacing w:after="0"/>
              <w:rPr>
                <w:sz w:val="20"/>
                <w:szCs w:val="20"/>
                <w:color w:val="auto"/>
              </w:rPr>
            </w:pPr>
            <w:r>
              <w:rPr>
                <w:rFonts w:ascii="Arial" w:cs="Arial" w:eastAsia="Arial" w:hAnsi="Arial"/>
                <w:sz w:val="13"/>
                <w:szCs w:val="13"/>
                <w:color w:val="auto"/>
              </w:rPr>
              <w:t>803</w:t>
            </w:r>
          </w:p>
        </w:tc>
      </w:tr>
      <w:tr>
        <w:trPr>
          <w:trHeight w:val="189"/>
        </w:trPr>
        <w:tc>
          <w:tcPr>
            <w:tcW w:w="720" w:type="dxa"/>
            <w:vAlign w:val="bottom"/>
          </w:tcPr>
          <w:p>
            <w:pPr>
              <w:ind w:left="20"/>
              <w:spacing w:after="0"/>
              <w:rPr>
                <w:sz w:val="20"/>
                <w:szCs w:val="20"/>
                <w:color w:val="auto"/>
              </w:rPr>
            </w:pPr>
            <w:r>
              <w:rPr>
                <w:rFonts w:ascii="Arial" w:cs="Arial" w:eastAsia="Arial" w:hAnsi="Arial"/>
                <w:sz w:val="13"/>
                <w:szCs w:val="13"/>
                <w:color w:val="auto"/>
              </w:rPr>
              <w:t>314</w:t>
            </w:r>
          </w:p>
        </w:tc>
        <w:tc>
          <w:tcPr>
            <w:tcW w:w="2260" w:type="dxa"/>
            <w:vAlign w:val="bottom"/>
          </w:tcPr>
          <w:p>
            <w:pPr>
              <w:ind w:left="280"/>
              <w:spacing w:after="0"/>
              <w:rPr>
                <w:sz w:val="20"/>
                <w:szCs w:val="20"/>
                <w:color w:val="auto"/>
              </w:rPr>
            </w:pPr>
            <w:r>
              <w:rPr>
                <w:rFonts w:ascii="Arial" w:cs="Arial" w:eastAsia="Arial" w:hAnsi="Arial"/>
                <w:sz w:val="13"/>
                <w:szCs w:val="13"/>
                <w:color w:val="auto"/>
              </w:rPr>
              <w:t>(a)</w:t>
            </w:r>
          </w:p>
        </w:tc>
        <w:tc>
          <w:tcPr>
            <w:tcW w:w="7720" w:type="dxa"/>
            <w:vAlign w:val="bottom"/>
          </w:tcPr>
          <w:p>
            <w:pPr>
              <w:ind w:left="5920"/>
              <w:spacing w:after="0"/>
              <w:rPr>
                <w:sz w:val="20"/>
                <w:szCs w:val="20"/>
                <w:color w:val="auto"/>
              </w:rPr>
            </w:pPr>
            <w:r>
              <w:rPr>
                <w:rFonts w:ascii="Arial" w:cs="Arial" w:eastAsia="Arial" w:hAnsi="Arial"/>
                <w:sz w:val="13"/>
                <w:szCs w:val="13"/>
                <w:color w:val="auto"/>
              </w:rPr>
              <w:t>804</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(a)(4)</w:t>
            </w:r>
          </w:p>
        </w:tc>
        <w:tc>
          <w:tcPr>
            <w:tcW w:w="7720" w:type="dxa"/>
            <w:vAlign w:val="bottom"/>
          </w:tcPr>
          <w:p>
            <w:pPr>
              <w:ind w:left="5920"/>
              <w:spacing w:after="0"/>
              <w:rPr>
                <w:sz w:val="20"/>
                <w:szCs w:val="20"/>
                <w:color w:val="auto"/>
              </w:rPr>
            </w:pPr>
            <w:r>
              <w:rPr>
                <w:rFonts w:ascii="Arial" w:cs="Arial" w:eastAsia="Arial" w:hAnsi="Arial"/>
                <w:sz w:val="13"/>
                <w:szCs w:val="13"/>
                <w:color w:val="auto"/>
              </w:rPr>
              <w:t>201</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(a)(4)</w:t>
            </w:r>
          </w:p>
        </w:tc>
        <w:tc>
          <w:tcPr>
            <w:tcW w:w="7720" w:type="dxa"/>
            <w:vAlign w:val="bottom"/>
          </w:tcPr>
          <w:p>
            <w:pPr>
              <w:ind w:left="5920"/>
              <w:spacing w:after="0"/>
              <w:rPr>
                <w:sz w:val="20"/>
                <w:szCs w:val="20"/>
                <w:color w:val="auto"/>
              </w:rPr>
            </w:pPr>
            <w:r>
              <w:rPr>
                <w:rFonts w:ascii="Arial" w:cs="Arial" w:eastAsia="Arial" w:hAnsi="Arial"/>
                <w:sz w:val="13"/>
                <w:szCs w:val="13"/>
                <w:color w:val="auto"/>
              </w:rPr>
              <w:t>1104</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(b)</w:t>
            </w:r>
          </w:p>
        </w:tc>
        <w:tc>
          <w:tcPr>
            <w:tcW w:w="7720" w:type="dxa"/>
            <w:vAlign w:val="bottom"/>
          </w:tcPr>
          <w:p>
            <w:pPr>
              <w:ind w:left="5920"/>
              <w:spacing w:after="0"/>
              <w:rPr>
                <w:sz w:val="20"/>
                <w:szCs w:val="20"/>
                <w:color w:val="auto"/>
              </w:rPr>
            </w:pPr>
            <w:r>
              <w:rPr>
                <w:rFonts w:ascii="Arial" w:cs="Arial" w:eastAsia="Arial" w:hAnsi="Arial"/>
                <w:sz w:val="13"/>
                <w:szCs w:val="13"/>
                <w:color w:val="auto"/>
              </w:rPr>
              <w:t>N.A.</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(c)(1)</w:t>
            </w:r>
          </w:p>
        </w:tc>
        <w:tc>
          <w:tcPr>
            <w:tcW w:w="7720" w:type="dxa"/>
            <w:vAlign w:val="bottom"/>
          </w:tcPr>
          <w:p>
            <w:pPr>
              <w:ind w:left="5920"/>
              <w:spacing w:after="0"/>
              <w:rPr>
                <w:sz w:val="20"/>
                <w:szCs w:val="20"/>
                <w:color w:val="auto"/>
              </w:rPr>
            </w:pPr>
            <w:r>
              <w:rPr>
                <w:rFonts w:ascii="Arial" w:cs="Arial" w:eastAsia="Arial" w:hAnsi="Arial"/>
                <w:sz w:val="13"/>
                <w:szCs w:val="13"/>
                <w:color w:val="auto"/>
              </w:rPr>
              <w:t>202</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(c)(2)</w:t>
            </w:r>
          </w:p>
        </w:tc>
        <w:tc>
          <w:tcPr>
            <w:tcW w:w="7720" w:type="dxa"/>
            <w:vAlign w:val="bottom"/>
          </w:tcPr>
          <w:p>
            <w:pPr>
              <w:ind w:left="5920"/>
              <w:spacing w:after="0"/>
              <w:rPr>
                <w:sz w:val="20"/>
                <w:szCs w:val="20"/>
                <w:color w:val="auto"/>
              </w:rPr>
            </w:pPr>
            <w:r>
              <w:rPr>
                <w:rFonts w:ascii="Arial" w:cs="Arial" w:eastAsia="Arial" w:hAnsi="Arial"/>
                <w:sz w:val="13"/>
                <w:szCs w:val="13"/>
                <w:color w:val="auto"/>
              </w:rPr>
              <w:t>202</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(c)(3)</w:t>
            </w:r>
          </w:p>
        </w:tc>
        <w:tc>
          <w:tcPr>
            <w:tcW w:w="7720" w:type="dxa"/>
            <w:vAlign w:val="bottom"/>
          </w:tcPr>
          <w:p>
            <w:pPr>
              <w:ind w:left="5920"/>
              <w:spacing w:after="0"/>
              <w:rPr>
                <w:sz w:val="20"/>
                <w:szCs w:val="20"/>
                <w:color w:val="auto"/>
              </w:rPr>
            </w:pPr>
            <w:r>
              <w:rPr>
                <w:rFonts w:ascii="Arial" w:cs="Arial" w:eastAsia="Arial" w:hAnsi="Arial"/>
                <w:sz w:val="13"/>
                <w:szCs w:val="13"/>
                <w:color w:val="auto"/>
              </w:rPr>
              <w:t>N.A.</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(d)</w:t>
            </w:r>
          </w:p>
        </w:tc>
        <w:tc>
          <w:tcPr>
            <w:tcW w:w="7720" w:type="dxa"/>
            <w:vAlign w:val="bottom"/>
          </w:tcPr>
          <w:p>
            <w:pPr>
              <w:ind w:left="5920"/>
              <w:spacing w:after="0"/>
              <w:rPr>
                <w:sz w:val="20"/>
                <w:szCs w:val="20"/>
                <w:color w:val="auto"/>
              </w:rPr>
            </w:pPr>
            <w:r>
              <w:rPr>
                <w:rFonts w:ascii="Arial" w:cs="Arial" w:eastAsia="Arial" w:hAnsi="Arial"/>
                <w:sz w:val="13"/>
                <w:szCs w:val="13"/>
                <w:color w:val="auto"/>
              </w:rPr>
              <w:t>N.A.</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(e)</w:t>
            </w:r>
          </w:p>
        </w:tc>
        <w:tc>
          <w:tcPr>
            <w:tcW w:w="7720" w:type="dxa"/>
            <w:vAlign w:val="bottom"/>
          </w:tcPr>
          <w:p>
            <w:pPr>
              <w:ind w:left="5920"/>
              <w:spacing w:after="0"/>
              <w:rPr>
                <w:sz w:val="20"/>
                <w:szCs w:val="20"/>
                <w:color w:val="auto"/>
              </w:rPr>
            </w:pPr>
            <w:r>
              <w:rPr>
                <w:rFonts w:ascii="Arial" w:cs="Arial" w:eastAsia="Arial" w:hAnsi="Arial"/>
                <w:sz w:val="13"/>
                <w:szCs w:val="13"/>
                <w:color w:val="auto"/>
              </w:rPr>
              <w:t>202</w:t>
            </w:r>
          </w:p>
        </w:tc>
      </w:tr>
      <w:tr>
        <w:trPr>
          <w:trHeight w:val="189"/>
        </w:trPr>
        <w:tc>
          <w:tcPr>
            <w:tcW w:w="720" w:type="dxa"/>
            <w:vAlign w:val="bottom"/>
          </w:tcPr>
          <w:p>
            <w:pPr>
              <w:ind w:left="20"/>
              <w:spacing w:after="0"/>
              <w:rPr>
                <w:sz w:val="20"/>
                <w:szCs w:val="20"/>
                <w:color w:val="auto"/>
              </w:rPr>
            </w:pPr>
            <w:r>
              <w:rPr>
                <w:rFonts w:ascii="Arial" w:cs="Arial" w:eastAsia="Arial" w:hAnsi="Arial"/>
                <w:sz w:val="13"/>
                <w:szCs w:val="13"/>
                <w:color w:val="auto"/>
              </w:rPr>
              <w:t>315</w:t>
            </w:r>
          </w:p>
        </w:tc>
        <w:tc>
          <w:tcPr>
            <w:tcW w:w="2260" w:type="dxa"/>
            <w:vAlign w:val="bottom"/>
          </w:tcPr>
          <w:p>
            <w:pPr>
              <w:ind w:left="280"/>
              <w:spacing w:after="0"/>
              <w:rPr>
                <w:sz w:val="20"/>
                <w:szCs w:val="20"/>
                <w:color w:val="auto"/>
              </w:rPr>
            </w:pPr>
            <w:r>
              <w:rPr>
                <w:rFonts w:ascii="Arial" w:cs="Arial" w:eastAsia="Arial" w:hAnsi="Arial"/>
                <w:sz w:val="13"/>
                <w:szCs w:val="13"/>
                <w:color w:val="auto"/>
              </w:rPr>
              <w:t>(a)</w:t>
            </w:r>
          </w:p>
        </w:tc>
        <w:tc>
          <w:tcPr>
            <w:tcW w:w="7720" w:type="dxa"/>
            <w:vAlign w:val="bottom"/>
          </w:tcPr>
          <w:p>
            <w:pPr>
              <w:ind w:left="5920"/>
              <w:spacing w:after="0"/>
              <w:rPr>
                <w:sz w:val="20"/>
                <w:szCs w:val="20"/>
                <w:color w:val="auto"/>
              </w:rPr>
            </w:pPr>
            <w:r>
              <w:rPr>
                <w:rFonts w:ascii="Arial" w:cs="Arial" w:eastAsia="Arial" w:hAnsi="Arial"/>
                <w:sz w:val="13"/>
                <w:szCs w:val="13"/>
                <w:color w:val="auto"/>
              </w:rPr>
              <w:t>701;703</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(b)</w:t>
            </w:r>
          </w:p>
        </w:tc>
        <w:tc>
          <w:tcPr>
            <w:tcW w:w="7720" w:type="dxa"/>
            <w:vAlign w:val="bottom"/>
          </w:tcPr>
          <w:p>
            <w:pPr>
              <w:ind w:left="5920"/>
              <w:spacing w:after="0"/>
              <w:rPr>
                <w:sz w:val="20"/>
                <w:szCs w:val="20"/>
                <w:color w:val="auto"/>
              </w:rPr>
            </w:pPr>
            <w:r>
              <w:rPr>
                <w:rFonts w:ascii="Arial" w:cs="Arial" w:eastAsia="Arial" w:hAnsi="Arial"/>
                <w:sz w:val="13"/>
                <w:szCs w:val="13"/>
                <w:color w:val="auto"/>
              </w:rPr>
              <w:t>702</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(c)</w:t>
            </w:r>
          </w:p>
        </w:tc>
        <w:tc>
          <w:tcPr>
            <w:tcW w:w="7720" w:type="dxa"/>
            <w:vAlign w:val="bottom"/>
          </w:tcPr>
          <w:p>
            <w:pPr>
              <w:ind w:left="5920"/>
              <w:spacing w:after="0"/>
              <w:rPr>
                <w:sz w:val="20"/>
                <w:szCs w:val="20"/>
                <w:color w:val="auto"/>
              </w:rPr>
            </w:pPr>
            <w:r>
              <w:rPr>
                <w:rFonts w:ascii="Arial" w:cs="Arial" w:eastAsia="Arial" w:hAnsi="Arial"/>
                <w:sz w:val="13"/>
                <w:szCs w:val="13"/>
                <w:color w:val="auto"/>
              </w:rPr>
              <w:t>701</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(d)</w:t>
            </w:r>
          </w:p>
        </w:tc>
        <w:tc>
          <w:tcPr>
            <w:tcW w:w="7720" w:type="dxa"/>
            <w:vAlign w:val="bottom"/>
          </w:tcPr>
          <w:p>
            <w:pPr>
              <w:ind w:left="5920"/>
              <w:spacing w:after="0"/>
              <w:rPr>
                <w:sz w:val="20"/>
                <w:szCs w:val="20"/>
                <w:color w:val="auto"/>
              </w:rPr>
            </w:pPr>
            <w:r>
              <w:rPr>
                <w:rFonts w:ascii="Arial" w:cs="Arial" w:eastAsia="Arial" w:hAnsi="Arial"/>
                <w:sz w:val="13"/>
                <w:szCs w:val="13"/>
                <w:color w:val="auto"/>
              </w:rPr>
              <w:t>701</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(e)</w:t>
            </w:r>
          </w:p>
        </w:tc>
        <w:tc>
          <w:tcPr>
            <w:tcW w:w="7720" w:type="dxa"/>
            <w:vAlign w:val="bottom"/>
          </w:tcPr>
          <w:p>
            <w:pPr>
              <w:ind w:left="5920"/>
              <w:spacing w:after="0"/>
              <w:rPr>
                <w:sz w:val="20"/>
                <w:szCs w:val="20"/>
                <w:color w:val="auto"/>
              </w:rPr>
            </w:pPr>
            <w:r>
              <w:rPr>
                <w:rFonts w:ascii="Arial" w:cs="Arial" w:eastAsia="Arial" w:hAnsi="Arial"/>
                <w:sz w:val="13"/>
                <w:szCs w:val="13"/>
                <w:color w:val="auto"/>
              </w:rPr>
              <w:t>614</w:t>
            </w:r>
          </w:p>
        </w:tc>
      </w:tr>
      <w:tr>
        <w:trPr>
          <w:trHeight w:val="189"/>
        </w:trPr>
        <w:tc>
          <w:tcPr>
            <w:tcW w:w="720" w:type="dxa"/>
            <w:vAlign w:val="bottom"/>
          </w:tcPr>
          <w:p>
            <w:pPr>
              <w:ind w:left="20"/>
              <w:spacing w:after="0"/>
              <w:rPr>
                <w:sz w:val="20"/>
                <w:szCs w:val="20"/>
                <w:color w:val="auto"/>
              </w:rPr>
            </w:pPr>
            <w:r>
              <w:rPr>
                <w:rFonts w:ascii="Arial" w:cs="Arial" w:eastAsia="Arial" w:hAnsi="Arial"/>
                <w:sz w:val="13"/>
                <w:szCs w:val="13"/>
                <w:color w:val="auto"/>
              </w:rPr>
              <w:t>316</w:t>
            </w:r>
          </w:p>
        </w:tc>
        <w:tc>
          <w:tcPr>
            <w:tcW w:w="2260" w:type="dxa"/>
            <w:vAlign w:val="bottom"/>
          </w:tcPr>
          <w:p>
            <w:pPr>
              <w:ind w:left="280"/>
              <w:spacing w:after="0"/>
              <w:rPr>
                <w:sz w:val="20"/>
                <w:szCs w:val="20"/>
                <w:color w:val="auto"/>
              </w:rPr>
            </w:pPr>
            <w:r>
              <w:rPr>
                <w:rFonts w:ascii="Arial" w:cs="Arial" w:eastAsia="Arial" w:hAnsi="Arial"/>
                <w:sz w:val="13"/>
                <w:szCs w:val="13"/>
                <w:color w:val="auto"/>
              </w:rPr>
              <w:t>(a)</w:t>
            </w:r>
          </w:p>
        </w:tc>
        <w:tc>
          <w:tcPr>
            <w:tcW w:w="7720" w:type="dxa"/>
            <w:vAlign w:val="bottom"/>
          </w:tcPr>
          <w:p>
            <w:pPr>
              <w:ind w:left="5920"/>
              <w:spacing w:after="0"/>
              <w:rPr>
                <w:sz w:val="20"/>
                <w:szCs w:val="20"/>
                <w:color w:val="auto"/>
              </w:rPr>
            </w:pPr>
            <w:r>
              <w:rPr>
                <w:rFonts w:ascii="Arial" w:cs="Arial" w:eastAsia="Arial" w:hAnsi="Arial"/>
                <w:sz w:val="13"/>
                <w:szCs w:val="13"/>
                <w:color w:val="auto"/>
              </w:rPr>
              <w:t>201</w:t>
            </w:r>
          </w:p>
        </w:tc>
      </w:tr>
      <w:tr>
        <w:trPr>
          <w:trHeight w:val="189"/>
        </w:trPr>
        <w:tc>
          <w:tcPr>
            <w:tcW w:w="720" w:type="dxa"/>
            <w:vAlign w:val="bottom"/>
          </w:tcPr>
          <w:p>
            <w:pPr>
              <w:ind w:left="20"/>
              <w:spacing w:after="0"/>
              <w:rPr>
                <w:sz w:val="20"/>
                <w:szCs w:val="20"/>
                <w:color w:val="auto"/>
              </w:rPr>
            </w:pPr>
            <w:r>
              <w:rPr>
                <w:rFonts w:ascii="Arial" w:cs="Arial" w:eastAsia="Arial" w:hAnsi="Arial"/>
                <w:sz w:val="13"/>
                <w:szCs w:val="13"/>
                <w:color w:val="auto"/>
              </w:rPr>
              <w:t>316</w:t>
            </w:r>
          </w:p>
        </w:tc>
        <w:tc>
          <w:tcPr>
            <w:tcW w:w="2260" w:type="dxa"/>
            <w:vAlign w:val="bottom"/>
          </w:tcPr>
          <w:p>
            <w:pPr>
              <w:ind w:left="280"/>
              <w:spacing w:after="0"/>
              <w:rPr>
                <w:sz w:val="20"/>
                <w:szCs w:val="20"/>
                <w:color w:val="auto"/>
              </w:rPr>
            </w:pPr>
            <w:r>
              <w:rPr>
                <w:rFonts w:ascii="Arial" w:cs="Arial" w:eastAsia="Arial" w:hAnsi="Arial"/>
                <w:sz w:val="13"/>
                <w:szCs w:val="13"/>
                <w:color w:val="auto"/>
              </w:rPr>
              <w:t>(a)(1)(A)</w:t>
            </w:r>
          </w:p>
        </w:tc>
        <w:tc>
          <w:tcPr>
            <w:tcW w:w="7720" w:type="dxa"/>
            <w:vAlign w:val="bottom"/>
          </w:tcPr>
          <w:p>
            <w:pPr>
              <w:ind w:left="5920"/>
              <w:spacing w:after="0"/>
              <w:rPr>
                <w:sz w:val="20"/>
                <w:szCs w:val="20"/>
                <w:color w:val="auto"/>
              </w:rPr>
            </w:pPr>
            <w:r>
              <w:rPr>
                <w:rFonts w:ascii="Arial" w:cs="Arial" w:eastAsia="Arial" w:hAnsi="Arial"/>
                <w:sz w:val="13"/>
                <w:szCs w:val="13"/>
                <w:color w:val="auto"/>
              </w:rPr>
              <w:t>602</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(a)(1)(A)</w:t>
            </w:r>
          </w:p>
        </w:tc>
        <w:tc>
          <w:tcPr>
            <w:tcW w:w="7720" w:type="dxa"/>
            <w:vAlign w:val="bottom"/>
          </w:tcPr>
          <w:p>
            <w:pPr>
              <w:ind w:left="5920"/>
              <w:spacing w:after="0"/>
              <w:rPr>
                <w:sz w:val="20"/>
                <w:szCs w:val="20"/>
                <w:color w:val="auto"/>
              </w:rPr>
            </w:pPr>
            <w:r>
              <w:rPr>
                <w:rFonts w:ascii="Arial" w:cs="Arial" w:eastAsia="Arial" w:hAnsi="Arial"/>
                <w:sz w:val="13"/>
                <w:szCs w:val="13"/>
                <w:color w:val="auto"/>
              </w:rPr>
              <w:t>612</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(a)(1)(B)</w:t>
            </w:r>
          </w:p>
        </w:tc>
        <w:tc>
          <w:tcPr>
            <w:tcW w:w="7720" w:type="dxa"/>
            <w:vAlign w:val="bottom"/>
          </w:tcPr>
          <w:p>
            <w:pPr>
              <w:ind w:left="5920"/>
              <w:spacing w:after="0"/>
              <w:rPr>
                <w:sz w:val="20"/>
                <w:szCs w:val="20"/>
                <w:color w:val="auto"/>
              </w:rPr>
            </w:pPr>
            <w:r>
              <w:rPr>
                <w:rFonts w:ascii="Arial" w:cs="Arial" w:eastAsia="Arial" w:hAnsi="Arial"/>
                <w:sz w:val="13"/>
                <w:szCs w:val="13"/>
                <w:color w:val="auto"/>
              </w:rPr>
              <w:t>613</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(a)(2)</w:t>
            </w:r>
          </w:p>
        </w:tc>
        <w:tc>
          <w:tcPr>
            <w:tcW w:w="7720" w:type="dxa"/>
            <w:vAlign w:val="bottom"/>
          </w:tcPr>
          <w:p>
            <w:pPr>
              <w:ind w:left="5920"/>
              <w:spacing w:after="0"/>
              <w:rPr>
                <w:sz w:val="20"/>
                <w:szCs w:val="20"/>
                <w:color w:val="auto"/>
              </w:rPr>
            </w:pPr>
            <w:r>
              <w:rPr>
                <w:rFonts w:ascii="Arial" w:cs="Arial" w:eastAsia="Arial" w:hAnsi="Arial"/>
                <w:sz w:val="13"/>
                <w:szCs w:val="13"/>
                <w:color w:val="auto"/>
              </w:rPr>
              <w:t>N.A.</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(b)</w:t>
            </w:r>
          </w:p>
        </w:tc>
        <w:tc>
          <w:tcPr>
            <w:tcW w:w="7720" w:type="dxa"/>
            <w:vAlign w:val="bottom"/>
          </w:tcPr>
          <w:p>
            <w:pPr>
              <w:ind w:left="5920"/>
              <w:spacing w:after="0"/>
              <w:rPr>
                <w:sz w:val="20"/>
                <w:szCs w:val="20"/>
                <w:color w:val="auto"/>
              </w:rPr>
            </w:pPr>
            <w:r>
              <w:rPr>
                <w:rFonts w:ascii="Arial" w:cs="Arial" w:eastAsia="Arial" w:hAnsi="Arial"/>
                <w:sz w:val="13"/>
                <w:szCs w:val="13"/>
                <w:color w:val="auto"/>
              </w:rPr>
              <w:t>608</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(c)</w:t>
            </w:r>
          </w:p>
        </w:tc>
        <w:tc>
          <w:tcPr>
            <w:tcW w:w="7720" w:type="dxa"/>
            <w:vAlign w:val="bottom"/>
          </w:tcPr>
          <w:p>
            <w:pPr>
              <w:ind w:left="5920"/>
              <w:spacing w:after="0"/>
              <w:rPr>
                <w:sz w:val="20"/>
                <w:szCs w:val="20"/>
                <w:color w:val="auto"/>
              </w:rPr>
            </w:pPr>
            <w:r>
              <w:rPr>
                <w:rFonts w:ascii="Arial" w:cs="Arial" w:eastAsia="Arial" w:hAnsi="Arial"/>
                <w:sz w:val="13"/>
                <w:szCs w:val="13"/>
                <w:color w:val="auto"/>
              </w:rPr>
              <w:t>204</w:t>
            </w:r>
          </w:p>
        </w:tc>
      </w:tr>
      <w:tr>
        <w:trPr>
          <w:trHeight w:val="189"/>
        </w:trPr>
        <w:tc>
          <w:tcPr>
            <w:tcW w:w="720" w:type="dxa"/>
            <w:vAlign w:val="bottom"/>
          </w:tcPr>
          <w:p>
            <w:pPr>
              <w:ind w:left="20"/>
              <w:spacing w:after="0"/>
              <w:rPr>
                <w:sz w:val="20"/>
                <w:szCs w:val="20"/>
                <w:color w:val="auto"/>
              </w:rPr>
            </w:pPr>
            <w:r>
              <w:rPr>
                <w:rFonts w:ascii="Arial" w:cs="Arial" w:eastAsia="Arial" w:hAnsi="Arial"/>
                <w:sz w:val="13"/>
                <w:szCs w:val="13"/>
                <w:color w:val="auto"/>
              </w:rPr>
              <w:t>317</w:t>
            </w:r>
          </w:p>
        </w:tc>
        <w:tc>
          <w:tcPr>
            <w:tcW w:w="2260" w:type="dxa"/>
            <w:vAlign w:val="bottom"/>
          </w:tcPr>
          <w:p>
            <w:pPr>
              <w:ind w:left="280"/>
              <w:spacing w:after="0"/>
              <w:rPr>
                <w:sz w:val="20"/>
                <w:szCs w:val="20"/>
                <w:color w:val="auto"/>
              </w:rPr>
            </w:pPr>
            <w:r>
              <w:rPr>
                <w:rFonts w:ascii="Arial" w:cs="Arial" w:eastAsia="Arial" w:hAnsi="Arial"/>
                <w:sz w:val="13"/>
                <w:szCs w:val="13"/>
                <w:color w:val="auto"/>
              </w:rPr>
              <w:t>(a)(1)</w:t>
            </w:r>
          </w:p>
        </w:tc>
        <w:tc>
          <w:tcPr>
            <w:tcW w:w="7720" w:type="dxa"/>
            <w:vAlign w:val="bottom"/>
          </w:tcPr>
          <w:p>
            <w:pPr>
              <w:ind w:left="5920"/>
              <w:spacing w:after="0"/>
              <w:rPr>
                <w:sz w:val="20"/>
                <w:szCs w:val="20"/>
                <w:color w:val="auto"/>
              </w:rPr>
            </w:pPr>
            <w:r>
              <w:rPr>
                <w:rFonts w:ascii="Arial" w:cs="Arial" w:eastAsia="Arial" w:hAnsi="Arial"/>
                <w:sz w:val="13"/>
                <w:szCs w:val="13"/>
                <w:color w:val="auto"/>
              </w:rPr>
              <w:t>603</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(a)(2)</w:t>
            </w:r>
          </w:p>
        </w:tc>
        <w:tc>
          <w:tcPr>
            <w:tcW w:w="7720" w:type="dxa"/>
            <w:vAlign w:val="bottom"/>
          </w:tcPr>
          <w:p>
            <w:pPr>
              <w:ind w:left="5920"/>
              <w:spacing w:after="0"/>
              <w:rPr>
                <w:sz w:val="20"/>
                <w:szCs w:val="20"/>
                <w:color w:val="auto"/>
              </w:rPr>
            </w:pPr>
            <w:r>
              <w:rPr>
                <w:rFonts w:ascii="Arial" w:cs="Arial" w:eastAsia="Arial" w:hAnsi="Arial"/>
                <w:sz w:val="13"/>
                <w:szCs w:val="13"/>
                <w:color w:val="auto"/>
              </w:rPr>
              <w:t>604</w:t>
            </w:r>
          </w:p>
        </w:tc>
      </w:tr>
      <w:tr>
        <w:trPr>
          <w:trHeight w:val="189"/>
        </w:trPr>
        <w:tc>
          <w:tcPr>
            <w:tcW w:w="720" w:type="dxa"/>
            <w:vAlign w:val="bottom"/>
          </w:tcPr>
          <w:p>
            <w:pPr>
              <w:spacing w:after="0"/>
              <w:rPr>
                <w:sz w:val="16"/>
                <w:szCs w:val="16"/>
                <w:color w:val="auto"/>
              </w:rPr>
            </w:pPr>
          </w:p>
        </w:tc>
        <w:tc>
          <w:tcPr>
            <w:tcW w:w="2260" w:type="dxa"/>
            <w:vAlign w:val="bottom"/>
          </w:tcPr>
          <w:p>
            <w:pPr>
              <w:ind w:left="280"/>
              <w:spacing w:after="0"/>
              <w:rPr>
                <w:sz w:val="20"/>
                <w:szCs w:val="20"/>
                <w:color w:val="auto"/>
              </w:rPr>
            </w:pPr>
            <w:r>
              <w:rPr>
                <w:rFonts w:ascii="Arial" w:cs="Arial" w:eastAsia="Arial" w:hAnsi="Arial"/>
                <w:sz w:val="13"/>
                <w:szCs w:val="13"/>
                <w:color w:val="auto"/>
              </w:rPr>
              <w:t>(b)</w:t>
            </w:r>
          </w:p>
        </w:tc>
        <w:tc>
          <w:tcPr>
            <w:tcW w:w="7720" w:type="dxa"/>
            <w:vAlign w:val="bottom"/>
          </w:tcPr>
          <w:p>
            <w:pPr>
              <w:ind w:left="5920"/>
              <w:spacing w:after="0"/>
              <w:rPr>
                <w:sz w:val="20"/>
                <w:szCs w:val="20"/>
                <w:color w:val="auto"/>
              </w:rPr>
            </w:pPr>
            <w:r>
              <w:rPr>
                <w:rFonts w:ascii="Arial" w:cs="Arial" w:eastAsia="Arial" w:hAnsi="Arial"/>
                <w:sz w:val="13"/>
                <w:szCs w:val="13"/>
                <w:color w:val="auto"/>
              </w:rPr>
              <w:t>1103</w:t>
            </w:r>
          </w:p>
        </w:tc>
      </w:tr>
      <w:tr>
        <w:trPr>
          <w:trHeight w:val="189"/>
        </w:trPr>
        <w:tc>
          <w:tcPr>
            <w:tcW w:w="720" w:type="dxa"/>
            <w:vAlign w:val="bottom"/>
          </w:tcPr>
          <w:p>
            <w:pPr>
              <w:ind w:left="20"/>
              <w:spacing w:after="0"/>
              <w:rPr>
                <w:sz w:val="20"/>
                <w:szCs w:val="20"/>
                <w:color w:val="auto"/>
              </w:rPr>
            </w:pPr>
            <w:r>
              <w:rPr>
                <w:rFonts w:ascii="Arial" w:cs="Arial" w:eastAsia="Arial" w:hAnsi="Arial"/>
                <w:sz w:val="13"/>
                <w:szCs w:val="13"/>
                <w:color w:val="auto"/>
              </w:rPr>
              <w:t>318</w:t>
            </w:r>
          </w:p>
        </w:tc>
        <w:tc>
          <w:tcPr>
            <w:tcW w:w="2260" w:type="dxa"/>
            <w:vAlign w:val="bottom"/>
          </w:tcPr>
          <w:p>
            <w:pPr>
              <w:ind w:left="280"/>
              <w:spacing w:after="0"/>
              <w:rPr>
                <w:sz w:val="20"/>
                <w:szCs w:val="20"/>
                <w:color w:val="auto"/>
              </w:rPr>
            </w:pPr>
            <w:r>
              <w:rPr>
                <w:rFonts w:ascii="Arial" w:cs="Arial" w:eastAsia="Arial" w:hAnsi="Arial"/>
                <w:sz w:val="13"/>
                <w:szCs w:val="13"/>
                <w:color w:val="auto"/>
              </w:rPr>
              <w:t>(a)</w:t>
            </w:r>
          </w:p>
        </w:tc>
        <w:tc>
          <w:tcPr>
            <w:tcW w:w="7720" w:type="dxa"/>
            <w:vAlign w:val="bottom"/>
          </w:tcPr>
          <w:p>
            <w:pPr>
              <w:ind w:left="5920"/>
              <w:spacing w:after="0"/>
              <w:rPr>
                <w:sz w:val="20"/>
                <w:szCs w:val="20"/>
                <w:color w:val="auto"/>
              </w:rPr>
            </w:pPr>
            <w:r>
              <w:rPr>
                <w:rFonts w:ascii="Arial" w:cs="Arial" w:eastAsia="Arial" w:hAnsi="Arial"/>
                <w:sz w:val="13"/>
                <w:szCs w:val="13"/>
                <w:color w:val="auto"/>
              </w:rPr>
              <w:t>207</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N.A. means Not Applicable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NOTE: This Cross Reference Table shall not, for any purpose, be deemed to be a part of the Supplemental Indenture.</w:t>
      </w:r>
    </w:p>
    <w:p>
      <w:pPr>
        <w:spacing w:after="0" w:line="312"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080"/>
          </w:cols>
          <w:pgMar w:left="220" w:top="431" w:right="5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7800" w:type="dxa"/>
            <w:vAlign w:val="bottom"/>
          </w:tcPr>
          <w:p>
            <w:pPr>
              <w:jc w:val="center"/>
              <w:ind w:left="1194"/>
              <w:spacing w:after="0"/>
              <w:rPr>
                <w:sz w:val="20"/>
                <w:szCs w:val="20"/>
                <w:color w:val="auto"/>
              </w:rPr>
            </w:pPr>
            <w:r>
              <w:rPr>
                <w:rFonts w:ascii="Arial" w:cs="Arial" w:eastAsia="Arial" w:hAnsi="Arial"/>
                <w:sz w:val="13"/>
                <w:szCs w:val="13"/>
                <w:b w:val="1"/>
                <w:bCs w:val="1"/>
                <w:color w:val="auto"/>
              </w:rPr>
              <w:t>TABLE OF CONTENTS</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02"/>
        </w:trPr>
        <w:tc>
          <w:tcPr>
            <w:tcW w:w="11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100" w:type="dxa"/>
            <w:vAlign w:val="bottom"/>
            <w:gridSpan w:val="2"/>
          </w:tcPr>
          <w:p>
            <w:pPr>
              <w:ind w:left="1820"/>
              <w:spacing w:after="0"/>
              <w:rPr>
                <w:sz w:val="20"/>
                <w:szCs w:val="20"/>
                <w:color w:val="auto"/>
              </w:rPr>
            </w:pPr>
            <w:r>
              <w:rPr>
                <w:rFonts w:ascii="Arial" w:cs="Arial" w:eastAsia="Arial" w:hAnsi="Arial"/>
                <w:sz w:val="13"/>
                <w:szCs w:val="13"/>
                <w:b w:val="1"/>
                <w:bCs w:val="1"/>
                <w:color w:val="auto"/>
                <w:w w:val="83"/>
              </w:rPr>
              <w:t>Page</w:t>
            </w:r>
          </w:p>
        </w:tc>
      </w:tr>
      <w:tr>
        <w:trPr>
          <w:trHeight w:val="685"/>
        </w:trPr>
        <w:tc>
          <w:tcPr>
            <w:tcW w:w="1180" w:type="dxa"/>
            <w:vAlign w:val="bottom"/>
          </w:tcPr>
          <w:p>
            <w:pPr>
              <w:spacing w:after="0"/>
              <w:rPr>
                <w:sz w:val="24"/>
                <w:szCs w:val="24"/>
                <w:color w:val="auto"/>
              </w:rPr>
            </w:pPr>
          </w:p>
        </w:tc>
        <w:tc>
          <w:tcPr>
            <w:tcW w:w="7800" w:type="dxa"/>
            <w:vAlign w:val="bottom"/>
          </w:tcPr>
          <w:p>
            <w:pPr>
              <w:jc w:val="center"/>
              <w:ind w:left="1194"/>
              <w:spacing w:after="0"/>
              <w:rPr>
                <w:sz w:val="20"/>
                <w:szCs w:val="20"/>
                <w:color w:val="auto"/>
              </w:rPr>
            </w:pPr>
            <w:r>
              <w:rPr>
                <w:rFonts w:ascii="Arial" w:cs="Arial" w:eastAsia="Arial" w:hAnsi="Arial"/>
                <w:sz w:val="13"/>
                <w:szCs w:val="13"/>
                <w:color w:val="auto"/>
                <w:w w:val="99"/>
              </w:rPr>
              <w:t>ARTICLE ONE</w:t>
            </w:r>
          </w:p>
        </w:tc>
        <w:tc>
          <w:tcPr>
            <w:tcW w:w="18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477"/>
        </w:trPr>
        <w:tc>
          <w:tcPr>
            <w:tcW w:w="1180" w:type="dxa"/>
            <w:vAlign w:val="bottom"/>
          </w:tcPr>
          <w:p>
            <w:pPr>
              <w:spacing w:after="0"/>
              <w:rPr>
                <w:sz w:val="24"/>
                <w:szCs w:val="24"/>
                <w:color w:val="auto"/>
              </w:rPr>
            </w:pPr>
          </w:p>
        </w:tc>
        <w:tc>
          <w:tcPr>
            <w:tcW w:w="7800" w:type="dxa"/>
            <w:vAlign w:val="bottom"/>
          </w:tcPr>
          <w:p>
            <w:pPr>
              <w:jc w:val="center"/>
              <w:ind w:left="1194"/>
              <w:spacing w:after="0"/>
              <w:rPr>
                <w:sz w:val="20"/>
                <w:szCs w:val="20"/>
                <w:color w:val="auto"/>
              </w:rPr>
            </w:pPr>
            <w:r>
              <w:rPr>
                <w:rFonts w:ascii="Arial" w:cs="Arial" w:eastAsia="Arial" w:hAnsi="Arial"/>
                <w:sz w:val="13"/>
                <w:szCs w:val="13"/>
                <w:color w:val="auto"/>
                <w:w w:val="98"/>
              </w:rPr>
              <w:t>APPLICATION OF SUPPLEMENTAL INDENTURE</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77"/>
        </w:trPr>
        <w:tc>
          <w:tcPr>
            <w:tcW w:w="1180" w:type="dxa"/>
            <w:vAlign w:val="bottom"/>
          </w:tcPr>
          <w:p>
            <w:pPr>
              <w:spacing w:after="0"/>
              <w:rPr>
                <w:sz w:val="24"/>
                <w:szCs w:val="24"/>
                <w:color w:val="auto"/>
              </w:rPr>
            </w:pPr>
          </w:p>
        </w:tc>
        <w:tc>
          <w:tcPr>
            <w:tcW w:w="7800" w:type="dxa"/>
            <w:vAlign w:val="bottom"/>
          </w:tcPr>
          <w:p>
            <w:pPr>
              <w:jc w:val="center"/>
              <w:ind w:left="1214"/>
              <w:spacing w:after="0"/>
              <w:rPr>
                <w:sz w:val="20"/>
                <w:szCs w:val="20"/>
                <w:color w:val="auto"/>
              </w:rPr>
            </w:pPr>
            <w:r>
              <w:rPr>
                <w:rFonts w:ascii="Arial" w:cs="Arial" w:eastAsia="Arial" w:hAnsi="Arial"/>
                <w:sz w:val="13"/>
                <w:szCs w:val="13"/>
                <w:color w:val="auto"/>
                <w:w w:val="99"/>
              </w:rPr>
              <w:t>AND CREATION OF THE INITIAL NOTES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31"/>
        </w:trPr>
        <w:tc>
          <w:tcPr>
            <w:tcW w:w="1180" w:type="dxa"/>
            <w:vAlign w:val="bottom"/>
          </w:tcPr>
          <w:p>
            <w:pPr>
              <w:spacing w:after="0"/>
              <w:rPr>
                <w:sz w:val="20"/>
                <w:szCs w:val="20"/>
                <w:color w:val="auto"/>
              </w:rPr>
            </w:pPr>
            <w:r>
              <w:rPr>
                <w:rFonts w:ascii="Arial" w:cs="Arial" w:eastAsia="Arial" w:hAnsi="Arial"/>
                <w:sz w:val="13"/>
                <w:szCs w:val="13"/>
                <w:color w:val="auto"/>
              </w:rPr>
              <w:t>Section 101.</w:t>
            </w:r>
          </w:p>
        </w:tc>
        <w:tc>
          <w:tcPr>
            <w:tcW w:w="7800" w:type="dxa"/>
            <w:vAlign w:val="bottom"/>
          </w:tcPr>
          <w:p>
            <w:pPr>
              <w:ind w:left="540"/>
              <w:spacing w:after="0"/>
              <w:rPr>
                <w:sz w:val="20"/>
                <w:szCs w:val="20"/>
                <w:color w:val="auto"/>
              </w:rPr>
            </w:pPr>
            <w:r>
              <w:rPr>
                <w:rFonts w:ascii="Arial" w:cs="Arial" w:eastAsia="Arial" w:hAnsi="Arial"/>
                <w:sz w:val="13"/>
                <w:szCs w:val="13"/>
                <w:color w:val="auto"/>
              </w:rPr>
              <w:t>Application of this Supplemental Indenture</w:t>
            </w:r>
          </w:p>
        </w:tc>
        <w:tc>
          <w:tcPr>
            <w:tcW w:w="2100" w:type="dxa"/>
            <w:vAlign w:val="bottom"/>
            <w:gridSpan w:val="2"/>
          </w:tcPr>
          <w:p>
            <w:pPr>
              <w:jc w:val="center"/>
              <w:ind w:left="1780"/>
              <w:spacing w:after="0"/>
              <w:rPr>
                <w:sz w:val="20"/>
                <w:szCs w:val="20"/>
                <w:color w:val="auto"/>
              </w:rPr>
            </w:pPr>
            <w:r>
              <w:rPr>
                <w:rFonts w:ascii="Arial" w:cs="Arial" w:eastAsia="Arial" w:hAnsi="Arial"/>
                <w:sz w:val="12"/>
                <w:szCs w:val="12"/>
                <w:color w:val="auto"/>
                <w:w w:val="89"/>
              </w:rPr>
              <w:t>2</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102.</w:t>
            </w:r>
          </w:p>
        </w:tc>
        <w:tc>
          <w:tcPr>
            <w:tcW w:w="7800" w:type="dxa"/>
            <w:vAlign w:val="bottom"/>
          </w:tcPr>
          <w:p>
            <w:pPr>
              <w:ind w:left="540"/>
              <w:spacing w:after="0"/>
              <w:rPr>
                <w:sz w:val="20"/>
                <w:szCs w:val="20"/>
                <w:color w:val="auto"/>
              </w:rPr>
            </w:pPr>
            <w:r>
              <w:rPr>
                <w:rFonts w:ascii="Arial" w:cs="Arial" w:eastAsia="Arial" w:hAnsi="Arial"/>
                <w:sz w:val="13"/>
                <w:szCs w:val="13"/>
                <w:color w:val="auto"/>
              </w:rPr>
              <w:t>Effect of Supplemental Indenture</w:t>
            </w:r>
          </w:p>
        </w:tc>
        <w:tc>
          <w:tcPr>
            <w:tcW w:w="2100" w:type="dxa"/>
            <w:vAlign w:val="bottom"/>
            <w:gridSpan w:val="2"/>
          </w:tcPr>
          <w:p>
            <w:pPr>
              <w:jc w:val="center"/>
              <w:ind w:left="1780"/>
              <w:spacing w:after="0"/>
              <w:rPr>
                <w:sz w:val="20"/>
                <w:szCs w:val="20"/>
                <w:color w:val="auto"/>
              </w:rPr>
            </w:pPr>
            <w:r>
              <w:rPr>
                <w:rFonts w:ascii="Arial" w:cs="Arial" w:eastAsia="Arial" w:hAnsi="Arial"/>
                <w:sz w:val="12"/>
                <w:szCs w:val="12"/>
                <w:color w:val="auto"/>
                <w:w w:val="89"/>
              </w:rPr>
              <w:t>2</w:t>
            </w:r>
          </w:p>
        </w:tc>
      </w:tr>
      <w:tr>
        <w:trPr>
          <w:trHeight w:val="376"/>
        </w:trPr>
        <w:tc>
          <w:tcPr>
            <w:tcW w:w="1180" w:type="dxa"/>
            <w:vAlign w:val="bottom"/>
          </w:tcPr>
          <w:p>
            <w:pPr>
              <w:spacing w:after="0"/>
              <w:rPr>
                <w:sz w:val="24"/>
                <w:szCs w:val="24"/>
                <w:color w:val="auto"/>
              </w:rPr>
            </w:pPr>
          </w:p>
        </w:tc>
        <w:tc>
          <w:tcPr>
            <w:tcW w:w="7800" w:type="dxa"/>
            <w:vAlign w:val="bottom"/>
          </w:tcPr>
          <w:p>
            <w:pPr>
              <w:jc w:val="center"/>
              <w:ind w:left="1214"/>
              <w:spacing w:after="0"/>
              <w:rPr>
                <w:sz w:val="20"/>
                <w:szCs w:val="20"/>
                <w:color w:val="auto"/>
              </w:rPr>
            </w:pPr>
            <w:r>
              <w:rPr>
                <w:rFonts w:ascii="Arial" w:cs="Arial" w:eastAsia="Arial" w:hAnsi="Arial"/>
                <w:sz w:val="12"/>
                <w:szCs w:val="12"/>
                <w:color w:val="auto"/>
                <w:w w:val="97"/>
              </w:rPr>
              <w:t>ARTICLE TWO</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5"/>
        </w:trPr>
        <w:tc>
          <w:tcPr>
            <w:tcW w:w="1180" w:type="dxa"/>
            <w:vAlign w:val="bottom"/>
          </w:tcPr>
          <w:p>
            <w:pPr>
              <w:spacing w:after="0"/>
              <w:rPr>
                <w:sz w:val="24"/>
                <w:szCs w:val="24"/>
                <w:color w:val="auto"/>
              </w:rPr>
            </w:pPr>
          </w:p>
        </w:tc>
        <w:tc>
          <w:tcPr>
            <w:tcW w:w="7800" w:type="dxa"/>
            <w:vAlign w:val="bottom"/>
          </w:tcPr>
          <w:p>
            <w:pPr>
              <w:jc w:val="center"/>
              <w:ind w:left="1194"/>
              <w:spacing w:after="0"/>
              <w:rPr>
                <w:sz w:val="20"/>
                <w:szCs w:val="20"/>
                <w:color w:val="auto"/>
              </w:rPr>
            </w:pPr>
            <w:r>
              <w:rPr>
                <w:rFonts w:ascii="Arial" w:cs="Arial" w:eastAsia="Arial" w:hAnsi="Arial"/>
                <w:sz w:val="13"/>
                <w:szCs w:val="13"/>
                <w:color w:val="auto"/>
                <w:w w:val="97"/>
              </w:rPr>
              <w:t>DEFINITIONS AND OTHER PROVISIONS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77"/>
        </w:trPr>
        <w:tc>
          <w:tcPr>
            <w:tcW w:w="1180" w:type="dxa"/>
            <w:vAlign w:val="bottom"/>
          </w:tcPr>
          <w:p>
            <w:pPr>
              <w:spacing w:after="0"/>
              <w:rPr>
                <w:sz w:val="24"/>
                <w:szCs w:val="24"/>
                <w:color w:val="auto"/>
              </w:rPr>
            </w:pPr>
          </w:p>
        </w:tc>
        <w:tc>
          <w:tcPr>
            <w:tcW w:w="7800" w:type="dxa"/>
            <w:vAlign w:val="bottom"/>
          </w:tcPr>
          <w:p>
            <w:pPr>
              <w:jc w:val="center"/>
              <w:ind w:left="1194"/>
              <w:spacing w:after="0"/>
              <w:rPr>
                <w:sz w:val="20"/>
                <w:szCs w:val="20"/>
                <w:color w:val="auto"/>
              </w:rPr>
            </w:pPr>
            <w:r>
              <w:rPr>
                <w:rFonts w:ascii="Arial" w:cs="Arial" w:eastAsia="Arial" w:hAnsi="Arial"/>
                <w:sz w:val="13"/>
                <w:szCs w:val="13"/>
                <w:color w:val="auto"/>
                <w:w w:val="98"/>
              </w:rPr>
              <w:t>OF GENERAL APPLICATION</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31"/>
        </w:trPr>
        <w:tc>
          <w:tcPr>
            <w:tcW w:w="1180" w:type="dxa"/>
            <w:vAlign w:val="bottom"/>
          </w:tcPr>
          <w:p>
            <w:pPr>
              <w:spacing w:after="0"/>
              <w:rPr>
                <w:sz w:val="20"/>
                <w:szCs w:val="20"/>
                <w:color w:val="auto"/>
              </w:rPr>
            </w:pPr>
            <w:r>
              <w:rPr>
                <w:rFonts w:ascii="Arial" w:cs="Arial" w:eastAsia="Arial" w:hAnsi="Arial"/>
                <w:sz w:val="13"/>
                <w:szCs w:val="13"/>
                <w:color w:val="auto"/>
              </w:rPr>
              <w:t>Section 201.</w:t>
            </w:r>
          </w:p>
        </w:tc>
        <w:tc>
          <w:tcPr>
            <w:tcW w:w="7800" w:type="dxa"/>
            <w:vAlign w:val="bottom"/>
          </w:tcPr>
          <w:p>
            <w:pPr>
              <w:ind w:left="540"/>
              <w:spacing w:after="0"/>
              <w:rPr>
                <w:sz w:val="20"/>
                <w:szCs w:val="20"/>
                <w:color w:val="auto"/>
              </w:rPr>
            </w:pPr>
            <w:r>
              <w:rPr>
                <w:rFonts w:ascii="Arial" w:cs="Arial" w:eastAsia="Arial" w:hAnsi="Arial"/>
                <w:sz w:val="13"/>
                <w:szCs w:val="13"/>
                <w:color w:val="auto"/>
              </w:rPr>
              <w:t>Definitions</w:t>
            </w:r>
          </w:p>
        </w:tc>
        <w:tc>
          <w:tcPr>
            <w:tcW w:w="2100" w:type="dxa"/>
            <w:vAlign w:val="bottom"/>
            <w:gridSpan w:val="2"/>
          </w:tcPr>
          <w:p>
            <w:pPr>
              <w:jc w:val="center"/>
              <w:ind w:left="1780"/>
              <w:spacing w:after="0"/>
              <w:rPr>
                <w:sz w:val="20"/>
                <w:szCs w:val="20"/>
                <w:color w:val="auto"/>
              </w:rPr>
            </w:pPr>
            <w:r>
              <w:rPr>
                <w:rFonts w:ascii="Arial" w:cs="Arial" w:eastAsia="Arial" w:hAnsi="Arial"/>
                <w:sz w:val="12"/>
                <w:szCs w:val="12"/>
                <w:color w:val="auto"/>
                <w:w w:val="89"/>
              </w:rPr>
              <w:t>3</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202.</w:t>
            </w:r>
          </w:p>
        </w:tc>
        <w:tc>
          <w:tcPr>
            <w:tcW w:w="7800" w:type="dxa"/>
            <w:vAlign w:val="bottom"/>
          </w:tcPr>
          <w:p>
            <w:pPr>
              <w:ind w:left="540"/>
              <w:spacing w:after="0"/>
              <w:rPr>
                <w:sz w:val="20"/>
                <w:szCs w:val="20"/>
                <w:color w:val="auto"/>
              </w:rPr>
            </w:pPr>
            <w:r>
              <w:rPr>
                <w:rFonts w:ascii="Arial" w:cs="Arial" w:eastAsia="Arial" w:hAnsi="Arial"/>
                <w:sz w:val="13"/>
                <w:szCs w:val="13"/>
                <w:color w:val="auto"/>
              </w:rPr>
              <w:t>Compliance Certificates and Opinions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29</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203.</w:t>
            </w:r>
          </w:p>
        </w:tc>
        <w:tc>
          <w:tcPr>
            <w:tcW w:w="7800" w:type="dxa"/>
            <w:vAlign w:val="bottom"/>
          </w:tcPr>
          <w:p>
            <w:pPr>
              <w:ind w:left="540"/>
              <w:spacing w:after="0"/>
              <w:rPr>
                <w:sz w:val="20"/>
                <w:szCs w:val="20"/>
                <w:color w:val="auto"/>
              </w:rPr>
            </w:pPr>
            <w:r>
              <w:rPr>
                <w:rFonts w:ascii="Arial" w:cs="Arial" w:eastAsia="Arial" w:hAnsi="Arial"/>
                <w:sz w:val="13"/>
                <w:szCs w:val="13"/>
                <w:color w:val="auto"/>
              </w:rPr>
              <w:t>Form of Documents Delivered to Trustee</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30</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204.</w:t>
            </w:r>
          </w:p>
        </w:tc>
        <w:tc>
          <w:tcPr>
            <w:tcW w:w="7800" w:type="dxa"/>
            <w:vAlign w:val="bottom"/>
          </w:tcPr>
          <w:p>
            <w:pPr>
              <w:ind w:left="540"/>
              <w:spacing w:after="0"/>
              <w:rPr>
                <w:sz w:val="20"/>
                <w:szCs w:val="20"/>
                <w:color w:val="auto"/>
              </w:rPr>
            </w:pPr>
            <w:r>
              <w:rPr>
                <w:rFonts w:ascii="Arial" w:cs="Arial" w:eastAsia="Arial" w:hAnsi="Arial"/>
                <w:sz w:val="13"/>
                <w:szCs w:val="13"/>
                <w:color w:val="auto"/>
              </w:rPr>
              <w:t>Acts of Holders; Record Dates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30</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205.</w:t>
            </w:r>
          </w:p>
        </w:tc>
        <w:tc>
          <w:tcPr>
            <w:tcW w:w="7800" w:type="dxa"/>
            <w:vAlign w:val="bottom"/>
          </w:tcPr>
          <w:p>
            <w:pPr>
              <w:ind w:left="540"/>
              <w:spacing w:after="0"/>
              <w:rPr>
                <w:sz w:val="20"/>
                <w:szCs w:val="20"/>
                <w:color w:val="auto"/>
              </w:rPr>
            </w:pPr>
            <w:r>
              <w:rPr>
                <w:rFonts w:ascii="Arial" w:cs="Arial" w:eastAsia="Arial" w:hAnsi="Arial"/>
                <w:sz w:val="13"/>
                <w:szCs w:val="13"/>
                <w:color w:val="auto"/>
              </w:rPr>
              <w:t>Notices, Etc., to Trustee, Issuer and Guarantors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32</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206.</w:t>
            </w:r>
          </w:p>
        </w:tc>
        <w:tc>
          <w:tcPr>
            <w:tcW w:w="7800" w:type="dxa"/>
            <w:vAlign w:val="bottom"/>
          </w:tcPr>
          <w:p>
            <w:pPr>
              <w:ind w:left="540"/>
              <w:spacing w:after="0"/>
              <w:rPr>
                <w:sz w:val="20"/>
                <w:szCs w:val="20"/>
                <w:color w:val="auto"/>
              </w:rPr>
            </w:pPr>
            <w:r>
              <w:rPr>
                <w:rFonts w:ascii="Arial" w:cs="Arial" w:eastAsia="Arial" w:hAnsi="Arial"/>
                <w:sz w:val="13"/>
                <w:szCs w:val="13"/>
                <w:color w:val="auto"/>
              </w:rPr>
              <w:t>Notice to Holders; Waiver</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32</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207.</w:t>
            </w:r>
          </w:p>
        </w:tc>
        <w:tc>
          <w:tcPr>
            <w:tcW w:w="7800" w:type="dxa"/>
            <w:vAlign w:val="bottom"/>
          </w:tcPr>
          <w:p>
            <w:pPr>
              <w:ind w:left="540"/>
              <w:spacing w:after="0"/>
              <w:rPr>
                <w:sz w:val="20"/>
                <w:szCs w:val="20"/>
                <w:color w:val="auto"/>
              </w:rPr>
            </w:pPr>
            <w:r>
              <w:rPr>
                <w:rFonts w:ascii="Arial" w:cs="Arial" w:eastAsia="Arial" w:hAnsi="Arial"/>
                <w:sz w:val="13"/>
                <w:szCs w:val="13"/>
                <w:color w:val="auto"/>
              </w:rPr>
              <w:t>Conflict with Trust Indenture Act</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32</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208.</w:t>
            </w:r>
          </w:p>
        </w:tc>
        <w:tc>
          <w:tcPr>
            <w:tcW w:w="7800" w:type="dxa"/>
            <w:vAlign w:val="bottom"/>
          </w:tcPr>
          <w:p>
            <w:pPr>
              <w:ind w:left="540"/>
              <w:spacing w:after="0"/>
              <w:rPr>
                <w:sz w:val="20"/>
                <w:szCs w:val="20"/>
                <w:color w:val="auto"/>
              </w:rPr>
            </w:pPr>
            <w:r>
              <w:rPr>
                <w:rFonts w:ascii="Arial" w:cs="Arial" w:eastAsia="Arial" w:hAnsi="Arial"/>
                <w:sz w:val="13"/>
                <w:szCs w:val="13"/>
                <w:color w:val="auto"/>
              </w:rPr>
              <w:t>Effect of Headings and Table of Contents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33</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209.</w:t>
            </w:r>
          </w:p>
        </w:tc>
        <w:tc>
          <w:tcPr>
            <w:tcW w:w="7800" w:type="dxa"/>
            <w:vAlign w:val="bottom"/>
          </w:tcPr>
          <w:p>
            <w:pPr>
              <w:ind w:left="540"/>
              <w:spacing w:after="0"/>
              <w:rPr>
                <w:sz w:val="20"/>
                <w:szCs w:val="20"/>
                <w:color w:val="auto"/>
              </w:rPr>
            </w:pPr>
            <w:r>
              <w:rPr>
                <w:rFonts w:ascii="Arial" w:cs="Arial" w:eastAsia="Arial" w:hAnsi="Arial"/>
                <w:sz w:val="13"/>
                <w:szCs w:val="13"/>
                <w:color w:val="auto"/>
              </w:rPr>
              <w:t>Successors and Assigns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33</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210.</w:t>
            </w:r>
          </w:p>
        </w:tc>
        <w:tc>
          <w:tcPr>
            <w:tcW w:w="7800" w:type="dxa"/>
            <w:vAlign w:val="bottom"/>
          </w:tcPr>
          <w:p>
            <w:pPr>
              <w:ind w:left="540"/>
              <w:spacing w:after="0"/>
              <w:rPr>
                <w:sz w:val="20"/>
                <w:szCs w:val="20"/>
                <w:color w:val="auto"/>
              </w:rPr>
            </w:pPr>
            <w:r>
              <w:rPr>
                <w:rFonts w:ascii="Arial" w:cs="Arial" w:eastAsia="Arial" w:hAnsi="Arial"/>
                <w:sz w:val="13"/>
                <w:szCs w:val="13"/>
                <w:color w:val="auto"/>
              </w:rPr>
              <w:t>Separability Clause</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33</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211.</w:t>
            </w:r>
          </w:p>
        </w:tc>
        <w:tc>
          <w:tcPr>
            <w:tcW w:w="7800" w:type="dxa"/>
            <w:vAlign w:val="bottom"/>
          </w:tcPr>
          <w:p>
            <w:pPr>
              <w:ind w:left="540"/>
              <w:spacing w:after="0"/>
              <w:rPr>
                <w:sz w:val="20"/>
                <w:szCs w:val="20"/>
                <w:color w:val="auto"/>
              </w:rPr>
            </w:pPr>
            <w:r>
              <w:rPr>
                <w:rFonts w:ascii="Arial" w:cs="Arial" w:eastAsia="Arial" w:hAnsi="Arial"/>
                <w:sz w:val="13"/>
                <w:szCs w:val="13"/>
                <w:color w:val="auto"/>
              </w:rPr>
              <w:t>Benefits of Indenture</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33</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212.</w:t>
            </w:r>
          </w:p>
        </w:tc>
        <w:tc>
          <w:tcPr>
            <w:tcW w:w="7800" w:type="dxa"/>
            <w:vAlign w:val="bottom"/>
          </w:tcPr>
          <w:p>
            <w:pPr>
              <w:ind w:left="540"/>
              <w:spacing w:after="0"/>
              <w:rPr>
                <w:sz w:val="20"/>
                <w:szCs w:val="20"/>
                <w:color w:val="auto"/>
              </w:rPr>
            </w:pPr>
            <w:r>
              <w:rPr>
                <w:rFonts w:ascii="Arial" w:cs="Arial" w:eastAsia="Arial" w:hAnsi="Arial"/>
                <w:sz w:val="13"/>
                <w:szCs w:val="13"/>
                <w:color w:val="auto"/>
              </w:rPr>
              <w:t>Governing Law; Submission to Jurisdiction</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33</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213.</w:t>
            </w:r>
          </w:p>
        </w:tc>
        <w:tc>
          <w:tcPr>
            <w:tcW w:w="7800" w:type="dxa"/>
            <w:vAlign w:val="bottom"/>
          </w:tcPr>
          <w:p>
            <w:pPr>
              <w:ind w:left="540"/>
              <w:spacing w:after="0"/>
              <w:rPr>
                <w:sz w:val="20"/>
                <w:szCs w:val="20"/>
                <w:color w:val="auto"/>
              </w:rPr>
            </w:pPr>
            <w:r>
              <w:rPr>
                <w:rFonts w:ascii="Arial" w:cs="Arial" w:eastAsia="Arial" w:hAnsi="Arial"/>
                <w:sz w:val="13"/>
                <w:szCs w:val="13"/>
                <w:color w:val="auto"/>
              </w:rPr>
              <w:t>Legal Holidays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34</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214.</w:t>
            </w:r>
          </w:p>
        </w:tc>
        <w:tc>
          <w:tcPr>
            <w:tcW w:w="7800" w:type="dxa"/>
            <w:vAlign w:val="bottom"/>
          </w:tcPr>
          <w:p>
            <w:pPr>
              <w:ind w:left="540"/>
              <w:spacing w:after="0"/>
              <w:rPr>
                <w:sz w:val="20"/>
                <w:szCs w:val="20"/>
                <w:color w:val="auto"/>
              </w:rPr>
            </w:pPr>
            <w:r>
              <w:rPr>
                <w:rFonts w:ascii="Arial" w:cs="Arial" w:eastAsia="Arial" w:hAnsi="Arial"/>
                <w:sz w:val="13"/>
                <w:szCs w:val="13"/>
                <w:color w:val="auto"/>
              </w:rPr>
              <w:t>No Personal Liability of Directors, Officers, Employees and Shareholders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34</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215.</w:t>
            </w:r>
          </w:p>
        </w:tc>
        <w:tc>
          <w:tcPr>
            <w:tcW w:w="7800" w:type="dxa"/>
            <w:vAlign w:val="bottom"/>
          </w:tcPr>
          <w:p>
            <w:pPr>
              <w:ind w:left="540"/>
              <w:spacing w:after="0"/>
              <w:rPr>
                <w:sz w:val="20"/>
                <w:szCs w:val="20"/>
                <w:color w:val="auto"/>
              </w:rPr>
            </w:pPr>
            <w:r>
              <w:rPr>
                <w:rFonts w:ascii="Arial" w:cs="Arial" w:eastAsia="Arial" w:hAnsi="Arial"/>
                <w:sz w:val="13"/>
                <w:szCs w:val="13"/>
                <w:color w:val="auto"/>
              </w:rPr>
              <w:t>No Adverse Interpretation of Other Agreements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34</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216.</w:t>
            </w:r>
          </w:p>
        </w:tc>
        <w:tc>
          <w:tcPr>
            <w:tcW w:w="7800" w:type="dxa"/>
            <w:vAlign w:val="bottom"/>
          </w:tcPr>
          <w:p>
            <w:pPr>
              <w:ind w:left="540"/>
              <w:spacing w:after="0"/>
              <w:rPr>
                <w:sz w:val="20"/>
                <w:szCs w:val="20"/>
                <w:color w:val="auto"/>
              </w:rPr>
            </w:pPr>
            <w:r>
              <w:rPr>
                <w:rFonts w:ascii="Arial" w:cs="Arial" w:eastAsia="Arial" w:hAnsi="Arial"/>
                <w:sz w:val="13"/>
                <w:szCs w:val="13"/>
                <w:color w:val="auto"/>
              </w:rPr>
              <w:t>U.S.A. PATRIOT Act</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34</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217.</w:t>
            </w:r>
          </w:p>
        </w:tc>
        <w:tc>
          <w:tcPr>
            <w:tcW w:w="7800" w:type="dxa"/>
            <w:vAlign w:val="bottom"/>
          </w:tcPr>
          <w:p>
            <w:pPr>
              <w:ind w:left="540"/>
              <w:spacing w:after="0"/>
              <w:rPr>
                <w:sz w:val="20"/>
                <w:szCs w:val="20"/>
                <w:color w:val="auto"/>
              </w:rPr>
            </w:pPr>
            <w:r>
              <w:rPr>
                <w:rFonts w:ascii="Arial" w:cs="Arial" w:eastAsia="Arial" w:hAnsi="Arial"/>
                <w:sz w:val="13"/>
                <w:szCs w:val="13"/>
                <w:color w:val="auto"/>
              </w:rPr>
              <w:t>Payment in Required Currency; Judgment Currency</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34</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218.</w:t>
            </w:r>
          </w:p>
        </w:tc>
        <w:tc>
          <w:tcPr>
            <w:tcW w:w="7800" w:type="dxa"/>
            <w:vAlign w:val="bottom"/>
          </w:tcPr>
          <w:p>
            <w:pPr>
              <w:ind w:left="540"/>
              <w:spacing w:after="0"/>
              <w:rPr>
                <w:sz w:val="20"/>
                <w:szCs w:val="20"/>
                <w:color w:val="auto"/>
              </w:rPr>
            </w:pPr>
            <w:r>
              <w:rPr>
                <w:rFonts w:ascii="Arial" w:cs="Arial" w:eastAsia="Arial" w:hAnsi="Arial"/>
                <w:sz w:val="13"/>
                <w:szCs w:val="13"/>
                <w:color w:val="auto"/>
              </w:rPr>
              <w:t>Language of Notices, Etc.</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35</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219.</w:t>
            </w:r>
          </w:p>
        </w:tc>
        <w:tc>
          <w:tcPr>
            <w:tcW w:w="7800" w:type="dxa"/>
            <w:vAlign w:val="bottom"/>
          </w:tcPr>
          <w:p>
            <w:pPr>
              <w:ind w:left="540"/>
              <w:spacing w:after="0"/>
              <w:rPr>
                <w:sz w:val="20"/>
                <w:szCs w:val="20"/>
                <w:color w:val="auto"/>
              </w:rPr>
            </w:pPr>
            <w:r>
              <w:rPr>
                <w:rFonts w:ascii="Arial" w:cs="Arial" w:eastAsia="Arial" w:hAnsi="Arial"/>
                <w:sz w:val="13"/>
                <w:szCs w:val="13"/>
                <w:color w:val="auto"/>
              </w:rPr>
              <w:t>Counterpart Originals.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35</w:t>
            </w:r>
          </w:p>
        </w:tc>
      </w:tr>
      <w:tr>
        <w:trPr>
          <w:trHeight w:val="531"/>
        </w:trPr>
        <w:tc>
          <w:tcPr>
            <w:tcW w:w="1180" w:type="dxa"/>
            <w:vAlign w:val="bottom"/>
          </w:tcPr>
          <w:p>
            <w:pPr>
              <w:spacing w:after="0"/>
              <w:rPr>
                <w:sz w:val="24"/>
                <w:szCs w:val="24"/>
                <w:color w:val="auto"/>
              </w:rPr>
            </w:pPr>
          </w:p>
        </w:tc>
        <w:tc>
          <w:tcPr>
            <w:tcW w:w="7800" w:type="dxa"/>
            <w:vAlign w:val="bottom"/>
          </w:tcPr>
          <w:p>
            <w:pPr>
              <w:jc w:val="center"/>
              <w:ind w:left="1214"/>
              <w:spacing w:after="0"/>
              <w:rPr>
                <w:sz w:val="20"/>
                <w:szCs w:val="20"/>
                <w:color w:val="auto"/>
              </w:rPr>
            </w:pPr>
            <w:r>
              <w:rPr>
                <w:rFonts w:ascii="Arial" w:cs="Arial" w:eastAsia="Arial" w:hAnsi="Arial"/>
                <w:sz w:val="13"/>
                <w:szCs w:val="13"/>
                <w:color w:val="auto"/>
                <w:w w:val="97"/>
              </w:rPr>
              <w:t>ARTICLE THREE</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77"/>
        </w:trPr>
        <w:tc>
          <w:tcPr>
            <w:tcW w:w="1180" w:type="dxa"/>
            <w:vAlign w:val="bottom"/>
          </w:tcPr>
          <w:p>
            <w:pPr>
              <w:spacing w:after="0"/>
              <w:rPr>
                <w:sz w:val="24"/>
                <w:szCs w:val="24"/>
                <w:color w:val="auto"/>
              </w:rPr>
            </w:pPr>
          </w:p>
        </w:tc>
        <w:tc>
          <w:tcPr>
            <w:tcW w:w="7800" w:type="dxa"/>
            <w:vAlign w:val="bottom"/>
          </w:tcPr>
          <w:p>
            <w:pPr>
              <w:jc w:val="center"/>
              <w:ind w:left="1214"/>
              <w:spacing w:after="0"/>
              <w:rPr>
                <w:sz w:val="20"/>
                <w:szCs w:val="20"/>
                <w:color w:val="auto"/>
              </w:rPr>
            </w:pPr>
            <w:r>
              <w:rPr>
                <w:rFonts w:ascii="Arial" w:cs="Arial" w:eastAsia="Arial" w:hAnsi="Arial"/>
                <w:sz w:val="13"/>
                <w:szCs w:val="13"/>
                <w:color w:val="auto"/>
                <w:w w:val="96"/>
              </w:rPr>
              <w:t>NOTE FORMS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31"/>
        </w:trPr>
        <w:tc>
          <w:tcPr>
            <w:tcW w:w="1180" w:type="dxa"/>
            <w:vAlign w:val="bottom"/>
          </w:tcPr>
          <w:p>
            <w:pPr>
              <w:spacing w:after="0"/>
              <w:rPr>
                <w:sz w:val="20"/>
                <w:szCs w:val="20"/>
                <w:color w:val="auto"/>
              </w:rPr>
            </w:pPr>
            <w:r>
              <w:rPr>
                <w:rFonts w:ascii="Arial" w:cs="Arial" w:eastAsia="Arial" w:hAnsi="Arial"/>
                <w:sz w:val="13"/>
                <w:szCs w:val="13"/>
                <w:color w:val="auto"/>
              </w:rPr>
              <w:t>Section 301.</w:t>
            </w:r>
          </w:p>
        </w:tc>
        <w:tc>
          <w:tcPr>
            <w:tcW w:w="7800" w:type="dxa"/>
            <w:vAlign w:val="bottom"/>
          </w:tcPr>
          <w:p>
            <w:pPr>
              <w:ind w:left="540"/>
              <w:spacing w:after="0"/>
              <w:rPr>
                <w:sz w:val="20"/>
                <w:szCs w:val="20"/>
                <w:color w:val="auto"/>
              </w:rPr>
            </w:pPr>
            <w:r>
              <w:rPr>
                <w:rFonts w:ascii="Arial" w:cs="Arial" w:eastAsia="Arial" w:hAnsi="Arial"/>
                <w:sz w:val="13"/>
                <w:szCs w:val="13"/>
                <w:color w:val="auto"/>
              </w:rPr>
              <w:t>Forms Generally</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35</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302.</w:t>
            </w:r>
          </w:p>
        </w:tc>
        <w:tc>
          <w:tcPr>
            <w:tcW w:w="7800" w:type="dxa"/>
            <w:vAlign w:val="bottom"/>
          </w:tcPr>
          <w:p>
            <w:pPr>
              <w:ind w:left="540"/>
              <w:spacing w:after="0"/>
              <w:rPr>
                <w:sz w:val="20"/>
                <w:szCs w:val="20"/>
                <w:color w:val="auto"/>
              </w:rPr>
            </w:pPr>
            <w:r>
              <w:rPr>
                <w:rFonts w:ascii="Arial" w:cs="Arial" w:eastAsia="Arial" w:hAnsi="Arial"/>
                <w:sz w:val="13"/>
                <w:szCs w:val="13"/>
                <w:color w:val="auto"/>
              </w:rPr>
              <w:t>Legends for Notes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36</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303.</w:t>
            </w:r>
          </w:p>
        </w:tc>
        <w:tc>
          <w:tcPr>
            <w:tcW w:w="7800" w:type="dxa"/>
            <w:vAlign w:val="bottom"/>
          </w:tcPr>
          <w:p>
            <w:pPr>
              <w:ind w:left="540"/>
              <w:spacing w:after="0"/>
              <w:rPr>
                <w:sz w:val="20"/>
                <w:szCs w:val="20"/>
                <w:color w:val="auto"/>
              </w:rPr>
            </w:pPr>
            <w:r>
              <w:rPr>
                <w:rFonts w:ascii="Arial" w:cs="Arial" w:eastAsia="Arial" w:hAnsi="Arial"/>
                <w:sz w:val="13"/>
                <w:szCs w:val="13"/>
                <w:color w:val="auto"/>
              </w:rPr>
              <w:t>Global Notes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37</w:t>
            </w:r>
          </w:p>
        </w:tc>
      </w:tr>
      <w:tr>
        <w:trPr>
          <w:trHeight w:val="387"/>
        </w:trPr>
        <w:tc>
          <w:tcPr>
            <w:tcW w:w="1180" w:type="dxa"/>
            <w:vAlign w:val="bottom"/>
          </w:tcPr>
          <w:p>
            <w:pPr>
              <w:spacing w:after="0"/>
              <w:rPr>
                <w:sz w:val="24"/>
                <w:szCs w:val="24"/>
                <w:color w:val="auto"/>
              </w:rPr>
            </w:pPr>
          </w:p>
        </w:tc>
        <w:tc>
          <w:tcPr>
            <w:tcW w:w="7800" w:type="dxa"/>
            <w:vAlign w:val="bottom"/>
          </w:tcPr>
          <w:p>
            <w:pPr>
              <w:jc w:val="center"/>
              <w:ind w:left="1194"/>
              <w:spacing w:after="0"/>
              <w:rPr>
                <w:sz w:val="20"/>
                <w:szCs w:val="20"/>
                <w:color w:val="auto"/>
              </w:rPr>
            </w:pPr>
            <w:r>
              <w:rPr>
                <w:rFonts w:ascii="Arial" w:cs="Arial" w:eastAsia="Arial" w:hAnsi="Arial"/>
                <w:sz w:val="13"/>
                <w:szCs w:val="13"/>
                <w:color w:val="auto"/>
                <w:w w:val="98"/>
              </w:rPr>
              <w:t>ARTICLE FOUR</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9"/>
        </w:trPr>
        <w:tc>
          <w:tcPr>
            <w:tcW w:w="1180" w:type="dxa"/>
            <w:vAlign w:val="bottom"/>
          </w:tcPr>
          <w:p>
            <w:pPr>
              <w:spacing w:after="0"/>
              <w:rPr>
                <w:sz w:val="16"/>
                <w:szCs w:val="16"/>
                <w:color w:val="auto"/>
              </w:rPr>
            </w:pPr>
          </w:p>
        </w:tc>
        <w:tc>
          <w:tcPr>
            <w:tcW w:w="7800" w:type="dxa"/>
            <w:vAlign w:val="bottom"/>
          </w:tcPr>
          <w:p>
            <w:pPr>
              <w:jc w:val="center"/>
              <w:ind w:left="1214"/>
              <w:spacing w:after="0"/>
              <w:rPr>
                <w:sz w:val="20"/>
                <w:szCs w:val="20"/>
                <w:color w:val="auto"/>
              </w:rPr>
            </w:pPr>
            <w:r>
              <w:rPr>
                <w:rFonts w:ascii="Arial" w:cs="Arial" w:eastAsia="Arial" w:hAnsi="Arial"/>
                <w:sz w:val="13"/>
                <w:szCs w:val="13"/>
                <w:color w:val="auto"/>
                <w:w w:val="97"/>
              </w:rPr>
              <w:t>THE NOTE</w:t>
            </w: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87"/>
        </w:trPr>
        <w:tc>
          <w:tcPr>
            <w:tcW w:w="1180" w:type="dxa"/>
            <w:vAlign w:val="bottom"/>
          </w:tcPr>
          <w:p>
            <w:pPr>
              <w:spacing w:after="0"/>
              <w:rPr>
                <w:sz w:val="20"/>
                <w:szCs w:val="20"/>
                <w:color w:val="auto"/>
              </w:rPr>
            </w:pPr>
            <w:r>
              <w:rPr>
                <w:rFonts w:ascii="Arial" w:cs="Arial" w:eastAsia="Arial" w:hAnsi="Arial"/>
                <w:sz w:val="13"/>
                <w:szCs w:val="13"/>
                <w:color w:val="auto"/>
              </w:rPr>
              <w:t>Section 401.</w:t>
            </w:r>
          </w:p>
        </w:tc>
        <w:tc>
          <w:tcPr>
            <w:tcW w:w="7800" w:type="dxa"/>
            <w:vAlign w:val="bottom"/>
          </w:tcPr>
          <w:p>
            <w:pPr>
              <w:ind w:left="540"/>
              <w:spacing w:after="0"/>
              <w:rPr>
                <w:sz w:val="20"/>
                <w:szCs w:val="20"/>
                <w:color w:val="auto"/>
              </w:rPr>
            </w:pPr>
            <w:r>
              <w:rPr>
                <w:rFonts w:ascii="Arial" w:cs="Arial" w:eastAsia="Arial" w:hAnsi="Arial"/>
                <w:sz w:val="13"/>
                <w:szCs w:val="13"/>
                <w:color w:val="auto"/>
              </w:rPr>
              <w:t>Title and Terms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39</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402.</w:t>
            </w:r>
          </w:p>
        </w:tc>
        <w:tc>
          <w:tcPr>
            <w:tcW w:w="7800" w:type="dxa"/>
            <w:vAlign w:val="bottom"/>
          </w:tcPr>
          <w:p>
            <w:pPr>
              <w:ind w:left="540"/>
              <w:spacing w:after="0"/>
              <w:rPr>
                <w:sz w:val="20"/>
                <w:szCs w:val="20"/>
                <w:color w:val="auto"/>
              </w:rPr>
            </w:pPr>
            <w:r>
              <w:rPr>
                <w:rFonts w:ascii="Arial" w:cs="Arial" w:eastAsia="Arial" w:hAnsi="Arial"/>
                <w:sz w:val="13"/>
                <w:szCs w:val="13"/>
                <w:color w:val="auto"/>
              </w:rPr>
              <w:t>Denominations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40</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403.</w:t>
            </w:r>
          </w:p>
        </w:tc>
        <w:tc>
          <w:tcPr>
            <w:tcW w:w="7800" w:type="dxa"/>
            <w:vAlign w:val="bottom"/>
          </w:tcPr>
          <w:p>
            <w:pPr>
              <w:ind w:left="540"/>
              <w:spacing w:after="0"/>
              <w:rPr>
                <w:sz w:val="20"/>
                <w:szCs w:val="20"/>
                <w:color w:val="auto"/>
              </w:rPr>
            </w:pPr>
            <w:r>
              <w:rPr>
                <w:rFonts w:ascii="Arial" w:cs="Arial" w:eastAsia="Arial" w:hAnsi="Arial"/>
                <w:sz w:val="13"/>
                <w:szCs w:val="13"/>
                <w:color w:val="auto"/>
              </w:rPr>
              <w:t>Execution, Authentication, Delivery and Dating</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40</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404.</w:t>
            </w:r>
          </w:p>
        </w:tc>
        <w:tc>
          <w:tcPr>
            <w:tcW w:w="7800" w:type="dxa"/>
            <w:vAlign w:val="bottom"/>
          </w:tcPr>
          <w:p>
            <w:pPr>
              <w:ind w:left="540"/>
              <w:spacing w:after="0"/>
              <w:rPr>
                <w:sz w:val="20"/>
                <w:szCs w:val="20"/>
                <w:color w:val="auto"/>
              </w:rPr>
            </w:pPr>
            <w:r>
              <w:rPr>
                <w:rFonts w:ascii="Arial" w:cs="Arial" w:eastAsia="Arial" w:hAnsi="Arial"/>
                <w:sz w:val="13"/>
                <w:szCs w:val="13"/>
                <w:color w:val="auto"/>
              </w:rPr>
              <w:t>Temporary Securities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40</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405.</w:t>
            </w:r>
          </w:p>
        </w:tc>
        <w:tc>
          <w:tcPr>
            <w:tcW w:w="7800" w:type="dxa"/>
            <w:vAlign w:val="bottom"/>
          </w:tcPr>
          <w:p>
            <w:pPr>
              <w:ind w:left="540"/>
              <w:spacing w:after="0"/>
              <w:rPr>
                <w:sz w:val="20"/>
                <w:szCs w:val="20"/>
                <w:color w:val="auto"/>
              </w:rPr>
            </w:pPr>
            <w:r>
              <w:rPr>
                <w:rFonts w:ascii="Arial" w:cs="Arial" w:eastAsia="Arial" w:hAnsi="Arial"/>
                <w:sz w:val="13"/>
                <w:szCs w:val="13"/>
                <w:color w:val="auto"/>
              </w:rPr>
              <w:t>Registrar, Global Notes and Definitive Notes</w:t>
            </w:r>
          </w:p>
        </w:tc>
        <w:tc>
          <w:tcPr>
            <w:tcW w:w="2100" w:type="dxa"/>
            <w:vAlign w:val="bottom"/>
            <w:gridSpan w:val="2"/>
          </w:tcPr>
          <w:p>
            <w:pPr>
              <w:jc w:val="center"/>
              <w:ind w:left="1760"/>
              <w:spacing w:after="0"/>
              <w:rPr>
                <w:sz w:val="20"/>
                <w:szCs w:val="20"/>
                <w:color w:val="auto"/>
              </w:rPr>
            </w:pPr>
            <w:r>
              <w:rPr>
                <w:rFonts w:ascii="Arial" w:cs="Arial" w:eastAsia="Arial" w:hAnsi="Arial"/>
                <w:sz w:val="12"/>
                <w:szCs w:val="12"/>
                <w:color w:val="auto"/>
                <w:w w:val="89"/>
              </w:rPr>
              <w:t>41</w:t>
            </w:r>
          </w:p>
        </w:tc>
      </w:tr>
    </w:tbl>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080"/>
          </w:cols>
          <w:pgMar w:left="240" w:top="539" w:right="5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6"/>
        </w:trPr>
        <w:tc>
          <w:tcPr>
            <w:tcW w:w="1180" w:type="dxa"/>
            <w:vAlign w:val="bottom"/>
          </w:tcPr>
          <w:p>
            <w:pPr>
              <w:spacing w:after="0"/>
              <w:rPr>
                <w:sz w:val="20"/>
                <w:szCs w:val="20"/>
                <w:color w:val="auto"/>
              </w:rPr>
            </w:pPr>
            <w:r>
              <w:rPr>
                <w:rFonts w:ascii="Arial" w:cs="Arial" w:eastAsia="Arial" w:hAnsi="Arial"/>
                <w:sz w:val="13"/>
                <w:szCs w:val="13"/>
                <w:color w:val="auto"/>
              </w:rPr>
              <w:t>Section 406.</w:t>
            </w:r>
          </w:p>
        </w:tc>
        <w:tc>
          <w:tcPr>
            <w:tcW w:w="7620" w:type="dxa"/>
            <w:vAlign w:val="bottom"/>
          </w:tcPr>
          <w:p>
            <w:pPr>
              <w:ind w:left="540"/>
              <w:spacing w:after="0"/>
              <w:rPr>
                <w:sz w:val="20"/>
                <w:szCs w:val="20"/>
                <w:color w:val="auto"/>
              </w:rPr>
            </w:pPr>
            <w:r>
              <w:rPr>
                <w:rFonts w:ascii="Arial" w:cs="Arial" w:eastAsia="Arial" w:hAnsi="Arial"/>
                <w:sz w:val="13"/>
                <w:szCs w:val="13"/>
                <w:color w:val="auto"/>
              </w:rPr>
              <w:t>Mutilated, Destroyed, Lost and Stolen Notes</w:t>
            </w:r>
          </w:p>
        </w:tc>
        <w:tc>
          <w:tcPr>
            <w:tcW w:w="220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407.</w:t>
            </w:r>
          </w:p>
        </w:tc>
        <w:tc>
          <w:tcPr>
            <w:tcW w:w="7620" w:type="dxa"/>
            <w:vAlign w:val="bottom"/>
          </w:tcPr>
          <w:p>
            <w:pPr>
              <w:ind w:left="540"/>
              <w:spacing w:after="0"/>
              <w:rPr>
                <w:sz w:val="20"/>
                <w:szCs w:val="20"/>
                <w:color w:val="auto"/>
              </w:rPr>
            </w:pPr>
            <w:r>
              <w:rPr>
                <w:rFonts w:ascii="Arial" w:cs="Arial" w:eastAsia="Arial" w:hAnsi="Arial"/>
                <w:sz w:val="13"/>
                <w:szCs w:val="13"/>
                <w:color w:val="auto"/>
              </w:rPr>
              <w:t>Payment of Interest; Interest Rights Preserved</w:t>
            </w:r>
          </w:p>
        </w:tc>
        <w:tc>
          <w:tcPr>
            <w:tcW w:w="220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408.</w:t>
            </w:r>
          </w:p>
        </w:tc>
        <w:tc>
          <w:tcPr>
            <w:tcW w:w="7620" w:type="dxa"/>
            <w:vAlign w:val="bottom"/>
          </w:tcPr>
          <w:p>
            <w:pPr>
              <w:ind w:left="540"/>
              <w:spacing w:after="0"/>
              <w:rPr>
                <w:sz w:val="20"/>
                <w:szCs w:val="20"/>
                <w:color w:val="auto"/>
              </w:rPr>
            </w:pPr>
            <w:r>
              <w:rPr>
                <w:rFonts w:ascii="Arial" w:cs="Arial" w:eastAsia="Arial" w:hAnsi="Arial"/>
                <w:sz w:val="13"/>
                <w:szCs w:val="13"/>
                <w:color w:val="auto"/>
              </w:rPr>
              <w:t>Persons Deemed Owners</w:t>
            </w:r>
          </w:p>
        </w:tc>
        <w:tc>
          <w:tcPr>
            <w:tcW w:w="220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409.</w:t>
            </w:r>
          </w:p>
        </w:tc>
        <w:tc>
          <w:tcPr>
            <w:tcW w:w="7620" w:type="dxa"/>
            <w:vAlign w:val="bottom"/>
          </w:tcPr>
          <w:p>
            <w:pPr>
              <w:ind w:left="540"/>
              <w:spacing w:after="0"/>
              <w:rPr>
                <w:sz w:val="20"/>
                <w:szCs w:val="20"/>
                <w:color w:val="auto"/>
              </w:rPr>
            </w:pPr>
            <w:r>
              <w:rPr>
                <w:rFonts w:ascii="Arial" w:cs="Arial" w:eastAsia="Arial" w:hAnsi="Arial"/>
                <w:sz w:val="13"/>
                <w:szCs w:val="13"/>
                <w:color w:val="auto"/>
              </w:rPr>
              <w:t>Cancellation</w:t>
            </w:r>
          </w:p>
        </w:tc>
        <w:tc>
          <w:tcPr>
            <w:tcW w:w="220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410.</w:t>
            </w:r>
          </w:p>
        </w:tc>
        <w:tc>
          <w:tcPr>
            <w:tcW w:w="7620" w:type="dxa"/>
            <w:vAlign w:val="bottom"/>
          </w:tcPr>
          <w:p>
            <w:pPr>
              <w:ind w:left="540"/>
              <w:spacing w:after="0"/>
              <w:rPr>
                <w:sz w:val="20"/>
                <w:szCs w:val="20"/>
                <w:color w:val="auto"/>
              </w:rPr>
            </w:pPr>
            <w:r>
              <w:rPr>
                <w:rFonts w:ascii="Arial" w:cs="Arial" w:eastAsia="Arial" w:hAnsi="Arial"/>
                <w:sz w:val="13"/>
                <w:szCs w:val="13"/>
                <w:color w:val="auto"/>
              </w:rPr>
              <w:t>Computation of Interest</w:t>
            </w:r>
          </w:p>
        </w:tc>
        <w:tc>
          <w:tcPr>
            <w:tcW w:w="220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411.</w:t>
            </w:r>
          </w:p>
        </w:tc>
        <w:tc>
          <w:tcPr>
            <w:tcW w:w="7620" w:type="dxa"/>
            <w:vAlign w:val="bottom"/>
          </w:tcPr>
          <w:p>
            <w:pPr>
              <w:ind w:left="540"/>
              <w:spacing w:after="0"/>
              <w:rPr>
                <w:sz w:val="20"/>
                <w:szCs w:val="20"/>
                <w:color w:val="auto"/>
              </w:rPr>
            </w:pPr>
            <w:r>
              <w:rPr>
                <w:rFonts w:ascii="Arial" w:cs="Arial" w:eastAsia="Arial" w:hAnsi="Arial"/>
                <w:sz w:val="13"/>
                <w:szCs w:val="13"/>
                <w:color w:val="auto"/>
              </w:rPr>
              <w:t>Transfer and Exchange</w:t>
            </w:r>
          </w:p>
        </w:tc>
        <w:tc>
          <w:tcPr>
            <w:tcW w:w="220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531"/>
        </w:trPr>
        <w:tc>
          <w:tcPr>
            <w:tcW w:w="1180" w:type="dxa"/>
            <w:vAlign w:val="bottom"/>
          </w:tcPr>
          <w:p>
            <w:pPr>
              <w:spacing w:after="0"/>
              <w:rPr>
                <w:sz w:val="24"/>
                <w:szCs w:val="24"/>
                <w:color w:val="auto"/>
              </w:rPr>
            </w:pPr>
          </w:p>
        </w:tc>
        <w:tc>
          <w:tcPr>
            <w:tcW w:w="7620" w:type="dxa"/>
            <w:vAlign w:val="bottom"/>
          </w:tcPr>
          <w:p>
            <w:pPr>
              <w:jc w:val="center"/>
              <w:ind w:left="1394"/>
              <w:spacing w:after="0"/>
              <w:rPr>
                <w:sz w:val="20"/>
                <w:szCs w:val="20"/>
                <w:color w:val="auto"/>
              </w:rPr>
            </w:pPr>
            <w:r>
              <w:rPr>
                <w:rFonts w:ascii="Arial" w:cs="Arial" w:eastAsia="Arial" w:hAnsi="Arial"/>
                <w:sz w:val="13"/>
                <w:szCs w:val="13"/>
                <w:color w:val="auto"/>
              </w:rPr>
              <w:t>ARTICLE FIVE</w:t>
            </w:r>
          </w:p>
        </w:tc>
        <w:tc>
          <w:tcPr>
            <w:tcW w:w="2200" w:type="dxa"/>
            <w:vAlign w:val="bottom"/>
          </w:tcPr>
          <w:p>
            <w:pPr>
              <w:spacing w:after="0"/>
              <w:rPr>
                <w:sz w:val="24"/>
                <w:szCs w:val="24"/>
                <w:color w:val="auto"/>
              </w:rPr>
            </w:pPr>
          </w:p>
        </w:tc>
      </w:tr>
      <w:tr>
        <w:trPr>
          <w:trHeight w:val="477"/>
        </w:trPr>
        <w:tc>
          <w:tcPr>
            <w:tcW w:w="1180" w:type="dxa"/>
            <w:vAlign w:val="bottom"/>
          </w:tcPr>
          <w:p>
            <w:pPr>
              <w:spacing w:after="0"/>
              <w:rPr>
                <w:sz w:val="24"/>
                <w:szCs w:val="24"/>
                <w:color w:val="auto"/>
              </w:rPr>
            </w:pPr>
          </w:p>
        </w:tc>
        <w:tc>
          <w:tcPr>
            <w:tcW w:w="7620" w:type="dxa"/>
            <w:vAlign w:val="bottom"/>
          </w:tcPr>
          <w:p>
            <w:pPr>
              <w:jc w:val="center"/>
              <w:ind w:left="1374"/>
              <w:spacing w:after="0"/>
              <w:rPr>
                <w:sz w:val="20"/>
                <w:szCs w:val="20"/>
                <w:color w:val="auto"/>
              </w:rPr>
            </w:pPr>
            <w:r>
              <w:rPr>
                <w:rFonts w:ascii="Arial" w:cs="Arial" w:eastAsia="Arial" w:hAnsi="Arial"/>
                <w:sz w:val="13"/>
                <w:szCs w:val="13"/>
                <w:color w:val="auto"/>
                <w:w w:val="97"/>
              </w:rPr>
              <w:t>SATISFACTION AND DISCHARGE</w:t>
            </w:r>
          </w:p>
        </w:tc>
        <w:tc>
          <w:tcPr>
            <w:tcW w:w="2200" w:type="dxa"/>
            <w:vAlign w:val="bottom"/>
          </w:tcPr>
          <w:p>
            <w:pPr>
              <w:spacing w:after="0"/>
              <w:rPr>
                <w:sz w:val="24"/>
                <w:szCs w:val="24"/>
                <w:color w:val="auto"/>
              </w:rPr>
            </w:pPr>
          </w:p>
        </w:tc>
      </w:tr>
      <w:tr>
        <w:trPr>
          <w:trHeight w:val="531"/>
        </w:trPr>
        <w:tc>
          <w:tcPr>
            <w:tcW w:w="1180" w:type="dxa"/>
            <w:vAlign w:val="bottom"/>
          </w:tcPr>
          <w:p>
            <w:pPr>
              <w:spacing w:after="0"/>
              <w:rPr>
                <w:sz w:val="20"/>
                <w:szCs w:val="20"/>
                <w:color w:val="auto"/>
              </w:rPr>
            </w:pPr>
            <w:r>
              <w:rPr>
                <w:rFonts w:ascii="Arial" w:cs="Arial" w:eastAsia="Arial" w:hAnsi="Arial"/>
                <w:sz w:val="13"/>
                <w:szCs w:val="13"/>
                <w:color w:val="auto"/>
              </w:rPr>
              <w:t>Section 501.</w:t>
            </w:r>
          </w:p>
        </w:tc>
        <w:tc>
          <w:tcPr>
            <w:tcW w:w="7620" w:type="dxa"/>
            <w:vAlign w:val="bottom"/>
          </w:tcPr>
          <w:p>
            <w:pPr>
              <w:ind w:left="540"/>
              <w:spacing w:after="0"/>
              <w:rPr>
                <w:sz w:val="20"/>
                <w:szCs w:val="20"/>
                <w:color w:val="auto"/>
              </w:rPr>
            </w:pPr>
            <w:r>
              <w:rPr>
                <w:rFonts w:ascii="Arial" w:cs="Arial" w:eastAsia="Arial" w:hAnsi="Arial"/>
                <w:sz w:val="13"/>
                <w:szCs w:val="13"/>
                <w:color w:val="auto"/>
              </w:rPr>
              <w:t>Satisfaction and Discharge of Indenture</w:t>
            </w:r>
          </w:p>
        </w:tc>
        <w:tc>
          <w:tcPr>
            <w:tcW w:w="220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89"/>
        </w:trPr>
        <w:tc>
          <w:tcPr>
            <w:tcW w:w="1180" w:type="dxa"/>
            <w:vAlign w:val="bottom"/>
          </w:tcPr>
          <w:p>
            <w:pPr>
              <w:spacing w:after="0"/>
              <w:rPr>
                <w:sz w:val="20"/>
                <w:szCs w:val="20"/>
                <w:color w:val="auto"/>
              </w:rPr>
            </w:pPr>
            <w:r>
              <w:rPr>
                <w:rFonts w:ascii="Arial" w:cs="Arial" w:eastAsia="Arial" w:hAnsi="Arial"/>
                <w:sz w:val="13"/>
                <w:szCs w:val="13"/>
                <w:color w:val="auto"/>
              </w:rPr>
              <w:t>Section 502.</w:t>
            </w:r>
          </w:p>
        </w:tc>
        <w:tc>
          <w:tcPr>
            <w:tcW w:w="7620" w:type="dxa"/>
            <w:vAlign w:val="bottom"/>
          </w:tcPr>
          <w:p>
            <w:pPr>
              <w:ind w:left="540"/>
              <w:spacing w:after="0"/>
              <w:rPr>
                <w:sz w:val="20"/>
                <w:szCs w:val="20"/>
                <w:color w:val="auto"/>
              </w:rPr>
            </w:pPr>
            <w:r>
              <w:rPr>
                <w:rFonts w:ascii="Arial" w:cs="Arial" w:eastAsia="Arial" w:hAnsi="Arial"/>
                <w:sz w:val="13"/>
                <w:szCs w:val="13"/>
                <w:color w:val="auto"/>
              </w:rPr>
              <w:t>Application of Trust Money</w:t>
            </w:r>
          </w:p>
        </w:tc>
        <w:tc>
          <w:tcPr>
            <w:tcW w:w="220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387"/>
        </w:trPr>
        <w:tc>
          <w:tcPr>
            <w:tcW w:w="1180" w:type="dxa"/>
            <w:vAlign w:val="bottom"/>
          </w:tcPr>
          <w:p>
            <w:pPr>
              <w:spacing w:after="0"/>
              <w:rPr>
                <w:sz w:val="24"/>
                <w:szCs w:val="24"/>
                <w:color w:val="auto"/>
              </w:rPr>
            </w:pPr>
          </w:p>
        </w:tc>
        <w:tc>
          <w:tcPr>
            <w:tcW w:w="7620" w:type="dxa"/>
            <w:vAlign w:val="bottom"/>
          </w:tcPr>
          <w:p>
            <w:pPr>
              <w:jc w:val="center"/>
              <w:ind w:left="1394"/>
              <w:spacing w:after="0"/>
              <w:rPr>
                <w:sz w:val="20"/>
                <w:szCs w:val="20"/>
                <w:color w:val="auto"/>
              </w:rPr>
            </w:pPr>
            <w:r>
              <w:rPr>
                <w:rFonts w:ascii="Arial" w:cs="Arial" w:eastAsia="Arial" w:hAnsi="Arial"/>
                <w:sz w:val="13"/>
                <w:szCs w:val="13"/>
                <w:color w:val="auto"/>
              </w:rPr>
              <w:t>ARTICLE SIX</w:t>
            </w:r>
          </w:p>
        </w:tc>
        <w:tc>
          <w:tcPr>
            <w:tcW w:w="2200" w:type="dxa"/>
            <w:vAlign w:val="bottom"/>
          </w:tcPr>
          <w:p>
            <w:pPr>
              <w:spacing w:after="0"/>
              <w:rPr>
                <w:sz w:val="24"/>
                <w:szCs w:val="24"/>
                <w:color w:val="auto"/>
              </w:rPr>
            </w:pPr>
          </w:p>
        </w:tc>
      </w:tr>
      <w:tr>
        <w:trPr>
          <w:trHeight w:val="333"/>
        </w:trPr>
        <w:tc>
          <w:tcPr>
            <w:tcW w:w="1180" w:type="dxa"/>
            <w:vAlign w:val="bottom"/>
          </w:tcPr>
          <w:p>
            <w:pPr>
              <w:spacing w:after="0"/>
              <w:rPr>
                <w:sz w:val="24"/>
                <w:szCs w:val="24"/>
                <w:color w:val="auto"/>
              </w:rPr>
            </w:pPr>
          </w:p>
        </w:tc>
        <w:tc>
          <w:tcPr>
            <w:tcW w:w="7620" w:type="dxa"/>
            <w:vAlign w:val="bottom"/>
          </w:tcPr>
          <w:p>
            <w:pPr>
              <w:jc w:val="center"/>
              <w:ind w:left="1374"/>
              <w:spacing w:after="0"/>
              <w:rPr>
                <w:sz w:val="20"/>
                <w:szCs w:val="20"/>
                <w:color w:val="auto"/>
              </w:rPr>
            </w:pPr>
            <w:r>
              <w:rPr>
                <w:rFonts w:ascii="Arial" w:cs="Arial" w:eastAsia="Arial" w:hAnsi="Arial"/>
                <w:sz w:val="13"/>
                <w:szCs w:val="13"/>
                <w:color w:val="auto"/>
                <w:w w:val="97"/>
              </w:rPr>
              <w:t>REMEDIES</w:t>
            </w:r>
          </w:p>
        </w:tc>
        <w:tc>
          <w:tcPr>
            <w:tcW w:w="2200" w:type="dxa"/>
            <w:vAlign w:val="bottom"/>
          </w:tcPr>
          <w:p>
            <w:pPr>
              <w:spacing w:after="0"/>
              <w:rPr>
                <w:sz w:val="24"/>
                <w:szCs w:val="24"/>
                <w:color w:val="auto"/>
              </w:rPr>
            </w:pPr>
          </w:p>
        </w:tc>
      </w:tr>
      <w:tr>
        <w:trPr>
          <w:trHeight w:val="676"/>
        </w:trPr>
        <w:tc>
          <w:tcPr>
            <w:tcW w:w="1180" w:type="dxa"/>
            <w:vAlign w:val="bottom"/>
          </w:tcPr>
          <w:p>
            <w:pPr>
              <w:spacing w:after="0"/>
              <w:rPr>
                <w:sz w:val="20"/>
                <w:szCs w:val="20"/>
                <w:color w:val="auto"/>
              </w:rPr>
            </w:pPr>
            <w:r>
              <w:rPr>
                <w:rFonts w:ascii="Arial" w:cs="Arial" w:eastAsia="Arial" w:hAnsi="Arial"/>
                <w:sz w:val="13"/>
                <w:szCs w:val="13"/>
                <w:color w:val="auto"/>
              </w:rPr>
              <w:t>Section 601.</w:t>
            </w:r>
          </w:p>
        </w:tc>
        <w:tc>
          <w:tcPr>
            <w:tcW w:w="7620" w:type="dxa"/>
            <w:vAlign w:val="bottom"/>
          </w:tcPr>
          <w:p>
            <w:pPr>
              <w:ind w:left="540"/>
              <w:spacing w:after="0"/>
              <w:rPr>
                <w:sz w:val="20"/>
                <w:szCs w:val="20"/>
                <w:color w:val="auto"/>
              </w:rPr>
            </w:pPr>
            <w:r>
              <w:rPr>
                <w:rFonts w:ascii="Arial" w:cs="Arial" w:eastAsia="Arial" w:hAnsi="Arial"/>
                <w:sz w:val="13"/>
                <w:szCs w:val="13"/>
                <w:color w:val="auto"/>
              </w:rPr>
              <w:t>Events of Default</w:t>
            </w:r>
          </w:p>
        </w:tc>
        <w:tc>
          <w:tcPr>
            <w:tcW w:w="220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602.</w:t>
            </w:r>
          </w:p>
        </w:tc>
        <w:tc>
          <w:tcPr>
            <w:tcW w:w="7620" w:type="dxa"/>
            <w:vAlign w:val="bottom"/>
          </w:tcPr>
          <w:p>
            <w:pPr>
              <w:ind w:left="540"/>
              <w:spacing w:after="0"/>
              <w:rPr>
                <w:sz w:val="20"/>
                <w:szCs w:val="20"/>
                <w:color w:val="auto"/>
              </w:rPr>
            </w:pPr>
            <w:r>
              <w:rPr>
                <w:rFonts w:ascii="Arial" w:cs="Arial" w:eastAsia="Arial" w:hAnsi="Arial"/>
                <w:sz w:val="13"/>
                <w:szCs w:val="13"/>
                <w:color w:val="auto"/>
              </w:rPr>
              <w:t>Acceleration of Maturity; Rescission and Annulment</w:t>
            </w:r>
          </w:p>
        </w:tc>
        <w:tc>
          <w:tcPr>
            <w:tcW w:w="220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603.</w:t>
            </w:r>
          </w:p>
        </w:tc>
        <w:tc>
          <w:tcPr>
            <w:tcW w:w="7620" w:type="dxa"/>
            <w:vAlign w:val="bottom"/>
          </w:tcPr>
          <w:p>
            <w:pPr>
              <w:ind w:left="540"/>
              <w:spacing w:after="0"/>
              <w:rPr>
                <w:sz w:val="20"/>
                <w:szCs w:val="20"/>
                <w:color w:val="auto"/>
              </w:rPr>
            </w:pPr>
            <w:r>
              <w:rPr>
                <w:rFonts w:ascii="Arial" w:cs="Arial" w:eastAsia="Arial" w:hAnsi="Arial"/>
                <w:sz w:val="13"/>
                <w:szCs w:val="13"/>
                <w:color w:val="auto"/>
              </w:rPr>
              <w:t>Collection of Indebtedness and Suits for Enforcement by Trustee</w:t>
            </w:r>
          </w:p>
        </w:tc>
        <w:tc>
          <w:tcPr>
            <w:tcW w:w="22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604.</w:t>
            </w:r>
          </w:p>
        </w:tc>
        <w:tc>
          <w:tcPr>
            <w:tcW w:w="7620" w:type="dxa"/>
            <w:vAlign w:val="bottom"/>
          </w:tcPr>
          <w:p>
            <w:pPr>
              <w:ind w:left="540"/>
              <w:spacing w:after="0"/>
              <w:rPr>
                <w:sz w:val="20"/>
                <w:szCs w:val="20"/>
                <w:color w:val="auto"/>
              </w:rPr>
            </w:pPr>
            <w:r>
              <w:rPr>
                <w:rFonts w:ascii="Arial" w:cs="Arial" w:eastAsia="Arial" w:hAnsi="Arial"/>
                <w:sz w:val="13"/>
                <w:szCs w:val="13"/>
                <w:color w:val="auto"/>
              </w:rPr>
              <w:t>Trustee May File Proofs of Claim</w:t>
            </w:r>
          </w:p>
        </w:tc>
        <w:tc>
          <w:tcPr>
            <w:tcW w:w="22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605.</w:t>
            </w:r>
          </w:p>
        </w:tc>
        <w:tc>
          <w:tcPr>
            <w:tcW w:w="7620" w:type="dxa"/>
            <w:vAlign w:val="bottom"/>
          </w:tcPr>
          <w:p>
            <w:pPr>
              <w:ind w:left="540"/>
              <w:spacing w:after="0"/>
              <w:rPr>
                <w:sz w:val="20"/>
                <w:szCs w:val="20"/>
                <w:color w:val="auto"/>
              </w:rPr>
            </w:pPr>
            <w:r>
              <w:rPr>
                <w:rFonts w:ascii="Arial" w:cs="Arial" w:eastAsia="Arial" w:hAnsi="Arial"/>
                <w:sz w:val="13"/>
                <w:szCs w:val="13"/>
                <w:color w:val="auto"/>
              </w:rPr>
              <w:t>Trustee May Enforce Claims Without Possession of Notes</w:t>
            </w:r>
          </w:p>
        </w:tc>
        <w:tc>
          <w:tcPr>
            <w:tcW w:w="22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606.</w:t>
            </w:r>
          </w:p>
        </w:tc>
        <w:tc>
          <w:tcPr>
            <w:tcW w:w="7620" w:type="dxa"/>
            <w:vAlign w:val="bottom"/>
          </w:tcPr>
          <w:p>
            <w:pPr>
              <w:ind w:left="540"/>
              <w:spacing w:after="0"/>
              <w:rPr>
                <w:sz w:val="20"/>
                <w:szCs w:val="20"/>
                <w:color w:val="auto"/>
              </w:rPr>
            </w:pPr>
            <w:r>
              <w:rPr>
                <w:rFonts w:ascii="Arial" w:cs="Arial" w:eastAsia="Arial" w:hAnsi="Arial"/>
                <w:sz w:val="13"/>
                <w:szCs w:val="13"/>
                <w:color w:val="auto"/>
              </w:rPr>
              <w:t>Application of Money Collected</w:t>
            </w:r>
          </w:p>
        </w:tc>
        <w:tc>
          <w:tcPr>
            <w:tcW w:w="22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607.</w:t>
            </w:r>
          </w:p>
        </w:tc>
        <w:tc>
          <w:tcPr>
            <w:tcW w:w="7620" w:type="dxa"/>
            <w:vAlign w:val="bottom"/>
          </w:tcPr>
          <w:p>
            <w:pPr>
              <w:ind w:left="540"/>
              <w:spacing w:after="0"/>
              <w:rPr>
                <w:sz w:val="20"/>
                <w:szCs w:val="20"/>
                <w:color w:val="auto"/>
              </w:rPr>
            </w:pPr>
            <w:r>
              <w:rPr>
                <w:rFonts w:ascii="Arial" w:cs="Arial" w:eastAsia="Arial" w:hAnsi="Arial"/>
                <w:sz w:val="13"/>
                <w:szCs w:val="13"/>
                <w:color w:val="auto"/>
              </w:rPr>
              <w:t>Limitation on Suits</w:t>
            </w:r>
          </w:p>
        </w:tc>
        <w:tc>
          <w:tcPr>
            <w:tcW w:w="22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608.</w:t>
            </w:r>
          </w:p>
        </w:tc>
        <w:tc>
          <w:tcPr>
            <w:tcW w:w="7620" w:type="dxa"/>
            <w:vAlign w:val="bottom"/>
          </w:tcPr>
          <w:p>
            <w:pPr>
              <w:ind w:left="540"/>
              <w:spacing w:after="0"/>
              <w:rPr>
                <w:sz w:val="20"/>
                <w:szCs w:val="20"/>
                <w:color w:val="auto"/>
              </w:rPr>
            </w:pPr>
            <w:r>
              <w:rPr>
                <w:rFonts w:ascii="Arial" w:cs="Arial" w:eastAsia="Arial" w:hAnsi="Arial"/>
                <w:sz w:val="13"/>
                <w:szCs w:val="13"/>
                <w:color w:val="auto"/>
              </w:rPr>
              <w:t>Unconditional Right of Holders to Receive Principal, Premium and Interest</w:t>
            </w:r>
          </w:p>
        </w:tc>
        <w:tc>
          <w:tcPr>
            <w:tcW w:w="22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609.</w:t>
            </w:r>
          </w:p>
        </w:tc>
        <w:tc>
          <w:tcPr>
            <w:tcW w:w="7620" w:type="dxa"/>
            <w:vAlign w:val="bottom"/>
          </w:tcPr>
          <w:p>
            <w:pPr>
              <w:ind w:left="540"/>
              <w:spacing w:after="0"/>
              <w:rPr>
                <w:sz w:val="20"/>
                <w:szCs w:val="20"/>
                <w:color w:val="auto"/>
              </w:rPr>
            </w:pPr>
            <w:r>
              <w:rPr>
                <w:rFonts w:ascii="Arial" w:cs="Arial" w:eastAsia="Arial" w:hAnsi="Arial"/>
                <w:sz w:val="13"/>
                <w:szCs w:val="13"/>
                <w:color w:val="auto"/>
              </w:rPr>
              <w:t>Restoration of Rights and Remedies</w:t>
            </w:r>
          </w:p>
        </w:tc>
        <w:tc>
          <w:tcPr>
            <w:tcW w:w="22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610.</w:t>
            </w:r>
          </w:p>
        </w:tc>
        <w:tc>
          <w:tcPr>
            <w:tcW w:w="7620" w:type="dxa"/>
            <w:vAlign w:val="bottom"/>
          </w:tcPr>
          <w:p>
            <w:pPr>
              <w:ind w:left="540"/>
              <w:spacing w:after="0"/>
              <w:rPr>
                <w:sz w:val="20"/>
                <w:szCs w:val="20"/>
                <w:color w:val="auto"/>
              </w:rPr>
            </w:pPr>
            <w:r>
              <w:rPr>
                <w:rFonts w:ascii="Arial" w:cs="Arial" w:eastAsia="Arial" w:hAnsi="Arial"/>
                <w:sz w:val="13"/>
                <w:szCs w:val="13"/>
                <w:color w:val="auto"/>
              </w:rPr>
              <w:t>Rights and Remedies Cumulative</w:t>
            </w:r>
          </w:p>
        </w:tc>
        <w:tc>
          <w:tcPr>
            <w:tcW w:w="22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611.</w:t>
            </w:r>
          </w:p>
        </w:tc>
        <w:tc>
          <w:tcPr>
            <w:tcW w:w="7620" w:type="dxa"/>
            <w:vAlign w:val="bottom"/>
          </w:tcPr>
          <w:p>
            <w:pPr>
              <w:ind w:left="540"/>
              <w:spacing w:after="0"/>
              <w:rPr>
                <w:sz w:val="20"/>
                <w:szCs w:val="20"/>
                <w:color w:val="auto"/>
              </w:rPr>
            </w:pPr>
            <w:r>
              <w:rPr>
                <w:rFonts w:ascii="Arial" w:cs="Arial" w:eastAsia="Arial" w:hAnsi="Arial"/>
                <w:sz w:val="13"/>
                <w:szCs w:val="13"/>
                <w:color w:val="auto"/>
              </w:rPr>
              <w:t>Delay or Omission Not Waiver</w:t>
            </w:r>
          </w:p>
        </w:tc>
        <w:tc>
          <w:tcPr>
            <w:tcW w:w="22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612.</w:t>
            </w:r>
          </w:p>
        </w:tc>
        <w:tc>
          <w:tcPr>
            <w:tcW w:w="7620" w:type="dxa"/>
            <w:vAlign w:val="bottom"/>
          </w:tcPr>
          <w:p>
            <w:pPr>
              <w:ind w:left="540"/>
              <w:spacing w:after="0"/>
              <w:rPr>
                <w:sz w:val="20"/>
                <w:szCs w:val="20"/>
                <w:color w:val="auto"/>
              </w:rPr>
            </w:pPr>
            <w:r>
              <w:rPr>
                <w:rFonts w:ascii="Arial" w:cs="Arial" w:eastAsia="Arial" w:hAnsi="Arial"/>
                <w:sz w:val="13"/>
                <w:szCs w:val="13"/>
                <w:color w:val="auto"/>
              </w:rPr>
              <w:t>Control by Holders</w:t>
            </w:r>
          </w:p>
        </w:tc>
        <w:tc>
          <w:tcPr>
            <w:tcW w:w="22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613.</w:t>
            </w:r>
          </w:p>
        </w:tc>
        <w:tc>
          <w:tcPr>
            <w:tcW w:w="7620" w:type="dxa"/>
            <w:vAlign w:val="bottom"/>
          </w:tcPr>
          <w:p>
            <w:pPr>
              <w:ind w:left="540"/>
              <w:spacing w:after="0"/>
              <w:rPr>
                <w:sz w:val="20"/>
                <w:szCs w:val="20"/>
                <w:color w:val="auto"/>
              </w:rPr>
            </w:pPr>
            <w:r>
              <w:rPr>
                <w:rFonts w:ascii="Arial" w:cs="Arial" w:eastAsia="Arial" w:hAnsi="Arial"/>
                <w:sz w:val="13"/>
                <w:szCs w:val="13"/>
                <w:color w:val="auto"/>
              </w:rPr>
              <w:t>Waiver of Existing Defaults</w:t>
            </w:r>
          </w:p>
        </w:tc>
        <w:tc>
          <w:tcPr>
            <w:tcW w:w="22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614.</w:t>
            </w:r>
          </w:p>
        </w:tc>
        <w:tc>
          <w:tcPr>
            <w:tcW w:w="7620" w:type="dxa"/>
            <w:vAlign w:val="bottom"/>
          </w:tcPr>
          <w:p>
            <w:pPr>
              <w:ind w:left="540"/>
              <w:spacing w:after="0"/>
              <w:rPr>
                <w:sz w:val="20"/>
                <w:szCs w:val="20"/>
                <w:color w:val="auto"/>
              </w:rPr>
            </w:pPr>
            <w:r>
              <w:rPr>
                <w:rFonts w:ascii="Arial" w:cs="Arial" w:eastAsia="Arial" w:hAnsi="Arial"/>
                <w:sz w:val="13"/>
                <w:szCs w:val="13"/>
                <w:color w:val="auto"/>
              </w:rPr>
              <w:t>Undertaking for Costs</w:t>
            </w:r>
          </w:p>
        </w:tc>
        <w:tc>
          <w:tcPr>
            <w:tcW w:w="220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615.</w:t>
            </w:r>
          </w:p>
        </w:tc>
        <w:tc>
          <w:tcPr>
            <w:tcW w:w="7620" w:type="dxa"/>
            <w:vAlign w:val="bottom"/>
          </w:tcPr>
          <w:p>
            <w:pPr>
              <w:ind w:left="540"/>
              <w:spacing w:after="0"/>
              <w:rPr>
                <w:sz w:val="20"/>
                <w:szCs w:val="20"/>
                <w:color w:val="auto"/>
              </w:rPr>
            </w:pPr>
            <w:r>
              <w:rPr>
                <w:rFonts w:ascii="Arial" w:cs="Arial" w:eastAsia="Arial" w:hAnsi="Arial"/>
                <w:sz w:val="13"/>
                <w:szCs w:val="13"/>
                <w:color w:val="auto"/>
              </w:rPr>
              <w:t>Waiver of Usury, Stay or Extension Laws</w:t>
            </w:r>
          </w:p>
        </w:tc>
        <w:tc>
          <w:tcPr>
            <w:tcW w:w="220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531"/>
        </w:trPr>
        <w:tc>
          <w:tcPr>
            <w:tcW w:w="1180" w:type="dxa"/>
            <w:vAlign w:val="bottom"/>
          </w:tcPr>
          <w:p>
            <w:pPr>
              <w:spacing w:after="0"/>
              <w:rPr>
                <w:sz w:val="24"/>
                <w:szCs w:val="24"/>
                <w:color w:val="auto"/>
              </w:rPr>
            </w:pPr>
          </w:p>
        </w:tc>
        <w:tc>
          <w:tcPr>
            <w:tcW w:w="7620" w:type="dxa"/>
            <w:vAlign w:val="bottom"/>
          </w:tcPr>
          <w:p>
            <w:pPr>
              <w:jc w:val="center"/>
              <w:ind w:left="1394"/>
              <w:spacing w:after="0"/>
              <w:rPr>
                <w:sz w:val="20"/>
                <w:szCs w:val="20"/>
                <w:color w:val="auto"/>
              </w:rPr>
            </w:pPr>
            <w:r>
              <w:rPr>
                <w:rFonts w:ascii="Arial" w:cs="Arial" w:eastAsia="Arial" w:hAnsi="Arial"/>
                <w:sz w:val="13"/>
                <w:szCs w:val="13"/>
                <w:color w:val="auto"/>
                <w:w w:val="97"/>
              </w:rPr>
              <w:t>ARTICLE SEVEN</w:t>
            </w:r>
          </w:p>
        </w:tc>
        <w:tc>
          <w:tcPr>
            <w:tcW w:w="220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7620" w:type="dxa"/>
            <w:vAlign w:val="bottom"/>
          </w:tcPr>
          <w:p>
            <w:pPr>
              <w:jc w:val="center"/>
              <w:ind w:left="1374"/>
              <w:spacing w:after="0"/>
              <w:rPr>
                <w:sz w:val="20"/>
                <w:szCs w:val="20"/>
                <w:color w:val="auto"/>
              </w:rPr>
            </w:pPr>
            <w:r>
              <w:rPr>
                <w:rFonts w:ascii="Arial" w:cs="Arial" w:eastAsia="Arial" w:hAnsi="Arial"/>
                <w:sz w:val="13"/>
                <w:szCs w:val="13"/>
                <w:color w:val="auto"/>
                <w:w w:val="95"/>
              </w:rPr>
              <w:t>THE TRUSTEE</w:t>
            </w:r>
          </w:p>
        </w:tc>
        <w:tc>
          <w:tcPr>
            <w:tcW w:w="2200" w:type="dxa"/>
            <w:vAlign w:val="bottom"/>
          </w:tcPr>
          <w:p>
            <w:pPr>
              <w:spacing w:after="0"/>
              <w:rPr>
                <w:sz w:val="24"/>
                <w:szCs w:val="24"/>
                <w:color w:val="auto"/>
              </w:rPr>
            </w:pPr>
          </w:p>
        </w:tc>
      </w:tr>
      <w:tr>
        <w:trPr>
          <w:trHeight w:val="676"/>
        </w:trPr>
        <w:tc>
          <w:tcPr>
            <w:tcW w:w="1180" w:type="dxa"/>
            <w:vAlign w:val="bottom"/>
          </w:tcPr>
          <w:p>
            <w:pPr>
              <w:spacing w:after="0"/>
              <w:rPr>
                <w:sz w:val="20"/>
                <w:szCs w:val="20"/>
                <w:color w:val="auto"/>
              </w:rPr>
            </w:pPr>
            <w:r>
              <w:rPr>
                <w:rFonts w:ascii="Arial" w:cs="Arial" w:eastAsia="Arial" w:hAnsi="Arial"/>
                <w:sz w:val="13"/>
                <w:szCs w:val="13"/>
                <w:color w:val="auto"/>
              </w:rPr>
              <w:t>Section 701.</w:t>
            </w:r>
          </w:p>
        </w:tc>
        <w:tc>
          <w:tcPr>
            <w:tcW w:w="7620" w:type="dxa"/>
            <w:vAlign w:val="bottom"/>
          </w:tcPr>
          <w:p>
            <w:pPr>
              <w:ind w:left="540"/>
              <w:spacing w:after="0"/>
              <w:rPr>
                <w:sz w:val="20"/>
                <w:szCs w:val="20"/>
                <w:color w:val="auto"/>
              </w:rPr>
            </w:pPr>
            <w:r>
              <w:rPr>
                <w:rFonts w:ascii="Arial" w:cs="Arial" w:eastAsia="Arial" w:hAnsi="Arial"/>
                <w:sz w:val="13"/>
                <w:szCs w:val="13"/>
                <w:color w:val="auto"/>
              </w:rPr>
              <w:t>Certain Duties and Responsibilities</w:t>
            </w:r>
          </w:p>
        </w:tc>
        <w:tc>
          <w:tcPr>
            <w:tcW w:w="220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702.</w:t>
            </w:r>
          </w:p>
        </w:tc>
        <w:tc>
          <w:tcPr>
            <w:tcW w:w="7620" w:type="dxa"/>
            <w:vAlign w:val="bottom"/>
          </w:tcPr>
          <w:p>
            <w:pPr>
              <w:ind w:left="540"/>
              <w:spacing w:after="0"/>
              <w:rPr>
                <w:sz w:val="20"/>
                <w:szCs w:val="20"/>
                <w:color w:val="auto"/>
              </w:rPr>
            </w:pPr>
            <w:r>
              <w:rPr>
                <w:rFonts w:ascii="Arial" w:cs="Arial" w:eastAsia="Arial" w:hAnsi="Arial"/>
                <w:sz w:val="13"/>
                <w:szCs w:val="13"/>
                <w:color w:val="auto"/>
              </w:rPr>
              <w:t>Notice of Defaults</w:t>
            </w:r>
          </w:p>
        </w:tc>
        <w:tc>
          <w:tcPr>
            <w:tcW w:w="220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703.</w:t>
            </w:r>
          </w:p>
        </w:tc>
        <w:tc>
          <w:tcPr>
            <w:tcW w:w="7620" w:type="dxa"/>
            <w:vAlign w:val="bottom"/>
          </w:tcPr>
          <w:p>
            <w:pPr>
              <w:ind w:left="540"/>
              <w:spacing w:after="0"/>
              <w:rPr>
                <w:sz w:val="20"/>
                <w:szCs w:val="20"/>
                <w:color w:val="auto"/>
              </w:rPr>
            </w:pPr>
            <w:r>
              <w:rPr>
                <w:rFonts w:ascii="Arial" w:cs="Arial" w:eastAsia="Arial" w:hAnsi="Arial"/>
                <w:sz w:val="13"/>
                <w:szCs w:val="13"/>
                <w:color w:val="auto"/>
              </w:rPr>
              <w:t>Certain Rights of Trustee</w:t>
            </w:r>
          </w:p>
        </w:tc>
        <w:tc>
          <w:tcPr>
            <w:tcW w:w="220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704.</w:t>
            </w:r>
          </w:p>
        </w:tc>
        <w:tc>
          <w:tcPr>
            <w:tcW w:w="7620" w:type="dxa"/>
            <w:vAlign w:val="bottom"/>
          </w:tcPr>
          <w:p>
            <w:pPr>
              <w:ind w:left="540"/>
              <w:spacing w:after="0"/>
              <w:rPr>
                <w:sz w:val="20"/>
                <w:szCs w:val="20"/>
                <w:color w:val="auto"/>
              </w:rPr>
            </w:pPr>
            <w:r>
              <w:rPr>
                <w:rFonts w:ascii="Arial" w:cs="Arial" w:eastAsia="Arial" w:hAnsi="Arial"/>
                <w:sz w:val="13"/>
                <w:szCs w:val="13"/>
                <w:color w:val="auto"/>
              </w:rPr>
              <w:t>Not Responsible for Recitals or Issuance of Notes</w:t>
            </w:r>
          </w:p>
        </w:tc>
        <w:tc>
          <w:tcPr>
            <w:tcW w:w="22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705.</w:t>
            </w:r>
          </w:p>
        </w:tc>
        <w:tc>
          <w:tcPr>
            <w:tcW w:w="7620" w:type="dxa"/>
            <w:vAlign w:val="bottom"/>
          </w:tcPr>
          <w:p>
            <w:pPr>
              <w:ind w:left="540"/>
              <w:spacing w:after="0"/>
              <w:rPr>
                <w:sz w:val="20"/>
                <w:szCs w:val="20"/>
                <w:color w:val="auto"/>
              </w:rPr>
            </w:pPr>
            <w:r>
              <w:rPr>
                <w:rFonts w:ascii="Arial" w:cs="Arial" w:eastAsia="Arial" w:hAnsi="Arial"/>
                <w:sz w:val="13"/>
                <w:szCs w:val="13"/>
                <w:color w:val="auto"/>
              </w:rPr>
              <w:t>May Hold Notes</w:t>
            </w:r>
          </w:p>
        </w:tc>
        <w:tc>
          <w:tcPr>
            <w:tcW w:w="22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706.</w:t>
            </w:r>
          </w:p>
        </w:tc>
        <w:tc>
          <w:tcPr>
            <w:tcW w:w="7620" w:type="dxa"/>
            <w:vAlign w:val="bottom"/>
          </w:tcPr>
          <w:p>
            <w:pPr>
              <w:ind w:left="540"/>
              <w:spacing w:after="0"/>
              <w:rPr>
                <w:sz w:val="20"/>
                <w:szCs w:val="20"/>
                <w:color w:val="auto"/>
              </w:rPr>
            </w:pPr>
            <w:r>
              <w:rPr>
                <w:rFonts w:ascii="Arial" w:cs="Arial" w:eastAsia="Arial" w:hAnsi="Arial"/>
                <w:sz w:val="13"/>
                <w:szCs w:val="13"/>
                <w:color w:val="auto"/>
              </w:rPr>
              <w:t>Money Held in Trust</w:t>
            </w:r>
          </w:p>
        </w:tc>
        <w:tc>
          <w:tcPr>
            <w:tcW w:w="22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707.</w:t>
            </w:r>
          </w:p>
        </w:tc>
        <w:tc>
          <w:tcPr>
            <w:tcW w:w="7620" w:type="dxa"/>
            <w:vAlign w:val="bottom"/>
          </w:tcPr>
          <w:p>
            <w:pPr>
              <w:ind w:left="540"/>
              <w:spacing w:after="0"/>
              <w:rPr>
                <w:sz w:val="20"/>
                <w:szCs w:val="20"/>
                <w:color w:val="auto"/>
              </w:rPr>
            </w:pPr>
            <w:r>
              <w:rPr>
                <w:rFonts w:ascii="Arial" w:cs="Arial" w:eastAsia="Arial" w:hAnsi="Arial"/>
                <w:sz w:val="13"/>
                <w:szCs w:val="13"/>
                <w:color w:val="auto"/>
              </w:rPr>
              <w:t>Compensation and Reimbursement</w:t>
            </w:r>
          </w:p>
        </w:tc>
        <w:tc>
          <w:tcPr>
            <w:tcW w:w="22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708.</w:t>
            </w:r>
          </w:p>
        </w:tc>
        <w:tc>
          <w:tcPr>
            <w:tcW w:w="7620" w:type="dxa"/>
            <w:vAlign w:val="bottom"/>
          </w:tcPr>
          <w:p>
            <w:pPr>
              <w:ind w:left="540"/>
              <w:spacing w:after="0"/>
              <w:rPr>
                <w:sz w:val="20"/>
                <w:szCs w:val="20"/>
                <w:color w:val="auto"/>
              </w:rPr>
            </w:pPr>
            <w:r>
              <w:rPr>
                <w:rFonts w:ascii="Arial" w:cs="Arial" w:eastAsia="Arial" w:hAnsi="Arial"/>
                <w:sz w:val="13"/>
                <w:szCs w:val="13"/>
                <w:color w:val="auto"/>
              </w:rPr>
              <w:t>Conflicting Interests</w:t>
            </w:r>
          </w:p>
        </w:tc>
        <w:tc>
          <w:tcPr>
            <w:tcW w:w="2200" w:type="dxa"/>
            <w:vAlign w:val="bottom"/>
          </w:tcPr>
          <w:p>
            <w:pPr>
              <w:jc w:val="right"/>
              <w:spacing w:after="0"/>
              <w:rPr>
                <w:sz w:val="20"/>
                <w:szCs w:val="20"/>
                <w:color w:val="auto"/>
              </w:rPr>
            </w:pPr>
            <w:r>
              <w:rPr>
                <w:rFonts w:ascii="Arial" w:cs="Arial" w:eastAsia="Arial" w:hAnsi="Arial"/>
                <w:sz w:val="13"/>
                <w:szCs w:val="13"/>
                <w:color w:val="auto"/>
              </w:rPr>
              <w:t>58</w:t>
            </w:r>
          </w:p>
        </w:tc>
      </w:tr>
    </w:tbl>
    <w:p>
      <w:pPr>
        <w:sectPr>
          <w:pgSz w:w="11900" w:h="16838" w:orient="portrait"/>
          <w:cols w:equalWidth="0" w:num="1">
            <w:col w:w="11000"/>
          </w:cols>
          <w:pgMar w:left="240" w:top="543" w:right="65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80" w:type="dxa"/>
            <w:vAlign w:val="bottom"/>
          </w:tcPr>
          <w:p>
            <w:pPr>
              <w:spacing w:after="0"/>
              <w:rPr>
                <w:sz w:val="20"/>
                <w:szCs w:val="20"/>
                <w:color w:val="auto"/>
              </w:rPr>
            </w:pPr>
            <w:r>
              <w:rPr>
                <w:rFonts w:ascii="Arial" w:cs="Arial" w:eastAsia="Arial" w:hAnsi="Arial"/>
                <w:sz w:val="13"/>
                <w:szCs w:val="13"/>
                <w:color w:val="auto"/>
              </w:rPr>
              <w:t>Section 709.</w:t>
            </w:r>
          </w:p>
        </w:tc>
        <w:tc>
          <w:tcPr>
            <w:tcW w:w="6740" w:type="dxa"/>
            <w:vAlign w:val="bottom"/>
          </w:tcPr>
          <w:p>
            <w:pPr>
              <w:ind w:left="540"/>
              <w:spacing w:after="0"/>
              <w:rPr>
                <w:sz w:val="20"/>
                <w:szCs w:val="20"/>
                <w:color w:val="auto"/>
              </w:rPr>
            </w:pPr>
            <w:r>
              <w:rPr>
                <w:rFonts w:ascii="Arial" w:cs="Arial" w:eastAsia="Arial" w:hAnsi="Arial"/>
                <w:sz w:val="13"/>
                <w:szCs w:val="13"/>
                <w:color w:val="auto"/>
              </w:rPr>
              <w:t>Corporate Trustee Required; Eligibility</w:t>
            </w:r>
          </w:p>
        </w:tc>
        <w:tc>
          <w:tcPr>
            <w:tcW w:w="30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710.</w:t>
            </w:r>
          </w:p>
        </w:tc>
        <w:tc>
          <w:tcPr>
            <w:tcW w:w="6740" w:type="dxa"/>
            <w:vAlign w:val="bottom"/>
          </w:tcPr>
          <w:p>
            <w:pPr>
              <w:ind w:left="540"/>
              <w:spacing w:after="0"/>
              <w:rPr>
                <w:sz w:val="20"/>
                <w:szCs w:val="20"/>
                <w:color w:val="auto"/>
              </w:rPr>
            </w:pPr>
            <w:r>
              <w:rPr>
                <w:rFonts w:ascii="Arial" w:cs="Arial" w:eastAsia="Arial" w:hAnsi="Arial"/>
                <w:sz w:val="13"/>
                <w:szCs w:val="13"/>
                <w:color w:val="auto"/>
              </w:rPr>
              <w:t>Resignation and Removal; Appointment of Successor</w:t>
            </w:r>
          </w:p>
        </w:tc>
        <w:tc>
          <w:tcPr>
            <w:tcW w:w="308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711.</w:t>
            </w:r>
          </w:p>
        </w:tc>
        <w:tc>
          <w:tcPr>
            <w:tcW w:w="6740" w:type="dxa"/>
            <w:vAlign w:val="bottom"/>
          </w:tcPr>
          <w:p>
            <w:pPr>
              <w:ind w:left="540"/>
              <w:spacing w:after="0"/>
              <w:rPr>
                <w:sz w:val="20"/>
                <w:szCs w:val="20"/>
                <w:color w:val="auto"/>
              </w:rPr>
            </w:pPr>
            <w:r>
              <w:rPr>
                <w:rFonts w:ascii="Arial" w:cs="Arial" w:eastAsia="Arial" w:hAnsi="Arial"/>
                <w:sz w:val="13"/>
                <w:szCs w:val="13"/>
                <w:color w:val="auto"/>
              </w:rPr>
              <w:t>Acceptance of Appointment by Successor</w:t>
            </w:r>
          </w:p>
        </w:tc>
        <w:tc>
          <w:tcPr>
            <w:tcW w:w="30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712.</w:t>
            </w:r>
          </w:p>
        </w:tc>
        <w:tc>
          <w:tcPr>
            <w:tcW w:w="6740" w:type="dxa"/>
            <w:vAlign w:val="bottom"/>
          </w:tcPr>
          <w:p>
            <w:pPr>
              <w:ind w:left="540"/>
              <w:spacing w:after="0"/>
              <w:rPr>
                <w:sz w:val="20"/>
                <w:szCs w:val="20"/>
                <w:color w:val="auto"/>
              </w:rPr>
            </w:pPr>
            <w:r>
              <w:rPr>
                <w:rFonts w:ascii="Arial" w:cs="Arial" w:eastAsia="Arial" w:hAnsi="Arial"/>
                <w:sz w:val="13"/>
                <w:szCs w:val="13"/>
                <w:color w:val="auto"/>
              </w:rPr>
              <w:t>Merger, Conversion, Consolidation or Succession to Business</w:t>
            </w:r>
          </w:p>
        </w:tc>
        <w:tc>
          <w:tcPr>
            <w:tcW w:w="30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713.</w:t>
            </w:r>
          </w:p>
        </w:tc>
        <w:tc>
          <w:tcPr>
            <w:tcW w:w="6740" w:type="dxa"/>
            <w:vAlign w:val="bottom"/>
          </w:tcPr>
          <w:p>
            <w:pPr>
              <w:ind w:left="540"/>
              <w:spacing w:after="0"/>
              <w:rPr>
                <w:sz w:val="20"/>
                <w:szCs w:val="20"/>
                <w:color w:val="auto"/>
              </w:rPr>
            </w:pPr>
            <w:r>
              <w:rPr>
                <w:rFonts w:ascii="Arial" w:cs="Arial" w:eastAsia="Arial" w:hAnsi="Arial"/>
                <w:sz w:val="13"/>
                <w:szCs w:val="13"/>
                <w:color w:val="auto"/>
              </w:rPr>
              <w:t>Preferential Collection of Claims Against Issuer</w:t>
            </w:r>
          </w:p>
        </w:tc>
        <w:tc>
          <w:tcPr>
            <w:tcW w:w="30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477"/>
        </w:trPr>
        <w:tc>
          <w:tcPr>
            <w:tcW w:w="1180" w:type="dxa"/>
            <w:vAlign w:val="bottom"/>
          </w:tcPr>
          <w:p>
            <w:pPr>
              <w:spacing w:after="0"/>
              <w:rPr>
                <w:sz w:val="20"/>
                <w:szCs w:val="20"/>
                <w:color w:val="auto"/>
              </w:rPr>
            </w:pPr>
            <w:r>
              <w:rPr>
                <w:rFonts w:ascii="Arial" w:cs="Arial" w:eastAsia="Arial" w:hAnsi="Arial"/>
                <w:sz w:val="13"/>
                <w:szCs w:val="13"/>
                <w:color w:val="auto"/>
              </w:rPr>
              <w:t>Section 714.</w:t>
            </w:r>
          </w:p>
        </w:tc>
        <w:tc>
          <w:tcPr>
            <w:tcW w:w="6740" w:type="dxa"/>
            <w:vAlign w:val="bottom"/>
          </w:tcPr>
          <w:p>
            <w:pPr>
              <w:ind w:left="540"/>
              <w:spacing w:after="0"/>
              <w:rPr>
                <w:sz w:val="20"/>
                <w:szCs w:val="20"/>
                <w:color w:val="auto"/>
              </w:rPr>
            </w:pPr>
            <w:r>
              <w:rPr>
                <w:rFonts w:ascii="Arial" w:cs="Arial" w:eastAsia="Arial" w:hAnsi="Arial"/>
                <w:sz w:val="13"/>
                <w:szCs w:val="13"/>
                <w:color w:val="auto"/>
              </w:rPr>
              <w:t>Appointment of Authenticating Agent</w:t>
            </w:r>
          </w:p>
        </w:tc>
        <w:tc>
          <w:tcPr>
            <w:tcW w:w="3080" w:type="dxa"/>
            <w:vAlign w:val="bottom"/>
          </w:tcPr>
          <w:p>
            <w:pPr>
              <w:jc w:val="right"/>
              <w:spacing w:after="0"/>
              <w:rPr>
                <w:sz w:val="20"/>
                <w:szCs w:val="20"/>
                <w:color w:val="auto"/>
              </w:rPr>
            </w:pPr>
            <w:r>
              <w:rPr>
                <w:rFonts w:ascii="Arial" w:cs="Arial" w:eastAsia="Arial" w:hAnsi="Arial"/>
                <w:sz w:val="13"/>
                <w:szCs w:val="13"/>
                <w:color w:val="auto"/>
              </w:rPr>
              <w:t>60</w:t>
            </w:r>
          </w:p>
        </w:tc>
      </w:tr>
    </w:tbl>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1000"/>
          </w:cols>
          <w:pgMar w:left="240" w:top="237" w:right="6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6"/>
        </w:trPr>
        <w:tc>
          <w:tcPr>
            <w:tcW w:w="1220" w:type="dxa"/>
            <w:vAlign w:val="bottom"/>
          </w:tcPr>
          <w:p>
            <w:pPr>
              <w:spacing w:after="0"/>
              <w:rPr>
                <w:sz w:val="14"/>
                <w:szCs w:val="14"/>
                <w:color w:val="auto"/>
              </w:rPr>
            </w:pPr>
          </w:p>
        </w:tc>
        <w:tc>
          <w:tcPr>
            <w:tcW w:w="8080" w:type="dxa"/>
            <w:vAlign w:val="bottom"/>
          </w:tcPr>
          <w:p>
            <w:pPr>
              <w:jc w:val="center"/>
              <w:ind w:left="834"/>
              <w:spacing w:after="0"/>
              <w:rPr>
                <w:sz w:val="20"/>
                <w:szCs w:val="20"/>
                <w:color w:val="auto"/>
              </w:rPr>
            </w:pPr>
            <w:r>
              <w:rPr>
                <w:rFonts w:ascii="Arial" w:cs="Arial" w:eastAsia="Arial" w:hAnsi="Arial"/>
                <w:sz w:val="13"/>
                <w:szCs w:val="13"/>
                <w:color w:val="auto"/>
                <w:w w:val="99"/>
              </w:rPr>
              <w:t>ARTICLE EIGHT</w:t>
            </w:r>
          </w:p>
        </w:tc>
        <w:tc>
          <w:tcPr>
            <w:tcW w:w="1700" w:type="dxa"/>
            <w:vAlign w:val="bottom"/>
          </w:tcPr>
          <w:p>
            <w:pPr>
              <w:spacing w:after="0"/>
              <w:rPr>
                <w:sz w:val="14"/>
                <w:szCs w:val="14"/>
                <w:color w:val="auto"/>
              </w:rPr>
            </w:pPr>
          </w:p>
        </w:tc>
      </w:tr>
      <w:tr>
        <w:trPr>
          <w:trHeight w:val="477"/>
        </w:trPr>
        <w:tc>
          <w:tcPr>
            <w:tcW w:w="1220" w:type="dxa"/>
            <w:vAlign w:val="bottom"/>
          </w:tcPr>
          <w:p>
            <w:pPr>
              <w:spacing w:after="0"/>
              <w:rPr>
                <w:sz w:val="24"/>
                <w:szCs w:val="24"/>
                <w:color w:val="auto"/>
              </w:rPr>
            </w:pPr>
          </w:p>
        </w:tc>
        <w:tc>
          <w:tcPr>
            <w:tcW w:w="8080" w:type="dxa"/>
            <w:vAlign w:val="bottom"/>
          </w:tcPr>
          <w:p>
            <w:pPr>
              <w:jc w:val="center"/>
              <w:ind w:left="854"/>
              <w:spacing w:after="0"/>
              <w:rPr>
                <w:sz w:val="20"/>
                <w:szCs w:val="20"/>
                <w:color w:val="auto"/>
              </w:rPr>
            </w:pPr>
            <w:r>
              <w:rPr>
                <w:rFonts w:ascii="Arial" w:cs="Arial" w:eastAsia="Arial" w:hAnsi="Arial"/>
                <w:sz w:val="13"/>
                <w:szCs w:val="13"/>
                <w:color w:val="auto"/>
                <w:w w:val="96"/>
              </w:rPr>
              <w:t>HOLDERS’ LISTS AND REPORTS BY TRUSTEE AND ISSUER</w:t>
            </w:r>
          </w:p>
        </w:tc>
        <w:tc>
          <w:tcPr>
            <w:tcW w:w="1700" w:type="dxa"/>
            <w:vAlign w:val="bottom"/>
          </w:tcPr>
          <w:p>
            <w:pPr>
              <w:spacing w:after="0"/>
              <w:rPr>
                <w:sz w:val="24"/>
                <w:szCs w:val="24"/>
                <w:color w:val="auto"/>
              </w:rPr>
            </w:pPr>
          </w:p>
        </w:tc>
      </w:tr>
      <w:tr>
        <w:trPr>
          <w:trHeight w:val="531"/>
        </w:trPr>
        <w:tc>
          <w:tcPr>
            <w:tcW w:w="1220" w:type="dxa"/>
            <w:vAlign w:val="bottom"/>
          </w:tcPr>
          <w:p>
            <w:pPr>
              <w:spacing w:after="0"/>
              <w:rPr>
                <w:sz w:val="20"/>
                <w:szCs w:val="20"/>
                <w:color w:val="auto"/>
              </w:rPr>
            </w:pPr>
            <w:r>
              <w:rPr>
                <w:rFonts w:ascii="Arial" w:cs="Arial" w:eastAsia="Arial" w:hAnsi="Arial"/>
                <w:sz w:val="13"/>
                <w:szCs w:val="13"/>
                <w:color w:val="auto"/>
              </w:rPr>
              <w:t>Section 801.</w:t>
            </w:r>
          </w:p>
        </w:tc>
        <w:tc>
          <w:tcPr>
            <w:tcW w:w="8080" w:type="dxa"/>
            <w:vAlign w:val="bottom"/>
          </w:tcPr>
          <w:p>
            <w:pPr>
              <w:ind w:left="500"/>
              <w:spacing w:after="0"/>
              <w:rPr>
                <w:sz w:val="20"/>
                <w:szCs w:val="20"/>
                <w:color w:val="auto"/>
              </w:rPr>
            </w:pPr>
            <w:r>
              <w:rPr>
                <w:rFonts w:ascii="Arial" w:cs="Arial" w:eastAsia="Arial" w:hAnsi="Arial"/>
                <w:sz w:val="13"/>
                <w:szCs w:val="13"/>
                <w:color w:val="auto"/>
              </w:rPr>
              <w:t>Issuer to Furnish Trustee Names and Addresses of Holders</w:t>
            </w:r>
          </w:p>
        </w:tc>
        <w:tc>
          <w:tcPr>
            <w:tcW w:w="170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89"/>
        </w:trPr>
        <w:tc>
          <w:tcPr>
            <w:tcW w:w="1220" w:type="dxa"/>
            <w:vAlign w:val="bottom"/>
          </w:tcPr>
          <w:p>
            <w:pPr>
              <w:spacing w:after="0"/>
              <w:rPr>
                <w:sz w:val="20"/>
                <w:szCs w:val="20"/>
                <w:color w:val="auto"/>
              </w:rPr>
            </w:pPr>
            <w:r>
              <w:rPr>
                <w:rFonts w:ascii="Arial" w:cs="Arial" w:eastAsia="Arial" w:hAnsi="Arial"/>
                <w:sz w:val="13"/>
                <w:szCs w:val="13"/>
                <w:color w:val="auto"/>
              </w:rPr>
              <w:t>Section 802.</w:t>
            </w:r>
          </w:p>
        </w:tc>
        <w:tc>
          <w:tcPr>
            <w:tcW w:w="8080" w:type="dxa"/>
            <w:vAlign w:val="bottom"/>
          </w:tcPr>
          <w:p>
            <w:pPr>
              <w:ind w:left="500"/>
              <w:spacing w:after="0"/>
              <w:rPr>
                <w:sz w:val="20"/>
                <w:szCs w:val="20"/>
                <w:color w:val="auto"/>
              </w:rPr>
            </w:pPr>
            <w:r>
              <w:rPr>
                <w:rFonts w:ascii="Arial" w:cs="Arial" w:eastAsia="Arial" w:hAnsi="Arial"/>
                <w:sz w:val="13"/>
                <w:szCs w:val="13"/>
                <w:color w:val="auto"/>
              </w:rPr>
              <w:t>Preservation of Information; Communications to Holders</w:t>
            </w:r>
          </w:p>
        </w:tc>
        <w:tc>
          <w:tcPr>
            <w:tcW w:w="170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89"/>
        </w:trPr>
        <w:tc>
          <w:tcPr>
            <w:tcW w:w="1220" w:type="dxa"/>
            <w:vAlign w:val="bottom"/>
          </w:tcPr>
          <w:p>
            <w:pPr>
              <w:spacing w:after="0"/>
              <w:rPr>
                <w:sz w:val="20"/>
                <w:szCs w:val="20"/>
                <w:color w:val="auto"/>
              </w:rPr>
            </w:pPr>
            <w:r>
              <w:rPr>
                <w:rFonts w:ascii="Arial" w:cs="Arial" w:eastAsia="Arial" w:hAnsi="Arial"/>
                <w:sz w:val="13"/>
                <w:szCs w:val="13"/>
                <w:color w:val="auto"/>
              </w:rPr>
              <w:t>Section 803.</w:t>
            </w:r>
          </w:p>
        </w:tc>
        <w:tc>
          <w:tcPr>
            <w:tcW w:w="8080" w:type="dxa"/>
            <w:vAlign w:val="bottom"/>
          </w:tcPr>
          <w:p>
            <w:pPr>
              <w:ind w:left="500"/>
              <w:spacing w:after="0"/>
              <w:rPr>
                <w:sz w:val="20"/>
                <w:szCs w:val="20"/>
                <w:color w:val="auto"/>
              </w:rPr>
            </w:pPr>
            <w:r>
              <w:rPr>
                <w:rFonts w:ascii="Arial" w:cs="Arial" w:eastAsia="Arial" w:hAnsi="Arial"/>
                <w:sz w:val="13"/>
                <w:szCs w:val="13"/>
                <w:color w:val="auto"/>
              </w:rPr>
              <w:t>Reports by Trustee</w:t>
            </w:r>
          </w:p>
        </w:tc>
        <w:tc>
          <w:tcPr>
            <w:tcW w:w="170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333"/>
        </w:trPr>
        <w:tc>
          <w:tcPr>
            <w:tcW w:w="1220" w:type="dxa"/>
            <w:vAlign w:val="bottom"/>
          </w:tcPr>
          <w:p>
            <w:pPr>
              <w:spacing w:after="0"/>
              <w:rPr>
                <w:sz w:val="20"/>
                <w:szCs w:val="20"/>
                <w:color w:val="auto"/>
              </w:rPr>
            </w:pPr>
            <w:r>
              <w:rPr>
                <w:rFonts w:ascii="Arial" w:cs="Arial" w:eastAsia="Arial" w:hAnsi="Arial"/>
                <w:sz w:val="13"/>
                <w:szCs w:val="13"/>
                <w:color w:val="auto"/>
              </w:rPr>
              <w:t>Section 804.</w:t>
            </w:r>
          </w:p>
        </w:tc>
        <w:tc>
          <w:tcPr>
            <w:tcW w:w="8080" w:type="dxa"/>
            <w:vAlign w:val="bottom"/>
          </w:tcPr>
          <w:p>
            <w:pPr>
              <w:ind w:left="500"/>
              <w:spacing w:after="0"/>
              <w:rPr>
                <w:sz w:val="20"/>
                <w:szCs w:val="20"/>
                <w:color w:val="auto"/>
              </w:rPr>
            </w:pPr>
            <w:r>
              <w:rPr>
                <w:rFonts w:ascii="Arial" w:cs="Arial" w:eastAsia="Arial" w:hAnsi="Arial"/>
                <w:sz w:val="13"/>
                <w:szCs w:val="13"/>
                <w:color w:val="auto"/>
              </w:rPr>
              <w:t>Reports by Issuer</w:t>
            </w:r>
          </w:p>
        </w:tc>
        <w:tc>
          <w:tcPr>
            <w:tcW w:w="170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676"/>
        </w:trPr>
        <w:tc>
          <w:tcPr>
            <w:tcW w:w="1220" w:type="dxa"/>
            <w:vAlign w:val="bottom"/>
          </w:tcPr>
          <w:p>
            <w:pPr>
              <w:spacing w:after="0"/>
              <w:rPr>
                <w:sz w:val="24"/>
                <w:szCs w:val="24"/>
                <w:color w:val="auto"/>
              </w:rPr>
            </w:pPr>
          </w:p>
        </w:tc>
        <w:tc>
          <w:tcPr>
            <w:tcW w:w="8080" w:type="dxa"/>
            <w:vAlign w:val="bottom"/>
          </w:tcPr>
          <w:p>
            <w:pPr>
              <w:jc w:val="center"/>
              <w:ind w:left="834"/>
              <w:spacing w:after="0"/>
              <w:rPr>
                <w:sz w:val="20"/>
                <w:szCs w:val="20"/>
                <w:color w:val="auto"/>
              </w:rPr>
            </w:pPr>
            <w:r>
              <w:rPr>
                <w:rFonts w:ascii="Arial" w:cs="Arial" w:eastAsia="Arial" w:hAnsi="Arial"/>
                <w:sz w:val="13"/>
                <w:szCs w:val="13"/>
                <w:color w:val="auto"/>
              </w:rPr>
              <w:t>ARTICLE NINE</w:t>
            </w:r>
          </w:p>
        </w:tc>
        <w:tc>
          <w:tcPr>
            <w:tcW w:w="1700" w:type="dxa"/>
            <w:vAlign w:val="bottom"/>
          </w:tcPr>
          <w:p>
            <w:pPr>
              <w:spacing w:after="0"/>
              <w:rPr>
                <w:sz w:val="24"/>
                <w:szCs w:val="24"/>
                <w:color w:val="auto"/>
              </w:rPr>
            </w:pPr>
          </w:p>
        </w:tc>
      </w:tr>
      <w:tr>
        <w:trPr>
          <w:trHeight w:val="919"/>
        </w:trPr>
        <w:tc>
          <w:tcPr>
            <w:tcW w:w="1220" w:type="dxa"/>
            <w:vAlign w:val="bottom"/>
          </w:tcPr>
          <w:p>
            <w:pPr>
              <w:spacing w:after="0"/>
              <w:rPr>
                <w:sz w:val="24"/>
                <w:szCs w:val="24"/>
                <w:color w:val="auto"/>
              </w:rPr>
            </w:pPr>
          </w:p>
        </w:tc>
        <w:tc>
          <w:tcPr>
            <w:tcW w:w="8080" w:type="dxa"/>
            <w:vAlign w:val="bottom"/>
          </w:tcPr>
          <w:p>
            <w:pPr>
              <w:jc w:val="center"/>
              <w:ind w:left="854"/>
              <w:spacing w:after="0"/>
              <w:rPr>
                <w:sz w:val="20"/>
                <w:szCs w:val="20"/>
                <w:color w:val="auto"/>
              </w:rPr>
            </w:pPr>
            <w:r>
              <w:rPr>
                <w:rFonts w:ascii="Arial" w:cs="Arial" w:eastAsia="Arial" w:hAnsi="Arial"/>
                <w:sz w:val="13"/>
                <w:szCs w:val="13"/>
                <w:color w:val="auto"/>
                <w:w w:val="97"/>
              </w:rPr>
              <w:t>CONSOLIDATION, MERGER, CONVEYANCE, TRANSFER OR LEASE</w:t>
            </w:r>
          </w:p>
        </w:tc>
        <w:tc>
          <w:tcPr>
            <w:tcW w:w="1700" w:type="dxa"/>
            <w:vAlign w:val="bottom"/>
          </w:tcPr>
          <w:p>
            <w:pPr>
              <w:spacing w:after="0"/>
              <w:rPr>
                <w:sz w:val="24"/>
                <w:szCs w:val="24"/>
                <w:color w:val="auto"/>
              </w:rPr>
            </w:pPr>
          </w:p>
        </w:tc>
      </w:tr>
      <w:tr>
        <w:trPr>
          <w:trHeight w:val="676"/>
        </w:trPr>
        <w:tc>
          <w:tcPr>
            <w:tcW w:w="1220" w:type="dxa"/>
            <w:vAlign w:val="bottom"/>
          </w:tcPr>
          <w:p>
            <w:pPr>
              <w:spacing w:after="0"/>
              <w:rPr>
                <w:sz w:val="20"/>
                <w:szCs w:val="20"/>
                <w:color w:val="auto"/>
              </w:rPr>
            </w:pPr>
            <w:r>
              <w:rPr>
                <w:rFonts w:ascii="Arial" w:cs="Arial" w:eastAsia="Arial" w:hAnsi="Arial"/>
                <w:sz w:val="13"/>
                <w:szCs w:val="13"/>
                <w:color w:val="auto"/>
              </w:rPr>
              <w:t>Section 901.</w:t>
            </w:r>
          </w:p>
        </w:tc>
        <w:tc>
          <w:tcPr>
            <w:tcW w:w="8080" w:type="dxa"/>
            <w:vAlign w:val="bottom"/>
          </w:tcPr>
          <w:p>
            <w:pPr>
              <w:ind w:left="500"/>
              <w:spacing w:after="0"/>
              <w:rPr>
                <w:sz w:val="20"/>
                <w:szCs w:val="20"/>
                <w:color w:val="auto"/>
              </w:rPr>
            </w:pPr>
            <w:r>
              <w:rPr>
                <w:rFonts w:ascii="Arial" w:cs="Arial" w:eastAsia="Arial" w:hAnsi="Arial"/>
                <w:sz w:val="13"/>
                <w:szCs w:val="13"/>
                <w:color w:val="auto"/>
              </w:rPr>
              <w:t>Issuer and Guarantors May Consolidate, Etc., Only on Certain Terms</w:t>
            </w:r>
          </w:p>
        </w:tc>
        <w:tc>
          <w:tcPr>
            <w:tcW w:w="170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902.</w:t>
            </w:r>
          </w:p>
        </w:tc>
        <w:tc>
          <w:tcPr>
            <w:tcW w:w="8080" w:type="dxa"/>
            <w:vAlign w:val="bottom"/>
          </w:tcPr>
          <w:p>
            <w:pPr>
              <w:ind w:left="500"/>
              <w:spacing w:after="0"/>
              <w:rPr>
                <w:sz w:val="20"/>
                <w:szCs w:val="20"/>
                <w:color w:val="auto"/>
              </w:rPr>
            </w:pPr>
            <w:r>
              <w:rPr>
                <w:rFonts w:ascii="Arial" w:cs="Arial" w:eastAsia="Arial" w:hAnsi="Arial"/>
                <w:sz w:val="13"/>
                <w:szCs w:val="13"/>
                <w:color w:val="auto"/>
              </w:rPr>
              <w:t>Successor Substituted</w:t>
            </w:r>
          </w:p>
        </w:tc>
        <w:tc>
          <w:tcPr>
            <w:tcW w:w="170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676"/>
        </w:trPr>
        <w:tc>
          <w:tcPr>
            <w:tcW w:w="1220" w:type="dxa"/>
            <w:vAlign w:val="bottom"/>
          </w:tcPr>
          <w:p>
            <w:pPr>
              <w:spacing w:after="0"/>
              <w:rPr>
                <w:sz w:val="24"/>
                <w:szCs w:val="24"/>
                <w:color w:val="auto"/>
              </w:rPr>
            </w:pPr>
          </w:p>
        </w:tc>
        <w:tc>
          <w:tcPr>
            <w:tcW w:w="8080" w:type="dxa"/>
            <w:vAlign w:val="bottom"/>
          </w:tcPr>
          <w:p>
            <w:pPr>
              <w:jc w:val="center"/>
              <w:ind w:left="854"/>
              <w:spacing w:after="0"/>
              <w:rPr>
                <w:sz w:val="20"/>
                <w:szCs w:val="20"/>
                <w:color w:val="auto"/>
              </w:rPr>
            </w:pPr>
            <w:r>
              <w:rPr>
                <w:rFonts w:ascii="Arial" w:cs="Arial" w:eastAsia="Arial" w:hAnsi="Arial"/>
                <w:sz w:val="13"/>
                <w:szCs w:val="13"/>
                <w:color w:val="auto"/>
                <w:w w:val="99"/>
              </w:rPr>
              <w:t>ARTICLE TEN</w:t>
            </w:r>
          </w:p>
        </w:tc>
        <w:tc>
          <w:tcPr>
            <w:tcW w:w="1700" w:type="dxa"/>
            <w:vAlign w:val="bottom"/>
          </w:tcPr>
          <w:p>
            <w:pPr>
              <w:spacing w:after="0"/>
              <w:rPr>
                <w:sz w:val="24"/>
                <w:szCs w:val="24"/>
                <w:color w:val="auto"/>
              </w:rPr>
            </w:pPr>
          </w:p>
        </w:tc>
      </w:tr>
      <w:tr>
        <w:trPr>
          <w:trHeight w:val="477"/>
        </w:trPr>
        <w:tc>
          <w:tcPr>
            <w:tcW w:w="1220" w:type="dxa"/>
            <w:vAlign w:val="bottom"/>
          </w:tcPr>
          <w:p>
            <w:pPr>
              <w:spacing w:after="0"/>
              <w:rPr>
                <w:sz w:val="24"/>
                <w:szCs w:val="24"/>
                <w:color w:val="auto"/>
              </w:rPr>
            </w:pPr>
          </w:p>
        </w:tc>
        <w:tc>
          <w:tcPr>
            <w:tcW w:w="8080" w:type="dxa"/>
            <w:vAlign w:val="bottom"/>
          </w:tcPr>
          <w:p>
            <w:pPr>
              <w:jc w:val="center"/>
              <w:ind w:left="854"/>
              <w:spacing w:after="0"/>
              <w:rPr>
                <w:sz w:val="20"/>
                <w:szCs w:val="20"/>
                <w:color w:val="auto"/>
              </w:rPr>
            </w:pPr>
            <w:r>
              <w:rPr>
                <w:rFonts w:ascii="Arial" w:cs="Arial" w:eastAsia="Arial" w:hAnsi="Arial"/>
                <w:sz w:val="13"/>
                <w:szCs w:val="13"/>
                <w:color w:val="auto"/>
                <w:w w:val="97"/>
              </w:rPr>
              <w:t>SUPPLEMENTAL INDENTURES</w:t>
            </w:r>
          </w:p>
        </w:tc>
        <w:tc>
          <w:tcPr>
            <w:tcW w:w="1700" w:type="dxa"/>
            <w:vAlign w:val="bottom"/>
          </w:tcPr>
          <w:p>
            <w:pPr>
              <w:spacing w:after="0"/>
              <w:rPr>
                <w:sz w:val="24"/>
                <w:szCs w:val="24"/>
                <w:color w:val="auto"/>
              </w:rPr>
            </w:pP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1001.</w:t>
            </w:r>
          </w:p>
        </w:tc>
        <w:tc>
          <w:tcPr>
            <w:tcW w:w="8080" w:type="dxa"/>
            <w:vAlign w:val="bottom"/>
          </w:tcPr>
          <w:p>
            <w:pPr>
              <w:ind w:left="500"/>
              <w:spacing w:after="0"/>
              <w:rPr>
                <w:sz w:val="20"/>
                <w:szCs w:val="20"/>
                <w:color w:val="auto"/>
              </w:rPr>
            </w:pPr>
            <w:r>
              <w:rPr>
                <w:rFonts w:ascii="Arial" w:cs="Arial" w:eastAsia="Arial" w:hAnsi="Arial"/>
                <w:sz w:val="13"/>
                <w:szCs w:val="13"/>
                <w:color w:val="auto"/>
              </w:rPr>
              <w:t>Supplemental Indentures Without Consent of Holders</w:t>
            </w:r>
          </w:p>
        </w:tc>
        <w:tc>
          <w:tcPr>
            <w:tcW w:w="170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1002.</w:t>
            </w:r>
          </w:p>
        </w:tc>
        <w:tc>
          <w:tcPr>
            <w:tcW w:w="8080" w:type="dxa"/>
            <w:vAlign w:val="bottom"/>
          </w:tcPr>
          <w:p>
            <w:pPr>
              <w:ind w:left="500"/>
              <w:spacing w:after="0"/>
              <w:rPr>
                <w:sz w:val="20"/>
                <w:szCs w:val="20"/>
                <w:color w:val="auto"/>
              </w:rPr>
            </w:pPr>
            <w:r>
              <w:rPr>
                <w:rFonts w:ascii="Arial" w:cs="Arial" w:eastAsia="Arial" w:hAnsi="Arial"/>
                <w:sz w:val="13"/>
                <w:szCs w:val="13"/>
                <w:color w:val="auto"/>
              </w:rPr>
              <w:t>Supplemental Indentures With Consent of Holders</w:t>
            </w:r>
          </w:p>
        </w:tc>
        <w:tc>
          <w:tcPr>
            <w:tcW w:w="170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1003.</w:t>
            </w:r>
          </w:p>
        </w:tc>
        <w:tc>
          <w:tcPr>
            <w:tcW w:w="8080" w:type="dxa"/>
            <w:vAlign w:val="bottom"/>
          </w:tcPr>
          <w:p>
            <w:pPr>
              <w:ind w:left="500"/>
              <w:spacing w:after="0"/>
              <w:rPr>
                <w:sz w:val="20"/>
                <w:szCs w:val="20"/>
                <w:color w:val="auto"/>
              </w:rPr>
            </w:pPr>
            <w:r>
              <w:rPr>
                <w:rFonts w:ascii="Arial" w:cs="Arial" w:eastAsia="Arial" w:hAnsi="Arial"/>
                <w:sz w:val="13"/>
                <w:szCs w:val="13"/>
                <w:color w:val="auto"/>
              </w:rPr>
              <w:t>Execution of Supplemental Indentures</w:t>
            </w:r>
          </w:p>
        </w:tc>
        <w:tc>
          <w:tcPr>
            <w:tcW w:w="170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1004.</w:t>
            </w:r>
          </w:p>
        </w:tc>
        <w:tc>
          <w:tcPr>
            <w:tcW w:w="8080" w:type="dxa"/>
            <w:vAlign w:val="bottom"/>
          </w:tcPr>
          <w:p>
            <w:pPr>
              <w:ind w:left="500"/>
              <w:spacing w:after="0"/>
              <w:rPr>
                <w:sz w:val="20"/>
                <w:szCs w:val="20"/>
                <w:color w:val="auto"/>
              </w:rPr>
            </w:pPr>
            <w:r>
              <w:rPr>
                <w:rFonts w:ascii="Arial" w:cs="Arial" w:eastAsia="Arial" w:hAnsi="Arial"/>
                <w:sz w:val="13"/>
                <w:szCs w:val="13"/>
                <w:color w:val="auto"/>
              </w:rPr>
              <w:t>Effect of Supplemental Indentures</w:t>
            </w:r>
          </w:p>
        </w:tc>
        <w:tc>
          <w:tcPr>
            <w:tcW w:w="170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1005.</w:t>
            </w:r>
          </w:p>
        </w:tc>
        <w:tc>
          <w:tcPr>
            <w:tcW w:w="8080" w:type="dxa"/>
            <w:vAlign w:val="bottom"/>
          </w:tcPr>
          <w:p>
            <w:pPr>
              <w:ind w:left="500"/>
              <w:spacing w:after="0"/>
              <w:rPr>
                <w:sz w:val="20"/>
                <w:szCs w:val="20"/>
                <w:color w:val="auto"/>
              </w:rPr>
            </w:pPr>
            <w:r>
              <w:rPr>
                <w:rFonts w:ascii="Arial" w:cs="Arial" w:eastAsia="Arial" w:hAnsi="Arial"/>
                <w:sz w:val="13"/>
                <w:szCs w:val="13"/>
                <w:color w:val="auto"/>
              </w:rPr>
              <w:t>Conformity with Trust Indenture Act</w:t>
            </w:r>
          </w:p>
        </w:tc>
        <w:tc>
          <w:tcPr>
            <w:tcW w:w="170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1006.</w:t>
            </w:r>
          </w:p>
        </w:tc>
        <w:tc>
          <w:tcPr>
            <w:tcW w:w="8080" w:type="dxa"/>
            <w:vAlign w:val="bottom"/>
          </w:tcPr>
          <w:p>
            <w:pPr>
              <w:ind w:left="500"/>
              <w:spacing w:after="0"/>
              <w:rPr>
                <w:sz w:val="20"/>
                <w:szCs w:val="20"/>
                <w:color w:val="auto"/>
              </w:rPr>
            </w:pPr>
            <w:r>
              <w:rPr>
                <w:rFonts w:ascii="Arial" w:cs="Arial" w:eastAsia="Arial" w:hAnsi="Arial"/>
                <w:sz w:val="13"/>
                <w:szCs w:val="13"/>
                <w:color w:val="auto"/>
              </w:rPr>
              <w:t>Reference in Notes to Supplemental Indentures</w:t>
            </w:r>
          </w:p>
        </w:tc>
        <w:tc>
          <w:tcPr>
            <w:tcW w:w="170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676"/>
        </w:trPr>
        <w:tc>
          <w:tcPr>
            <w:tcW w:w="1220" w:type="dxa"/>
            <w:vAlign w:val="bottom"/>
          </w:tcPr>
          <w:p>
            <w:pPr>
              <w:spacing w:after="0"/>
              <w:rPr>
                <w:sz w:val="24"/>
                <w:szCs w:val="24"/>
                <w:color w:val="auto"/>
              </w:rPr>
            </w:pPr>
          </w:p>
        </w:tc>
        <w:tc>
          <w:tcPr>
            <w:tcW w:w="8080" w:type="dxa"/>
            <w:vAlign w:val="bottom"/>
          </w:tcPr>
          <w:p>
            <w:pPr>
              <w:jc w:val="center"/>
              <w:ind w:left="834"/>
              <w:spacing w:after="0"/>
              <w:rPr>
                <w:sz w:val="20"/>
                <w:szCs w:val="20"/>
                <w:color w:val="auto"/>
              </w:rPr>
            </w:pPr>
            <w:r>
              <w:rPr>
                <w:rFonts w:ascii="Arial" w:cs="Arial" w:eastAsia="Arial" w:hAnsi="Arial"/>
                <w:sz w:val="13"/>
                <w:szCs w:val="13"/>
                <w:color w:val="auto"/>
              </w:rPr>
              <w:t>ARTICLE ELEVEN</w:t>
            </w:r>
          </w:p>
        </w:tc>
        <w:tc>
          <w:tcPr>
            <w:tcW w:w="1700" w:type="dxa"/>
            <w:vAlign w:val="bottom"/>
          </w:tcPr>
          <w:p>
            <w:pPr>
              <w:spacing w:after="0"/>
              <w:rPr>
                <w:sz w:val="24"/>
                <w:szCs w:val="24"/>
                <w:color w:val="auto"/>
              </w:rPr>
            </w:pPr>
          </w:p>
        </w:tc>
      </w:tr>
      <w:tr>
        <w:trPr>
          <w:trHeight w:val="477"/>
        </w:trPr>
        <w:tc>
          <w:tcPr>
            <w:tcW w:w="1220" w:type="dxa"/>
            <w:vAlign w:val="bottom"/>
          </w:tcPr>
          <w:p>
            <w:pPr>
              <w:spacing w:after="0"/>
              <w:rPr>
                <w:sz w:val="24"/>
                <w:szCs w:val="24"/>
                <w:color w:val="auto"/>
              </w:rPr>
            </w:pPr>
          </w:p>
        </w:tc>
        <w:tc>
          <w:tcPr>
            <w:tcW w:w="8080" w:type="dxa"/>
            <w:vAlign w:val="bottom"/>
          </w:tcPr>
          <w:p>
            <w:pPr>
              <w:jc w:val="center"/>
              <w:ind w:left="854"/>
              <w:spacing w:after="0"/>
              <w:rPr>
                <w:sz w:val="20"/>
                <w:szCs w:val="20"/>
                <w:color w:val="auto"/>
              </w:rPr>
            </w:pPr>
            <w:r>
              <w:rPr>
                <w:rFonts w:ascii="Arial" w:cs="Arial" w:eastAsia="Arial" w:hAnsi="Arial"/>
                <w:sz w:val="13"/>
                <w:szCs w:val="13"/>
                <w:color w:val="auto"/>
                <w:w w:val="98"/>
              </w:rPr>
              <w:t>COVENANTS</w:t>
            </w:r>
          </w:p>
        </w:tc>
        <w:tc>
          <w:tcPr>
            <w:tcW w:w="1700" w:type="dxa"/>
            <w:vAlign w:val="bottom"/>
          </w:tcPr>
          <w:p>
            <w:pPr>
              <w:spacing w:after="0"/>
              <w:rPr>
                <w:sz w:val="24"/>
                <w:szCs w:val="24"/>
                <w:color w:val="auto"/>
              </w:rPr>
            </w:pPr>
          </w:p>
        </w:tc>
      </w:tr>
      <w:tr>
        <w:trPr>
          <w:trHeight w:val="676"/>
        </w:trPr>
        <w:tc>
          <w:tcPr>
            <w:tcW w:w="1220" w:type="dxa"/>
            <w:vAlign w:val="bottom"/>
          </w:tcPr>
          <w:p>
            <w:pPr>
              <w:spacing w:after="0"/>
              <w:rPr>
                <w:sz w:val="20"/>
                <w:szCs w:val="20"/>
                <w:color w:val="auto"/>
              </w:rPr>
            </w:pPr>
            <w:r>
              <w:rPr>
                <w:rFonts w:ascii="Arial" w:cs="Arial" w:eastAsia="Arial" w:hAnsi="Arial"/>
                <w:sz w:val="13"/>
                <w:szCs w:val="13"/>
                <w:color w:val="auto"/>
              </w:rPr>
              <w:t>Section 1101.</w:t>
            </w:r>
          </w:p>
        </w:tc>
        <w:tc>
          <w:tcPr>
            <w:tcW w:w="8080" w:type="dxa"/>
            <w:vAlign w:val="bottom"/>
          </w:tcPr>
          <w:p>
            <w:pPr>
              <w:ind w:left="500"/>
              <w:spacing w:after="0"/>
              <w:rPr>
                <w:sz w:val="20"/>
                <w:szCs w:val="20"/>
                <w:color w:val="auto"/>
              </w:rPr>
            </w:pPr>
            <w:r>
              <w:rPr>
                <w:rFonts w:ascii="Arial" w:cs="Arial" w:eastAsia="Arial" w:hAnsi="Arial"/>
                <w:sz w:val="13"/>
                <w:szCs w:val="13"/>
                <w:color w:val="auto"/>
              </w:rPr>
              <w:t>Payment of Principal, Premium and Interest</w:t>
            </w:r>
          </w:p>
        </w:tc>
        <w:tc>
          <w:tcPr>
            <w:tcW w:w="170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1102.</w:t>
            </w:r>
          </w:p>
        </w:tc>
        <w:tc>
          <w:tcPr>
            <w:tcW w:w="8080" w:type="dxa"/>
            <w:vAlign w:val="bottom"/>
          </w:tcPr>
          <w:p>
            <w:pPr>
              <w:ind w:left="500"/>
              <w:spacing w:after="0"/>
              <w:rPr>
                <w:sz w:val="20"/>
                <w:szCs w:val="20"/>
                <w:color w:val="auto"/>
              </w:rPr>
            </w:pPr>
            <w:r>
              <w:rPr>
                <w:rFonts w:ascii="Arial" w:cs="Arial" w:eastAsia="Arial" w:hAnsi="Arial"/>
                <w:sz w:val="13"/>
                <w:szCs w:val="13"/>
                <w:color w:val="auto"/>
              </w:rPr>
              <w:t>Maintenance of Office or Agency</w:t>
            </w:r>
          </w:p>
        </w:tc>
        <w:tc>
          <w:tcPr>
            <w:tcW w:w="170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1103.</w:t>
            </w:r>
          </w:p>
        </w:tc>
        <w:tc>
          <w:tcPr>
            <w:tcW w:w="8080" w:type="dxa"/>
            <w:vAlign w:val="bottom"/>
          </w:tcPr>
          <w:p>
            <w:pPr>
              <w:ind w:left="500"/>
              <w:spacing w:after="0"/>
              <w:rPr>
                <w:sz w:val="20"/>
                <w:szCs w:val="20"/>
                <w:color w:val="auto"/>
              </w:rPr>
            </w:pPr>
            <w:r>
              <w:rPr>
                <w:rFonts w:ascii="Arial" w:cs="Arial" w:eastAsia="Arial" w:hAnsi="Arial"/>
                <w:sz w:val="13"/>
                <w:szCs w:val="13"/>
                <w:color w:val="auto"/>
              </w:rPr>
              <w:t>Money for Notes Payments to Be Held in Trust</w:t>
            </w:r>
          </w:p>
        </w:tc>
        <w:tc>
          <w:tcPr>
            <w:tcW w:w="170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1104.</w:t>
            </w:r>
          </w:p>
        </w:tc>
        <w:tc>
          <w:tcPr>
            <w:tcW w:w="8080" w:type="dxa"/>
            <w:vAlign w:val="bottom"/>
          </w:tcPr>
          <w:p>
            <w:pPr>
              <w:ind w:left="500"/>
              <w:spacing w:after="0"/>
              <w:rPr>
                <w:sz w:val="20"/>
                <w:szCs w:val="20"/>
                <w:color w:val="auto"/>
              </w:rPr>
            </w:pPr>
            <w:r>
              <w:rPr>
                <w:rFonts w:ascii="Arial" w:cs="Arial" w:eastAsia="Arial" w:hAnsi="Arial"/>
                <w:sz w:val="13"/>
                <w:szCs w:val="13"/>
                <w:color w:val="auto"/>
              </w:rPr>
              <w:t>Annual Compliance Certificate; Statement by Officers as to Default</w:t>
            </w:r>
          </w:p>
        </w:tc>
        <w:tc>
          <w:tcPr>
            <w:tcW w:w="170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1105.</w:t>
            </w:r>
          </w:p>
        </w:tc>
        <w:tc>
          <w:tcPr>
            <w:tcW w:w="8080" w:type="dxa"/>
            <w:vAlign w:val="bottom"/>
          </w:tcPr>
          <w:p>
            <w:pPr>
              <w:ind w:left="500"/>
              <w:spacing w:after="0"/>
              <w:rPr>
                <w:sz w:val="20"/>
                <w:szCs w:val="20"/>
                <w:color w:val="auto"/>
              </w:rPr>
            </w:pPr>
            <w:r>
              <w:rPr>
                <w:rFonts w:ascii="Arial" w:cs="Arial" w:eastAsia="Arial" w:hAnsi="Arial"/>
                <w:sz w:val="13"/>
                <w:szCs w:val="13"/>
                <w:color w:val="auto"/>
              </w:rPr>
              <w:t>Existence</w:t>
            </w:r>
          </w:p>
        </w:tc>
        <w:tc>
          <w:tcPr>
            <w:tcW w:w="170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1106.</w:t>
            </w:r>
          </w:p>
        </w:tc>
        <w:tc>
          <w:tcPr>
            <w:tcW w:w="8080" w:type="dxa"/>
            <w:vAlign w:val="bottom"/>
          </w:tcPr>
          <w:p>
            <w:pPr>
              <w:ind w:left="500"/>
              <w:spacing w:after="0"/>
              <w:rPr>
                <w:sz w:val="20"/>
                <w:szCs w:val="20"/>
                <w:color w:val="auto"/>
              </w:rPr>
            </w:pPr>
            <w:r>
              <w:rPr>
                <w:rFonts w:ascii="Arial" w:cs="Arial" w:eastAsia="Arial" w:hAnsi="Arial"/>
                <w:sz w:val="13"/>
                <w:szCs w:val="13"/>
                <w:color w:val="auto"/>
              </w:rPr>
              <w:t>Limitation on Designation of Unrestricted Subsidiaries</w:t>
            </w:r>
          </w:p>
        </w:tc>
        <w:tc>
          <w:tcPr>
            <w:tcW w:w="17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1107.</w:t>
            </w:r>
          </w:p>
        </w:tc>
        <w:tc>
          <w:tcPr>
            <w:tcW w:w="8080" w:type="dxa"/>
            <w:vAlign w:val="bottom"/>
          </w:tcPr>
          <w:p>
            <w:pPr>
              <w:ind w:left="500"/>
              <w:spacing w:after="0"/>
              <w:rPr>
                <w:sz w:val="20"/>
                <w:szCs w:val="20"/>
                <w:color w:val="auto"/>
              </w:rPr>
            </w:pPr>
            <w:r>
              <w:rPr>
                <w:rFonts w:ascii="Arial" w:cs="Arial" w:eastAsia="Arial" w:hAnsi="Arial"/>
                <w:sz w:val="13"/>
                <w:szCs w:val="13"/>
                <w:color w:val="auto"/>
              </w:rPr>
              <w:t>Purchase of Notes Upon a Change of Control</w:t>
            </w:r>
          </w:p>
        </w:tc>
        <w:tc>
          <w:tcPr>
            <w:tcW w:w="17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1108.</w:t>
            </w:r>
          </w:p>
        </w:tc>
        <w:tc>
          <w:tcPr>
            <w:tcW w:w="8080" w:type="dxa"/>
            <w:vAlign w:val="bottom"/>
          </w:tcPr>
          <w:p>
            <w:pPr>
              <w:ind w:left="500"/>
              <w:spacing w:after="0"/>
              <w:rPr>
                <w:sz w:val="20"/>
                <w:szCs w:val="20"/>
                <w:color w:val="auto"/>
              </w:rPr>
            </w:pPr>
            <w:r>
              <w:rPr>
                <w:rFonts w:ascii="Arial" w:cs="Arial" w:eastAsia="Arial" w:hAnsi="Arial"/>
                <w:sz w:val="13"/>
                <w:szCs w:val="13"/>
                <w:color w:val="auto"/>
              </w:rPr>
              <w:t>Limitation on Additional Indebtedness</w:t>
            </w:r>
          </w:p>
        </w:tc>
        <w:tc>
          <w:tcPr>
            <w:tcW w:w="17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1109.</w:t>
            </w:r>
          </w:p>
        </w:tc>
        <w:tc>
          <w:tcPr>
            <w:tcW w:w="8080" w:type="dxa"/>
            <w:vAlign w:val="bottom"/>
          </w:tcPr>
          <w:p>
            <w:pPr>
              <w:ind w:left="500"/>
              <w:spacing w:after="0"/>
              <w:rPr>
                <w:sz w:val="20"/>
                <w:szCs w:val="20"/>
                <w:color w:val="auto"/>
              </w:rPr>
            </w:pPr>
            <w:r>
              <w:rPr>
                <w:rFonts w:ascii="Arial" w:cs="Arial" w:eastAsia="Arial" w:hAnsi="Arial"/>
                <w:sz w:val="13"/>
                <w:szCs w:val="13"/>
                <w:color w:val="auto"/>
              </w:rPr>
              <w:t>Limitation on Restricted Payments</w:t>
            </w:r>
          </w:p>
        </w:tc>
        <w:tc>
          <w:tcPr>
            <w:tcW w:w="170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1110.</w:t>
            </w:r>
          </w:p>
        </w:tc>
        <w:tc>
          <w:tcPr>
            <w:tcW w:w="8080" w:type="dxa"/>
            <w:vAlign w:val="bottom"/>
          </w:tcPr>
          <w:p>
            <w:pPr>
              <w:ind w:left="500"/>
              <w:spacing w:after="0"/>
              <w:rPr>
                <w:sz w:val="20"/>
                <w:szCs w:val="20"/>
                <w:color w:val="auto"/>
              </w:rPr>
            </w:pPr>
            <w:r>
              <w:rPr>
                <w:rFonts w:ascii="Arial" w:cs="Arial" w:eastAsia="Arial" w:hAnsi="Arial"/>
                <w:sz w:val="13"/>
                <w:szCs w:val="13"/>
                <w:color w:val="auto"/>
              </w:rPr>
              <w:t>Limitation on Liens</w:t>
            </w:r>
          </w:p>
        </w:tc>
        <w:tc>
          <w:tcPr>
            <w:tcW w:w="170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1111.</w:t>
            </w:r>
          </w:p>
        </w:tc>
        <w:tc>
          <w:tcPr>
            <w:tcW w:w="8080" w:type="dxa"/>
            <w:vAlign w:val="bottom"/>
          </w:tcPr>
          <w:p>
            <w:pPr>
              <w:ind w:left="500"/>
              <w:spacing w:after="0"/>
              <w:rPr>
                <w:sz w:val="20"/>
                <w:szCs w:val="20"/>
                <w:color w:val="auto"/>
              </w:rPr>
            </w:pPr>
            <w:r>
              <w:rPr>
                <w:rFonts w:ascii="Arial" w:cs="Arial" w:eastAsia="Arial" w:hAnsi="Arial"/>
                <w:sz w:val="13"/>
                <w:szCs w:val="13"/>
                <w:color w:val="auto"/>
              </w:rPr>
              <w:t>Limitation on Dividends and Other Restrictions Affecting Restricted Subsidiaries</w:t>
            </w:r>
          </w:p>
        </w:tc>
        <w:tc>
          <w:tcPr>
            <w:tcW w:w="170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1112.</w:t>
            </w:r>
          </w:p>
        </w:tc>
        <w:tc>
          <w:tcPr>
            <w:tcW w:w="8080" w:type="dxa"/>
            <w:vAlign w:val="bottom"/>
          </w:tcPr>
          <w:p>
            <w:pPr>
              <w:ind w:left="500"/>
              <w:spacing w:after="0"/>
              <w:rPr>
                <w:sz w:val="20"/>
                <w:szCs w:val="20"/>
                <w:color w:val="auto"/>
              </w:rPr>
            </w:pPr>
            <w:r>
              <w:rPr>
                <w:rFonts w:ascii="Arial" w:cs="Arial" w:eastAsia="Arial" w:hAnsi="Arial"/>
                <w:sz w:val="13"/>
                <w:szCs w:val="13"/>
                <w:color w:val="auto"/>
              </w:rPr>
              <w:t>Limitation on Sale-Leaseback Transactions</w:t>
            </w:r>
          </w:p>
        </w:tc>
        <w:tc>
          <w:tcPr>
            <w:tcW w:w="1700" w:type="dxa"/>
            <w:vAlign w:val="bottom"/>
          </w:tcPr>
          <w:p>
            <w:pPr>
              <w:jc w:val="right"/>
              <w:spacing w:after="0"/>
              <w:rPr>
                <w:sz w:val="20"/>
                <w:szCs w:val="20"/>
                <w:color w:val="auto"/>
              </w:rPr>
            </w:pPr>
            <w:r>
              <w:rPr>
                <w:rFonts w:ascii="Arial" w:cs="Arial" w:eastAsia="Arial" w:hAnsi="Arial"/>
                <w:sz w:val="13"/>
                <w:szCs w:val="13"/>
                <w:color w:val="auto"/>
              </w:rPr>
              <w:t>81</w:t>
            </w:r>
          </w:p>
        </w:tc>
      </w:tr>
    </w:tbl>
    <w:p>
      <w:pPr>
        <w:sectPr>
          <w:pgSz w:w="11900" w:h="16838" w:orient="portrait"/>
          <w:cols w:equalWidth="0" w:num="1">
            <w:col w:w="11000"/>
          </w:cols>
          <w:pgMar w:left="240" w:top="687" w:right="65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20" w:type="dxa"/>
            <w:vAlign w:val="bottom"/>
          </w:tcPr>
          <w:p>
            <w:pPr>
              <w:spacing w:after="0"/>
              <w:rPr>
                <w:sz w:val="20"/>
                <w:szCs w:val="20"/>
                <w:color w:val="auto"/>
              </w:rPr>
            </w:pPr>
            <w:r>
              <w:rPr>
                <w:rFonts w:ascii="Arial" w:cs="Arial" w:eastAsia="Arial" w:hAnsi="Arial"/>
                <w:sz w:val="13"/>
                <w:szCs w:val="13"/>
                <w:color w:val="auto"/>
              </w:rPr>
              <w:t>Section 1113.</w:t>
            </w:r>
          </w:p>
        </w:tc>
        <w:tc>
          <w:tcPr>
            <w:tcW w:w="3360" w:type="dxa"/>
            <w:vAlign w:val="bottom"/>
          </w:tcPr>
          <w:p>
            <w:pPr>
              <w:ind w:left="500"/>
              <w:spacing w:after="0"/>
              <w:rPr>
                <w:sz w:val="20"/>
                <w:szCs w:val="20"/>
                <w:color w:val="auto"/>
              </w:rPr>
            </w:pPr>
            <w:r>
              <w:rPr>
                <w:rFonts w:ascii="Arial" w:cs="Arial" w:eastAsia="Arial" w:hAnsi="Arial"/>
                <w:sz w:val="13"/>
                <w:szCs w:val="13"/>
                <w:color w:val="auto"/>
              </w:rPr>
              <w:t>Limitation on Affiliate Transactions</w:t>
            </w:r>
          </w:p>
        </w:tc>
        <w:tc>
          <w:tcPr>
            <w:tcW w:w="64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1114.</w:t>
            </w:r>
          </w:p>
        </w:tc>
        <w:tc>
          <w:tcPr>
            <w:tcW w:w="3360" w:type="dxa"/>
            <w:vAlign w:val="bottom"/>
          </w:tcPr>
          <w:p>
            <w:pPr>
              <w:ind w:left="500"/>
              <w:spacing w:after="0"/>
              <w:rPr>
                <w:sz w:val="20"/>
                <w:szCs w:val="20"/>
                <w:color w:val="auto"/>
              </w:rPr>
            </w:pPr>
            <w:r>
              <w:rPr>
                <w:rFonts w:ascii="Arial" w:cs="Arial" w:eastAsia="Arial" w:hAnsi="Arial"/>
                <w:sz w:val="13"/>
                <w:szCs w:val="13"/>
                <w:color w:val="auto"/>
              </w:rPr>
              <w:t>Additional Guarantees</w:t>
            </w:r>
          </w:p>
        </w:tc>
        <w:tc>
          <w:tcPr>
            <w:tcW w:w="642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1115.</w:t>
            </w:r>
          </w:p>
        </w:tc>
        <w:tc>
          <w:tcPr>
            <w:tcW w:w="3360" w:type="dxa"/>
            <w:vAlign w:val="bottom"/>
          </w:tcPr>
          <w:p>
            <w:pPr>
              <w:ind w:left="500"/>
              <w:spacing w:after="0"/>
              <w:rPr>
                <w:sz w:val="20"/>
                <w:szCs w:val="20"/>
                <w:color w:val="auto"/>
              </w:rPr>
            </w:pPr>
            <w:r>
              <w:rPr>
                <w:rFonts w:ascii="Arial" w:cs="Arial" w:eastAsia="Arial" w:hAnsi="Arial"/>
                <w:sz w:val="13"/>
                <w:szCs w:val="13"/>
                <w:color w:val="auto"/>
              </w:rPr>
              <w:t>Covenant Termination</w:t>
            </w:r>
          </w:p>
        </w:tc>
        <w:tc>
          <w:tcPr>
            <w:tcW w:w="64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676"/>
        </w:trPr>
        <w:tc>
          <w:tcPr>
            <w:tcW w:w="1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420" w:type="dxa"/>
            <w:vAlign w:val="bottom"/>
          </w:tcPr>
          <w:p>
            <w:pPr>
              <w:jc w:val="right"/>
              <w:ind w:right="4654"/>
              <w:spacing w:after="0"/>
              <w:rPr>
                <w:sz w:val="20"/>
                <w:szCs w:val="20"/>
                <w:color w:val="auto"/>
              </w:rPr>
            </w:pPr>
            <w:r>
              <w:rPr>
                <w:rFonts w:ascii="Arial" w:cs="Arial" w:eastAsia="Arial" w:hAnsi="Arial"/>
                <w:sz w:val="13"/>
                <w:szCs w:val="13"/>
                <w:color w:val="auto"/>
              </w:rPr>
              <w:t>ARTICLE TWELVE</w:t>
            </w:r>
          </w:p>
        </w:tc>
      </w:tr>
      <w:tr>
        <w:trPr>
          <w:trHeight w:val="477"/>
        </w:trPr>
        <w:tc>
          <w:tcPr>
            <w:tcW w:w="1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420" w:type="dxa"/>
            <w:vAlign w:val="bottom"/>
          </w:tcPr>
          <w:p>
            <w:pPr>
              <w:jc w:val="right"/>
              <w:ind w:right="4474"/>
              <w:spacing w:after="0"/>
              <w:rPr>
                <w:sz w:val="20"/>
                <w:szCs w:val="20"/>
                <w:color w:val="auto"/>
              </w:rPr>
            </w:pPr>
            <w:r>
              <w:rPr>
                <w:rFonts w:ascii="Arial" w:cs="Arial" w:eastAsia="Arial" w:hAnsi="Arial"/>
                <w:sz w:val="13"/>
                <w:szCs w:val="13"/>
                <w:color w:val="auto"/>
              </w:rPr>
              <w:t>REDEMPTION OF NOTES</w:t>
            </w:r>
          </w:p>
        </w:tc>
      </w:tr>
      <w:tr>
        <w:trPr>
          <w:trHeight w:val="676"/>
        </w:trPr>
        <w:tc>
          <w:tcPr>
            <w:tcW w:w="1220" w:type="dxa"/>
            <w:vAlign w:val="bottom"/>
          </w:tcPr>
          <w:p>
            <w:pPr>
              <w:spacing w:after="0"/>
              <w:rPr>
                <w:sz w:val="20"/>
                <w:szCs w:val="20"/>
                <w:color w:val="auto"/>
              </w:rPr>
            </w:pPr>
            <w:r>
              <w:rPr>
                <w:rFonts w:ascii="Arial" w:cs="Arial" w:eastAsia="Arial" w:hAnsi="Arial"/>
                <w:sz w:val="13"/>
                <w:szCs w:val="13"/>
                <w:color w:val="auto"/>
              </w:rPr>
              <w:t>Section 1201.</w:t>
            </w:r>
          </w:p>
        </w:tc>
        <w:tc>
          <w:tcPr>
            <w:tcW w:w="3360" w:type="dxa"/>
            <w:vAlign w:val="bottom"/>
          </w:tcPr>
          <w:p>
            <w:pPr>
              <w:ind w:left="500"/>
              <w:spacing w:after="0"/>
              <w:rPr>
                <w:sz w:val="20"/>
                <w:szCs w:val="20"/>
                <w:color w:val="auto"/>
              </w:rPr>
            </w:pPr>
            <w:r>
              <w:rPr>
                <w:rFonts w:ascii="Arial" w:cs="Arial" w:eastAsia="Arial" w:hAnsi="Arial"/>
                <w:sz w:val="13"/>
                <w:szCs w:val="13"/>
                <w:color w:val="auto"/>
              </w:rPr>
              <w:t>Applicability of Article</w:t>
            </w:r>
          </w:p>
        </w:tc>
        <w:tc>
          <w:tcPr>
            <w:tcW w:w="64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1202.</w:t>
            </w:r>
          </w:p>
        </w:tc>
        <w:tc>
          <w:tcPr>
            <w:tcW w:w="3360" w:type="dxa"/>
            <w:vAlign w:val="bottom"/>
          </w:tcPr>
          <w:p>
            <w:pPr>
              <w:ind w:left="500"/>
              <w:spacing w:after="0"/>
              <w:rPr>
                <w:sz w:val="20"/>
                <w:szCs w:val="20"/>
                <w:color w:val="auto"/>
              </w:rPr>
            </w:pPr>
            <w:r>
              <w:rPr>
                <w:rFonts w:ascii="Arial" w:cs="Arial" w:eastAsia="Arial" w:hAnsi="Arial"/>
                <w:sz w:val="13"/>
                <w:szCs w:val="13"/>
                <w:color w:val="auto"/>
              </w:rPr>
              <w:t>Election to Redeem; Notice to Trustee</w:t>
            </w:r>
          </w:p>
        </w:tc>
        <w:tc>
          <w:tcPr>
            <w:tcW w:w="64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1203.</w:t>
            </w:r>
          </w:p>
        </w:tc>
        <w:tc>
          <w:tcPr>
            <w:tcW w:w="3360" w:type="dxa"/>
            <w:vAlign w:val="bottom"/>
          </w:tcPr>
          <w:p>
            <w:pPr>
              <w:ind w:left="500"/>
              <w:spacing w:after="0"/>
              <w:rPr>
                <w:sz w:val="20"/>
                <w:szCs w:val="20"/>
                <w:color w:val="auto"/>
              </w:rPr>
            </w:pPr>
            <w:r>
              <w:rPr>
                <w:rFonts w:ascii="Arial" w:cs="Arial" w:eastAsia="Arial" w:hAnsi="Arial"/>
                <w:sz w:val="13"/>
                <w:szCs w:val="13"/>
                <w:color w:val="auto"/>
              </w:rPr>
              <w:t>Optional Redemption.</w:t>
            </w:r>
          </w:p>
        </w:tc>
        <w:tc>
          <w:tcPr>
            <w:tcW w:w="64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477"/>
        </w:trPr>
        <w:tc>
          <w:tcPr>
            <w:tcW w:w="1220" w:type="dxa"/>
            <w:vAlign w:val="bottom"/>
          </w:tcPr>
          <w:p>
            <w:pPr>
              <w:spacing w:after="0"/>
              <w:rPr>
                <w:sz w:val="20"/>
                <w:szCs w:val="20"/>
                <w:color w:val="auto"/>
              </w:rPr>
            </w:pPr>
            <w:r>
              <w:rPr>
                <w:rFonts w:ascii="Arial" w:cs="Arial" w:eastAsia="Arial" w:hAnsi="Arial"/>
                <w:sz w:val="13"/>
                <w:szCs w:val="13"/>
                <w:color w:val="auto"/>
              </w:rPr>
              <w:t>Section 1204.</w:t>
            </w:r>
          </w:p>
        </w:tc>
        <w:tc>
          <w:tcPr>
            <w:tcW w:w="3360" w:type="dxa"/>
            <w:vAlign w:val="bottom"/>
          </w:tcPr>
          <w:p>
            <w:pPr>
              <w:ind w:left="500"/>
              <w:spacing w:after="0"/>
              <w:rPr>
                <w:sz w:val="20"/>
                <w:szCs w:val="20"/>
                <w:color w:val="auto"/>
              </w:rPr>
            </w:pPr>
            <w:r>
              <w:rPr>
                <w:rFonts w:ascii="Arial" w:cs="Arial" w:eastAsia="Arial" w:hAnsi="Arial"/>
                <w:sz w:val="13"/>
                <w:szCs w:val="13"/>
                <w:color w:val="auto"/>
              </w:rPr>
              <w:t>Selection by Trustee of Notes to Be Redeemed</w:t>
            </w:r>
          </w:p>
        </w:tc>
        <w:tc>
          <w:tcPr>
            <w:tcW w:w="6420" w:type="dxa"/>
            <w:vAlign w:val="bottom"/>
          </w:tcPr>
          <w:p>
            <w:pPr>
              <w:jc w:val="right"/>
              <w:spacing w:after="0"/>
              <w:rPr>
                <w:sz w:val="20"/>
                <w:szCs w:val="20"/>
                <w:color w:val="auto"/>
              </w:rPr>
            </w:pPr>
            <w:r>
              <w:rPr>
                <w:rFonts w:ascii="Arial" w:cs="Arial" w:eastAsia="Arial" w:hAnsi="Arial"/>
                <w:sz w:val="13"/>
                <w:szCs w:val="13"/>
                <w:color w:val="auto"/>
              </w:rPr>
              <w:t>86</w:t>
            </w:r>
          </w:p>
        </w:tc>
      </w:tr>
    </w:tbl>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1000"/>
          </w:cols>
          <w:pgMar w:left="240" w:top="156" w:right="6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6"/>
        </w:trPr>
        <w:tc>
          <w:tcPr>
            <w:tcW w:w="1720" w:type="dxa"/>
            <w:vAlign w:val="bottom"/>
          </w:tcPr>
          <w:p>
            <w:pPr>
              <w:ind w:left="20"/>
              <w:spacing w:after="0"/>
              <w:rPr>
                <w:sz w:val="20"/>
                <w:szCs w:val="20"/>
                <w:color w:val="auto"/>
              </w:rPr>
            </w:pPr>
            <w:r>
              <w:rPr>
                <w:rFonts w:ascii="Arial" w:cs="Arial" w:eastAsia="Arial" w:hAnsi="Arial"/>
                <w:sz w:val="13"/>
                <w:szCs w:val="13"/>
                <w:color w:val="auto"/>
              </w:rPr>
              <w:t>Section 1205.</w:t>
            </w:r>
          </w:p>
        </w:tc>
        <w:tc>
          <w:tcPr>
            <w:tcW w:w="7400" w:type="dxa"/>
            <w:vAlign w:val="bottom"/>
          </w:tcPr>
          <w:p>
            <w:pPr>
              <w:ind w:left="20"/>
              <w:spacing w:after="0"/>
              <w:rPr>
                <w:sz w:val="20"/>
                <w:szCs w:val="20"/>
                <w:color w:val="auto"/>
              </w:rPr>
            </w:pPr>
            <w:r>
              <w:rPr>
                <w:rFonts w:ascii="Arial" w:cs="Arial" w:eastAsia="Arial" w:hAnsi="Arial"/>
                <w:sz w:val="13"/>
                <w:szCs w:val="13"/>
                <w:color w:val="auto"/>
              </w:rPr>
              <w:t>Notice of Redemption</w:t>
            </w:r>
          </w:p>
        </w:tc>
        <w:tc>
          <w:tcPr>
            <w:tcW w:w="1940" w:type="dxa"/>
            <w:vAlign w:val="bottom"/>
          </w:tcPr>
          <w:p>
            <w:pPr>
              <w:jc w:val="center"/>
              <w:ind w:left="1675"/>
              <w:spacing w:after="0"/>
              <w:rPr>
                <w:sz w:val="20"/>
                <w:szCs w:val="20"/>
                <w:color w:val="auto"/>
              </w:rPr>
            </w:pPr>
            <w:r>
              <w:rPr>
                <w:rFonts w:ascii="Arial" w:cs="Arial" w:eastAsia="Arial" w:hAnsi="Arial"/>
                <w:sz w:val="12"/>
                <w:szCs w:val="12"/>
                <w:color w:val="auto"/>
                <w:w w:val="89"/>
              </w:rPr>
              <w:t>86</w:t>
            </w:r>
          </w:p>
        </w:tc>
      </w:tr>
      <w:tr>
        <w:trPr>
          <w:trHeight w:val="189"/>
        </w:trPr>
        <w:tc>
          <w:tcPr>
            <w:tcW w:w="1720" w:type="dxa"/>
            <w:vAlign w:val="bottom"/>
          </w:tcPr>
          <w:p>
            <w:pPr>
              <w:ind w:left="20"/>
              <w:spacing w:after="0"/>
              <w:rPr>
                <w:sz w:val="20"/>
                <w:szCs w:val="20"/>
                <w:color w:val="auto"/>
              </w:rPr>
            </w:pPr>
            <w:r>
              <w:rPr>
                <w:rFonts w:ascii="Arial" w:cs="Arial" w:eastAsia="Arial" w:hAnsi="Arial"/>
                <w:sz w:val="13"/>
                <w:szCs w:val="13"/>
                <w:color w:val="auto"/>
              </w:rPr>
              <w:t>Section 1206.</w:t>
            </w:r>
          </w:p>
        </w:tc>
        <w:tc>
          <w:tcPr>
            <w:tcW w:w="7400" w:type="dxa"/>
            <w:vAlign w:val="bottom"/>
          </w:tcPr>
          <w:p>
            <w:pPr>
              <w:ind w:left="20"/>
              <w:spacing w:after="0"/>
              <w:rPr>
                <w:sz w:val="20"/>
                <w:szCs w:val="20"/>
                <w:color w:val="auto"/>
              </w:rPr>
            </w:pPr>
            <w:r>
              <w:rPr>
                <w:rFonts w:ascii="Arial" w:cs="Arial" w:eastAsia="Arial" w:hAnsi="Arial"/>
                <w:sz w:val="13"/>
                <w:szCs w:val="13"/>
                <w:color w:val="auto"/>
              </w:rPr>
              <w:t>Deposit of Redemption Price</w:t>
            </w:r>
          </w:p>
        </w:tc>
        <w:tc>
          <w:tcPr>
            <w:tcW w:w="1940" w:type="dxa"/>
            <w:vAlign w:val="bottom"/>
          </w:tcPr>
          <w:p>
            <w:pPr>
              <w:jc w:val="center"/>
              <w:ind w:left="1675"/>
              <w:spacing w:after="0"/>
              <w:rPr>
                <w:sz w:val="20"/>
                <w:szCs w:val="20"/>
                <w:color w:val="auto"/>
              </w:rPr>
            </w:pPr>
            <w:r>
              <w:rPr>
                <w:rFonts w:ascii="Arial" w:cs="Arial" w:eastAsia="Arial" w:hAnsi="Arial"/>
                <w:sz w:val="12"/>
                <w:szCs w:val="12"/>
                <w:color w:val="auto"/>
                <w:w w:val="89"/>
              </w:rPr>
              <w:t>87</w:t>
            </w:r>
          </w:p>
        </w:tc>
      </w:tr>
      <w:tr>
        <w:trPr>
          <w:trHeight w:val="189"/>
        </w:trPr>
        <w:tc>
          <w:tcPr>
            <w:tcW w:w="1720" w:type="dxa"/>
            <w:vAlign w:val="bottom"/>
          </w:tcPr>
          <w:p>
            <w:pPr>
              <w:ind w:left="20"/>
              <w:spacing w:after="0"/>
              <w:rPr>
                <w:sz w:val="20"/>
                <w:szCs w:val="20"/>
                <w:color w:val="auto"/>
              </w:rPr>
            </w:pPr>
            <w:r>
              <w:rPr>
                <w:rFonts w:ascii="Arial" w:cs="Arial" w:eastAsia="Arial" w:hAnsi="Arial"/>
                <w:sz w:val="13"/>
                <w:szCs w:val="13"/>
                <w:color w:val="auto"/>
              </w:rPr>
              <w:t>Section 1207.</w:t>
            </w:r>
          </w:p>
        </w:tc>
        <w:tc>
          <w:tcPr>
            <w:tcW w:w="7400" w:type="dxa"/>
            <w:vAlign w:val="bottom"/>
          </w:tcPr>
          <w:p>
            <w:pPr>
              <w:ind w:left="20"/>
              <w:spacing w:after="0"/>
              <w:rPr>
                <w:sz w:val="20"/>
                <w:szCs w:val="20"/>
                <w:color w:val="auto"/>
              </w:rPr>
            </w:pPr>
            <w:r>
              <w:rPr>
                <w:rFonts w:ascii="Arial" w:cs="Arial" w:eastAsia="Arial" w:hAnsi="Arial"/>
                <w:sz w:val="13"/>
                <w:szCs w:val="13"/>
                <w:color w:val="auto"/>
              </w:rPr>
              <w:t>Notes Payable on Redemption Date</w:t>
            </w:r>
          </w:p>
        </w:tc>
        <w:tc>
          <w:tcPr>
            <w:tcW w:w="1940" w:type="dxa"/>
            <w:vAlign w:val="bottom"/>
          </w:tcPr>
          <w:p>
            <w:pPr>
              <w:jc w:val="center"/>
              <w:ind w:left="1675"/>
              <w:spacing w:after="0"/>
              <w:rPr>
                <w:sz w:val="20"/>
                <w:szCs w:val="20"/>
                <w:color w:val="auto"/>
              </w:rPr>
            </w:pPr>
            <w:r>
              <w:rPr>
                <w:rFonts w:ascii="Arial" w:cs="Arial" w:eastAsia="Arial" w:hAnsi="Arial"/>
                <w:sz w:val="12"/>
                <w:szCs w:val="12"/>
                <w:color w:val="auto"/>
                <w:w w:val="89"/>
              </w:rPr>
              <w:t>87</w:t>
            </w:r>
          </w:p>
        </w:tc>
      </w:tr>
      <w:tr>
        <w:trPr>
          <w:trHeight w:val="333"/>
        </w:trPr>
        <w:tc>
          <w:tcPr>
            <w:tcW w:w="1720" w:type="dxa"/>
            <w:vAlign w:val="bottom"/>
          </w:tcPr>
          <w:p>
            <w:pPr>
              <w:ind w:left="20"/>
              <w:spacing w:after="0"/>
              <w:rPr>
                <w:sz w:val="20"/>
                <w:szCs w:val="20"/>
                <w:color w:val="auto"/>
              </w:rPr>
            </w:pPr>
            <w:r>
              <w:rPr>
                <w:rFonts w:ascii="Arial" w:cs="Arial" w:eastAsia="Arial" w:hAnsi="Arial"/>
                <w:sz w:val="13"/>
                <w:szCs w:val="13"/>
                <w:color w:val="auto"/>
              </w:rPr>
              <w:t>Section 1208.</w:t>
            </w:r>
          </w:p>
        </w:tc>
        <w:tc>
          <w:tcPr>
            <w:tcW w:w="7400" w:type="dxa"/>
            <w:vAlign w:val="bottom"/>
          </w:tcPr>
          <w:p>
            <w:pPr>
              <w:ind w:left="20"/>
              <w:spacing w:after="0"/>
              <w:rPr>
                <w:sz w:val="20"/>
                <w:szCs w:val="20"/>
                <w:color w:val="auto"/>
              </w:rPr>
            </w:pPr>
            <w:r>
              <w:rPr>
                <w:rFonts w:ascii="Arial" w:cs="Arial" w:eastAsia="Arial" w:hAnsi="Arial"/>
                <w:sz w:val="13"/>
                <w:szCs w:val="13"/>
                <w:color w:val="auto"/>
              </w:rPr>
              <w:t>Notes Redeemed in Part</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87</w:t>
            </w:r>
          </w:p>
        </w:tc>
      </w:tr>
      <w:tr>
        <w:trPr>
          <w:trHeight w:val="676"/>
        </w:trPr>
        <w:tc>
          <w:tcPr>
            <w:tcW w:w="1720" w:type="dxa"/>
            <w:vAlign w:val="bottom"/>
          </w:tcPr>
          <w:p>
            <w:pPr>
              <w:spacing w:after="0"/>
              <w:rPr>
                <w:sz w:val="24"/>
                <w:szCs w:val="24"/>
                <w:color w:val="auto"/>
              </w:rPr>
            </w:pPr>
          </w:p>
        </w:tc>
        <w:tc>
          <w:tcPr>
            <w:tcW w:w="7400" w:type="dxa"/>
            <w:vAlign w:val="bottom"/>
          </w:tcPr>
          <w:p>
            <w:pPr>
              <w:jc w:val="center"/>
              <w:ind w:left="554"/>
              <w:spacing w:after="0"/>
              <w:rPr>
                <w:sz w:val="20"/>
                <w:szCs w:val="20"/>
                <w:color w:val="auto"/>
              </w:rPr>
            </w:pPr>
            <w:r>
              <w:rPr>
                <w:rFonts w:ascii="Arial" w:cs="Arial" w:eastAsia="Arial" w:hAnsi="Arial"/>
                <w:sz w:val="13"/>
                <w:szCs w:val="13"/>
                <w:color w:val="auto"/>
                <w:w w:val="98"/>
              </w:rPr>
              <w:t>ARTICLE THIRTEEN</w:t>
            </w:r>
          </w:p>
        </w:tc>
        <w:tc>
          <w:tcPr>
            <w:tcW w:w="1940" w:type="dxa"/>
            <w:vAlign w:val="bottom"/>
          </w:tcPr>
          <w:p>
            <w:pPr>
              <w:spacing w:after="0"/>
              <w:rPr>
                <w:sz w:val="24"/>
                <w:szCs w:val="24"/>
                <w:color w:val="auto"/>
              </w:rPr>
            </w:pPr>
          </w:p>
        </w:tc>
      </w:tr>
      <w:tr>
        <w:trPr>
          <w:trHeight w:val="477"/>
        </w:trPr>
        <w:tc>
          <w:tcPr>
            <w:tcW w:w="1720" w:type="dxa"/>
            <w:vAlign w:val="bottom"/>
          </w:tcPr>
          <w:p>
            <w:pPr>
              <w:spacing w:after="0"/>
              <w:rPr>
                <w:sz w:val="24"/>
                <w:szCs w:val="24"/>
                <w:color w:val="auto"/>
              </w:rPr>
            </w:pPr>
          </w:p>
        </w:tc>
        <w:tc>
          <w:tcPr>
            <w:tcW w:w="7400" w:type="dxa"/>
            <w:vAlign w:val="bottom"/>
          </w:tcPr>
          <w:p>
            <w:pPr>
              <w:jc w:val="center"/>
              <w:ind w:left="554"/>
              <w:spacing w:after="0"/>
              <w:rPr>
                <w:sz w:val="20"/>
                <w:szCs w:val="20"/>
                <w:color w:val="auto"/>
              </w:rPr>
            </w:pPr>
            <w:r>
              <w:rPr>
                <w:rFonts w:ascii="Arial" w:cs="Arial" w:eastAsia="Arial" w:hAnsi="Arial"/>
                <w:sz w:val="13"/>
                <w:szCs w:val="13"/>
                <w:color w:val="auto"/>
                <w:w w:val="97"/>
              </w:rPr>
              <w:t>SINKING FUND; OTHER ACQUISITIONS OF NOTES</w:t>
            </w:r>
          </w:p>
        </w:tc>
        <w:tc>
          <w:tcPr>
            <w:tcW w:w="1940" w:type="dxa"/>
            <w:vAlign w:val="bottom"/>
          </w:tcPr>
          <w:p>
            <w:pPr>
              <w:spacing w:after="0"/>
              <w:rPr>
                <w:sz w:val="24"/>
                <w:szCs w:val="24"/>
                <w:color w:val="auto"/>
              </w:rPr>
            </w:pPr>
          </w:p>
        </w:tc>
      </w:tr>
      <w:tr>
        <w:trPr>
          <w:trHeight w:val="676"/>
        </w:trPr>
        <w:tc>
          <w:tcPr>
            <w:tcW w:w="1720" w:type="dxa"/>
            <w:vAlign w:val="bottom"/>
          </w:tcPr>
          <w:p>
            <w:pPr>
              <w:ind w:left="20"/>
              <w:spacing w:after="0"/>
              <w:rPr>
                <w:sz w:val="20"/>
                <w:szCs w:val="20"/>
                <w:color w:val="auto"/>
              </w:rPr>
            </w:pPr>
            <w:r>
              <w:rPr>
                <w:rFonts w:ascii="Arial" w:cs="Arial" w:eastAsia="Arial" w:hAnsi="Arial"/>
                <w:sz w:val="13"/>
                <w:szCs w:val="13"/>
                <w:color w:val="auto"/>
              </w:rPr>
              <w:t>Section 1301.</w:t>
            </w:r>
          </w:p>
        </w:tc>
        <w:tc>
          <w:tcPr>
            <w:tcW w:w="7400" w:type="dxa"/>
            <w:vAlign w:val="bottom"/>
          </w:tcPr>
          <w:p>
            <w:pPr>
              <w:ind w:left="20"/>
              <w:spacing w:after="0"/>
              <w:rPr>
                <w:sz w:val="20"/>
                <w:szCs w:val="20"/>
                <w:color w:val="auto"/>
              </w:rPr>
            </w:pPr>
            <w:r>
              <w:rPr>
                <w:rFonts w:ascii="Arial" w:cs="Arial" w:eastAsia="Arial" w:hAnsi="Arial"/>
                <w:sz w:val="13"/>
                <w:szCs w:val="13"/>
                <w:color w:val="auto"/>
              </w:rPr>
              <w:t>Mandatory Redemption, Etc.</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87</w:t>
            </w:r>
          </w:p>
        </w:tc>
      </w:tr>
      <w:tr>
        <w:trPr>
          <w:trHeight w:val="676"/>
        </w:trPr>
        <w:tc>
          <w:tcPr>
            <w:tcW w:w="1720" w:type="dxa"/>
            <w:vAlign w:val="bottom"/>
          </w:tcPr>
          <w:p>
            <w:pPr>
              <w:spacing w:after="0"/>
              <w:rPr>
                <w:sz w:val="24"/>
                <w:szCs w:val="24"/>
                <w:color w:val="auto"/>
              </w:rPr>
            </w:pPr>
          </w:p>
        </w:tc>
        <w:tc>
          <w:tcPr>
            <w:tcW w:w="7400" w:type="dxa"/>
            <w:vAlign w:val="bottom"/>
          </w:tcPr>
          <w:p>
            <w:pPr>
              <w:jc w:val="center"/>
              <w:ind w:left="554"/>
              <w:spacing w:after="0"/>
              <w:rPr>
                <w:sz w:val="20"/>
                <w:szCs w:val="20"/>
                <w:color w:val="auto"/>
              </w:rPr>
            </w:pPr>
            <w:r>
              <w:rPr>
                <w:rFonts w:ascii="Arial" w:cs="Arial" w:eastAsia="Arial" w:hAnsi="Arial"/>
                <w:sz w:val="13"/>
                <w:szCs w:val="13"/>
                <w:color w:val="auto"/>
                <w:w w:val="96"/>
              </w:rPr>
              <w:t>ARTICLE FOURTEEN</w:t>
            </w:r>
          </w:p>
        </w:tc>
        <w:tc>
          <w:tcPr>
            <w:tcW w:w="1940" w:type="dxa"/>
            <w:vAlign w:val="bottom"/>
          </w:tcPr>
          <w:p>
            <w:pPr>
              <w:spacing w:after="0"/>
              <w:rPr>
                <w:sz w:val="24"/>
                <w:szCs w:val="24"/>
                <w:color w:val="auto"/>
              </w:rPr>
            </w:pPr>
          </w:p>
        </w:tc>
      </w:tr>
      <w:tr>
        <w:trPr>
          <w:trHeight w:val="477"/>
        </w:trPr>
        <w:tc>
          <w:tcPr>
            <w:tcW w:w="1720" w:type="dxa"/>
            <w:vAlign w:val="bottom"/>
          </w:tcPr>
          <w:p>
            <w:pPr>
              <w:spacing w:after="0"/>
              <w:rPr>
                <w:sz w:val="24"/>
                <w:szCs w:val="24"/>
                <w:color w:val="auto"/>
              </w:rPr>
            </w:pPr>
          </w:p>
        </w:tc>
        <w:tc>
          <w:tcPr>
            <w:tcW w:w="7400" w:type="dxa"/>
            <w:vAlign w:val="bottom"/>
          </w:tcPr>
          <w:p>
            <w:pPr>
              <w:jc w:val="center"/>
              <w:ind w:left="554"/>
              <w:spacing w:after="0"/>
              <w:rPr>
                <w:sz w:val="20"/>
                <w:szCs w:val="20"/>
                <w:color w:val="auto"/>
              </w:rPr>
            </w:pPr>
            <w:r>
              <w:rPr>
                <w:rFonts w:ascii="Arial" w:cs="Arial" w:eastAsia="Arial" w:hAnsi="Arial"/>
                <w:sz w:val="13"/>
                <w:szCs w:val="13"/>
                <w:color w:val="auto"/>
                <w:w w:val="99"/>
              </w:rPr>
              <w:t>LEGAL DEFEASANCE AND COVENANT DEFEASANCE</w:t>
            </w:r>
          </w:p>
        </w:tc>
        <w:tc>
          <w:tcPr>
            <w:tcW w:w="1940" w:type="dxa"/>
            <w:vAlign w:val="bottom"/>
          </w:tcPr>
          <w:p>
            <w:pPr>
              <w:spacing w:after="0"/>
              <w:rPr>
                <w:sz w:val="24"/>
                <w:szCs w:val="24"/>
                <w:color w:val="auto"/>
              </w:rPr>
            </w:pPr>
          </w:p>
        </w:tc>
      </w:tr>
      <w:tr>
        <w:trPr>
          <w:trHeight w:val="676"/>
        </w:trPr>
        <w:tc>
          <w:tcPr>
            <w:tcW w:w="1720" w:type="dxa"/>
            <w:vAlign w:val="bottom"/>
          </w:tcPr>
          <w:p>
            <w:pPr>
              <w:ind w:left="20"/>
              <w:spacing w:after="0"/>
              <w:rPr>
                <w:sz w:val="20"/>
                <w:szCs w:val="20"/>
                <w:color w:val="auto"/>
              </w:rPr>
            </w:pPr>
            <w:r>
              <w:rPr>
                <w:rFonts w:ascii="Arial" w:cs="Arial" w:eastAsia="Arial" w:hAnsi="Arial"/>
                <w:sz w:val="13"/>
                <w:szCs w:val="13"/>
                <w:color w:val="auto"/>
              </w:rPr>
              <w:t>Section 1401.</w:t>
            </w:r>
          </w:p>
        </w:tc>
        <w:tc>
          <w:tcPr>
            <w:tcW w:w="7400" w:type="dxa"/>
            <w:vAlign w:val="bottom"/>
          </w:tcPr>
          <w:p>
            <w:pPr>
              <w:ind w:left="20"/>
              <w:spacing w:after="0"/>
              <w:rPr>
                <w:sz w:val="20"/>
                <w:szCs w:val="20"/>
                <w:color w:val="auto"/>
              </w:rPr>
            </w:pPr>
            <w:r>
              <w:rPr>
                <w:rFonts w:ascii="Arial" w:cs="Arial" w:eastAsia="Arial" w:hAnsi="Arial"/>
                <w:sz w:val="13"/>
                <w:szCs w:val="13"/>
                <w:color w:val="auto"/>
              </w:rPr>
              <w:t>Issuer’s Option to Effect Legal Defeasance or Covenant Defeasance</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88</w:t>
            </w:r>
          </w:p>
        </w:tc>
      </w:tr>
      <w:tr>
        <w:trPr>
          <w:trHeight w:val="477"/>
        </w:trPr>
        <w:tc>
          <w:tcPr>
            <w:tcW w:w="1720" w:type="dxa"/>
            <w:vAlign w:val="bottom"/>
          </w:tcPr>
          <w:p>
            <w:pPr>
              <w:ind w:left="20"/>
              <w:spacing w:after="0"/>
              <w:rPr>
                <w:sz w:val="20"/>
                <w:szCs w:val="20"/>
                <w:color w:val="auto"/>
              </w:rPr>
            </w:pPr>
            <w:r>
              <w:rPr>
                <w:rFonts w:ascii="Arial" w:cs="Arial" w:eastAsia="Arial" w:hAnsi="Arial"/>
                <w:sz w:val="13"/>
                <w:szCs w:val="13"/>
                <w:color w:val="auto"/>
              </w:rPr>
              <w:t>Section 1402.</w:t>
            </w:r>
          </w:p>
        </w:tc>
        <w:tc>
          <w:tcPr>
            <w:tcW w:w="7400" w:type="dxa"/>
            <w:vAlign w:val="bottom"/>
          </w:tcPr>
          <w:p>
            <w:pPr>
              <w:ind w:left="20"/>
              <w:spacing w:after="0"/>
              <w:rPr>
                <w:sz w:val="20"/>
                <w:szCs w:val="20"/>
                <w:color w:val="auto"/>
              </w:rPr>
            </w:pPr>
            <w:r>
              <w:rPr>
                <w:rFonts w:ascii="Arial" w:cs="Arial" w:eastAsia="Arial" w:hAnsi="Arial"/>
                <w:sz w:val="13"/>
                <w:szCs w:val="13"/>
                <w:color w:val="auto"/>
              </w:rPr>
              <w:t>Defeasance and Discharge</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88</w:t>
            </w:r>
          </w:p>
        </w:tc>
      </w:tr>
      <w:tr>
        <w:trPr>
          <w:trHeight w:val="477"/>
        </w:trPr>
        <w:tc>
          <w:tcPr>
            <w:tcW w:w="1720" w:type="dxa"/>
            <w:vAlign w:val="bottom"/>
          </w:tcPr>
          <w:p>
            <w:pPr>
              <w:ind w:left="20"/>
              <w:spacing w:after="0"/>
              <w:rPr>
                <w:sz w:val="20"/>
                <w:szCs w:val="20"/>
                <w:color w:val="auto"/>
              </w:rPr>
            </w:pPr>
            <w:r>
              <w:rPr>
                <w:rFonts w:ascii="Arial" w:cs="Arial" w:eastAsia="Arial" w:hAnsi="Arial"/>
                <w:sz w:val="13"/>
                <w:szCs w:val="13"/>
                <w:color w:val="auto"/>
              </w:rPr>
              <w:t>Section 1403.</w:t>
            </w:r>
          </w:p>
        </w:tc>
        <w:tc>
          <w:tcPr>
            <w:tcW w:w="7400" w:type="dxa"/>
            <w:vAlign w:val="bottom"/>
          </w:tcPr>
          <w:p>
            <w:pPr>
              <w:ind w:left="20"/>
              <w:spacing w:after="0"/>
              <w:rPr>
                <w:sz w:val="20"/>
                <w:szCs w:val="20"/>
                <w:color w:val="auto"/>
              </w:rPr>
            </w:pPr>
            <w:r>
              <w:rPr>
                <w:rFonts w:ascii="Arial" w:cs="Arial" w:eastAsia="Arial" w:hAnsi="Arial"/>
                <w:sz w:val="13"/>
                <w:szCs w:val="13"/>
                <w:color w:val="auto"/>
              </w:rPr>
              <w:t>Covenant Defeasance</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88</w:t>
            </w:r>
          </w:p>
        </w:tc>
      </w:tr>
      <w:tr>
        <w:trPr>
          <w:trHeight w:val="477"/>
        </w:trPr>
        <w:tc>
          <w:tcPr>
            <w:tcW w:w="1720" w:type="dxa"/>
            <w:vAlign w:val="bottom"/>
          </w:tcPr>
          <w:p>
            <w:pPr>
              <w:ind w:left="20"/>
              <w:spacing w:after="0"/>
              <w:rPr>
                <w:sz w:val="20"/>
                <w:szCs w:val="20"/>
                <w:color w:val="auto"/>
              </w:rPr>
            </w:pPr>
            <w:r>
              <w:rPr>
                <w:rFonts w:ascii="Arial" w:cs="Arial" w:eastAsia="Arial" w:hAnsi="Arial"/>
                <w:sz w:val="13"/>
                <w:szCs w:val="13"/>
                <w:color w:val="auto"/>
              </w:rPr>
              <w:t>Section 1404.</w:t>
            </w:r>
          </w:p>
        </w:tc>
        <w:tc>
          <w:tcPr>
            <w:tcW w:w="7400" w:type="dxa"/>
            <w:vAlign w:val="bottom"/>
          </w:tcPr>
          <w:p>
            <w:pPr>
              <w:ind w:left="20"/>
              <w:spacing w:after="0"/>
              <w:rPr>
                <w:sz w:val="20"/>
                <w:szCs w:val="20"/>
                <w:color w:val="auto"/>
              </w:rPr>
            </w:pPr>
            <w:r>
              <w:rPr>
                <w:rFonts w:ascii="Arial" w:cs="Arial" w:eastAsia="Arial" w:hAnsi="Arial"/>
                <w:sz w:val="13"/>
                <w:szCs w:val="13"/>
                <w:color w:val="auto"/>
              </w:rPr>
              <w:t>Conditions to Legal Defeasance or Covenant Defeasance</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88</w:t>
            </w:r>
          </w:p>
        </w:tc>
      </w:tr>
      <w:tr>
        <w:trPr>
          <w:trHeight w:val="477"/>
        </w:trPr>
        <w:tc>
          <w:tcPr>
            <w:tcW w:w="1720" w:type="dxa"/>
            <w:vAlign w:val="bottom"/>
          </w:tcPr>
          <w:p>
            <w:pPr>
              <w:ind w:left="20"/>
              <w:spacing w:after="0"/>
              <w:rPr>
                <w:sz w:val="20"/>
                <w:szCs w:val="20"/>
                <w:color w:val="auto"/>
              </w:rPr>
            </w:pPr>
            <w:r>
              <w:rPr>
                <w:rFonts w:ascii="Arial" w:cs="Arial" w:eastAsia="Arial" w:hAnsi="Arial"/>
                <w:sz w:val="13"/>
                <w:szCs w:val="13"/>
                <w:color w:val="auto"/>
              </w:rPr>
              <w:t>Section 1405.</w:t>
            </w:r>
          </w:p>
        </w:tc>
        <w:tc>
          <w:tcPr>
            <w:tcW w:w="7400" w:type="dxa"/>
            <w:vAlign w:val="bottom"/>
          </w:tcPr>
          <w:p>
            <w:pPr>
              <w:ind w:left="20"/>
              <w:spacing w:after="0"/>
              <w:rPr>
                <w:sz w:val="20"/>
                <w:szCs w:val="20"/>
                <w:color w:val="auto"/>
              </w:rPr>
            </w:pPr>
            <w:r>
              <w:rPr>
                <w:rFonts w:ascii="Arial" w:cs="Arial" w:eastAsia="Arial" w:hAnsi="Arial"/>
                <w:sz w:val="13"/>
                <w:szCs w:val="13"/>
                <w:color w:val="auto"/>
              </w:rPr>
              <w:t>Deposited Money and U.S. Government Obligations to Be Held in Trust; Miscellaneous Provisions</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90</w:t>
            </w:r>
          </w:p>
        </w:tc>
      </w:tr>
      <w:tr>
        <w:trPr>
          <w:trHeight w:val="477"/>
        </w:trPr>
        <w:tc>
          <w:tcPr>
            <w:tcW w:w="1720" w:type="dxa"/>
            <w:vAlign w:val="bottom"/>
          </w:tcPr>
          <w:p>
            <w:pPr>
              <w:ind w:left="20"/>
              <w:spacing w:after="0"/>
              <w:rPr>
                <w:sz w:val="20"/>
                <w:szCs w:val="20"/>
                <w:color w:val="auto"/>
              </w:rPr>
            </w:pPr>
            <w:r>
              <w:rPr>
                <w:rFonts w:ascii="Arial" w:cs="Arial" w:eastAsia="Arial" w:hAnsi="Arial"/>
                <w:sz w:val="13"/>
                <w:szCs w:val="13"/>
                <w:color w:val="auto"/>
              </w:rPr>
              <w:t>Section 1406.</w:t>
            </w:r>
          </w:p>
        </w:tc>
        <w:tc>
          <w:tcPr>
            <w:tcW w:w="7400" w:type="dxa"/>
            <w:vAlign w:val="bottom"/>
          </w:tcPr>
          <w:p>
            <w:pPr>
              <w:ind w:left="20"/>
              <w:spacing w:after="0"/>
              <w:rPr>
                <w:sz w:val="20"/>
                <w:szCs w:val="20"/>
                <w:color w:val="auto"/>
              </w:rPr>
            </w:pPr>
            <w:r>
              <w:rPr>
                <w:rFonts w:ascii="Arial" w:cs="Arial" w:eastAsia="Arial" w:hAnsi="Arial"/>
                <w:sz w:val="13"/>
                <w:szCs w:val="13"/>
                <w:color w:val="auto"/>
              </w:rPr>
              <w:t>Reinstatement</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90</w:t>
            </w:r>
          </w:p>
        </w:tc>
      </w:tr>
      <w:tr>
        <w:trPr>
          <w:trHeight w:val="676"/>
        </w:trPr>
        <w:tc>
          <w:tcPr>
            <w:tcW w:w="1720" w:type="dxa"/>
            <w:vAlign w:val="bottom"/>
          </w:tcPr>
          <w:p>
            <w:pPr>
              <w:spacing w:after="0"/>
              <w:rPr>
                <w:sz w:val="24"/>
                <w:szCs w:val="24"/>
                <w:color w:val="auto"/>
              </w:rPr>
            </w:pPr>
          </w:p>
        </w:tc>
        <w:tc>
          <w:tcPr>
            <w:tcW w:w="7400" w:type="dxa"/>
            <w:vAlign w:val="bottom"/>
          </w:tcPr>
          <w:p>
            <w:pPr>
              <w:jc w:val="center"/>
              <w:ind w:left="554"/>
              <w:spacing w:after="0"/>
              <w:rPr>
                <w:sz w:val="20"/>
                <w:szCs w:val="20"/>
                <w:color w:val="auto"/>
              </w:rPr>
            </w:pPr>
            <w:r>
              <w:rPr>
                <w:rFonts w:ascii="Arial" w:cs="Arial" w:eastAsia="Arial" w:hAnsi="Arial"/>
                <w:sz w:val="13"/>
                <w:szCs w:val="13"/>
                <w:color w:val="auto"/>
                <w:w w:val="97"/>
              </w:rPr>
              <w:t>ARTICLE FIFTEEN</w:t>
            </w:r>
          </w:p>
        </w:tc>
        <w:tc>
          <w:tcPr>
            <w:tcW w:w="1940" w:type="dxa"/>
            <w:vAlign w:val="bottom"/>
          </w:tcPr>
          <w:p>
            <w:pPr>
              <w:spacing w:after="0"/>
              <w:rPr>
                <w:sz w:val="24"/>
                <w:szCs w:val="24"/>
                <w:color w:val="auto"/>
              </w:rPr>
            </w:pPr>
          </w:p>
        </w:tc>
      </w:tr>
      <w:tr>
        <w:trPr>
          <w:trHeight w:val="477"/>
        </w:trPr>
        <w:tc>
          <w:tcPr>
            <w:tcW w:w="1720" w:type="dxa"/>
            <w:vAlign w:val="bottom"/>
          </w:tcPr>
          <w:p>
            <w:pPr>
              <w:spacing w:after="0"/>
              <w:rPr>
                <w:sz w:val="24"/>
                <w:szCs w:val="24"/>
                <w:color w:val="auto"/>
              </w:rPr>
            </w:pPr>
          </w:p>
        </w:tc>
        <w:tc>
          <w:tcPr>
            <w:tcW w:w="7400" w:type="dxa"/>
            <w:vAlign w:val="bottom"/>
          </w:tcPr>
          <w:p>
            <w:pPr>
              <w:jc w:val="center"/>
              <w:ind w:left="574"/>
              <w:spacing w:after="0"/>
              <w:rPr>
                <w:sz w:val="20"/>
                <w:szCs w:val="20"/>
                <w:color w:val="auto"/>
              </w:rPr>
            </w:pPr>
            <w:r>
              <w:rPr>
                <w:rFonts w:ascii="Arial" w:cs="Arial" w:eastAsia="Arial" w:hAnsi="Arial"/>
                <w:sz w:val="13"/>
                <w:szCs w:val="13"/>
                <w:color w:val="auto"/>
                <w:w w:val="98"/>
              </w:rPr>
              <w:t>GUARANTEES</w:t>
            </w:r>
          </w:p>
        </w:tc>
        <w:tc>
          <w:tcPr>
            <w:tcW w:w="1940" w:type="dxa"/>
            <w:vAlign w:val="bottom"/>
          </w:tcPr>
          <w:p>
            <w:pPr>
              <w:spacing w:after="0"/>
              <w:rPr>
                <w:sz w:val="24"/>
                <w:szCs w:val="24"/>
                <w:color w:val="auto"/>
              </w:rPr>
            </w:pPr>
          </w:p>
        </w:tc>
      </w:tr>
      <w:tr>
        <w:trPr>
          <w:trHeight w:val="676"/>
        </w:trPr>
        <w:tc>
          <w:tcPr>
            <w:tcW w:w="1720" w:type="dxa"/>
            <w:vAlign w:val="bottom"/>
          </w:tcPr>
          <w:p>
            <w:pPr>
              <w:ind w:left="20"/>
              <w:spacing w:after="0"/>
              <w:rPr>
                <w:sz w:val="20"/>
                <w:szCs w:val="20"/>
                <w:color w:val="auto"/>
              </w:rPr>
            </w:pPr>
            <w:r>
              <w:rPr>
                <w:rFonts w:ascii="Arial" w:cs="Arial" w:eastAsia="Arial" w:hAnsi="Arial"/>
                <w:sz w:val="13"/>
                <w:szCs w:val="13"/>
                <w:color w:val="auto"/>
              </w:rPr>
              <w:t>Section 1501.</w:t>
            </w:r>
          </w:p>
        </w:tc>
        <w:tc>
          <w:tcPr>
            <w:tcW w:w="7400" w:type="dxa"/>
            <w:vAlign w:val="bottom"/>
          </w:tcPr>
          <w:p>
            <w:pPr>
              <w:ind w:left="20"/>
              <w:spacing w:after="0"/>
              <w:rPr>
                <w:sz w:val="20"/>
                <w:szCs w:val="20"/>
                <w:color w:val="auto"/>
              </w:rPr>
            </w:pPr>
            <w:r>
              <w:rPr>
                <w:rFonts w:ascii="Arial" w:cs="Arial" w:eastAsia="Arial" w:hAnsi="Arial"/>
                <w:sz w:val="13"/>
                <w:szCs w:val="13"/>
                <w:color w:val="auto"/>
              </w:rPr>
              <w:t>Unconditional Guarantee</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90</w:t>
            </w:r>
          </w:p>
        </w:tc>
      </w:tr>
      <w:tr>
        <w:trPr>
          <w:trHeight w:val="477"/>
        </w:trPr>
        <w:tc>
          <w:tcPr>
            <w:tcW w:w="1720" w:type="dxa"/>
            <w:vAlign w:val="bottom"/>
          </w:tcPr>
          <w:p>
            <w:pPr>
              <w:ind w:left="20"/>
              <w:spacing w:after="0"/>
              <w:rPr>
                <w:sz w:val="20"/>
                <w:szCs w:val="20"/>
                <w:color w:val="auto"/>
              </w:rPr>
            </w:pPr>
            <w:r>
              <w:rPr>
                <w:rFonts w:ascii="Arial" w:cs="Arial" w:eastAsia="Arial" w:hAnsi="Arial"/>
                <w:sz w:val="13"/>
                <w:szCs w:val="13"/>
                <w:color w:val="auto"/>
              </w:rPr>
              <w:t>Section 1502.</w:t>
            </w:r>
          </w:p>
        </w:tc>
        <w:tc>
          <w:tcPr>
            <w:tcW w:w="7400" w:type="dxa"/>
            <w:vAlign w:val="bottom"/>
          </w:tcPr>
          <w:p>
            <w:pPr>
              <w:ind w:left="20"/>
              <w:spacing w:after="0"/>
              <w:rPr>
                <w:sz w:val="20"/>
                <w:szCs w:val="20"/>
                <w:color w:val="auto"/>
              </w:rPr>
            </w:pPr>
            <w:r>
              <w:rPr>
                <w:rFonts w:ascii="Arial" w:cs="Arial" w:eastAsia="Arial" w:hAnsi="Arial"/>
                <w:sz w:val="13"/>
                <w:szCs w:val="13"/>
                <w:color w:val="auto"/>
              </w:rPr>
              <w:t>Execution and Delivery of Notation of Guarantee</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92</w:t>
            </w:r>
          </w:p>
        </w:tc>
      </w:tr>
      <w:tr>
        <w:trPr>
          <w:trHeight w:val="477"/>
        </w:trPr>
        <w:tc>
          <w:tcPr>
            <w:tcW w:w="1720" w:type="dxa"/>
            <w:vAlign w:val="bottom"/>
          </w:tcPr>
          <w:p>
            <w:pPr>
              <w:ind w:left="20"/>
              <w:spacing w:after="0"/>
              <w:rPr>
                <w:sz w:val="20"/>
                <w:szCs w:val="20"/>
                <w:color w:val="auto"/>
              </w:rPr>
            </w:pPr>
            <w:r>
              <w:rPr>
                <w:rFonts w:ascii="Arial" w:cs="Arial" w:eastAsia="Arial" w:hAnsi="Arial"/>
                <w:sz w:val="13"/>
                <w:szCs w:val="13"/>
                <w:color w:val="auto"/>
              </w:rPr>
              <w:t>Section 1503.</w:t>
            </w:r>
          </w:p>
        </w:tc>
        <w:tc>
          <w:tcPr>
            <w:tcW w:w="7400" w:type="dxa"/>
            <w:vAlign w:val="bottom"/>
          </w:tcPr>
          <w:p>
            <w:pPr>
              <w:ind w:left="20"/>
              <w:spacing w:after="0"/>
              <w:rPr>
                <w:sz w:val="20"/>
                <w:szCs w:val="20"/>
                <w:color w:val="auto"/>
              </w:rPr>
            </w:pPr>
            <w:r>
              <w:rPr>
                <w:rFonts w:ascii="Arial" w:cs="Arial" w:eastAsia="Arial" w:hAnsi="Arial"/>
                <w:sz w:val="13"/>
                <w:szCs w:val="13"/>
                <w:color w:val="auto"/>
              </w:rPr>
              <w:t>Limitation on Guarantors’ Liability</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92</w:t>
            </w:r>
          </w:p>
        </w:tc>
      </w:tr>
      <w:tr>
        <w:trPr>
          <w:trHeight w:val="477"/>
        </w:trPr>
        <w:tc>
          <w:tcPr>
            <w:tcW w:w="1720" w:type="dxa"/>
            <w:vAlign w:val="bottom"/>
          </w:tcPr>
          <w:p>
            <w:pPr>
              <w:ind w:left="20"/>
              <w:spacing w:after="0"/>
              <w:rPr>
                <w:sz w:val="20"/>
                <w:szCs w:val="20"/>
                <w:color w:val="auto"/>
              </w:rPr>
            </w:pPr>
            <w:r>
              <w:rPr>
                <w:rFonts w:ascii="Arial" w:cs="Arial" w:eastAsia="Arial" w:hAnsi="Arial"/>
                <w:sz w:val="13"/>
                <w:szCs w:val="13"/>
                <w:color w:val="auto"/>
              </w:rPr>
              <w:t>Section 1504.</w:t>
            </w:r>
          </w:p>
        </w:tc>
        <w:tc>
          <w:tcPr>
            <w:tcW w:w="7400" w:type="dxa"/>
            <w:vAlign w:val="bottom"/>
          </w:tcPr>
          <w:p>
            <w:pPr>
              <w:ind w:left="20"/>
              <w:spacing w:after="0"/>
              <w:rPr>
                <w:sz w:val="20"/>
                <w:szCs w:val="20"/>
                <w:color w:val="auto"/>
              </w:rPr>
            </w:pPr>
            <w:r>
              <w:rPr>
                <w:rFonts w:ascii="Arial" w:cs="Arial" w:eastAsia="Arial" w:hAnsi="Arial"/>
                <w:sz w:val="13"/>
                <w:szCs w:val="13"/>
                <w:color w:val="auto"/>
              </w:rPr>
              <w:t>Release of Guarantors from Guarantees</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93</w:t>
            </w:r>
          </w:p>
        </w:tc>
      </w:tr>
      <w:tr>
        <w:trPr>
          <w:trHeight w:val="477"/>
        </w:trPr>
        <w:tc>
          <w:tcPr>
            <w:tcW w:w="1720" w:type="dxa"/>
            <w:vAlign w:val="bottom"/>
          </w:tcPr>
          <w:p>
            <w:pPr>
              <w:ind w:left="20"/>
              <w:spacing w:after="0"/>
              <w:rPr>
                <w:sz w:val="20"/>
                <w:szCs w:val="20"/>
                <w:color w:val="auto"/>
              </w:rPr>
            </w:pPr>
            <w:r>
              <w:rPr>
                <w:rFonts w:ascii="Arial" w:cs="Arial" w:eastAsia="Arial" w:hAnsi="Arial"/>
                <w:sz w:val="13"/>
                <w:szCs w:val="13"/>
                <w:color w:val="auto"/>
              </w:rPr>
              <w:t>Section 1505.</w:t>
            </w:r>
          </w:p>
        </w:tc>
        <w:tc>
          <w:tcPr>
            <w:tcW w:w="7400" w:type="dxa"/>
            <w:vAlign w:val="bottom"/>
          </w:tcPr>
          <w:p>
            <w:pPr>
              <w:ind w:left="20"/>
              <w:spacing w:after="0"/>
              <w:rPr>
                <w:sz w:val="20"/>
                <w:szCs w:val="20"/>
                <w:color w:val="auto"/>
              </w:rPr>
            </w:pPr>
            <w:r>
              <w:rPr>
                <w:rFonts w:ascii="Arial" w:cs="Arial" w:eastAsia="Arial" w:hAnsi="Arial"/>
                <w:sz w:val="13"/>
                <w:szCs w:val="13"/>
                <w:color w:val="auto"/>
              </w:rPr>
              <w:t>Guarantor Contribution</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82"/>
              </w:rPr>
              <w:t>94</w:t>
            </w:r>
          </w:p>
        </w:tc>
      </w:tr>
      <w:tr>
        <w:trPr>
          <w:trHeight w:val="676"/>
        </w:trPr>
        <w:tc>
          <w:tcPr>
            <w:tcW w:w="1720" w:type="dxa"/>
            <w:vAlign w:val="bottom"/>
          </w:tcPr>
          <w:p>
            <w:pPr>
              <w:spacing w:after="0"/>
              <w:rPr>
                <w:sz w:val="24"/>
                <w:szCs w:val="24"/>
                <w:color w:val="auto"/>
              </w:rPr>
            </w:pPr>
          </w:p>
        </w:tc>
        <w:tc>
          <w:tcPr>
            <w:tcW w:w="7400" w:type="dxa"/>
            <w:vAlign w:val="bottom"/>
          </w:tcPr>
          <w:p>
            <w:pPr>
              <w:jc w:val="center"/>
              <w:ind w:left="574"/>
              <w:spacing w:after="0"/>
              <w:rPr>
                <w:sz w:val="20"/>
                <w:szCs w:val="20"/>
                <w:color w:val="auto"/>
              </w:rPr>
            </w:pPr>
            <w:r>
              <w:rPr>
                <w:rFonts w:ascii="Arial" w:cs="Arial" w:eastAsia="Arial" w:hAnsi="Arial"/>
                <w:sz w:val="13"/>
                <w:szCs w:val="13"/>
                <w:b w:val="1"/>
                <w:bCs w:val="1"/>
                <w:color w:val="auto"/>
              </w:rPr>
              <w:t>ANNEX A</w:t>
            </w:r>
          </w:p>
        </w:tc>
        <w:tc>
          <w:tcPr>
            <w:tcW w:w="1940" w:type="dxa"/>
            <w:vAlign w:val="bottom"/>
          </w:tcPr>
          <w:p>
            <w:pPr>
              <w:spacing w:after="0"/>
              <w:rPr>
                <w:sz w:val="24"/>
                <w:szCs w:val="24"/>
                <w:color w:val="auto"/>
              </w:rPr>
            </w:pPr>
          </w:p>
        </w:tc>
      </w:tr>
      <w:tr>
        <w:trPr>
          <w:trHeight w:val="603"/>
        </w:trPr>
        <w:tc>
          <w:tcPr>
            <w:tcW w:w="1720" w:type="dxa"/>
            <w:vAlign w:val="bottom"/>
          </w:tcPr>
          <w:p>
            <w:pPr>
              <w:ind w:left="20"/>
              <w:spacing w:after="0"/>
              <w:rPr>
                <w:sz w:val="20"/>
                <w:szCs w:val="20"/>
                <w:color w:val="auto"/>
              </w:rPr>
            </w:pPr>
            <w:r>
              <w:rPr>
                <w:rFonts w:ascii="Arial" w:cs="Arial" w:eastAsia="Arial" w:hAnsi="Arial"/>
                <w:sz w:val="13"/>
                <w:szCs w:val="13"/>
                <w:color w:val="auto"/>
              </w:rPr>
              <w:t>FORM OF NOTE</w:t>
            </w:r>
          </w:p>
        </w:tc>
        <w:tc>
          <w:tcPr>
            <w:tcW w:w="7400" w:type="dxa"/>
            <w:vAlign w:val="bottom"/>
          </w:tcPr>
          <w:p>
            <w:pPr>
              <w:spacing w:after="0"/>
              <w:rPr>
                <w:sz w:val="24"/>
                <w:szCs w:val="24"/>
                <w:color w:val="auto"/>
              </w:rPr>
            </w:pP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98"/>
              </w:rPr>
              <w:t>A-1</w:t>
            </w:r>
          </w:p>
        </w:tc>
      </w:tr>
      <w:tr>
        <w:trPr>
          <w:trHeight w:val="676"/>
        </w:trPr>
        <w:tc>
          <w:tcPr>
            <w:tcW w:w="1720" w:type="dxa"/>
            <w:vAlign w:val="bottom"/>
          </w:tcPr>
          <w:p>
            <w:pPr>
              <w:spacing w:after="0"/>
              <w:rPr>
                <w:sz w:val="24"/>
                <w:szCs w:val="24"/>
                <w:color w:val="auto"/>
              </w:rPr>
            </w:pPr>
          </w:p>
        </w:tc>
        <w:tc>
          <w:tcPr>
            <w:tcW w:w="7400" w:type="dxa"/>
            <w:vAlign w:val="bottom"/>
          </w:tcPr>
          <w:p>
            <w:pPr>
              <w:jc w:val="center"/>
              <w:ind w:left="554"/>
              <w:spacing w:after="0"/>
              <w:rPr>
                <w:sz w:val="20"/>
                <w:szCs w:val="20"/>
                <w:color w:val="auto"/>
              </w:rPr>
            </w:pPr>
            <w:r>
              <w:rPr>
                <w:rFonts w:ascii="Arial" w:cs="Arial" w:eastAsia="Arial" w:hAnsi="Arial"/>
                <w:sz w:val="13"/>
                <w:szCs w:val="13"/>
                <w:b w:val="1"/>
                <w:bCs w:val="1"/>
                <w:color w:val="auto"/>
                <w:w w:val="99"/>
              </w:rPr>
              <w:t>ANNEX B</w:t>
            </w:r>
          </w:p>
        </w:tc>
        <w:tc>
          <w:tcPr>
            <w:tcW w:w="1940" w:type="dxa"/>
            <w:vAlign w:val="bottom"/>
          </w:tcPr>
          <w:p>
            <w:pPr>
              <w:spacing w:after="0"/>
              <w:rPr>
                <w:sz w:val="24"/>
                <w:szCs w:val="24"/>
                <w:color w:val="auto"/>
              </w:rPr>
            </w:pPr>
          </w:p>
        </w:tc>
      </w:tr>
      <w:tr>
        <w:trPr>
          <w:trHeight w:val="603"/>
        </w:trPr>
        <w:tc>
          <w:tcPr>
            <w:tcW w:w="1720" w:type="dxa"/>
            <w:vAlign w:val="bottom"/>
          </w:tcPr>
          <w:p>
            <w:pPr>
              <w:ind w:left="20"/>
              <w:spacing w:after="0"/>
              <w:rPr>
                <w:sz w:val="20"/>
                <w:szCs w:val="20"/>
                <w:color w:val="auto"/>
              </w:rPr>
            </w:pPr>
            <w:r>
              <w:rPr>
                <w:rFonts w:ascii="Arial" w:cs="Arial" w:eastAsia="Arial" w:hAnsi="Arial"/>
                <w:sz w:val="13"/>
                <w:szCs w:val="13"/>
                <w:color w:val="auto"/>
                <w:w w:val="96"/>
              </w:rPr>
              <w:t>NOTATION OF GUARANTEE</w:t>
            </w:r>
          </w:p>
        </w:tc>
        <w:tc>
          <w:tcPr>
            <w:tcW w:w="7400" w:type="dxa"/>
            <w:vAlign w:val="bottom"/>
          </w:tcPr>
          <w:p>
            <w:pPr>
              <w:spacing w:after="0"/>
              <w:rPr>
                <w:sz w:val="24"/>
                <w:szCs w:val="24"/>
                <w:color w:val="auto"/>
              </w:rPr>
            </w:pP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98"/>
              </w:rPr>
              <w:t>B-1</w:t>
            </w:r>
          </w:p>
        </w:tc>
      </w:tr>
      <w:tr>
        <w:trPr>
          <w:trHeight w:val="676"/>
        </w:trPr>
        <w:tc>
          <w:tcPr>
            <w:tcW w:w="1720" w:type="dxa"/>
            <w:vAlign w:val="bottom"/>
          </w:tcPr>
          <w:p>
            <w:pPr>
              <w:spacing w:after="0"/>
              <w:rPr>
                <w:sz w:val="24"/>
                <w:szCs w:val="24"/>
                <w:color w:val="auto"/>
              </w:rPr>
            </w:pPr>
          </w:p>
        </w:tc>
        <w:tc>
          <w:tcPr>
            <w:tcW w:w="7400" w:type="dxa"/>
            <w:vAlign w:val="bottom"/>
          </w:tcPr>
          <w:p>
            <w:pPr>
              <w:jc w:val="center"/>
              <w:ind w:left="574"/>
              <w:spacing w:after="0"/>
              <w:rPr>
                <w:sz w:val="20"/>
                <w:szCs w:val="20"/>
                <w:color w:val="auto"/>
              </w:rPr>
            </w:pPr>
            <w:r>
              <w:rPr>
                <w:rFonts w:ascii="Arial" w:cs="Arial" w:eastAsia="Arial" w:hAnsi="Arial"/>
                <w:sz w:val="13"/>
                <w:szCs w:val="13"/>
                <w:b w:val="1"/>
                <w:bCs w:val="1"/>
                <w:color w:val="auto"/>
              </w:rPr>
              <w:t>ANNEX C</w:t>
            </w:r>
          </w:p>
        </w:tc>
        <w:tc>
          <w:tcPr>
            <w:tcW w:w="1940" w:type="dxa"/>
            <w:vAlign w:val="bottom"/>
          </w:tcPr>
          <w:p>
            <w:pPr>
              <w:spacing w:after="0"/>
              <w:rPr>
                <w:sz w:val="24"/>
                <w:szCs w:val="24"/>
                <w:color w:val="auto"/>
              </w:rPr>
            </w:pPr>
          </w:p>
        </w:tc>
      </w:tr>
      <w:tr>
        <w:trPr>
          <w:trHeight w:val="261"/>
        </w:trPr>
        <w:tc>
          <w:tcPr>
            <w:tcW w:w="9120" w:type="dxa"/>
            <w:vAlign w:val="bottom"/>
            <w:gridSpan w:val="2"/>
          </w:tcPr>
          <w:p>
            <w:pPr>
              <w:spacing w:after="0"/>
              <w:rPr>
                <w:sz w:val="20"/>
                <w:szCs w:val="20"/>
                <w:color w:val="auto"/>
              </w:rPr>
            </w:pPr>
            <w:r>
              <w:rPr>
                <w:rFonts w:ascii="Arial" w:cs="Arial" w:eastAsia="Arial" w:hAnsi="Arial"/>
                <w:sz w:val="13"/>
                <w:szCs w:val="13"/>
                <w:color w:val="auto"/>
              </w:rPr>
              <w:t>FORM OF CERTIFICATE TO BE DELIVERED IN CONNECTION WITH</w:t>
            </w:r>
          </w:p>
        </w:tc>
        <w:tc>
          <w:tcPr>
            <w:tcW w:w="1940" w:type="dxa"/>
            <w:vAlign w:val="bottom"/>
          </w:tcPr>
          <w:p>
            <w:pPr>
              <w:spacing w:after="0"/>
              <w:rPr>
                <w:sz w:val="22"/>
                <w:szCs w:val="22"/>
                <w:color w:val="auto"/>
              </w:rPr>
            </w:pPr>
          </w:p>
        </w:tc>
      </w:tr>
      <w:tr>
        <w:trPr>
          <w:trHeight w:val="333"/>
        </w:trPr>
        <w:tc>
          <w:tcPr>
            <w:tcW w:w="9120" w:type="dxa"/>
            <w:vAlign w:val="bottom"/>
            <w:gridSpan w:val="2"/>
          </w:tcPr>
          <w:p>
            <w:pPr>
              <w:ind w:left="340"/>
              <w:spacing w:after="0"/>
              <w:rPr>
                <w:sz w:val="20"/>
                <w:szCs w:val="20"/>
                <w:color w:val="auto"/>
              </w:rPr>
            </w:pPr>
            <w:r>
              <w:rPr>
                <w:rFonts w:ascii="Arial" w:cs="Arial" w:eastAsia="Arial" w:hAnsi="Arial"/>
                <w:sz w:val="13"/>
                <w:szCs w:val="13"/>
                <w:color w:val="auto"/>
              </w:rPr>
              <w:t>TRANSFERS TO INSTITUTIONAL ACCREDITED INVESTORS</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95"/>
              </w:rPr>
              <w:t>C-1</w:t>
            </w:r>
          </w:p>
        </w:tc>
      </w:tr>
      <w:tr>
        <w:trPr>
          <w:trHeight w:val="676"/>
        </w:trPr>
        <w:tc>
          <w:tcPr>
            <w:tcW w:w="1720" w:type="dxa"/>
            <w:vAlign w:val="bottom"/>
          </w:tcPr>
          <w:p>
            <w:pPr>
              <w:spacing w:after="0"/>
              <w:rPr>
                <w:sz w:val="24"/>
                <w:szCs w:val="24"/>
                <w:color w:val="auto"/>
              </w:rPr>
            </w:pPr>
          </w:p>
        </w:tc>
        <w:tc>
          <w:tcPr>
            <w:tcW w:w="7400" w:type="dxa"/>
            <w:vAlign w:val="bottom"/>
          </w:tcPr>
          <w:p>
            <w:pPr>
              <w:jc w:val="center"/>
              <w:ind w:left="574"/>
              <w:spacing w:after="0"/>
              <w:rPr>
                <w:sz w:val="20"/>
                <w:szCs w:val="20"/>
                <w:color w:val="auto"/>
              </w:rPr>
            </w:pPr>
            <w:r>
              <w:rPr>
                <w:rFonts w:ascii="Arial" w:cs="Arial" w:eastAsia="Arial" w:hAnsi="Arial"/>
                <w:sz w:val="13"/>
                <w:szCs w:val="13"/>
                <w:b w:val="1"/>
                <w:bCs w:val="1"/>
                <w:color w:val="auto"/>
              </w:rPr>
              <w:t>ANNEX D</w:t>
            </w:r>
          </w:p>
        </w:tc>
        <w:tc>
          <w:tcPr>
            <w:tcW w:w="1940" w:type="dxa"/>
            <w:vAlign w:val="bottom"/>
          </w:tcPr>
          <w:p>
            <w:pPr>
              <w:spacing w:after="0"/>
              <w:rPr>
                <w:sz w:val="24"/>
                <w:szCs w:val="24"/>
                <w:color w:val="auto"/>
              </w:rPr>
            </w:pPr>
          </w:p>
        </w:tc>
      </w:tr>
      <w:tr>
        <w:trPr>
          <w:trHeight w:val="261"/>
        </w:trPr>
        <w:tc>
          <w:tcPr>
            <w:tcW w:w="9120" w:type="dxa"/>
            <w:vAlign w:val="bottom"/>
            <w:gridSpan w:val="2"/>
          </w:tcPr>
          <w:p>
            <w:pPr>
              <w:spacing w:after="0"/>
              <w:rPr>
                <w:sz w:val="20"/>
                <w:szCs w:val="20"/>
                <w:color w:val="auto"/>
              </w:rPr>
            </w:pPr>
            <w:r>
              <w:rPr>
                <w:rFonts w:ascii="Arial" w:cs="Arial" w:eastAsia="Arial" w:hAnsi="Arial"/>
                <w:sz w:val="13"/>
                <w:szCs w:val="13"/>
                <w:color w:val="auto"/>
              </w:rPr>
              <w:t>FORM OF CERTIFICATE TO BE DELIVERED IN CONNECTION WITH TRANSFERS</w:t>
            </w:r>
          </w:p>
        </w:tc>
        <w:tc>
          <w:tcPr>
            <w:tcW w:w="1940" w:type="dxa"/>
            <w:vAlign w:val="bottom"/>
          </w:tcPr>
          <w:p>
            <w:pPr>
              <w:spacing w:after="0"/>
              <w:rPr>
                <w:sz w:val="22"/>
                <w:szCs w:val="22"/>
                <w:color w:val="auto"/>
              </w:rPr>
            </w:pPr>
          </w:p>
        </w:tc>
      </w:tr>
      <w:tr>
        <w:trPr>
          <w:trHeight w:val="333"/>
        </w:trPr>
        <w:tc>
          <w:tcPr>
            <w:tcW w:w="9120" w:type="dxa"/>
            <w:vAlign w:val="bottom"/>
            <w:gridSpan w:val="2"/>
          </w:tcPr>
          <w:p>
            <w:pPr>
              <w:ind w:left="340"/>
              <w:spacing w:after="0"/>
              <w:rPr>
                <w:sz w:val="20"/>
                <w:szCs w:val="20"/>
                <w:color w:val="auto"/>
              </w:rPr>
            </w:pPr>
            <w:r>
              <w:rPr>
                <w:rFonts w:ascii="Arial" w:cs="Arial" w:eastAsia="Arial" w:hAnsi="Arial"/>
                <w:sz w:val="13"/>
                <w:szCs w:val="13"/>
                <w:color w:val="auto"/>
              </w:rPr>
              <w:t>PURSUANT TO REGULATIONS</w:t>
            </w:r>
          </w:p>
        </w:tc>
        <w:tc>
          <w:tcPr>
            <w:tcW w:w="1940" w:type="dxa"/>
            <w:vAlign w:val="bottom"/>
          </w:tcPr>
          <w:p>
            <w:pPr>
              <w:jc w:val="center"/>
              <w:ind w:left="1675"/>
              <w:spacing w:after="0"/>
              <w:rPr>
                <w:sz w:val="20"/>
                <w:szCs w:val="20"/>
                <w:color w:val="auto"/>
              </w:rPr>
            </w:pPr>
            <w:r>
              <w:rPr>
                <w:rFonts w:ascii="Arial" w:cs="Arial" w:eastAsia="Arial" w:hAnsi="Arial"/>
                <w:sz w:val="13"/>
                <w:szCs w:val="13"/>
                <w:color w:val="auto"/>
                <w:w w:val="95"/>
              </w:rPr>
              <w:t>D-1</w:t>
            </w:r>
          </w:p>
        </w:tc>
      </w:tr>
    </w:tbl>
    <w:p>
      <w:pPr>
        <w:sectPr>
          <w:pgSz w:w="11900" w:h="16838" w:orient="portrait"/>
          <w:cols w:equalWidth="0" w:num="1">
            <w:col w:w="11060"/>
          </w:cols>
          <w:pgMar w:left="220" w:top="543" w:right="619" w:bottom="0" w:gutter="0" w:footer="0" w:header="0"/>
        </w:sectPr>
      </w:pPr>
    </w:p>
    <w:bookmarkStart w:id="13" w:name="page14"/>
    <w:bookmarkEnd w:id="13"/>
    <w:p>
      <w:pPr>
        <w:jc w:val="center"/>
        <w:ind w:right="-379"/>
        <w:spacing w:after="0"/>
        <w:rPr>
          <w:sz w:val="20"/>
          <w:szCs w:val="20"/>
          <w:color w:val="auto"/>
        </w:rPr>
      </w:pPr>
      <w:r>
        <w:rPr>
          <w:rFonts w:ascii="Arial" w:cs="Arial" w:eastAsia="Arial" w:hAnsi="Arial"/>
          <w:sz w:val="13"/>
          <w:szCs w:val="13"/>
          <w:b w:val="1"/>
          <w:bCs w:val="1"/>
          <w:color w:val="auto"/>
        </w:rPr>
        <w:t>ANNEX 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20" w:type="dxa"/>
            <w:vAlign w:val="bottom"/>
          </w:tcPr>
          <w:p>
            <w:pPr>
              <w:spacing w:after="0"/>
              <w:rPr>
                <w:sz w:val="20"/>
                <w:szCs w:val="20"/>
                <w:color w:val="auto"/>
              </w:rPr>
            </w:pPr>
            <w:r>
              <w:rPr>
                <w:rFonts w:ascii="Arial" w:cs="Arial" w:eastAsia="Arial" w:hAnsi="Arial"/>
                <w:sz w:val="13"/>
                <w:szCs w:val="13"/>
                <w:color w:val="auto"/>
              </w:rPr>
              <w:t>FORM OF SUPPLEMENTAL INDENTURE</w:t>
            </w:r>
          </w:p>
        </w:tc>
        <w:tc>
          <w:tcPr>
            <w:tcW w:w="4420" w:type="dxa"/>
            <w:vAlign w:val="bottom"/>
          </w:tcPr>
          <w:p>
            <w:pPr>
              <w:ind w:left="4220"/>
              <w:spacing w:after="0"/>
              <w:rPr>
                <w:sz w:val="20"/>
                <w:szCs w:val="20"/>
                <w:color w:val="auto"/>
              </w:rPr>
            </w:pPr>
            <w:r>
              <w:rPr>
                <w:rFonts w:ascii="Arial" w:cs="Arial" w:eastAsia="Arial" w:hAnsi="Arial"/>
                <w:sz w:val="13"/>
                <w:szCs w:val="13"/>
                <w:color w:val="auto"/>
                <w:w w:val="88"/>
              </w:rPr>
              <w:t>E-1</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1040"/>
          </w:cols>
          <w:pgMar w:left="240" w:top="233" w:right="619" w:bottom="1440" w:gutter="0" w:footer="0" w:header="0"/>
        </w:sectPr>
      </w:pPr>
    </w:p>
    <w:bookmarkStart w:id="14" w:name="page15"/>
    <w:bookmarkEnd w:id="14"/>
    <w:p>
      <w:pPr>
        <w:ind w:right="300" w:firstLine="432"/>
        <w:spacing w:after="0" w:line="261" w:lineRule="auto"/>
        <w:rPr>
          <w:sz w:val="20"/>
          <w:szCs w:val="20"/>
          <w:color w:val="auto"/>
        </w:rPr>
      </w:pPr>
      <w:r>
        <w:rPr>
          <w:rFonts w:ascii="Arial" w:cs="Arial" w:eastAsia="Arial" w:hAnsi="Arial"/>
          <w:sz w:val="13"/>
          <w:szCs w:val="13"/>
          <w:b w:val="1"/>
          <w:bCs w:val="1"/>
          <w:color w:val="auto"/>
        </w:rPr>
        <w:t xml:space="preserve">THIS SIXTH SUPPLEMENTAL INDENTURE </w:t>
      </w:r>
      <w:r>
        <w:rPr>
          <w:rFonts w:ascii="Arial" w:cs="Arial" w:eastAsia="Arial" w:hAnsi="Arial"/>
          <w:sz w:val="13"/>
          <w:szCs w:val="13"/>
          <w:color w:val="auto"/>
        </w:rPr>
        <w:t>(herein called this “Supplemental Indenture”), dated as of February 28, 2018, is among Weatherford International, LLC, a Delaware limited liability</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(herein called the “Issuer”), Weatherford International plc, an Irish public limited company (herein called the “Parent Guarantor”), Weatherford International Ltd., a Bermuda exempted company (herein called a “Subsidiary Guarantor”), and Deutsche Bank Trust Company Americas, as Trustee (herein called the “Trustee”).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 OF THE ISSUER AND THE GUARANTORS</w:t>
      </w:r>
    </w:p>
    <w:p>
      <w:pPr>
        <w:spacing w:after="0" w:line="152" w:lineRule="exact"/>
        <w:rPr>
          <w:sz w:val="20"/>
          <w:szCs w:val="20"/>
          <w:color w:val="auto"/>
        </w:rPr>
      </w:pPr>
    </w:p>
    <w:p>
      <w:pPr>
        <w:ind w:right="60" w:firstLine="432"/>
        <w:spacing w:after="0" w:line="282" w:lineRule="auto"/>
        <w:rPr>
          <w:sz w:val="20"/>
          <w:szCs w:val="20"/>
          <w:color w:val="auto"/>
        </w:rPr>
      </w:pPr>
      <w:r>
        <w:rPr>
          <w:rFonts w:ascii="Arial" w:cs="Arial" w:eastAsia="Arial" w:hAnsi="Arial"/>
          <w:sz w:val="12"/>
          <w:szCs w:val="12"/>
          <w:color w:val="auto"/>
        </w:rPr>
        <w:t>The Issuer (f/k/a Weatherford International, Inc., a Delaware corporation) and the Guarantors are parties to the Indenture, dated as of June 18, 2007 (herein called the “Original Indenture”), as amended and supplemented by (i) the Second Supplemental Indenture, dated as of February 26, 2009, (ii) the Fourth Supplemental Indenture, dated as of March 31, 2013, and (iii) the Fifth Supplemental Indenture, dated as of June 17, 2014 (the Original Indenture, as so amended and supplemented, being herein called the “Base Indenture”), which Base Indenture provides for the issuance from time to time of the Issuer’s unsecured senior debentures, notes or other evidences of indebtedness (herein called the “Securities”), to be issued in one or more series, and the guarantee by each of the Guarantors of the Securities.</w:t>
      </w:r>
    </w:p>
    <w:p>
      <w:pPr>
        <w:spacing w:after="0" w:line="108" w:lineRule="exact"/>
        <w:rPr>
          <w:sz w:val="20"/>
          <w:szCs w:val="20"/>
          <w:color w:val="auto"/>
        </w:rPr>
      </w:pPr>
    </w:p>
    <w:p>
      <w:pPr>
        <w:jc w:val="both"/>
        <w:ind w:right="60" w:firstLine="432"/>
        <w:spacing w:after="0" w:line="271" w:lineRule="auto"/>
        <w:rPr>
          <w:sz w:val="20"/>
          <w:szCs w:val="20"/>
          <w:color w:val="auto"/>
        </w:rPr>
      </w:pPr>
      <w:r>
        <w:rPr>
          <w:rFonts w:ascii="Arial" w:cs="Arial" w:eastAsia="Arial" w:hAnsi="Arial"/>
          <w:sz w:val="13"/>
          <w:szCs w:val="13"/>
          <w:color w:val="auto"/>
        </w:rPr>
        <w:t>Section 9.1(8) of the Base Indenture provides, among other things, that the Issuer, Guarantors and the Trustee may enter into indentures supplemental to the Base Indenture, without the consent of any Holders of Securities, to establish the form or terms of any Security as permitted by Sections 2.1 and 3.1 of the Base Indenture.</w:t>
      </w:r>
    </w:p>
    <w:p>
      <w:pPr>
        <w:spacing w:after="0" w:line="113" w:lineRule="exact"/>
        <w:rPr>
          <w:sz w:val="20"/>
          <w:szCs w:val="20"/>
          <w:color w:val="auto"/>
        </w:rPr>
      </w:pPr>
    </w:p>
    <w:p>
      <w:pPr>
        <w:ind w:right="460" w:firstLine="432"/>
        <w:spacing w:after="0" w:line="271" w:lineRule="auto"/>
        <w:rPr>
          <w:sz w:val="20"/>
          <w:szCs w:val="20"/>
          <w:color w:val="auto"/>
        </w:rPr>
      </w:pPr>
      <w:r>
        <w:rPr>
          <w:rFonts w:ascii="Arial" w:cs="Arial" w:eastAsia="Arial" w:hAnsi="Arial"/>
          <w:sz w:val="13"/>
          <w:szCs w:val="13"/>
          <w:color w:val="auto"/>
        </w:rPr>
        <w:t>Pursuant to Sections 2.1 and 3.1 of the Base Indenture, the Issuer desires to execute this Supplemental Indenture to establish the form and terms, and to provide for the issuance, of a series of Securities designated as the 9.875% Senior Notes due 2025 (herein called the “Initial Notes”), in an aggregate principal amount of $600,000,000.</w:t>
      </w:r>
    </w:p>
    <w:p>
      <w:pPr>
        <w:spacing w:after="0" w:line="113" w:lineRule="exact"/>
        <w:rPr>
          <w:sz w:val="20"/>
          <w:szCs w:val="20"/>
          <w:color w:val="auto"/>
        </w:rPr>
      </w:pPr>
    </w:p>
    <w:p>
      <w:pPr>
        <w:jc w:val="both"/>
        <w:ind w:right="60" w:firstLine="432"/>
        <w:spacing w:after="0" w:line="258" w:lineRule="auto"/>
        <w:rPr>
          <w:sz w:val="20"/>
          <w:szCs w:val="20"/>
          <w:color w:val="auto"/>
        </w:rPr>
      </w:pPr>
      <w:r>
        <w:rPr>
          <w:rFonts w:ascii="Arial" w:cs="Arial" w:eastAsia="Arial" w:hAnsi="Arial"/>
          <w:sz w:val="13"/>
          <w:szCs w:val="13"/>
          <w:color w:val="auto"/>
        </w:rPr>
        <w:t>From time to time subsequent to the Issue Date, the Issuer may, if permitted to do so pursuant to the terms of the Indenture, the Initial Notes and the terms of its other indebtedness existing on such future date, issue additional Securities of the Initial Notes in accordance with this Supplemental Indenture (herein called the “Additional Notes”), pursuant to this Supplemental Indenture. No issuance of Additional Notes shall be made unless specifically authorized and approved by Board Resolution of the Issuer and the Guarantors.</w:t>
      </w:r>
    </w:p>
    <w:p>
      <w:pPr>
        <w:spacing w:after="0" w:line="121" w:lineRule="exact"/>
        <w:rPr>
          <w:sz w:val="20"/>
          <w:szCs w:val="20"/>
          <w:color w:val="auto"/>
        </w:rPr>
      </w:pPr>
    </w:p>
    <w:p>
      <w:pPr>
        <w:ind w:firstLine="432"/>
        <w:spacing w:after="0" w:line="314" w:lineRule="auto"/>
        <w:rPr>
          <w:sz w:val="20"/>
          <w:szCs w:val="20"/>
          <w:color w:val="auto"/>
        </w:rPr>
      </w:pPr>
      <w:r>
        <w:rPr>
          <w:rFonts w:ascii="Arial" w:cs="Arial" w:eastAsia="Arial" w:hAnsi="Arial"/>
          <w:sz w:val="12"/>
          <w:szCs w:val="12"/>
          <w:color w:val="auto"/>
        </w:rPr>
        <w:t>From time to time subsequent to the Issue Date, the Issuer may issue, in accordance with a Registration Rights Agreement, additional Securities in exchange for an equal principal amount of the Initial Notes or any Additional Notes (herein called the “Exchange Notes” and, together with the Initial Notes and any Additional Notes, herein called the “Notes”), pursuant to this Supplemental Indenture.</w:t>
      </w:r>
    </w:p>
    <w:p>
      <w:pPr>
        <w:spacing w:after="0" w:line="89" w:lineRule="exact"/>
        <w:rPr>
          <w:sz w:val="20"/>
          <w:szCs w:val="20"/>
          <w:color w:val="auto"/>
        </w:rPr>
      </w:pPr>
    </w:p>
    <w:p>
      <w:pPr>
        <w:ind w:right="140" w:firstLine="432"/>
        <w:spacing w:after="0" w:line="290" w:lineRule="auto"/>
        <w:rPr>
          <w:sz w:val="20"/>
          <w:szCs w:val="20"/>
          <w:color w:val="auto"/>
        </w:rPr>
      </w:pPr>
      <w:r>
        <w:rPr>
          <w:rFonts w:ascii="Arial" w:cs="Arial" w:eastAsia="Arial" w:hAnsi="Arial"/>
          <w:sz w:val="12"/>
          <w:szCs w:val="12"/>
          <w:color w:val="auto"/>
        </w:rPr>
        <w:t>All things necessary have been done to make the Notes, when executed by the Issuer and authenticated and delivered hereunder and duly issued by the Issuer, the valid obligations of the Issuer, and all things necessary have been done to make the guarantees thereof, when the Notes have been executed by the Issuer and authenticated and delivered hereunder and duly issued by the Issuer, the valid obligations of the Guarantors. All things necessary to make this Supplemental Indenture a valid agreement of each of the Issuer and the Guarantors, in accordance with its terms, have been done.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NOW, THEREFORE, THIS SUPPLEMENTAL INDENTURE WITNESSETH: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60"/>
          </w:cols>
          <w:pgMar w:left="220" w:top="431" w:right="219" w:bottom="1440" w:gutter="0" w:footer="0" w:header="0"/>
        </w:sectPr>
      </w:pPr>
    </w:p>
    <w:bookmarkStart w:id="15" w:name="page16"/>
    <w:bookmarkEnd w:id="15"/>
    <w:p>
      <w:pPr>
        <w:jc w:val="center"/>
        <w:ind w:left="380"/>
        <w:spacing w:after="0"/>
        <w:rPr>
          <w:sz w:val="20"/>
          <w:szCs w:val="20"/>
          <w:color w:val="auto"/>
        </w:rPr>
      </w:pPr>
      <w:r>
        <w:rPr>
          <w:rFonts w:ascii="Arial" w:cs="Arial" w:eastAsia="Arial" w:hAnsi="Arial"/>
          <w:sz w:val="12"/>
          <w:szCs w:val="12"/>
          <w:color w:val="auto"/>
        </w:rPr>
        <w:t>For and in consideration of the premises and the purchase of the Notes by the Holders thereof, it is mutually agreed, for the equal and proportionate benefit of all Holders of the Notes of each series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ONE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APPLICATION OF SUPPLEMENTAL INDENTURE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 CREATION OF THE INITIAL NOTES</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101.</w:t>
      </w:r>
      <w:r>
        <w:rPr>
          <w:sz w:val="20"/>
          <w:szCs w:val="20"/>
          <w:color w:val="auto"/>
        </w:rPr>
        <w:tab/>
      </w:r>
      <w:r>
        <w:rPr>
          <w:rFonts w:ascii="Arial" w:cs="Arial" w:eastAsia="Arial" w:hAnsi="Arial"/>
          <w:sz w:val="12"/>
          <w:szCs w:val="12"/>
          <w:u w:val="single" w:color="auto"/>
          <w:color w:val="auto"/>
        </w:rPr>
        <w:t>Application of this Supplemental Indenture</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54" w:lineRule="auto"/>
        <w:rPr>
          <w:sz w:val="20"/>
          <w:szCs w:val="20"/>
          <w:color w:val="auto"/>
        </w:rPr>
      </w:pPr>
      <w:r>
        <w:rPr>
          <w:rFonts w:ascii="Arial" w:cs="Arial" w:eastAsia="Arial" w:hAnsi="Arial"/>
          <w:sz w:val="13"/>
          <w:szCs w:val="13"/>
          <w:color w:val="auto"/>
        </w:rPr>
        <w:t>Notwithstanding any other provision of this Supplemental Indenture, the provisions of this Supplemental Indenture, including as provided in Section 102 below, are expressly and solely for the benefit of the Holders of the Notes and the Guarantees and shall not apply to any other series of Securities that may be currently outstanding or may be issued hereafter under the Base Indenture. The Notes constitute a series of Securities as provided in Section 3.1 of the Base Indenture. Unless otherwise expressly specified, references in this Supplemental Indenture to specific Article numbers or Section numbers refer to Articles and Sections contained in this Supplemental Indenture, and not the Base Indenture or any other document.</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102.</w:t>
      </w:r>
      <w:r>
        <w:rPr>
          <w:sz w:val="20"/>
          <w:szCs w:val="20"/>
          <w:color w:val="auto"/>
        </w:rPr>
        <w:tab/>
      </w:r>
      <w:r>
        <w:rPr>
          <w:rFonts w:ascii="Arial" w:cs="Arial" w:eastAsia="Arial" w:hAnsi="Arial"/>
          <w:sz w:val="12"/>
          <w:szCs w:val="12"/>
          <w:u w:val="single" w:color="auto"/>
          <w:color w:val="auto"/>
        </w:rPr>
        <w:t>Effect of Supplemental Indenture</w:t>
      </w:r>
      <w:r>
        <w:rPr>
          <w:rFonts w:ascii="Arial" w:cs="Arial" w:eastAsia="Arial" w:hAnsi="Arial"/>
          <w:sz w:val="12"/>
          <w:szCs w:val="12"/>
          <w:color w:val="auto"/>
        </w:rPr>
        <w:t>.</w:t>
      </w:r>
    </w:p>
    <w:p>
      <w:pPr>
        <w:spacing w:after="0" w:line="157" w:lineRule="exact"/>
        <w:rPr>
          <w:sz w:val="20"/>
          <w:szCs w:val="20"/>
          <w:color w:val="auto"/>
        </w:rPr>
      </w:pPr>
    </w:p>
    <w:p>
      <w:pPr>
        <w:ind w:right="140" w:firstLine="432"/>
        <w:spacing w:after="0" w:line="271" w:lineRule="auto"/>
        <w:rPr>
          <w:sz w:val="20"/>
          <w:szCs w:val="20"/>
          <w:color w:val="auto"/>
        </w:rPr>
      </w:pPr>
      <w:r>
        <w:rPr>
          <w:rFonts w:ascii="Arial" w:cs="Arial" w:eastAsia="Arial" w:hAnsi="Arial"/>
          <w:sz w:val="13"/>
          <w:szCs w:val="13"/>
          <w:color w:val="auto"/>
        </w:rPr>
        <w:t>With respect to the Notes (and any Notation of Guarantee endorsed thereon) only, the Base Indenture shall be supplemented and amended pursuant to Section 9.1(8) thereof to establish the form and terms of the Notes (and any Notation of Guarantee endorsed thereon) as set forth in this Supplemental Indenture, including as follows:</w:t>
      </w:r>
    </w:p>
    <w:p>
      <w:pPr>
        <w:spacing w:after="0" w:line="113" w:lineRule="exact"/>
        <w:rPr>
          <w:sz w:val="20"/>
          <w:szCs w:val="20"/>
          <w:color w:val="auto"/>
        </w:rPr>
      </w:pPr>
    </w:p>
    <w:p>
      <w:pPr>
        <w:ind w:left="420" w:right="620" w:hanging="266"/>
        <w:spacing w:after="0" w:line="27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Definitions</w:t>
      </w:r>
      <w:r>
        <w:rPr>
          <w:rFonts w:ascii="Arial" w:cs="Arial" w:eastAsia="Arial" w:hAnsi="Arial"/>
          <w:sz w:val="13"/>
          <w:szCs w:val="13"/>
          <w:color w:val="auto"/>
        </w:rPr>
        <w:t>. The definitions and other provisions of general application set forth in Section 1.1 of the Base Indenture are deleted and replaced in their entirety by the provisions of Section 201 of this</w:t>
      </w:r>
      <w:r>
        <w:rPr>
          <w:rFonts w:ascii="Arial" w:cs="Arial" w:eastAsia="Arial" w:hAnsi="Arial"/>
          <w:sz w:val="13"/>
          <w:szCs w:val="13"/>
          <w:i w:val="1"/>
          <w:iCs w:val="1"/>
          <w:color w:val="auto"/>
        </w:rPr>
        <w:t xml:space="preserve"> </w:t>
      </w:r>
      <w:r>
        <w:rPr>
          <w:rFonts w:ascii="Arial" w:cs="Arial" w:eastAsia="Arial" w:hAnsi="Arial"/>
          <w:sz w:val="13"/>
          <w:szCs w:val="13"/>
          <w:color w:val="auto"/>
        </w:rPr>
        <w:t>Supplemental Indenture;</w:t>
      </w:r>
    </w:p>
    <w:p>
      <w:pPr>
        <w:spacing w:after="0" w:line="121" w:lineRule="exact"/>
        <w:rPr>
          <w:rFonts w:ascii="Arial" w:cs="Arial" w:eastAsia="Arial" w:hAnsi="Arial"/>
          <w:sz w:val="12"/>
          <w:szCs w:val="12"/>
          <w:color w:val="auto"/>
        </w:rPr>
      </w:pPr>
    </w:p>
    <w:p>
      <w:pPr>
        <w:ind w:left="420" w:right="120" w:hanging="266"/>
        <w:spacing w:after="0" w:line="27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Provisions of General Application and Security Forms</w:t>
      </w:r>
      <w:r>
        <w:rPr>
          <w:rFonts w:ascii="Arial" w:cs="Arial" w:eastAsia="Arial" w:hAnsi="Arial"/>
          <w:sz w:val="13"/>
          <w:szCs w:val="13"/>
          <w:color w:val="auto"/>
        </w:rPr>
        <w:t>. Sections 1.2 through 1.18 and Article Two of the Base Indenture are deleted and replaced in their entirety by the provisions of Articles Two and Three,</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(other than Section 201 of this Supplemental Indenture) of this Supplemental Indenture;</w:t>
      </w:r>
    </w:p>
    <w:p>
      <w:pPr>
        <w:spacing w:after="0" w:line="121" w:lineRule="exact"/>
        <w:rPr>
          <w:rFonts w:ascii="Arial" w:cs="Arial" w:eastAsia="Arial" w:hAnsi="Arial"/>
          <w:sz w:val="12"/>
          <w:szCs w:val="12"/>
          <w:color w:val="auto"/>
        </w:rPr>
      </w:pPr>
    </w:p>
    <w:p>
      <w:pPr>
        <w:ind w:left="420" w:hanging="266"/>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The Securities</w:t>
      </w:r>
      <w:r>
        <w:rPr>
          <w:rFonts w:ascii="Arial" w:cs="Arial" w:eastAsia="Arial" w:hAnsi="Arial"/>
          <w:sz w:val="13"/>
          <w:szCs w:val="13"/>
          <w:color w:val="auto"/>
        </w:rPr>
        <w:t>. The provisions of Article Three of the Base Indenture are deleted and replaced in their entirety by the provisions of Article Four of this Supplemental Indenture;</w:t>
      </w:r>
    </w:p>
    <w:p>
      <w:pPr>
        <w:spacing w:after="0" w:line="156" w:lineRule="exact"/>
        <w:rPr>
          <w:rFonts w:ascii="Arial" w:cs="Arial" w:eastAsia="Arial" w:hAnsi="Arial"/>
          <w:sz w:val="12"/>
          <w:szCs w:val="12"/>
          <w:color w:val="auto"/>
        </w:rPr>
      </w:pPr>
    </w:p>
    <w:p>
      <w:pPr>
        <w:ind w:left="420" w:hanging="266"/>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Satisfaction and Discharge</w:t>
      </w:r>
      <w:r>
        <w:rPr>
          <w:rFonts w:ascii="Arial" w:cs="Arial" w:eastAsia="Arial" w:hAnsi="Arial"/>
          <w:sz w:val="13"/>
          <w:szCs w:val="13"/>
          <w:color w:val="auto"/>
        </w:rPr>
        <w:t>. The provisions of Article Four of the Base Indenture are deleted and replaced in their entirety by the provisions of Article Five of this Supplemental Indenture;</w:t>
      </w:r>
    </w:p>
    <w:p>
      <w:pPr>
        <w:spacing w:after="0" w:line="156" w:lineRule="exact"/>
        <w:rPr>
          <w:rFonts w:ascii="Arial" w:cs="Arial" w:eastAsia="Arial" w:hAnsi="Arial"/>
          <w:sz w:val="12"/>
          <w:szCs w:val="12"/>
          <w:color w:val="auto"/>
        </w:rPr>
      </w:pPr>
    </w:p>
    <w:p>
      <w:pPr>
        <w:ind w:left="420" w:hanging="266"/>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Remedies</w:t>
      </w:r>
      <w:r>
        <w:rPr>
          <w:rFonts w:ascii="Arial" w:cs="Arial" w:eastAsia="Arial" w:hAnsi="Arial"/>
          <w:sz w:val="13"/>
          <w:szCs w:val="13"/>
          <w:color w:val="auto"/>
        </w:rPr>
        <w:t>. The provisions of Article Five of the Base Indenture are deleted and replaced in their entirety by the provisions of Article Six of this Supplemental Indenture;</w:t>
      </w:r>
    </w:p>
    <w:p>
      <w:pPr>
        <w:spacing w:after="0" w:line="156" w:lineRule="exact"/>
        <w:rPr>
          <w:rFonts w:ascii="Arial" w:cs="Arial" w:eastAsia="Arial" w:hAnsi="Arial"/>
          <w:sz w:val="12"/>
          <w:szCs w:val="12"/>
          <w:color w:val="auto"/>
        </w:rPr>
      </w:pPr>
    </w:p>
    <w:p>
      <w:pPr>
        <w:ind w:left="420" w:hanging="266"/>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The Trustee</w:t>
      </w:r>
      <w:r>
        <w:rPr>
          <w:rFonts w:ascii="Arial" w:cs="Arial" w:eastAsia="Arial" w:hAnsi="Arial"/>
          <w:sz w:val="13"/>
          <w:szCs w:val="13"/>
          <w:color w:val="auto"/>
        </w:rPr>
        <w:t>. The provisions of Article Six of the Base Indenture are deleted and replaced in their entirety by the provisions of Article Seven of this Supplemental Indenture;</w:t>
      </w:r>
    </w:p>
    <w:p>
      <w:pPr>
        <w:spacing w:after="0" w:line="156" w:lineRule="exact"/>
        <w:rPr>
          <w:rFonts w:ascii="Arial" w:cs="Arial" w:eastAsia="Arial" w:hAnsi="Arial"/>
          <w:sz w:val="12"/>
          <w:szCs w:val="12"/>
          <w:color w:val="auto"/>
        </w:rPr>
      </w:pPr>
    </w:p>
    <w:p>
      <w:pPr>
        <w:ind w:left="420" w:right="440" w:hanging="266"/>
        <w:spacing w:after="0" w:line="27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Holders’ Lists and Reports by Trustee and Issuer</w:t>
      </w:r>
      <w:r>
        <w:rPr>
          <w:rFonts w:ascii="Arial" w:cs="Arial" w:eastAsia="Arial" w:hAnsi="Arial"/>
          <w:sz w:val="13"/>
          <w:szCs w:val="13"/>
          <w:color w:val="auto"/>
        </w:rPr>
        <w:t>. The provisions of Article Seven of the Base Indenture are deleted and replaced in their entirety by the provisions of Article Eight of this Supplemental</w:t>
      </w:r>
      <w:r>
        <w:rPr>
          <w:rFonts w:ascii="Arial" w:cs="Arial" w:eastAsia="Arial" w:hAnsi="Arial"/>
          <w:sz w:val="13"/>
          <w:szCs w:val="13"/>
          <w:i w:val="1"/>
          <w:iCs w:val="1"/>
          <w:color w:val="auto"/>
        </w:rPr>
        <w:t xml:space="preserve"> </w:t>
      </w:r>
      <w:r>
        <w:rPr>
          <w:rFonts w:ascii="Arial" w:cs="Arial" w:eastAsia="Arial" w:hAnsi="Arial"/>
          <w:sz w:val="13"/>
          <w:szCs w:val="13"/>
          <w:color w:val="auto"/>
        </w:rPr>
        <w:t>Indenture;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60"/>
          </w:cols>
          <w:pgMar w:left="220" w:top="435" w:right="219" w:bottom="1440" w:gutter="0" w:footer="0" w:header="0"/>
        </w:sectPr>
      </w:pPr>
    </w:p>
    <w:bookmarkStart w:id="16" w:name="page17"/>
    <w:bookmarkEnd w:id="16"/>
    <w:p>
      <w:pPr>
        <w:ind w:left="420" w:right="440" w:hanging="266"/>
        <w:spacing w:after="0" w:line="271"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i w:val="1"/>
          <w:iCs w:val="1"/>
          <w:color w:val="auto"/>
        </w:rPr>
        <w:t>Consolidation, Amalgamation, Merger and Sale</w:t>
      </w:r>
      <w:r>
        <w:rPr>
          <w:rFonts w:ascii="Arial" w:cs="Arial" w:eastAsia="Arial" w:hAnsi="Arial"/>
          <w:sz w:val="13"/>
          <w:szCs w:val="13"/>
          <w:color w:val="auto"/>
        </w:rPr>
        <w:t>. The provisions of Article Eight of the Base Indenture are deleted and replaced in their entirety by the provisions of Article Nine of this Supplemental</w:t>
      </w:r>
      <w:r>
        <w:rPr>
          <w:rFonts w:ascii="Arial" w:cs="Arial" w:eastAsia="Arial" w:hAnsi="Arial"/>
          <w:sz w:val="13"/>
          <w:szCs w:val="13"/>
          <w:i w:val="1"/>
          <w:iCs w:val="1"/>
          <w:color w:val="auto"/>
        </w:rPr>
        <w:t xml:space="preserve"> </w:t>
      </w:r>
      <w:r>
        <w:rPr>
          <w:rFonts w:ascii="Arial" w:cs="Arial" w:eastAsia="Arial" w:hAnsi="Arial"/>
          <w:sz w:val="13"/>
          <w:szCs w:val="13"/>
          <w:color w:val="auto"/>
        </w:rPr>
        <w:t>Indenture;</w:t>
      </w:r>
    </w:p>
    <w:p>
      <w:pPr>
        <w:spacing w:after="0" w:line="121" w:lineRule="exact"/>
        <w:rPr>
          <w:rFonts w:ascii="Arial" w:cs="Arial" w:eastAsia="Arial" w:hAnsi="Arial"/>
          <w:sz w:val="12"/>
          <w:szCs w:val="12"/>
          <w:color w:val="auto"/>
        </w:rPr>
      </w:pPr>
    </w:p>
    <w:p>
      <w:pPr>
        <w:ind w:left="420" w:hanging="266"/>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i w:val="1"/>
          <w:iCs w:val="1"/>
          <w:color w:val="auto"/>
        </w:rPr>
        <w:t>Supplemental Indentures</w:t>
      </w:r>
      <w:r>
        <w:rPr>
          <w:rFonts w:ascii="Arial" w:cs="Arial" w:eastAsia="Arial" w:hAnsi="Arial"/>
          <w:sz w:val="13"/>
          <w:szCs w:val="13"/>
          <w:color w:val="auto"/>
        </w:rPr>
        <w:t>. The provisions of Article Nine of the Base Indenture are deleted and replaced in their entirety by the provisions of Article Ten of this Supplemental Indenture;</w:t>
      </w:r>
    </w:p>
    <w:p>
      <w:pPr>
        <w:spacing w:after="0" w:line="156" w:lineRule="exact"/>
        <w:rPr>
          <w:rFonts w:ascii="Arial" w:cs="Arial" w:eastAsia="Arial" w:hAnsi="Arial"/>
          <w:sz w:val="12"/>
          <w:szCs w:val="12"/>
          <w:color w:val="auto"/>
        </w:rPr>
      </w:pPr>
    </w:p>
    <w:p>
      <w:pPr>
        <w:ind w:left="420" w:hanging="266"/>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i w:val="1"/>
          <w:iCs w:val="1"/>
          <w:color w:val="auto"/>
        </w:rPr>
        <w:t>Covenants</w:t>
      </w:r>
      <w:r>
        <w:rPr>
          <w:rFonts w:ascii="Arial" w:cs="Arial" w:eastAsia="Arial" w:hAnsi="Arial"/>
          <w:sz w:val="13"/>
          <w:szCs w:val="13"/>
          <w:color w:val="auto"/>
        </w:rPr>
        <w:t>. The provisions of Article Ten of the Base Indenture are deleted and replaced in their entirety by the provisions of Article Eleven of this Supplemental Indenture;</w:t>
      </w:r>
    </w:p>
    <w:p>
      <w:pPr>
        <w:spacing w:after="0" w:line="156" w:lineRule="exact"/>
        <w:rPr>
          <w:rFonts w:ascii="Arial" w:cs="Arial" w:eastAsia="Arial" w:hAnsi="Arial"/>
          <w:sz w:val="12"/>
          <w:szCs w:val="12"/>
          <w:color w:val="auto"/>
        </w:rPr>
      </w:pPr>
    </w:p>
    <w:p>
      <w:pPr>
        <w:ind w:left="420" w:hanging="266"/>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i w:val="1"/>
          <w:iCs w:val="1"/>
          <w:color w:val="auto"/>
        </w:rPr>
        <w:t>Redemption of Securities</w:t>
      </w:r>
      <w:r>
        <w:rPr>
          <w:rFonts w:ascii="Arial" w:cs="Arial" w:eastAsia="Arial" w:hAnsi="Arial"/>
          <w:sz w:val="13"/>
          <w:szCs w:val="13"/>
          <w:color w:val="auto"/>
        </w:rPr>
        <w:t>. The provisions of Article Eleven of the Base Indenture are deleted and replaced in their entirety by the provisions of Article Twelve of this Supplemental Indenture;</w:t>
      </w:r>
    </w:p>
    <w:p>
      <w:pPr>
        <w:spacing w:after="0" w:line="156" w:lineRule="exact"/>
        <w:rPr>
          <w:rFonts w:ascii="Arial" w:cs="Arial" w:eastAsia="Arial" w:hAnsi="Arial"/>
          <w:sz w:val="12"/>
          <w:szCs w:val="12"/>
          <w:color w:val="auto"/>
        </w:rPr>
      </w:pPr>
    </w:p>
    <w:p>
      <w:pPr>
        <w:ind w:left="420" w:hanging="266"/>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i w:val="1"/>
          <w:iCs w:val="1"/>
          <w:color w:val="auto"/>
        </w:rPr>
        <w:t>Sinking Funds</w:t>
      </w:r>
      <w:r>
        <w:rPr>
          <w:rFonts w:ascii="Arial" w:cs="Arial" w:eastAsia="Arial" w:hAnsi="Arial"/>
          <w:sz w:val="13"/>
          <w:szCs w:val="13"/>
          <w:color w:val="auto"/>
        </w:rPr>
        <w:t>. The provisions of Article Twelve of the Base Indenture are deleted and replaced in their entirety by the provisions of Article Thirteen of this Supplemental Indenture.</w:t>
      </w:r>
    </w:p>
    <w:p>
      <w:pPr>
        <w:spacing w:after="0" w:line="156" w:lineRule="exact"/>
        <w:rPr>
          <w:rFonts w:ascii="Arial" w:cs="Arial" w:eastAsia="Arial" w:hAnsi="Arial"/>
          <w:sz w:val="12"/>
          <w:szCs w:val="12"/>
          <w:color w:val="auto"/>
        </w:rPr>
      </w:pPr>
    </w:p>
    <w:p>
      <w:pPr>
        <w:ind w:left="420" w:hanging="266"/>
        <w:spacing w:after="0" w:line="271"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i w:val="1"/>
          <w:iCs w:val="1"/>
          <w:color w:val="auto"/>
        </w:rPr>
        <w:t>Defeasance and Covenant Defeasance</w:t>
      </w:r>
      <w:r>
        <w:rPr>
          <w:rFonts w:ascii="Arial" w:cs="Arial" w:eastAsia="Arial" w:hAnsi="Arial"/>
          <w:sz w:val="13"/>
          <w:szCs w:val="13"/>
          <w:color w:val="auto"/>
        </w:rPr>
        <w:t>. The provisions of Article Thirteen of the Base Indenture are deleted and replaced in their entirety by the provisions of Article Fourteen of this Supplemental Indenture;</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p>
    <w:p>
      <w:pPr>
        <w:spacing w:after="0" w:line="121" w:lineRule="exact"/>
        <w:rPr>
          <w:rFonts w:ascii="Arial" w:cs="Arial" w:eastAsia="Arial" w:hAnsi="Arial"/>
          <w:sz w:val="12"/>
          <w:szCs w:val="12"/>
          <w:color w:val="auto"/>
        </w:rPr>
      </w:pPr>
    </w:p>
    <w:p>
      <w:pPr>
        <w:ind w:left="420" w:hanging="266"/>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i w:val="1"/>
          <w:iCs w:val="1"/>
          <w:color w:val="auto"/>
        </w:rPr>
        <w:t>Guarantee of Securities</w:t>
      </w:r>
      <w:r>
        <w:rPr>
          <w:rFonts w:ascii="Arial" w:cs="Arial" w:eastAsia="Arial" w:hAnsi="Arial"/>
          <w:sz w:val="13"/>
          <w:szCs w:val="13"/>
          <w:color w:val="auto"/>
        </w:rPr>
        <w:t>. The provisions of Article Fourteen of the Base Indenture are deleted and replaced in their entirety by the provisions of Article Fifteen of this Supplemental Indenture.</w:t>
      </w:r>
    </w:p>
    <w:p>
      <w:pPr>
        <w:spacing w:after="0" w:line="157" w:lineRule="exact"/>
        <w:rPr>
          <w:sz w:val="20"/>
          <w:szCs w:val="20"/>
          <w:color w:val="auto"/>
        </w:rPr>
      </w:pPr>
    </w:p>
    <w:p>
      <w:pPr>
        <w:ind w:right="520" w:firstLine="432"/>
        <w:spacing w:after="0" w:line="271" w:lineRule="auto"/>
        <w:rPr>
          <w:sz w:val="20"/>
          <w:szCs w:val="20"/>
          <w:color w:val="auto"/>
        </w:rPr>
      </w:pPr>
      <w:r>
        <w:rPr>
          <w:rFonts w:ascii="Arial" w:cs="Arial" w:eastAsia="Arial" w:hAnsi="Arial"/>
          <w:sz w:val="13"/>
          <w:szCs w:val="13"/>
          <w:color w:val="auto"/>
        </w:rPr>
        <w:t>To the extent that the provisions of this Supplemental Indenture (including those referred to in clauses (a) through (n) above) conflict with any provision of the Base Indenture, the provisions of this Supplemental Indenture shall govern and be controlling, but solely with respect to the Notes (and any Notation of Guarantee endorsed thereon).</w:t>
      </w:r>
    </w:p>
    <w:p>
      <w:pPr>
        <w:spacing w:after="0" w:line="109"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ARTICLE TWO</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DEFINITIONS AND OTHER PROVISIONS</w:t>
      </w:r>
    </w:p>
    <w:p>
      <w:pPr>
        <w:spacing w:after="0" w:line="4"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OF GENERAL APPLICATION</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201.</w:t>
      </w:r>
      <w:r>
        <w:rPr>
          <w:sz w:val="20"/>
          <w:szCs w:val="20"/>
          <w:color w:val="auto"/>
        </w:rPr>
        <w:tab/>
      </w:r>
      <w:r>
        <w:rPr>
          <w:rFonts w:ascii="Arial" w:cs="Arial" w:eastAsia="Arial" w:hAnsi="Arial"/>
          <w:sz w:val="12"/>
          <w:szCs w:val="12"/>
          <w:u w:val="single" w:color="auto"/>
          <w:color w:val="auto"/>
        </w:rPr>
        <w:t>Definitions</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For all purposes of this Supplemental Indenture, except as otherwise expressly provided or unless the context otherwise requires:</w:t>
      </w:r>
    </w:p>
    <w:p>
      <w:pPr>
        <w:spacing w:after="0" w:line="148" w:lineRule="exact"/>
        <w:rPr>
          <w:sz w:val="20"/>
          <w:szCs w:val="20"/>
          <w:color w:val="auto"/>
        </w:rPr>
      </w:pPr>
    </w:p>
    <w:p>
      <w:pPr>
        <w:ind w:left="1140" w:hanging="283"/>
        <w:spacing w:after="0"/>
        <w:tabs>
          <w:tab w:leader="none" w:pos="1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terms defined in this Article have the meanings assigned to them in this Article and include the plural as well as the singular;</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all other terms used herein which are defined in the Trust Indenture Act, in the Exchange Act or in the Securities Act, either directly or by reference therein, have the meanings assigned to them</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therein;</w:t>
      </w:r>
    </w:p>
    <w:p>
      <w:pPr>
        <w:spacing w:after="0" w:line="138" w:lineRule="exact"/>
        <w:rPr>
          <w:sz w:val="20"/>
          <w:szCs w:val="20"/>
          <w:color w:val="auto"/>
        </w:rPr>
      </w:pPr>
    </w:p>
    <w:p>
      <w:pPr>
        <w:ind w:left="1140" w:hanging="283"/>
        <w:spacing w:after="0"/>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all accounting terms not otherwise defined herein have the meanings assigned to them in accordance with GAAP;</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unless the context otherwise requires, any reference to an “Article” or a “Section” refers to an Article or a Section, as the case may be, of this Supplemental Indenture;</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40"/>
          </w:cols>
          <w:pgMar w:left="220" w:top="588" w:right="339" w:bottom="1440" w:gutter="0" w:footer="0" w:header="0"/>
        </w:sectPr>
      </w:pPr>
    </w:p>
    <w:bookmarkStart w:id="17" w:name="page18"/>
    <w:bookmarkEnd w:id="17"/>
    <w:p>
      <w:pPr>
        <w:ind w:left="1140" w:hanging="283"/>
        <w:spacing w:after="0"/>
        <w:tabs>
          <w:tab w:leader="none" w:pos="1140" w:val="left"/>
        </w:tabs>
        <w:numPr>
          <w:ilvl w:val="0"/>
          <w:numId w:val="6"/>
        </w:numPr>
        <w:rPr>
          <w:rFonts w:ascii="Arial" w:cs="Arial" w:eastAsia="Arial" w:hAnsi="Arial"/>
          <w:sz w:val="13"/>
          <w:szCs w:val="13"/>
          <w:color w:val="auto"/>
        </w:rPr>
      </w:pPr>
      <w:r>
        <w:rPr>
          <w:rFonts w:ascii="Arial" w:cs="Arial" w:eastAsia="Arial" w:hAnsi="Arial"/>
          <w:sz w:val="13"/>
          <w:szCs w:val="13"/>
          <w:color w:val="auto"/>
        </w:rPr>
        <w:t>unless the context otherwise requires, the word “will” shall be interpreted to express a command;</w:t>
      </w:r>
    </w:p>
    <w:p>
      <w:pPr>
        <w:spacing w:after="0" w:line="147" w:lineRule="exact"/>
        <w:rPr>
          <w:rFonts w:ascii="Arial" w:cs="Arial" w:eastAsia="Arial" w:hAnsi="Arial"/>
          <w:sz w:val="13"/>
          <w:szCs w:val="13"/>
          <w:color w:val="auto"/>
        </w:rPr>
      </w:pPr>
    </w:p>
    <w:p>
      <w:pPr>
        <w:ind w:left="420" w:right="280" w:firstLine="437"/>
        <w:spacing w:after="0" w:line="271" w:lineRule="auto"/>
        <w:tabs>
          <w:tab w:leader="none" w:pos="1126"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references to sections of or rules under the Securities Act, Trust Indenture Act or Exchange Act will be deemed to include substitute, replacement of successor sections or rules that come into force from time to time; and</w:t>
      </w:r>
    </w:p>
    <w:p>
      <w:pPr>
        <w:spacing w:after="0" w:line="112" w:lineRule="exact"/>
        <w:rPr>
          <w:rFonts w:ascii="Arial" w:cs="Arial" w:eastAsia="Arial" w:hAnsi="Arial"/>
          <w:sz w:val="13"/>
          <w:szCs w:val="13"/>
          <w:color w:val="auto"/>
        </w:rPr>
      </w:pPr>
    </w:p>
    <w:p>
      <w:pPr>
        <w:ind w:left="420" w:right="260" w:firstLine="437"/>
        <w:spacing w:after="0" w:line="477" w:lineRule="auto"/>
        <w:tabs>
          <w:tab w:leader="none" w:pos="1126"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words “herein,” “hereof” and “hereunder” and other words of similar import refer to this Supplemental Indenture as a whole and not to any particular Article, Section or other subdivision. “</w:t>
      </w:r>
      <w:r>
        <w:rPr>
          <w:rFonts w:ascii="Arial" w:cs="Arial" w:eastAsia="Arial" w:hAnsi="Arial"/>
          <w:sz w:val="13"/>
          <w:szCs w:val="13"/>
          <w:i w:val="1"/>
          <w:iCs w:val="1"/>
          <w:color w:val="auto"/>
        </w:rPr>
        <w:t>acceleration declaration</w:t>
      </w:r>
      <w:r>
        <w:rPr>
          <w:rFonts w:ascii="Arial" w:cs="Arial" w:eastAsia="Arial" w:hAnsi="Arial"/>
          <w:sz w:val="13"/>
          <w:szCs w:val="13"/>
          <w:color w:val="auto"/>
        </w:rPr>
        <w:t>” has the meaning specified in Section 602.</w:t>
      </w:r>
    </w:p>
    <w:p>
      <w:pPr>
        <w:ind w:firstLine="432"/>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Acquired Indebtedness</w:t>
      </w:r>
      <w:r>
        <w:rPr>
          <w:rFonts w:ascii="Arial" w:cs="Arial" w:eastAsia="Arial" w:hAnsi="Arial"/>
          <w:sz w:val="12"/>
          <w:szCs w:val="12"/>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Act</w:t>
      </w:r>
      <w:r>
        <w:rPr>
          <w:rFonts w:ascii="Arial" w:cs="Arial" w:eastAsia="Arial" w:hAnsi="Arial"/>
          <w:sz w:val="13"/>
          <w:szCs w:val="13"/>
          <w:color w:val="auto"/>
        </w:rPr>
        <w:t>,” when used with respect to any Holder, has the meaning specified in Section 204.</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Additional Interest</w:t>
      </w:r>
      <w:r>
        <w:rPr>
          <w:rFonts w:ascii="Arial" w:cs="Arial" w:eastAsia="Arial" w:hAnsi="Arial"/>
          <w:sz w:val="12"/>
          <w:szCs w:val="12"/>
          <w:color w:val="auto"/>
        </w:rPr>
        <w:t>” means the interest payable as a consequence of the failure to effectuate in a timely manner the exchange offer or shelf registration procedures set forth in a Registration Rights Agreement.</w:t>
      </w:r>
    </w:p>
    <w:p>
      <w:pPr>
        <w:spacing w:after="0" w:line="159" w:lineRule="exact"/>
        <w:rPr>
          <w:sz w:val="20"/>
          <w:szCs w:val="20"/>
          <w:color w:val="auto"/>
        </w:rPr>
      </w:pPr>
    </w:p>
    <w:p>
      <w:pPr>
        <w:ind w:right="4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Additional Notes</w:t>
      </w:r>
      <w:r>
        <w:rPr>
          <w:rFonts w:ascii="Arial" w:cs="Arial" w:eastAsia="Arial" w:hAnsi="Arial"/>
          <w:sz w:val="13"/>
          <w:szCs w:val="13"/>
          <w:color w:val="auto"/>
        </w:rPr>
        <w:t>” has the meaning indicated in the recitals to this Supplemental Indenture. Any Additional Notes will be part of the same issue as the Initial Notes and any Exchange Notes and will be treated as one series with the Initial Notes and any Exchange Notes, including for purposes of voting, redemptions and offers to purchase.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Additional Restricted Notes</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Affiliate</w:t>
      </w:r>
      <w:r>
        <w:rPr>
          <w:rFonts w:ascii="Arial" w:cs="Arial" w:eastAsia="Arial" w:hAnsi="Arial"/>
          <w:sz w:val="13"/>
          <w:szCs w:val="13"/>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3"/>
          <w:szCs w:val="13"/>
          <w:i w:val="1"/>
          <w:iCs w:val="1"/>
          <w:color w:val="auto"/>
        </w:rPr>
        <w:t>control</w:t>
      </w:r>
      <w:r>
        <w:rPr>
          <w:rFonts w:ascii="Arial" w:cs="Arial" w:eastAsia="Arial" w:hAnsi="Arial"/>
          <w:sz w:val="13"/>
          <w:szCs w:val="13"/>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3"/>
          <w:szCs w:val="13"/>
          <w:i w:val="1"/>
          <w:iCs w:val="1"/>
          <w:color w:val="auto"/>
        </w:rPr>
        <w:t>controlling</w:t>
      </w:r>
      <w:r>
        <w:rPr>
          <w:rFonts w:ascii="Arial" w:cs="Arial" w:eastAsia="Arial" w:hAnsi="Arial"/>
          <w:sz w:val="13"/>
          <w:szCs w:val="13"/>
          <w:color w:val="auto"/>
        </w:rPr>
        <w:t>” and “</w:t>
      </w:r>
      <w:r>
        <w:rPr>
          <w:rFonts w:ascii="Arial" w:cs="Arial" w:eastAsia="Arial" w:hAnsi="Arial"/>
          <w:sz w:val="13"/>
          <w:szCs w:val="13"/>
          <w:i w:val="1"/>
          <w:iCs w:val="1"/>
          <w:color w:val="auto"/>
        </w:rPr>
        <w:t>controlled</w:t>
      </w:r>
      <w:r>
        <w:rPr>
          <w:rFonts w:ascii="Arial" w:cs="Arial" w:eastAsia="Arial" w:hAnsi="Arial"/>
          <w:sz w:val="13"/>
          <w:szCs w:val="13"/>
          <w:color w:val="auto"/>
        </w:rPr>
        <w:t>” have meanings correlative to the foregoing.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Affiliate Transaction</w:t>
      </w:r>
      <w:r>
        <w:rPr>
          <w:rFonts w:ascii="Arial" w:cs="Arial" w:eastAsia="Arial" w:hAnsi="Arial"/>
          <w:sz w:val="13"/>
          <w:szCs w:val="13"/>
          <w:color w:val="auto"/>
        </w:rPr>
        <w:t>” has the meaning specified in Section 1113.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Agent Members</w:t>
      </w:r>
      <w:r>
        <w:rPr>
          <w:rFonts w:ascii="Arial" w:cs="Arial" w:eastAsia="Arial" w:hAnsi="Arial"/>
          <w:sz w:val="13"/>
          <w:szCs w:val="13"/>
          <w:color w:val="auto"/>
        </w:rPr>
        <w:t>” has the meaning specified in Section 405.</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amend</w:t>
      </w:r>
      <w:r>
        <w:rPr>
          <w:rFonts w:ascii="Arial" w:cs="Arial" w:eastAsia="Arial" w:hAnsi="Arial"/>
          <w:sz w:val="13"/>
          <w:szCs w:val="13"/>
          <w:color w:val="auto"/>
        </w:rPr>
        <w:t>” means to amend, supplement, restate, amend and restate or otherwise modify, including successively, and “amendment” shall have a correlative meaning.</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60"/>
          </w:cols>
          <w:pgMar w:left="220" w:top="435" w:right="219" w:bottom="1440" w:gutter="0" w:footer="0" w:header="0"/>
        </w:sectPr>
      </w:pPr>
    </w:p>
    <w:bookmarkStart w:id="18" w:name="page19"/>
    <w:bookmarkEnd w:id="18"/>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Applicable Banking Laws</w:t>
      </w:r>
      <w:r>
        <w:rPr>
          <w:rFonts w:ascii="Arial" w:cs="Arial" w:eastAsia="Arial" w:hAnsi="Arial"/>
          <w:sz w:val="13"/>
          <w:szCs w:val="13"/>
          <w:color w:val="auto"/>
        </w:rPr>
        <w:t>” has the meaning specified in Section 216.</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Asset Acquisition</w:t>
      </w:r>
      <w:r>
        <w:rPr>
          <w:rFonts w:ascii="Arial" w:cs="Arial" w:eastAsia="Arial" w:hAnsi="Arial"/>
          <w:sz w:val="13"/>
          <w:szCs w:val="13"/>
          <w:color w:val="auto"/>
        </w:rPr>
        <w:t>” means:</w:t>
      </w:r>
    </w:p>
    <w:p>
      <w:pPr>
        <w:spacing w:after="0" w:line="148" w:lineRule="exact"/>
        <w:rPr>
          <w:sz w:val="20"/>
          <w:szCs w:val="20"/>
          <w:color w:val="auto"/>
        </w:rPr>
      </w:pPr>
    </w:p>
    <w:p>
      <w:pPr>
        <w:ind w:left="420" w:right="460" w:firstLine="437"/>
        <w:spacing w:after="0" w:line="271" w:lineRule="auto"/>
        <w:tabs>
          <w:tab w:leader="none" w:pos="1126" w:val="left"/>
        </w:tabs>
        <w:numPr>
          <w:ilvl w:val="0"/>
          <w:numId w:val="7"/>
        </w:numPr>
        <w:rPr>
          <w:rFonts w:ascii="Arial" w:cs="Arial" w:eastAsia="Arial" w:hAnsi="Arial"/>
          <w:sz w:val="13"/>
          <w:szCs w:val="13"/>
          <w:color w:val="auto"/>
        </w:rPr>
      </w:pPr>
      <w:r>
        <w:rPr>
          <w:rFonts w:ascii="Arial" w:cs="Arial" w:eastAsia="Arial" w:hAnsi="Arial"/>
          <w:sz w:val="13"/>
          <w:szCs w:val="13"/>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12" w:lineRule="exact"/>
        <w:rPr>
          <w:rFonts w:ascii="Arial" w:cs="Arial" w:eastAsia="Arial" w:hAnsi="Arial"/>
          <w:sz w:val="13"/>
          <w:szCs w:val="13"/>
          <w:color w:val="auto"/>
        </w:rPr>
      </w:pPr>
    </w:p>
    <w:p>
      <w:pPr>
        <w:ind w:left="420" w:right="200" w:firstLine="437"/>
        <w:spacing w:after="0" w:line="271" w:lineRule="auto"/>
        <w:tabs>
          <w:tab w:leader="none" w:pos="1126"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13" w:lineRule="exact"/>
        <w:rPr>
          <w:sz w:val="20"/>
          <w:szCs w:val="20"/>
          <w:color w:val="auto"/>
        </w:rPr>
      </w:pPr>
    </w:p>
    <w:p>
      <w:pPr>
        <w:ind w:right="200" w:firstLine="432"/>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Attributable Indebtedness</w:t>
      </w:r>
      <w:r>
        <w:rPr>
          <w:rFonts w:ascii="Arial" w:cs="Arial" w:eastAsia="Arial" w:hAnsi="Arial"/>
          <w:sz w:val="13"/>
          <w:szCs w:val="13"/>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3"/>
          <w:szCs w:val="13"/>
          <w:i w:val="1"/>
          <w:iCs w:val="1"/>
          <w:color w:val="auto"/>
        </w:rPr>
        <w:t>net rental</w:t>
      </w:r>
      <w:r>
        <w:rPr>
          <w:rFonts w:ascii="Arial" w:cs="Arial" w:eastAsia="Arial" w:hAnsi="Arial"/>
          <w:sz w:val="13"/>
          <w:szCs w:val="13"/>
          <w:color w:val="auto"/>
        </w:rPr>
        <w:t xml:space="preserve"> </w:t>
      </w:r>
      <w:r>
        <w:rPr>
          <w:rFonts w:ascii="Arial" w:cs="Arial" w:eastAsia="Arial" w:hAnsi="Arial"/>
          <w:sz w:val="13"/>
          <w:szCs w:val="13"/>
          <w:i w:val="1"/>
          <w:iCs w:val="1"/>
          <w:color w:val="auto"/>
        </w:rPr>
        <w:t>payments</w:t>
      </w:r>
      <w:r>
        <w:rPr>
          <w:rFonts w:ascii="Arial" w:cs="Arial" w:eastAsia="Arial" w:hAnsi="Arial"/>
          <w:sz w:val="13"/>
          <w:szCs w:val="13"/>
          <w:color w:val="auto"/>
        </w:rPr>
        <w:t>” under any lease for any period means the sum of the rental payments required to be paid in such period by the lessee thereunder, not including, however, any amounts required to be paid by such lessee</w:t>
      </w:r>
      <w:r>
        <w:rPr>
          <w:rFonts w:ascii="Arial" w:cs="Arial" w:eastAsia="Arial" w:hAnsi="Arial"/>
          <w:sz w:val="13"/>
          <w:szCs w:val="13"/>
          <w:i w:val="1"/>
          <w:iCs w:val="1"/>
          <w:color w:val="auto"/>
        </w:rPr>
        <w:t xml:space="preserve"> </w:t>
      </w:r>
      <w:r>
        <w:rPr>
          <w:rFonts w:ascii="Arial" w:cs="Arial" w:eastAsia="Arial" w:hAnsi="Arial"/>
          <w:sz w:val="13"/>
          <w:szCs w:val="13"/>
          <w:color w:val="auto"/>
        </w:rPr>
        <w:t>(whether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Authenticating Agent</w:t>
      </w:r>
      <w:r>
        <w:rPr>
          <w:rFonts w:ascii="Arial" w:cs="Arial" w:eastAsia="Arial" w:hAnsi="Arial"/>
          <w:sz w:val="13"/>
          <w:szCs w:val="13"/>
          <w:color w:val="auto"/>
        </w:rPr>
        <w:t>” means any Person authorized by the Trustee pursuant to Section 714 to act on behalf of the Trustee to authenticate Notes.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Bankruptcy Law</w:t>
      </w:r>
      <w:r>
        <w:rPr>
          <w:rFonts w:ascii="Arial" w:cs="Arial" w:eastAsia="Arial" w:hAnsi="Arial"/>
          <w:sz w:val="13"/>
          <w:szCs w:val="13"/>
          <w:color w:val="auto"/>
        </w:rPr>
        <w:t>” means Title 11, United States Code, or any similar U.S. federal or state of non-U.S. law for relief of creditors.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Base Indenture</w:t>
      </w:r>
      <w:r>
        <w:rPr>
          <w:rFonts w:ascii="Arial" w:cs="Arial" w:eastAsia="Arial" w:hAnsi="Arial"/>
          <w:sz w:val="13"/>
          <w:szCs w:val="13"/>
          <w:color w:val="auto"/>
        </w:rPr>
        <w:t>” has the meaning stated in the first recital of this Supplemental Indenture.</w:t>
      </w:r>
    </w:p>
    <w:p>
      <w:pPr>
        <w:spacing w:after="0" w:line="148" w:lineRule="exact"/>
        <w:rPr>
          <w:sz w:val="20"/>
          <w:szCs w:val="20"/>
          <w:color w:val="auto"/>
        </w:rPr>
      </w:pPr>
    </w:p>
    <w:p>
      <w:pPr>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Board of Directors</w:t>
      </w:r>
      <w:r>
        <w:rPr>
          <w:rFonts w:ascii="Arial" w:cs="Arial" w:eastAsia="Arial" w:hAnsi="Arial"/>
          <w:sz w:val="13"/>
          <w:szCs w:val="13"/>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13" w:lineRule="exact"/>
        <w:rPr>
          <w:sz w:val="20"/>
          <w:szCs w:val="20"/>
          <w:color w:val="auto"/>
        </w:rPr>
      </w:pPr>
    </w:p>
    <w:p>
      <w:pPr>
        <w:ind w:firstLine="432"/>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Board Resolution</w:t>
      </w:r>
      <w:r>
        <w:rPr>
          <w:rFonts w:ascii="Arial" w:cs="Arial" w:eastAsia="Arial" w:hAnsi="Arial"/>
          <w:sz w:val="12"/>
          <w:szCs w:val="12"/>
          <w:color w:val="auto"/>
        </w:rPr>
        <w:t>” means a copy of a resolution certified by the Secretary or an Assistant Secretary of the Issuer or a Guarantor, the principal financial officer of the Issuer or such Guarantor, any other authorized officer of the Issuer or such Guarantor, or a person duly authorized by any of them, in each case as applicable, to have been duly adopted by the Board of Directors of the Issuer or such Guarantor, as applicable, and to be in full force and effect on the date of such certification, and delivered to the Trustee. Where any provision of the Indenture refers to action to be taken pursuant to a Board Resolution, such action may be taken by any committee, officer or employee of the Issuer or the Guarantor, as applicable, authorized to take such action by its Board of Directors as evidenced by a Board Resolution.</w:t>
      </w:r>
    </w:p>
    <w:p>
      <w:pPr>
        <w:spacing w:after="0" w:line="108" w:lineRule="exact"/>
        <w:rPr>
          <w:sz w:val="20"/>
          <w:szCs w:val="20"/>
          <w:color w:val="auto"/>
        </w:rPr>
      </w:pPr>
    </w:p>
    <w:p>
      <w:pPr>
        <w:ind w:right="38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Business Day</w:t>
      </w:r>
      <w:r>
        <w:rPr>
          <w:rFonts w:ascii="Arial" w:cs="Arial" w:eastAsia="Arial" w:hAnsi="Arial"/>
          <w:sz w:val="13"/>
          <w:szCs w:val="13"/>
          <w:color w:val="auto"/>
        </w:rPr>
        <w:t>” means each Monday, Tuesday, Wednesday, Thursday and Friday which is not a day on which banking institutions in the City and State of New York are authorized or obligated by law, executive order or regulation to close.</w:t>
      </w: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60"/>
          </w:cols>
          <w:pgMar w:left="220" w:top="435" w:right="319" w:bottom="1440" w:gutter="0" w:footer="0" w:header="0"/>
        </w:sectPr>
      </w:pPr>
    </w:p>
    <w:bookmarkStart w:id="19" w:name="page20"/>
    <w:bookmarkEnd w:id="19"/>
    <w:p>
      <w:pPr>
        <w:ind w:right="50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Capitalized Lease</w:t>
      </w:r>
      <w:r>
        <w:rPr>
          <w:rFonts w:ascii="Arial" w:cs="Arial" w:eastAsia="Arial" w:hAnsi="Arial"/>
          <w:sz w:val="13"/>
          <w:szCs w:val="13"/>
          <w:color w:val="auto"/>
        </w:rPr>
        <w:t>” means a lease required to be capitalized for financial reporting purposes in accordance with GAAP. Notwithstanding the foregoing, any lease that would have been classified as an operating lease pursuant to GAAP as in effect on the Issue Date shall be deemed not to be a Capitalized Lease.</w:t>
      </w:r>
    </w:p>
    <w:p>
      <w:pPr>
        <w:spacing w:after="0" w:line="113" w:lineRule="exact"/>
        <w:rPr>
          <w:sz w:val="20"/>
          <w:szCs w:val="20"/>
          <w:color w:val="auto"/>
        </w:rPr>
      </w:pPr>
    </w:p>
    <w:p>
      <w:pPr>
        <w:jc w:val="both"/>
        <w:ind w:right="4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Capitalized Lease Obligations</w:t>
      </w:r>
      <w:r>
        <w:rPr>
          <w:rFonts w:ascii="Arial" w:cs="Arial" w:eastAsia="Arial" w:hAnsi="Arial"/>
          <w:sz w:val="13"/>
          <w:szCs w:val="13"/>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Cash Equivalents</w:t>
      </w:r>
      <w:r>
        <w:rPr>
          <w:rFonts w:ascii="Arial" w:cs="Arial" w:eastAsia="Arial" w:hAnsi="Arial"/>
          <w:sz w:val="13"/>
          <w:szCs w:val="13"/>
          <w:color w:val="auto"/>
        </w:rPr>
        <w:t>” means:</w:t>
      </w:r>
    </w:p>
    <w:p>
      <w:pPr>
        <w:spacing w:after="0" w:line="148" w:lineRule="exact"/>
        <w:rPr>
          <w:sz w:val="20"/>
          <w:szCs w:val="20"/>
          <w:color w:val="auto"/>
        </w:rPr>
      </w:pPr>
    </w:p>
    <w:p>
      <w:pPr>
        <w:ind w:left="420" w:right="100" w:firstLine="437"/>
        <w:spacing w:after="0" w:line="271" w:lineRule="auto"/>
        <w:tabs>
          <w:tab w:leader="none" w:pos="1126" w:val="left"/>
        </w:tabs>
        <w:numPr>
          <w:ilvl w:val="0"/>
          <w:numId w:val="8"/>
        </w:numPr>
        <w:rPr>
          <w:rFonts w:ascii="Arial" w:cs="Arial" w:eastAsia="Arial" w:hAnsi="Arial"/>
          <w:sz w:val="13"/>
          <w:szCs w:val="13"/>
          <w:color w:val="auto"/>
        </w:rPr>
      </w:pPr>
      <w:r>
        <w:rPr>
          <w:rFonts w:ascii="Arial" w:cs="Arial" w:eastAsia="Arial" w:hAnsi="Arial"/>
          <w:sz w:val="13"/>
          <w:szCs w:val="13"/>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investments in commercial paper maturing within 270 days from the date of acquisition thereof and having, at such date of acquisition, the highest credit rating obtained from S&amp;P or from</w:t>
      </w:r>
    </w:p>
    <w:p>
      <w:pPr>
        <w:spacing w:after="0" w:line="25"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Moody’s;</w:t>
      </w:r>
    </w:p>
    <w:p>
      <w:pPr>
        <w:spacing w:after="0" w:line="137" w:lineRule="exact"/>
        <w:rPr>
          <w:rFonts w:ascii="Arial" w:cs="Arial" w:eastAsia="Arial" w:hAnsi="Arial"/>
          <w:sz w:val="12"/>
          <w:szCs w:val="12"/>
          <w:color w:val="auto"/>
        </w:rPr>
      </w:pPr>
    </w:p>
    <w:p>
      <w:pPr>
        <w:ind w:left="420" w:right="240" w:firstLine="437"/>
        <w:spacing w:after="0" w:line="258" w:lineRule="auto"/>
        <w:tabs>
          <w:tab w:leader="none" w:pos="1126" w:val="left"/>
        </w:tabs>
        <w:numPr>
          <w:ilvl w:val="0"/>
          <w:numId w:val="8"/>
        </w:numPr>
        <w:rPr>
          <w:rFonts w:ascii="Arial" w:cs="Arial" w:eastAsia="Arial" w:hAnsi="Arial"/>
          <w:sz w:val="13"/>
          <w:szCs w:val="13"/>
          <w:color w:val="auto"/>
        </w:rPr>
      </w:pPr>
      <w:r>
        <w:rPr>
          <w:rFonts w:ascii="Arial" w:cs="Arial" w:eastAsia="Arial" w:hAnsi="Arial"/>
          <w:sz w:val="13"/>
          <w:szCs w:val="13"/>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121" w:lineRule="exact"/>
        <w:rPr>
          <w:rFonts w:ascii="Arial" w:cs="Arial" w:eastAsia="Arial" w:hAnsi="Arial"/>
          <w:sz w:val="13"/>
          <w:szCs w:val="13"/>
          <w:color w:val="auto"/>
        </w:rPr>
      </w:pPr>
    </w:p>
    <w:p>
      <w:pPr>
        <w:ind w:left="420" w:right="360" w:firstLine="437"/>
        <w:spacing w:after="0" w:line="271" w:lineRule="auto"/>
        <w:tabs>
          <w:tab w:leader="none" w:pos="1126" w:val="left"/>
        </w:tabs>
        <w:numPr>
          <w:ilvl w:val="0"/>
          <w:numId w:val="8"/>
        </w:numPr>
        <w:rPr>
          <w:rFonts w:ascii="Arial" w:cs="Arial" w:eastAsia="Arial" w:hAnsi="Arial"/>
          <w:sz w:val="13"/>
          <w:szCs w:val="13"/>
          <w:color w:val="auto"/>
        </w:rPr>
      </w:pPr>
      <w:r>
        <w:rPr>
          <w:rFonts w:ascii="Arial" w:cs="Arial" w:eastAsia="Arial" w:hAnsi="Arial"/>
          <w:sz w:val="13"/>
          <w:szCs w:val="13"/>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112" w:lineRule="exact"/>
        <w:rPr>
          <w:rFonts w:ascii="Arial" w:cs="Arial" w:eastAsia="Arial" w:hAnsi="Arial"/>
          <w:sz w:val="13"/>
          <w:szCs w:val="13"/>
          <w:color w:val="auto"/>
        </w:rPr>
      </w:pPr>
    </w:p>
    <w:p>
      <w:pPr>
        <w:ind w:left="420" w:right="20" w:firstLine="437"/>
        <w:spacing w:after="0" w:line="271" w:lineRule="auto"/>
        <w:tabs>
          <w:tab w:leader="none" w:pos="1126" w:val="left"/>
        </w:tabs>
        <w:numPr>
          <w:ilvl w:val="0"/>
          <w:numId w:val="8"/>
        </w:numPr>
        <w:rPr>
          <w:rFonts w:ascii="Arial" w:cs="Arial" w:eastAsia="Arial" w:hAnsi="Arial"/>
          <w:sz w:val="13"/>
          <w:szCs w:val="13"/>
          <w:color w:val="auto"/>
        </w:rPr>
      </w:pPr>
      <w:r>
        <w:rPr>
          <w:rFonts w:ascii="Arial" w:cs="Arial" w:eastAsia="Arial" w:hAnsi="Arial"/>
          <w:sz w:val="13"/>
          <w:szCs w:val="13"/>
          <w:color w:val="auto"/>
        </w:rPr>
        <w:t>money market funds that (i) comply with the criteria set forth in SEC Rule 2a-7 under the Investment Company Act, (ii) are rated AAA by S&amp;P and Aaa by Moody’s and (iii) have portfolio assets of at least $5.0 billion; and</w:t>
      </w:r>
    </w:p>
    <w:p>
      <w:pPr>
        <w:spacing w:after="0" w:line="112" w:lineRule="exact"/>
        <w:rPr>
          <w:rFonts w:ascii="Arial" w:cs="Arial" w:eastAsia="Arial" w:hAnsi="Arial"/>
          <w:sz w:val="13"/>
          <w:szCs w:val="13"/>
          <w:color w:val="auto"/>
        </w:rPr>
      </w:pPr>
    </w:p>
    <w:p>
      <w:pPr>
        <w:ind w:left="420" w:right="120" w:firstLine="437"/>
        <w:spacing w:after="0" w:line="271" w:lineRule="auto"/>
        <w:tabs>
          <w:tab w:leader="none" w:pos="1126"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the case of any Foreign Restricted Subsidiary, other investments that are analogous to the items specified in clauses (1) through (5) above, are of comparable credit quality and are customarily used by companies in the jurisdiction of such Foreign Restricted Subsidiary for cash management purposes.</w:t>
      </w:r>
    </w:p>
    <w:p>
      <w:pPr>
        <w:spacing w:after="0" w:line="113"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Change of Control</w:t>
      </w:r>
      <w:r>
        <w:rPr>
          <w:rFonts w:ascii="Arial" w:cs="Arial" w:eastAsia="Arial" w:hAnsi="Arial"/>
          <w:sz w:val="13"/>
          <w:szCs w:val="13"/>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 any merger, amalgamation, consolidation, plan or scheme of arrangement, exchange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0"/>
          </w:cols>
          <w:pgMar w:left="220" w:top="435" w:right="219" w:bottom="1440" w:gutter="0" w:footer="0" w:header="0"/>
        </w:sectPr>
      </w:pPr>
    </w:p>
    <w:bookmarkStart w:id="20" w:name="page21"/>
    <w:bookmarkEnd w:id="20"/>
    <w:p>
      <w:pPr>
        <w:ind w:right="180"/>
        <w:spacing w:after="0" w:line="258" w:lineRule="auto"/>
        <w:rPr>
          <w:sz w:val="20"/>
          <w:szCs w:val="20"/>
          <w:color w:val="auto"/>
        </w:rPr>
      </w:pPr>
      <w:r>
        <w:rPr>
          <w:rFonts w:ascii="Arial" w:cs="Arial" w:eastAsia="Arial" w:hAnsi="Arial"/>
          <w:sz w:val="13"/>
          <w:szCs w:val="13"/>
          <w:color w:val="auto"/>
        </w:rPr>
        <w:t>offer, business combination or similar transaction) the result of which is that any person (as such term is used in Section 13(d) of the Exchange Act)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Company’s Board of Directors are not Continuing Directors.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Change of Control Offer</w:t>
      </w:r>
      <w:r>
        <w:rPr>
          <w:rFonts w:ascii="Arial" w:cs="Arial" w:eastAsia="Arial" w:hAnsi="Arial"/>
          <w:sz w:val="13"/>
          <w:szCs w:val="13"/>
          <w:color w:val="auto"/>
        </w:rPr>
        <w:t>” has the meaning specified in Section 1107.</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Change of Control Payment</w:t>
      </w:r>
      <w:r>
        <w:rPr>
          <w:rFonts w:ascii="Arial" w:cs="Arial" w:eastAsia="Arial" w:hAnsi="Arial"/>
          <w:sz w:val="13"/>
          <w:szCs w:val="13"/>
          <w:color w:val="auto"/>
        </w:rPr>
        <w:t>” has the meaning specified in Section 1107.</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Change of Control Payment Date</w:t>
      </w:r>
      <w:r>
        <w:rPr>
          <w:rFonts w:ascii="Arial" w:cs="Arial" w:eastAsia="Arial" w:hAnsi="Arial"/>
          <w:sz w:val="13"/>
          <w:szCs w:val="13"/>
          <w:color w:val="auto"/>
        </w:rPr>
        <w:t>” has the meaning specified in Section 1107.</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Change of Control Triggering Event</w:t>
      </w:r>
      <w:r>
        <w:rPr>
          <w:rFonts w:ascii="Arial" w:cs="Arial" w:eastAsia="Arial" w:hAnsi="Arial"/>
          <w:sz w:val="13"/>
          <w:szCs w:val="13"/>
          <w:color w:val="auto"/>
        </w:rPr>
        <w:t>” means the occurrence of both a Change of Control and a Rating Event.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Clearstream</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Common Stock</w:t>
      </w:r>
      <w:r>
        <w:rPr>
          <w:rFonts w:ascii="Arial" w:cs="Arial" w:eastAsia="Arial" w:hAnsi="Arial"/>
          <w:sz w:val="13"/>
          <w:szCs w:val="13"/>
          <w:color w:val="auto"/>
        </w:rPr>
        <w:t>” means with respect to any Person, any and all shares, interest or other participations in, and other equivalents (however designated and whether voting or nonvoting) of such Person’s common stock or common shares whether or not outstanding on the Issue Date, and includes, without limitation, all series and classes of such common stock.</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Comparable Treasury Issue</w:t>
      </w:r>
      <w:r>
        <w:rPr>
          <w:rFonts w:ascii="Arial" w:cs="Arial" w:eastAsia="Arial" w:hAnsi="Arial"/>
          <w:sz w:val="13"/>
          <w:szCs w:val="13"/>
          <w:color w:val="auto"/>
        </w:rPr>
        <w:t>” has the meaning specified in Section 1203.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Comparable Treasury Price</w:t>
      </w:r>
      <w:r>
        <w:rPr>
          <w:rFonts w:ascii="Arial" w:cs="Arial" w:eastAsia="Arial" w:hAnsi="Arial"/>
          <w:sz w:val="13"/>
          <w:szCs w:val="13"/>
          <w:color w:val="auto"/>
        </w:rPr>
        <w:t>” has the meaning specified in Section 1203.</w:t>
      </w:r>
    </w:p>
    <w:p>
      <w:pPr>
        <w:spacing w:after="0" w:line="148" w:lineRule="exact"/>
        <w:rPr>
          <w:sz w:val="20"/>
          <w:szCs w:val="20"/>
          <w:color w:val="auto"/>
        </w:rPr>
      </w:pPr>
    </w:p>
    <w:p>
      <w:pPr>
        <w:ind w:right="16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Amortization Expense</w:t>
      </w:r>
      <w:r>
        <w:rPr>
          <w:rFonts w:ascii="Arial" w:cs="Arial" w:eastAsia="Arial" w:hAnsi="Arial"/>
          <w:sz w:val="13"/>
          <w:szCs w:val="13"/>
          <w:color w:val="auto"/>
        </w:rPr>
        <w:t>” for any period means the amortization expense of the relevant Person and the Restricted Subsidiaries for such period, determined on a consolidated basis in accordance with GAAP.</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Cash Flow</w:t>
      </w:r>
      <w:r>
        <w:rPr>
          <w:rFonts w:ascii="Arial" w:cs="Arial" w:eastAsia="Arial" w:hAnsi="Arial"/>
          <w:sz w:val="13"/>
          <w:szCs w:val="13"/>
          <w:color w:val="auto"/>
        </w:rPr>
        <w:t>” for any period means, with respect to any specified Person and its Restricted Subsidiaries, without duplication, the sum of the amounts for such period of:</w:t>
      </w:r>
    </w:p>
    <w:p>
      <w:pPr>
        <w:spacing w:after="0" w:line="148" w:lineRule="exact"/>
        <w:rPr>
          <w:sz w:val="20"/>
          <w:szCs w:val="20"/>
          <w:color w:val="auto"/>
        </w:rPr>
      </w:pPr>
    </w:p>
    <w:p>
      <w:pPr>
        <w:ind w:left="1140" w:hanging="283"/>
        <w:spacing w:after="0"/>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Consolidated Net Income, plus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each case only to the extent deducted in determining Consolidated Net Income,</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9"/>
        </w:numPr>
        <w:rPr>
          <w:rFonts w:ascii="Arial" w:cs="Arial" w:eastAsia="Arial" w:hAnsi="Arial"/>
          <w:sz w:val="13"/>
          <w:szCs w:val="13"/>
          <w:color w:val="auto"/>
        </w:rPr>
      </w:pPr>
      <w:r>
        <w:rPr>
          <w:rFonts w:ascii="Arial" w:cs="Arial" w:eastAsia="Arial" w:hAnsi="Arial"/>
          <w:sz w:val="13"/>
          <w:szCs w:val="13"/>
          <w:color w:val="auto"/>
        </w:rPr>
        <w:t>Consolidated Income Tax Expense,</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9"/>
        </w:numPr>
        <w:rPr>
          <w:rFonts w:ascii="Arial" w:cs="Arial" w:eastAsia="Arial" w:hAnsi="Arial"/>
          <w:sz w:val="13"/>
          <w:szCs w:val="13"/>
          <w:color w:val="auto"/>
        </w:rPr>
      </w:pPr>
      <w:r>
        <w:rPr>
          <w:rFonts w:ascii="Arial" w:cs="Arial" w:eastAsia="Arial" w:hAnsi="Arial"/>
          <w:sz w:val="13"/>
          <w:szCs w:val="13"/>
          <w:color w:val="auto"/>
        </w:rPr>
        <w:t>Consolidated Amortization Expense,</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9"/>
        </w:numPr>
        <w:rPr>
          <w:rFonts w:ascii="Arial" w:cs="Arial" w:eastAsia="Arial" w:hAnsi="Arial"/>
          <w:sz w:val="13"/>
          <w:szCs w:val="13"/>
          <w:color w:val="auto"/>
        </w:rPr>
      </w:pPr>
      <w:r>
        <w:rPr>
          <w:rFonts w:ascii="Arial" w:cs="Arial" w:eastAsia="Arial" w:hAnsi="Arial"/>
          <w:sz w:val="13"/>
          <w:szCs w:val="13"/>
          <w:color w:val="auto"/>
        </w:rPr>
        <w:t>Consolidated Depreciation Expense,</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9"/>
        </w:numPr>
        <w:rPr>
          <w:rFonts w:ascii="Arial" w:cs="Arial" w:eastAsia="Arial" w:hAnsi="Arial"/>
          <w:sz w:val="13"/>
          <w:szCs w:val="13"/>
          <w:color w:val="auto"/>
        </w:rPr>
      </w:pPr>
      <w:r>
        <w:rPr>
          <w:rFonts w:ascii="Arial" w:cs="Arial" w:eastAsia="Arial" w:hAnsi="Arial"/>
          <w:sz w:val="13"/>
          <w:szCs w:val="13"/>
          <w:color w:val="auto"/>
        </w:rPr>
        <w:t>Consolidated Interest Expense, and</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9"/>
        </w:numPr>
        <w:rPr>
          <w:rFonts w:ascii="Arial" w:cs="Arial" w:eastAsia="Arial" w:hAnsi="Arial"/>
          <w:sz w:val="11"/>
          <w:szCs w:val="11"/>
          <w:color w:val="auto"/>
        </w:rPr>
      </w:pPr>
      <w:r>
        <w:rPr>
          <w:rFonts w:ascii="Arial" w:cs="Arial" w:eastAsia="Arial" w:hAnsi="Arial"/>
          <w:sz w:val="11"/>
          <w:szCs w:val="11"/>
          <w:color w:val="auto"/>
        </w:rPr>
        <w:t>all other non-cash items reducing the Consolidated Net Income (excluding any non-cash charge that results in an accrual of a reserve for cash charges in any future period) for such period,</w:t>
      </w:r>
    </w:p>
    <w:p>
      <w:pPr>
        <w:spacing w:after="0" w:line="36" w:lineRule="exact"/>
        <w:rPr>
          <w:rFonts w:ascii="Arial" w:cs="Arial" w:eastAsia="Arial" w:hAnsi="Arial"/>
          <w:sz w:val="11"/>
          <w:szCs w:val="11"/>
          <w:color w:val="auto"/>
        </w:rPr>
      </w:pPr>
    </w:p>
    <w:p>
      <w:pPr>
        <w:ind w:left="860"/>
        <w:spacing w:after="0"/>
        <w:rPr>
          <w:rFonts w:ascii="Arial" w:cs="Arial" w:eastAsia="Arial" w:hAnsi="Arial"/>
          <w:sz w:val="11"/>
          <w:szCs w:val="11"/>
          <w:color w:val="auto"/>
        </w:rPr>
      </w:pPr>
      <w:r>
        <w:rPr>
          <w:rFonts w:ascii="Arial" w:cs="Arial" w:eastAsia="Arial" w:hAnsi="Arial"/>
          <w:sz w:val="13"/>
          <w:szCs w:val="13"/>
          <w:color w:val="auto"/>
        </w:rPr>
        <w:t>minus</w:t>
      </w:r>
    </w:p>
    <w:p>
      <w:pPr>
        <w:spacing w:after="0" w:line="137" w:lineRule="exact"/>
        <w:rPr>
          <w:rFonts w:ascii="Arial" w:cs="Arial" w:eastAsia="Arial" w:hAnsi="Arial"/>
          <w:sz w:val="11"/>
          <w:szCs w:val="11"/>
          <w:color w:val="auto"/>
        </w:rPr>
      </w:pPr>
    </w:p>
    <w:p>
      <w:pPr>
        <w:ind w:left="1140" w:hanging="283"/>
        <w:spacing w:after="0"/>
        <w:tabs>
          <w:tab w:leader="none" w:pos="114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aggregate amount of all non-cash items, determined on a consolidated basis, to the extent such items increased Consolidated Net Income for such period (excluding any non-cash items to the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60"/>
          </w:cols>
          <w:pgMar w:left="220" w:top="435" w:right="219" w:bottom="1440" w:gutter="0" w:footer="0" w:header="0"/>
        </w:sectPr>
      </w:pPr>
    </w:p>
    <w:bookmarkStart w:id="21" w:name="page22"/>
    <w:bookmarkEnd w:id="21"/>
    <w:p>
      <w:pPr>
        <w:ind w:left="420"/>
        <w:spacing w:after="0"/>
        <w:rPr>
          <w:sz w:val="20"/>
          <w:szCs w:val="20"/>
          <w:color w:val="auto"/>
        </w:rPr>
      </w:pPr>
      <w:r>
        <w:rPr>
          <w:rFonts w:ascii="Arial" w:cs="Arial" w:eastAsia="Arial" w:hAnsi="Arial"/>
          <w:sz w:val="13"/>
          <w:szCs w:val="13"/>
          <w:color w:val="auto"/>
        </w:rPr>
        <w:t>extent they represent the reversal of an accrual of a reserve for a potential cash item that reduced Consolidated Cash Flow in any prior period); and</w:t>
      </w:r>
    </w:p>
    <w:p>
      <w:pPr>
        <w:spacing w:after="0" w:line="148" w:lineRule="exact"/>
        <w:rPr>
          <w:sz w:val="20"/>
          <w:szCs w:val="20"/>
          <w:color w:val="auto"/>
        </w:rPr>
      </w:pPr>
    </w:p>
    <w:p>
      <w:pPr>
        <w:ind w:left="420" w:right="80" w:firstLine="437"/>
        <w:spacing w:after="0" w:line="258" w:lineRule="auto"/>
        <w:tabs>
          <w:tab w:leader="none" w:pos="1126"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21" w:lineRule="exact"/>
        <w:rPr>
          <w:sz w:val="20"/>
          <w:szCs w:val="20"/>
          <w:color w:val="auto"/>
        </w:rPr>
      </w:pPr>
    </w:p>
    <w:p>
      <w:pPr>
        <w:ind w:right="16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Depreciation Expense</w:t>
      </w:r>
      <w:r>
        <w:rPr>
          <w:rFonts w:ascii="Arial" w:cs="Arial" w:eastAsia="Arial" w:hAnsi="Arial"/>
          <w:sz w:val="13"/>
          <w:szCs w:val="13"/>
          <w:color w:val="auto"/>
        </w:rPr>
        <w:t>” for any period means the depreciation expense of the relevant Person and its Restricted Subsidiaries for such period, determined on a consolidated basis in accordance with GAAP.</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Consolidated Income Tax Expense</w:t>
      </w:r>
      <w:r>
        <w:rPr>
          <w:rFonts w:ascii="Arial" w:cs="Arial" w:eastAsia="Arial" w:hAnsi="Arial"/>
          <w:sz w:val="12"/>
          <w:szCs w:val="12"/>
          <w:color w:val="auto"/>
        </w:rPr>
        <w:t>” for any period means the provision for taxes of the relevant Person and its Restricted Subsidiaries, determined on a consolidated basis in accordance with GAAP.</w:t>
      </w:r>
    </w:p>
    <w:p>
      <w:pPr>
        <w:spacing w:after="0" w:line="159" w:lineRule="exact"/>
        <w:rPr>
          <w:sz w:val="20"/>
          <w:szCs w:val="20"/>
          <w:color w:val="auto"/>
        </w:rPr>
      </w:pPr>
    </w:p>
    <w:p>
      <w:pPr>
        <w:ind w:firstLine="432"/>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Interest Coverage Ratio</w:t>
      </w:r>
      <w:r>
        <w:rPr>
          <w:rFonts w:ascii="Arial" w:cs="Arial" w:eastAsia="Arial" w:hAnsi="Arial"/>
          <w:sz w:val="13"/>
          <w:szCs w:val="13"/>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3"/>
          <w:szCs w:val="13"/>
          <w:i w:val="1"/>
          <w:iCs w:val="1"/>
          <w:color w:val="auto"/>
        </w:rPr>
        <w:t>Four-Quarter Period</w:t>
      </w:r>
      <w:r>
        <w:rPr>
          <w:rFonts w:ascii="Arial" w:cs="Arial" w:eastAsia="Arial" w:hAnsi="Arial"/>
          <w:sz w:val="13"/>
          <w:szCs w:val="13"/>
          <w:color w:val="auto"/>
        </w:rPr>
        <w:t>”) ending on or prior to the date of the transaction giving rise to the need to calculate the Consolidated Interest Coverage Ratio (the “</w:t>
      </w:r>
      <w:r>
        <w:rPr>
          <w:rFonts w:ascii="Arial" w:cs="Arial" w:eastAsia="Arial" w:hAnsi="Arial"/>
          <w:sz w:val="13"/>
          <w:szCs w:val="13"/>
          <w:i w:val="1"/>
          <w:iCs w:val="1"/>
          <w:color w:val="auto"/>
        </w:rPr>
        <w:t>Transaction Date</w:t>
      </w:r>
      <w:r>
        <w:rPr>
          <w:rFonts w:ascii="Arial" w:cs="Arial" w:eastAsia="Arial" w:hAnsi="Arial"/>
          <w:sz w:val="13"/>
          <w:szCs w:val="13"/>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124" w:lineRule="exact"/>
        <w:rPr>
          <w:sz w:val="20"/>
          <w:szCs w:val="20"/>
          <w:color w:val="auto"/>
        </w:rPr>
      </w:pPr>
    </w:p>
    <w:p>
      <w:pPr>
        <w:ind w:left="420" w:right="40" w:firstLine="437"/>
        <w:spacing w:after="0" w:line="252" w:lineRule="auto"/>
        <w:tabs>
          <w:tab w:leader="none" w:pos="1126"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124" w:lineRule="exact"/>
        <w:rPr>
          <w:rFonts w:ascii="Arial" w:cs="Arial" w:eastAsia="Arial" w:hAnsi="Arial"/>
          <w:sz w:val="13"/>
          <w:szCs w:val="13"/>
          <w:color w:val="auto"/>
        </w:rPr>
      </w:pPr>
    </w:p>
    <w:p>
      <w:pPr>
        <w:ind w:left="420" w:right="20" w:firstLine="437"/>
        <w:spacing w:after="0" w:line="275" w:lineRule="auto"/>
        <w:tabs>
          <w:tab w:leader="none" w:pos="1126"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2"/>
          <w:szCs w:val="12"/>
          <w:i w:val="1"/>
          <w:iCs w:val="1"/>
          <w:color w:val="auto"/>
        </w:rPr>
        <w:t>provided</w:t>
      </w:r>
      <w:r>
        <w:rPr>
          <w:rFonts w:ascii="Arial" w:cs="Arial" w:eastAsia="Arial" w:hAnsi="Arial"/>
          <w:sz w:val="12"/>
          <w:szCs w:val="12"/>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20"/>
          </w:cols>
          <w:pgMar w:left="220" w:top="435" w:right="259" w:bottom="1440" w:gutter="0" w:footer="0" w:header="0"/>
        </w:sectPr>
      </w:pPr>
    </w:p>
    <w:bookmarkStart w:id="22" w:name="page23"/>
    <w:bookmarkEnd w:id="22"/>
    <w:p>
      <w:pPr>
        <w:ind w:left="420"/>
        <w:spacing w:after="0"/>
        <w:rPr>
          <w:sz w:val="20"/>
          <w:szCs w:val="20"/>
          <w:color w:val="auto"/>
        </w:rPr>
      </w:pPr>
      <w:r>
        <w:rPr>
          <w:rFonts w:ascii="Arial" w:cs="Arial" w:eastAsia="Arial" w:hAnsi="Arial"/>
          <w:sz w:val="13"/>
          <w:szCs w:val="13"/>
          <w:color w:val="auto"/>
        </w:rPr>
        <w:t>In calculating Consolidated Interest Expense for purposes of determining the denominator (but not the numerator) of this Consolidated Interest Coverage Ratio:</w:t>
      </w:r>
    </w:p>
    <w:p>
      <w:pPr>
        <w:spacing w:after="0" w:line="148" w:lineRule="exact"/>
        <w:rPr>
          <w:sz w:val="20"/>
          <w:szCs w:val="20"/>
          <w:color w:val="auto"/>
        </w:rPr>
      </w:pPr>
    </w:p>
    <w:p>
      <w:pPr>
        <w:ind w:left="420" w:firstLine="437"/>
        <w:spacing w:after="0" w:line="271" w:lineRule="auto"/>
        <w:tabs>
          <w:tab w:leader="none" w:pos="1126"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12" w:lineRule="exact"/>
        <w:rPr>
          <w:rFonts w:ascii="Arial" w:cs="Arial" w:eastAsia="Arial" w:hAnsi="Arial"/>
          <w:sz w:val="13"/>
          <w:szCs w:val="13"/>
          <w:color w:val="auto"/>
        </w:rPr>
      </w:pPr>
    </w:p>
    <w:p>
      <w:pPr>
        <w:ind w:left="420" w:right="140" w:firstLine="437"/>
        <w:spacing w:after="0" w:line="271" w:lineRule="auto"/>
        <w:tabs>
          <w:tab w:leader="none" w:pos="1126" w:val="left"/>
        </w:tabs>
        <w:numPr>
          <w:ilvl w:val="0"/>
          <w:numId w:val="12"/>
        </w:numPr>
        <w:rPr>
          <w:rFonts w:ascii="Arial" w:cs="Arial" w:eastAsia="Arial" w:hAnsi="Arial"/>
          <w:sz w:val="13"/>
          <w:szCs w:val="13"/>
          <w:color w:val="auto"/>
        </w:rPr>
      </w:pPr>
      <w:r>
        <w:rPr>
          <w:rFonts w:ascii="Arial" w:cs="Arial" w:eastAsia="Arial" w:hAnsi="Arial"/>
          <w:sz w:val="13"/>
          <w:szCs w:val="13"/>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112" w:lineRule="exact"/>
        <w:rPr>
          <w:rFonts w:ascii="Arial" w:cs="Arial" w:eastAsia="Arial" w:hAnsi="Arial"/>
          <w:sz w:val="13"/>
          <w:szCs w:val="13"/>
          <w:color w:val="auto"/>
        </w:rPr>
      </w:pPr>
    </w:p>
    <w:p>
      <w:pPr>
        <w:ind w:left="420" w:right="140" w:firstLine="437"/>
        <w:spacing w:after="0" w:line="271" w:lineRule="auto"/>
        <w:tabs>
          <w:tab w:leader="none" w:pos="1126"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13" w:lineRule="exact"/>
        <w:rPr>
          <w:sz w:val="20"/>
          <w:szCs w:val="20"/>
          <w:color w:val="auto"/>
        </w:rPr>
      </w:pPr>
    </w:p>
    <w:p>
      <w:pPr>
        <w:ind w:right="5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Interest Expense</w:t>
      </w:r>
      <w:r>
        <w:rPr>
          <w:rFonts w:ascii="Arial" w:cs="Arial" w:eastAsia="Arial" w:hAnsi="Arial"/>
          <w:sz w:val="13"/>
          <w:szCs w:val="13"/>
          <w:color w:val="auto"/>
        </w:rPr>
        <w:t>” for any period means the sum, without duplication, of the total interest expense of the relevant Person and its Restricted Subsidiaries for such period, determined on a consolidated basis in accordance with GAAP, including, without duplication:</w:t>
      </w:r>
    </w:p>
    <w:p>
      <w:pPr>
        <w:spacing w:after="0" w:line="113" w:lineRule="exact"/>
        <w:rPr>
          <w:sz w:val="20"/>
          <w:szCs w:val="20"/>
          <w:color w:val="auto"/>
        </w:rPr>
      </w:pPr>
    </w:p>
    <w:p>
      <w:pPr>
        <w:ind w:left="1140" w:hanging="283"/>
        <w:spacing w:after="0"/>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imputed interest on Capitalized Lease Obligations and Attributable Indebtedness;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net costs associated with Hedging Obligations related to interest rates;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amortization of debt issuance costs, debt discount or premium and other financing fees and expenses;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interest portion of any deferred payment obligations;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other non-cash interest expense;</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capitalized interest;</w:t>
      </w:r>
    </w:p>
    <w:p>
      <w:pPr>
        <w:spacing w:after="0" w:line="147" w:lineRule="exact"/>
        <w:rPr>
          <w:rFonts w:ascii="Arial" w:cs="Arial" w:eastAsia="Arial" w:hAnsi="Arial"/>
          <w:sz w:val="13"/>
          <w:szCs w:val="13"/>
          <w:color w:val="auto"/>
        </w:rPr>
      </w:pPr>
    </w:p>
    <w:p>
      <w:pPr>
        <w:ind w:left="420" w:right="60" w:firstLine="437"/>
        <w:spacing w:after="0" w:line="271" w:lineRule="auto"/>
        <w:tabs>
          <w:tab w:leader="none" w:pos="1126"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interest payable with respect to discontinued operations; and</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interest on any Indebtedness described in clause (6) or (7) of the definition of Indebtedness.</w:t>
      </w:r>
    </w:p>
    <w:p>
      <w:pPr>
        <w:spacing w:after="0" w:line="148" w:lineRule="exact"/>
        <w:rPr>
          <w:sz w:val="20"/>
          <w:szCs w:val="20"/>
          <w:color w:val="auto"/>
        </w:rPr>
      </w:pPr>
    </w:p>
    <w:p>
      <w:pPr>
        <w:ind w:right="18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Net Income</w:t>
      </w:r>
      <w:r>
        <w:rPr>
          <w:rFonts w:ascii="Arial" w:cs="Arial" w:eastAsia="Arial" w:hAnsi="Arial"/>
          <w:sz w:val="13"/>
          <w:szCs w:val="13"/>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there shall be excluded in calculating such net income (or loss), to the extent otherwise included therein, without duplication:</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40"/>
          </w:cols>
          <w:pgMar w:left="220" w:top="435" w:right="239" w:bottom="1440" w:gutter="0" w:footer="0" w:header="0"/>
        </w:sectPr>
      </w:pPr>
    </w:p>
    <w:bookmarkStart w:id="23" w:name="page24"/>
    <w:bookmarkEnd w:id="23"/>
    <w:p>
      <w:pPr>
        <w:ind w:left="420" w:firstLine="437"/>
        <w:spacing w:after="0" w:line="271" w:lineRule="auto"/>
        <w:tabs>
          <w:tab w:leader="none" w:pos="1126" w:val="left"/>
        </w:tabs>
        <w:numPr>
          <w:ilvl w:val="1"/>
          <w:numId w:val="14"/>
        </w:numPr>
        <w:rPr>
          <w:rFonts w:ascii="Arial" w:cs="Arial" w:eastAsia="Arial" w:hAnsi="Arial"/>
          <w:sz w:val="13"/>
          <w:szCs w:val="13"/>
          <w:color w:val="auto"/>
        </w:rPr>
      </w:pPr>
      <w:r>
        <w:rPr>
          <w:rFonts w:ascii="Arial" w:cs="Arial" w:eastAsia="Arial" w:hAnsi="Arial"/>
          <w:sz w:val="13"/>
          <w:szCs w:val="13"/>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1"/>
          <w:numId w:val="14"/>
        </w:numPr>
        <w:rPr>
          <w:rFonts w:ascii="Arial" w:cs="Arial" w:eastAsia="Arial" w:hAnsi="Arial"/>
          <w:sz w:val="11"/>
          <w:szCs w:val="11"/>
          <w:color w:val="auto"/>
        </w:rPr>
      </w:pPr>
      <w:r>
        <w:rPr>
          <w:rFonts w:ascii="Arial" w:cs="Arial" w:eastAsia="Arial" w:hAnsi="Arial"/>
          <w:sz w:val="11"/>
          <w:szCs w:val="11"/>
          <w:color w:val="auto"/>
        </w:rPr>
        <w:t>except to the extent includible in the net income (or loss) of the specified Person pursuant to the foregoing clause (1), the net income (or loss) of any other Person that accrued prior to the date that</w:t>
      </w:r>
    </w:p>
    <w:p>
      <w:pPr>
        <w:spacing w:after="0" w:line="36" w:lineRule="exact"/>
        <w:rPr>
          <w:rFonts w:ascii="Arial" w:cs="Arial" w:eastAsia="Arial" w:hAnsi="Arial"/>
          <w:sz w:val="11"/>
          <w:szCs w:val="11"/>
          <w:color w:val="auto"/>
        </w:rPr>
      </w:pPr>
    </w:p>
    <w:p>
      <w:pPr>
        <w:ind w:left="420" w:right="260" w:firstLine="4"/>
        <w:spacing w:after="0" w:line="255"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122" w:lineRule="exact"/>
        <w:rPr>
          <w:rFonts w:ascii="Arial" w:cs="Arial" w:eastAsia="Arial" w:hAnsi="Arial"/>
          <w:sz w:val="13"/>
          <w:szCs w:val="13"/>
          <w:color w:val="auto"/>
        </w:rPr>
      </w:pPr>
    </w:p>
    <w:p>
      <w:pPr>
        <w:ind w:left="420" w:right="20" w:firstLine="437"/>
        <w:spacing w:after="0" w:line="290" w:lineRule="auto"/>
        <w:tabs>
          <w:tab w:leader="none" w:pos="1126"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03" w:lineRule="exact"/>
        <w:rPr>
          <w:rFonts w:ascii="Arial" w:cs="Arial" w:eastAsia="Arial" w:hAnsi="Arial"/>
          <w:sz w:val="12"/>
          <w:szCs w:val="12"/>
          <w:color w:val="auto"/>
        </w:rPr>
      </w:pPr>
    </w:p>
    <w:p>
      <w:pPr>
        <w:ind w:left="1140" w:hanging="283"/>
        <w:spacing w:after="0"/>
        <w:tabs>
          <w:tab w:leader="none" w:pos="11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gains or losses attributable to discontinued operations;</w:t>
      </w:r>
    </w:p>
    <w:p>
      <w:pPr>
        <w:spacing w:after="0" w:line="147" w:lineRule="exact"/>
        <w:rPr>
          <w:rFonts w:ascii="Arial" w:cs="Arial" w:eastAsia="Arial" w:hAnsi="Arial"/>
          <w:sz w:val="13"/>
          <w:szCs w:val="13"/>
          <w:color w:val="auto"/>
        </w:rPr>
      </w:pPr>
    </w:p>
    <w:p>
      <w:pPr>
        <w:ind w:left="420" w:right="440" w:firstLine="437"/>
        <w:spacing w:after="0" w:line="271" w:lineRule="auto"/>
        <w:tabs>
          <w:tab w:leader="none" w:pos="1126" w:val="left"/>
        </w:tabs>
        <w:numPr>
          <w:ilvl w:val="1"/>
          <w:numId w:val="15"/>
        </w:numPr>
        <w:rPr>
          <w:rFonts w:ascii="Arial" w:cs="Arial" w:eastAsia="Arial" w:hAnsi="Arial"/>
          <w:sz w:val="13"/>
          <w:szCs w:val="13"/>
          <w:color w:val="auto"/>
        </w:rPr>
      </w:pPr>
      <w:r>
        <w:rPr>
          <w:rFonts w:ascii="Arial" w:cs="Arial" w:eastAsia="Arial" w:hAnsi="Arial"/>
          <w:sz w:val="13"/>
          <w:szCs w:val="13"/>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gains and losses due solely to fluctuations in currency values and the related tax effects according to GAAP;</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unrealized gains and losses with respect to Hedging Obligations;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the cumulative effect of any change in accounting principles or policies;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extraordinary gains and losses and the related tax effect;</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1"/>
          <w:numId w:val="15"/>
        </w:numPr>
        <w:rPr>
          <w:rFonts w:ascii="Arial" w:cs="Arial" w:eastAsia="Arial" w:hAnsi="Arial"/>
          <w:sz w:val="13"/>
          <w:szCs w:val="13"/>
          <w:color w:val="auto"/>
        </w:rPr>
      </w:pPr>
      <w:r>
        <w:rPr>
          <w:rFonts w:ascii="Arial" w:cs="Arial" w:eastAsia="Arial" w:hAnsi="Arial"/>
          <w:sz w:val="13"/>
          <w:szCs w:val="13"/>
          <w:color w:val="auto"/>
        </w:rPr>
        <w:t>non-cash charges or expenses with respect to the grant of stock options, restricted stock or other equity compensation awards; and</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1"/>
          <w:numId w:val="15"/>
        </w:numPr>
        <w:rPr>
          <w:rFonts w:ascii="Arial" w:cs="Arial" w:eastAsia="Arial" w:hAnsi="Arial"/>
          <w:sz w:val="13"/>
          <w:szCs w:val="13"/>
          <w:color w:val="auto"/>
        </w:rPr>
      </w:pPr>
      <w:r>
        <w:rPr>
          <w:rFonts w:ascii="Arial" w:cs="Arial" w:eastAsia="Arial" w:hAnsi="Arial"/>
          <w:sz w:val="13"/>
          <w:szCs w:val="13"/>
          <w:color w:val="auto"/>
        </w:rPr>
        <w:t>goodwill write-downs or other non-cash impairments of assets.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Consolidated Net Worth</w:t>
      </w:r>
      <w:r>
        <w:rPr>
          <w:rFonts w:ascii="Arial" w:cs="Arial" w:eastAsia="Arial" w:hAnsi="Arial"/>
          <w:sz w:val="12"/>
          <w:szCs w:val="12"/>
          <w:color w:val="auto"/>
        </w:rPr>
        <w:t>” means, at any date of determination, the amount of total shareholders’ equity shown in the most recent consolidated statement of financial position of the Parent Guarantor.</w:t>
      </w:r>
    </w:p>
    <w:p>
      <w:pPr>
        <w:spacing w:after="0" w:line="159" w:lineRule="exact"/>
        <w:rPr>
          <w:sz w:val="20"/>
          <w:szCs w:val="20"/>
          <w:color w:val="auto"/>
        </w:rPr>
      </w:pPr>
    </w:p>
    <w:p>
      <w:pPr>
        <w:jc w:val="both"/>
        <w:ind w:right="120" w:firstLine="432"/>
        <w:spacing w:after="0" w:line="29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Consolidated Tangible Assets</w:t>
      </w:r>
      <w:r>
        <w:rPr>
          <w:rFonts w:ascii="Arial" w:cs="Arial" w:eastAsia="Arial" w:hAnsi="Arial"/>
          <w:sz w:val="12"/>
          <w:szCs w:val="12"/>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40"/>
          </w:cols>
          <w:pgMar w:left="220" w:top="435" w:right="239" w:bottom="1440" w:gutter="0" w:footer="0" w:header="0"/>
        </w:sectPr>
      </w:pPr>
    </w:p>
    <w:bookmarkStart w:id="24" w:name="page25"/>
    <w:bookmarkEnd w:id="24"/>
    <w:p>
      <w:pPr>
        <w:ind w:right="60" w:firstLine="432"/>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Continuing Directors</w:t>
      </w:r>
      <w:r>
        <w:rPr>
          <w:rFonts w:ascii="Arial" w:cs="Arial" w:eastAsia="Arial" w:hAnsi="Arial"/>
          <w:sz w:val="13"/>
          <w:szCs w:val="13"/>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24"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Corporate Trust Office</w:t>
      </w:r>
      <w:r>
        <w:rPr>
          <w:rFonts w:ascii="Arial" w:cs="Arial" w:eastAsia="Arial" w:hAnsi="Arial"/>
          <w:sz w:val="12"/>
          <w:szCs w:val="12"/>
          <w:color w:val="auto"/>
        </w:rPr>
        <w:t>” means the office of the Trustee at which at any particular time its corporate trust business in relation to the Notes shall be administered, which office on the date hereof is located at 60 Wall Street, MS NYC60-1630, New York, New York 10005, Attention: Corporates Team - Weatherford International,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corporation</w:t>
      </w:r>
      <w:r>
        <w:rPr>
          <w:rFonts w:ascii="Arial" w:cs="Arial" w:eastAsia="Arial" w:hAnsi="Arial"/>
          <w:sz w:val="13"/>
          <w:szCs w:val="13"/>
          <w:color w:val="auto"/>
        </w:rPr>
        <w:t>” includes corporations, companies, associations, partnerships, limited partnerships, limited liability companies, joint-stock companies and trusts.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Covenant Defeasance</w:t>
      </w:r>
      <w:r>
        <w:rPr>
          <w:rFonts w:ascii="Arial" w:cs="Arial" w:eastAsia="Arial" w:hAnsi="Arial"/>
          <w:sz w:val="13"/>
          <w:szCs w:val="13"/>
          <w:color w:val="auto"/>
        </w:rPr>
        <w:t>” has the meaning specified in Section 1403.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Coverage Ratio Exception</w:t>
      </w:r>
      <w:r>
        <w:rPr>
          <w:rFonts w:ascii="Arial" w:cs="Arial" w:eastAsia="Arial" w:hAnsi="Arial"/>
          <w:sz w:val="13"/>
          <w:szCs w:val="13"/>
          <w:color w:val="auto"/>
        </w:rPr>
        <w:t>” has the meaning set forth in the proviso in the first paragraph of Section 1108.</w:t>
      </w:r>
    </w:p>
    <w:p>
      <w:pPr>
        <w:spacing w:after="0" w:line="148" w:lineRule="exact"/>
        <w:rPr>
          <w:sz w:val="20"/>
          <w:szCs w:val="20"/>
          <w:color w:val="auto"/>
        </w:rPr>
      </w:pPr>
    </w:p>
    <w:p>
      <w:pPr>
        <w:ind w:firstLine="432"/>
        <w:spacing w:after="0" w:line="27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Credit Agreement</w:t>
      </w:r>
      <w:r>
        <w:rPr>
          <w:rFonts w:ascii="Arial" w:cs="Arial" w:eastAsia="Arial" w:hAnsi="Arial"/>
          <w:sz w:val="12"/>
          <w:szCs w:val="12"/>
          <w:color w:val="auto"/>
        </w:rPr>
        <w:t>” means the Amended and Restated Credit Agreement dated as of May 4, 2016, among the Subsidiary Guarantor,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to the extent such increase is permitted under the Indenture or adding or removing Subsidiaries as borrowers or guarantors thereunder) all or any portion of the Indebtedness under such agreement or facility or any successor or replacement agreement or facility.</w:t>
      </w:r>
    </w:p>
    <w:p>
      <w:pPr>
        <w:spacing w:after="0" w:line="114" w:lineRule="exact"/>
        <w:rPr>
          <w:sz w:val="20"/>
          <w:szCs w:val="20"/>
          <w:color w:val="auto"/>
        </w:rPr>
      </w:pPr>
    </w:p>
    <w:p>
      <w:pPr>
        <w:ind w:firstLine="432"/>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Credit Facilities</w:t>
      </w:r>
      <w:r>
        <w:rPr>
          <w:rFonts w:ascii="Arial" w:cs="Arial" w:eastAsia="Arial" w:hAnsi="Arial"/>
          <w:sz w:val="12"/>
          <w:szCs w:val="12"/>
          <w:color w:val="auto"/>
        </w:rPr>
        <w:t>” means one or more debt facilities or indentures (which may be outstanding at the same time and including, without limitation, the Credit Agreement and the Term Loan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to the extent such increase is permitted under the Indenture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11" w:lineRule="exact"/>
        <w:rPr>
          <w:sz w:val="20"/>
          <w:szCs w:val="20"/>
          <w:color w:val="auto"/>
        </w:rPr>
      </w:pPr>
    </w:p>
    <w:p>
      <w:pPr>
        <w:ind w:right="2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Customary Recourse Exceptions</w:t>
      </w:r>
      <w:r>
        <w:rPr>
          <w:rFonts w:ascii="Arial" w:cs="Arial" w:eastAsia="Arial" w:hAnsi="Arial"/>
          <w:sz w:val="13"/>
          <w:szCs w:val="13"/>
          <w:color w:val="auto"/>
        </w:rPr>
        <w:t>” means, with respect to any Non-Recourse Debt of an Unrestricted Subsidiary, exclusions from the exculpation provisions with respect to such Non-Recourse Debt for the voluntary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435" w:right="219" w:bottom="1440" w:gutter="0" w:footer="0" w:header="0"/>
        </w:sectPr>
      </w:pPr>
    </w:p>
    <w:bookmarkStart w:id="25" w:name="page26"/>
    <w:bookmarkEnd w:id="25"/>
    <w:p>
      <w:pPr>
        <w:ind w:right="260"/>
        <w:spacing w:after="0" w:line="271" w:lineRule="auto"/>
        <w:rPr>
          <w:sz w:val="20"/>
          <w:szCs w:val="20"/>
          <w:color w:val="auto"/>
        </w:rPr>
      </w:pPr>
      <w:r>
        <w:rPr>
          <w:rFonts w:ascii="Arial" w:cs="Arial" w:eastAsia="Arial" w:hAnsi="Arial"/>
          <w:sz w:val="13"/>
          <w:szCs w:val="13"/>
          <w:color w:val="auto"/>
        </w:rPr>
        <w:t>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13" w:lineRule="exact"/>
        <w:rPr>
          <w:sz w:val="20"/>
          <w:szCs w:val="20"/>
          <w:color w:val="auto"/>
        </w:rPr>
      </w:pPr>
    </w:p>
    <w:p>
      <w:pPr>
        <w:ind w:right="34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Debt</w:t>
      </w:r>
      <w:r>
        <w:rPr>
          <w:rFonts w:ascii="Arial" w:cs="Arial" w:eastAsia="Arial" w:hAnsi="Arial"/>
          <w:sz w:val="13"/>
          <w:szCs w:val="13"/>
          <w:color w:val="auto"/>
        </w:rPr>
        <w:t>” means any obligation created or assumed by any Person for the repayment of money borrowed and any Purchase Money Indebtedness created or assumed by such Person and any guarantee of the foregoing.</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Default</w:t>
      </w:r>
      <w:r>
        <w:rPr>
          <w:rFonts w:ascii="Arial" w:cs="Arial" w:eastAsia="Arial" w:hAnsi="Arial"/>
          <w:sz w:val="13"/>
          <w:szCs w:val="13"/>
          <w:color w:val="auto"/>
        </w:rPr>
        <w:t>” means any event, act or condition that, after notice or the passage of time or both, would be an Event of Default.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Defaulted Interest</w:t>
      </w:r>
      <w:r>
        <w:rPr>
          <w:rFonts w:ascii="Arial" w:cs="Arial" w:eastAsia="Arial" w:hAnsi="Arial"/>
          <w:sz w:val="13"/>
          <w:szCs w:val="13"/>
          <w:color w:val="auto"/>
        </w:rPr>
        <w:t>” has the meaning specified in Section 407.</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Definitive Notes</w:t>
      </w:r>
      <w:r>
        <w:rPr>
          <w:rFonts w:ascii="Arial" w:cs="Arial" w:eastAsia="Arial" w:hAnsi="Arial"/>
          <w:sz w:val="13"/>
          <w:szCs w:val="13"/>
          <w:color w:val="auto"/>
        </w:rPr>
        <w:t>” means certificated Notes that are not required to bear the legend set forth in the first paragraph of Section 302.</w:t>
      </w:r>
    </w:p>
    <w:p>
      <w:pPr>
        <w:spacing w:after="0" w:line="148" w:lineRule="exact"/>
        <w:rPr>
          <w:sz w:val="20"/>
          <w:szCs w:val="20"/>
          <w:color w:val="auto"/>
        </w:rPr>
      </w:pPr>
    </w:p>
    <w:p>
      <w:pPr>
        <w:ind w:right="38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Depositary</w:t>
      </w:r>
      <w:r>
        <w:rPr>
          <w:rFonts w:ascii="Arial" w:cs="Arial" w:eastAsia="Arial" w:hAnsi="Arial"/>
          <w:sz w:val="13"/>
          <w:szCs w:val="13"/>
          <w:color w:val="auto"/>
        </w:rPr>
        <w:t>” means, with respect to Notes issued in whole or in part in the form of one or more Global Notes, The Depository Trust Company (“</w:t>
      </w:r>
      <w:r>
        <w:rPr>
          <w:rFonts w:ascii="Arial" w:cs="Arial" w:eastAsia="Arial" w:hAnsi="Arial"/>
          <w:sz w:val="13"/>
          <w:szCs w:val="13"/>
          <w:i w:val="1"/>
          <w:iCs w:val="1"/>
          <w:color w:val="auto"/>
        </w:rPr>
        <w:t>DTC</w:t>
      </w:r>
      <w:r>
        <w:rPr>
          <w:rFonts w:ascii="Arial" w:cs="Arial" w:eastAsia="Arial" w:hAnsi="Arial"/>
          <w:sz w:val="13"/>
          <w:szCs w:val="13"/>
          <w:color w:val="auto"/>
        </w:rPr>
        <w:t>”) or any other clearing agency registered under the Exchange Act that is designated to act as successor Depositary for such Notes.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Designation</w:t>
      </w:r>
      <w:r>
        <w:rPr>
          <w:rFonts w:ascii="Arial" w:cs="Arial" w:eastAsia="Arial" w:hAnsi="Arial"/>
          <w:sz w:val="13"/>
          <w:szCs w:val="13"/>
          <w:color w:val="auto"/>
        </w:rPr>
        <w:t>” has the meaning given to this term in Section 1106.</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Designation Amount</w:t>
      </w:r>
      <w:r>
        <w:rPr>
          <w:rFonts w:ascii="Arial" w:cs="Arial" w:eastAsia="Arial" w:hAnsi="Arial"/>
          <w:sz w:val="13"/>
          <w:szCs w:val="13"/>
          <w:color w:val="auto"/>
        </w:rPr>
        <w:t>” has the meaning given to this term in Section 1106.</w:t>
      </w:r>
    </w:p>
    <w:p>
      <w:pPr>
        <w:spacing w:after="0" w:line="148" w:lineRule="exact"/>
        <w:rPr>
          <w:sz w:val="20"/>
          <w:szCs w:val="20"/>
          <w:color w:val="auto"/>
        </w:rPr>
      </w:pPr>
    </w:p>
    <w:p>
      <w:pPr>
        <w:ind w:firstLine="432"/>
        <w:spacing w:after="0" w:line="271"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Disqualified Equity Interests</w:t>
      </w:r>
      <w:r>
        <w:rPr>
          <w:rFonts w:ascii="Arial" w:cs="Arial" w:eastAsia="Arial" w:hAnsi="Arial"/>
          <w:sz w:val="12"/>
          <w:szCs w:val="12"/>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class of Equity Interests of such Person that, by its terms, authorizes such Person to satisfy in full its obligations with respect to the payment of dividends or upon maturity, redemption (pursuant to a</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of control occurring prior to the 91st day after the Stated Maturity of the Notes shall not constitute Disqualified Equity Interests if the change of control provisions applicable to such Equity Interests are no more favorable to such holders than the provisions of Section 1107, and such Equity Interests specifically provide that the Issuer will not repurchase or redeem any such Equity Interests pursuant to such provisions prior to the Issuer’s purchase of the Notes as required pursuant to the provisions of Section 1107.</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Dollars</w:t>
      </w:r>
      <w:r>
        <w:rPr>
          <w:rFonts w:ascii="Arial" w:cs="Arial" w:eastAsia="Arial" w:hAnsi="Arial"/>
          <w:sz w:val="13"/>
          <w:szCs w:val="13"/>
          <w:color w:val="auto"/>
        </w:rPr>
        <w:t>,” “</w:t>
      </w:r>
      <w:r>
        <w:rPr>
          <w:rFonts w:ascii="Arial" w:cs="Arial" w:eastAsia="Arial" w:hAnsi="Arial"/>
          <w:sz w:val="13"/>
          <w:szCs w:val="13"/>
          <w:i w:val="1"/>
          <w:iCs w:val="1"/>
          <w:color w:val="auto"/>
        </w:rPr>
        <w:t>U.S. dollars</w:t>
      </w:r>
      <w:r>
        <w:rPr>
          <w:rFonts w:ascii="Arial" w:cs="Arial" w:eastAsia="Arial" w:hAnsi="Arial"/>
          <w:sz w:val="13"/>
          <w:szCs w:val="13"/>
          <w:color w:val="auto"/>
        </w:rPr>
        <w:t>” or “</w:t>
      </w:r>
      <w:r>
        <w:rPr>
          <w:rFonts w:ascii="Arial" w:cs="Arial" w:eastAsia="Arial" w:hAnsi="Arial"/>
          <w:sz w:val="13"/>
          <w:szCs w:val="13"/>
          <w:i w:val="1"/>
          <w:iCs w:val="1"/>
          <w:color w:val="auto"/>
        </w:rPr>
        <w:t>$</w:t>
      </w:r>
      <w:r>
        <w:rPr>
          <w:rFonts w:ascii="Arial" w:cs="Arial" w:eastAsia="Arial" w:hAnsi="Arial"/>
          <w:sz w:val="13"/>
          <w:szCs w:val="13"/>
          <w:color w:val="auto"/>
        </w:rPr>
        <w:t>” shall mean the coin or currency of the United States of America, which at the time of payment is legal tender for the payment of public and private debts.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435" w:right="219" w:bottom="1440" w:gutter="0" w:footer="0" w:header="0"/>
        </w:sectPr>
      </w:pPr>
    </w:p>
    <w:bookmarkStart w:id="26" w:name="page27"/>
    <w:bookmarkEnd w:id="26"/>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DTC</w:t>
      </w:r>
      <w:r>
        <w:rPr>
          <w:rFonts w:ascii="Arial" w:cs="Arial" w:eastAsia="Arial" w:hAnsi="Arial"/>
          <w:sz w:val="13"/>
          <w:szCs w:val="13"/>
          <w:color w:val="auto"/>
        </w:rPr>
        <w:t>” has the meaning specified in the definition of Depositary.</w:t>
      </w:r>
    </w:p>
    <w:p>
      <w:pPr>
        <w:spacing w:after="0" w:line="148" w:lineRule="exact"/>
        <w:rPr>
          <w:sz w:val="20"/>
          <w:szCs w:val="20"/>
          <w:color w:val="auto"/>
        </w:rPr>
      </w:pPr>
    </w:p>
    <w:p>
      <w:pPr>
        <w:jc w:val="both"/>
        <w:ind w:right="180" w:firstLine="432"/>
        <w:spacing w:after="0" w:line="29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Equity Interests</w:t>
      </w:r>
      <w:r>
        <w:rPr>
          <w:rFonts w:ascii="Arial" w:cs="Arial" w:eastAsia="Arial" w:hAnsi="Arial"/>
          <w:sz w:val="12"/>
          <w:szCs w:val="12"/>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Euroclear</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Event of Default</w:t>
      </w:r>
      <w:r>
        <w:rPr>
          <w:rFonts w:ascii="Arial" w:cs="Arial" w:eastAsia="Arial" w:hAnsi="Arial"/>
          <w:sz w:val="13"/>
          <w:szCs w:val="13"/>
          <w:color w:val="auto"/>
        </w:rPr>
        <w:t>” has the meaning specified in Section 601.</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Exchange Act</w:t>
      </w:r>
      <w:r>
        <w:rPr>
          <w:rFonts w:ascii="Arial" w:cs="Arial" w:eastAsia="Arial" w:hAnsi="Arial"/>
          <w:sz w:val="13"/>
          <w:szCs w:val="13"/>
          <w:color w:val="auto"/>
        </w:rPr>
        <w:t>” means the U.S. Securities Exchange Act of 1934, as amended.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Exchange Global Note</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Exchange Notes</w:t>
      </w:r>
      <w:r>
        <w:rPr>
          <w:rFonts w:ascii="Arial" w:cs="Arial" w:eastAsia="Arial" w:hAnsi="Arial"/>
          <w:sz w:val="13"/>
          <w:szCs w:val="13"/>
          <w:color w:val="auto"/>
        </w:rPr>
        <w:t>” has the meaning indicated in the recitals to this Supplemental Indenture.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Expiration Date</w:t>
      </w:r>
      <w:r>
        <w:rPr>
          <w:rFonts w:ascii="Arial" w:cs="Arial" w:eastAsia="Arial" w:hAnsi="Arial"/>
          <w:sz w:val="13"/>
          <w:szCs w:val="13"/>
          <w:color w:val="auto"/>
        </w:rPr>
        <w:t>” has the meaning specified in Section 204.</w:t>
      </w:r>
    </w:p>
    <w:p>
      <w:pPr>
        <w:spacing w:after="0" w:line="148" w:lineRule="exact"/>
        <w:rPr>
          <w:sz w:val="20"/>
          <w:szCs w:val="20"/>
          <w:color w:val="auto"/>
        </w:rPr>
      </w:pPr>
    </w:p>
    <w:p>
      <w:pPr>
        <w:ind w:firstLine="432"/>
        <w:spacing w:after="0" w:line="31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Fair Market Value</w:t>
      </w:r>
      <w:r>
        <w:rPr>
          <w:rFonts w:ascii="Arial" w:cs="Arial" w:eastAsia="Arial" w:hAnsi="Arial"/>
          <w:sz w:val="12"/>
          <w:szCs w:val="12"/>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Foreign Restricted Subsidiary</w:t>
      </w:r>
      <w:r>
        <w:rPr>
          <w:rFonts w:ascii="Arial" w:cs="Arial" w:eastAsia="Arial" w:hAnsi="Arial"/>
          <w:sz w:val="12"/>
          <w:szCs w:val="12"/>
          <w:color w:val="auto"/>
        </w:rPr>
        <w:t>” means any Restricted Subsidiary not organized or existing under the laws of the United States, any State thereof or the District of Columbia, other than a Guarantor.</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Funding Guarantor</w:t>
      </w:r>
      <w:r>
        <w:rPr>
          <w:rFonts w:ascii="Arial" w:cs="Arial" w:eastAsia="Arial" w:hAnsi="Arial"/>
          <w:sz w:val="13"/>
          <w:szCs w:val="13"/>
          <w:color w:val="auto"/>
        </w:rPr>
        <w:t>” has the meaning specified in Section 1505.</w:t>
      </w:r>
    </w:p>
    <w:p>
      <w:pPr>
        <w:spacing w:after="0" w:line="148" w:lineRule="exact"/>
        <w:rPr>
          <w:sz w:val="20"/>
          <w:szCs w:val="20"/>
          <w:color w:val="auto"/>
        </w:rPr>
      </w:pPr>
    </w:p>
    <w:p>
      <w:pPr>
        <w:ind w:right="22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GAAP</w:t>
      </w:r>
      <w:r>
        <w:rPr>
          <w:rFonts w:ascii="Arial" w:cs="Arial" w:eastAsia="Arial" w:hAnsi="Arial"/>
          <w:sz w:val="13"/>
          <w:szCs w:val="13"/>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Global Notes</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jc w:val="both"/>
        <w:ind w:right="22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guarantee</w:t>
      </w:r>
      <w:r>
        <w:rPr>
          <w:rFonts w:ascii="Arial" w:cs="Arial" w:eastAsia="Arial" w:hAnsi="Arial"/>
          <w:sz w:val="13"/>
          <w:szCs w:val="13"/>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Guarantee</w:t>
      </w:r>
      <w:r>
        <w:rPr>
          <w:rFonts w:ascii="Arial" w:cs="Arial" w:eastAsia="Arial" w:hAnsi="Arial"/>
          <w:sz w:val="12"/>
          <w:szCs w:val="12"/>
          <w:color w:val="auto"/>
        </w:rPr>
        <w:t>” means, individually, any guarantee of payment of the Notes by a Guarantor pursuant to the terms of the Indenture and any supplemental indenture thereto, and, collectively, all such guarantees.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Guarantors</w:t>
      </w:r>
      <w:r>
        <w:rPr>
          <w:rFonts w:ascii="Arial" w:cs="Arial" w:eastAsia="Arial" w:hAnsi="Arial"/>
          <w:sz w:val="13"/>
          <w:szCs w:val="13"/>
          <w:color w:val="auto"/>
        </w:rPr>
        <w:t>” means the Parent Guarantor and each Subsidiary Guarantor, until such Person is released from its Guarantee in accordance with the terms of the Indenture.</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20"/>
          </w:cols>
          <w:pgMar w:left="220" w:top="435" w:right="259" w:bottom="1440" w:gutter="0" w:footer="0" w:header="0"/>
        </w:sectPr>
      </w:pPr>
    </w:p>
    <w:bookmarkStart w:id="27" w:name="page28"/>
    <w:bookmarkEnd w:id="27"/>
    <w:p>
      <w:pPr>
        <w:ind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Hedging Obligations</w:t>
      </w:r>
      <w:r>
        <w:rPr>
          <w:rFonts w:ascii="Arial" w:cs="Arial" w:eastAsia="Arial" w:hAnsi="Arial"/>
          <w:sz w:val="13"/>
          <w:szCs w:val="13"/>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Holder</w:t>
      </w:r>
      <w:r>
        <w:rPr>
          <w:rFonts w:ascii="Arial" w:cs="Arial" w:eastAsia="Arial" w:hAnsi="Arial"/>
          <w:sz w:val="13"/>
          <w:szCs w:val="13"/>
          <w:color w:val="auto"/>
        </w:rPr>
        <w:t>” means any registered holder, from time to time, of the Notes.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IAI</w:t>
      </w:r>
      <w:r>
        <w:rPr>
          <w:rFonts w:ascii="Arial" w:cs="Arial" w:eastAsia="Arial" w:hAnsi="Arial"/>
          <w:sz w:val="13"/>
          <w:szCs w:val="13"/>
          <w:color w:val="auto"/>
        </w:rPr>
        <w:t>” means an institutional “accredited investor” as described in Rule 501(a)(1), (2), (3) or (7) under the Securities Act.</w:t>
      </w:r>
    </w:p>
    <w:p>
      <w:pPr>
        <w:spacing w:after="0" w:line="148" w:lineRule="exact"/>
        <w:rPr>
          <w:sz w:val="20"/>
          <w:szCs w:val="20"/>
          <w:color w:val="auto"/>
        </w:rPr>
      </w:pPr>
    </w:p>
    <w:p>
      <w:pPr>
        <w:ind w:right="220" w:firstLine="432"/>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incur</w:t>
      </w:r>
      <w:r>
        <w:rPr>
          <w:rFonts w:ascii="Arial" w:cs="Arial" w:eastAsia="Arial" w:hAnsi="Arial"/>
          <w:sz w:val="13"/>
          <w:szCs w:val="13"/>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Indebtedness</w:t>
      </w:r>
      <w:r>
        <w:rPr>
          <w:rFonts w:ascii="Arial" w:cs="Arial" w:eastAsia="Arial" w:hAnsi="Arial"/>
          <w:sz w:val="13"/>
          <w:szCs w:val="13"/>
          <w:color w:val="auto"/>
        </w:rPr>
        <w:t>” of any Person at any date means, without duplication:</w:t>
      </w:r>
    </w:p>
    <w:p>
      <w:pPr>
        <w:spacing w:after="0" w:line="148" w:lineRule="exact"/>
        <w:rPr>
          <w:sz w:val="20"/>
          <w:szCs w:val="20"/>
          <w:color w:val="auto"/>
        </w:rPr>
      </w:pPr>
    </w:p>
    <w:p>
      <w:pPr>
        <w:ind w:left="1140" w:hanging="283"/>
        <w:spacing w:after="0"/>
        <w:tabs>
          <w:tab w:leader="none" w:pos="11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all liabilities, contingent or otherwise, of such Person for borrowed money (whether or not the recourse of the lender is to the whole of the assets of such Person or only to a portion thereof);</w:t>
      </w:r>
    </w:p>
    <w:p>
      <w:pPr>
        <w:spacing w:after="0" w:line="159" w:lineRule="exact"/>
        <w:rPr>
          <w:rFonts w:ascii="Arial" w:cs="Arial" w:eastAsia="Arial" w:hAnsi="Arial"/>
          <w:sz w:val="12"/>
          <w:szCs w:val="12"/>
          <w:color w:val="auto"/>
        </w:rPr>
      </w:pPr>
    </w:p>
    <w:p>
      <w:pPr>
        <w:ind w:left="1140" w:hanging="283"/>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obligations of such Person evidenced by bonds, debentures, bankers’ acceptances, notes or other similar instruments;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non-contingent reimbursement obligations of such Person in respect of letters of credit, letters of guaranty and similar credit transactions;</w:t>
      </w:r>
    </w:p>
    <w:p>
      <w:pPr>
        <w:spacing w:after="0" w:line="147" w:lineRule="exact"/>
        <w:rPr>
          <w:rFonts w:ascii="Arial" w:cs="Arial" w:eastAsia="Arial" w:hAnsi="Arial"/>
          <w:sz w:val="13"/>
          <w:szCs w:val="13"/>
          <w:color w:val="auto"/>
        </w:rPr>
      </w:pPr>
    </w:p>
    <w:p>
      <w:pPr>
        <w:ind w:left="420" w:right="200" w:firstLine="437"/>
        <w:spacing w:after="0" w:line="364" w:lineRule="auto"/>
        <w:tabs>
          <w:tab w:leader="none" w:pos="1126" w:val="left"/>
        </w:tabs>
        <w:numPr>
          <w:ilvl w:val="0"/>
          <w:numId w:val="16"/>
        </w:numPr>
        <w:rPr>
          <w:rFonts w:ascii="Arial" w:cs="Arial" w:eastAsia="Arial" w:hAnsi="Arial"/>
          <w:sz w:val="11"/>
          <w:szCs w:val="11"/>
          <w:color w:val="auto"/>
        </w:rPr>
      </w:pPr>
      <w:r>
        <w:rPr>
          <w:rFonts w:ascii="Arial" w:cs="Arial" w:eastAsia="Arial" w:hAnsi="Arial"/>
          <w:sz w:val="11"/>
          <w:szCs w:val="11"/>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66" w:lineRule="exact"/>
        <w:rPr>
          <w:rFonts w:ascii="Arial" w:cs="Arial" w:eastAsia="Arial" w:hAnsi="Arial"/>
          <w:sz w:val="11"/>
          <w:szCs w:val="11"/>
          <w:color w:val="auto"/>
        </w:rPr>
      </w:pPr>
    </w:p>
    <w:p>
      <w:pPr>
        <w:ind w:left="1140" w:hanging="283"/>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maximum fixed redemption or repurchase price of all Disqualified Equity Interests of such Person or, with respect to any Subsidiary of such Person, any Preferred Stock;</w:t>
      </w:r>
    </w:p>
    <w:p>
      <w:pPr>
        <w:spacing w:after="0" w:line="147" w:lineRule="exact"/>
        <w:rPr>
          <w:rFonts w:ascii="Arial" w:cs="Arial" w:eastAsia="Arial" w:hAnsi="Arial"/>
          <w:sz w:val="13"/>
          <w:szCs w:val="13"/>
          <w:color w:val="auto"/>
        </w:rPr>
      </w:pPr>
    </w:p>
    <w:p>
      <w:pPr>
        <w:ind w:left="420" w:right="460" w:firstLine="437"/>
        <w:spacing w:after="0" w:line="271" w:lineRule="auto"/>
        <w:tabs>
          <w:tab w:leader="none" w:pos="1126"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Capitalized Lease Obligations of such Person to the extent such obligations would appear as a liability on a balance sheet (excluding the footnotes thereto) of such Person prepared in accordance with GAAP;</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Indebtedness of others secured by a Lien on any asset of such Person, whether or not such Indebtedness is assumed by such Person;</w:t>
      </w:r>
    </w:p>
    <w:p>
      <w:pPr>
        <w:spacing w:after="0" w:line="147" w:lineRule="exact"/>
        <w:rPr>
          <w:rFonts w:ascii="Arial" w:cs="Arial" w:eastAsia="Arial" w:hAnsi="Arial"/>
          <w:sz w:val="13"/>
          <w:szCs w:val="13"/>
          <w:color w:val="auto"/>
        </w:rPr>
      </w:pPr>
    </w:p>
    <w:p>
      <w:pPr>
        <w:ind w:left="420" w:right="400" w:firstLine="437"/>
        <w:spacing w:after="0" w:line="271" w:lineRule="auto"/>
        <w:tabs>
          <w:tab w:leader="none" w:pos="1126"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all Indebtedness of others guaranteed by such Person to the extent of such guarantee;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60"/>
          </w:cols>
          <w:pgMar w:left="220" w:top="435" w:right="319" w:bottom="1440" w:gutter="0" w:footer="0" w:header="0"/>
        </w:sectPr>
      </w:pPr>
    </w:p>
    <w:bookmarkStart w:id="28" w:name="page29"/>
    <w:bookmarkEnd w:id="28"/>
    <w:p>
      <w:pPr>
        <w:ind w:left="420" w:right="20" w:firstLine="437"/>
        <w:spacing w:after="0" w:line="271" w:lineRule="auto"/>
        <w:tabs>
          <w:tab w:leader="none" w:pos="1126"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13" w:lineRule="exact"/>
        <w:rPr>
          <w:sz w:val="20"/>
          <w:szCs w:val="20"/>
          <w:color w:val="auto"/>
        </w:rPr>
      </w:pPr>
    </w:p>
    <w:p>
      <w:pPr>
        <w:ind w:firstLine="432"/>
        <w:spacing w:after="0" w:line="275" w:lineRule="auto"/>
        <w:rPr>
          <w:sz w:val="20"/>
          <w:szCs w:val="20"/>
          <w:color w:val="auto"/>
        </w:rPr>
      </w:pPr>
      <w:r>
        <w:rPr>
          <w:rFonts w:ascii="Arial" w:cs="Arial" w:eastAsia="Arial" w:hAnsi="Arial"/>
          <w:sz w:val="12"/>
          <w:szCs w:val="12"/>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14" w:lineRule="exact"/>
        <w:rPr>
          <w:sz w:val="20"/>
          <w:szCs w:val="20"/>
          <w:color w:val="auto"/>
        </w:rPr>
      </w:pPr>
    </w:p>
    <w:p>
      <w:pPr>
        <w:ind w:right="280" w:firstLine="432"/>
        <w:spacing w:after="0" w:line="258" w:lineRule="auto"/>
        <w:rPr>
          <w:sz w:val="20"/>
          <w:szCs w:val="20"/>
          <w:color w:val="auto"/>
        </w:rPr>
      </w:pPr>
      <w:r>
        <w:rPr>
          <w:rFonts w:ascii="Arial" w:cs="Arial" w:eastAsia="Arial" w:hAnsi="Arial"/>
          <w:sz w:val="13"/>
          <w:szCs w:val="13"/>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21" w:lineRule="exact"/>
        <w:rPr>
          <w:sz w:val="20"/>
          <w:szCs w:val="20"/>
          <w:color w:val="auto"/>
        </w:rPr>
      </w:pPr>
    </w:p>
    <w:p>
      <w:pPr>
        <w:ind w:right="10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Indenture</w:t>
      </w:r>
      <w:r>
        <w:rPr>
          <w:rFonts w:ascii="Arial" w:cs="Arial" w:eastAsia="Arial" w:hAnsi="Arial"/>
          <w:sz w:val="13"/>
          <w:szCs w:val="13"/>
          <w:color w:val="auto"/>
        </w:rPr>
        <w:t>” means the Base Indenture as amended and supplemented by this Supplemental Indenture and by any supplemental indenture thereto in respect of the Notes that may be executed and delivered by the parties thereto from time to time after the Issue Date.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Indenture Obligations</w:t>
      </w:r>
      <w:r>
        <w:rPr>
          <w:rFonts w:ascii="Arial" w:cs="Arial" w:eastAsia="Arial" w:hAnsi="Arial"/>
          <w:sz w:val="13"/>
          <w:szCs w:val="13"/>
          <w:color w:val="auto"/>
        </w:rPr>
        <w:t>” has the meaning specified in Section 1501.</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Independent Director</w:t>
      </w:r>
      <w:r>
        <w:rPr>
          <w:rFonts w:ascii="Arial" w:cs="Arial" w:eastAsia="Arial" w:hAnsi="Arial"/>
          <w:sz w:val="13"/>
          <w:szCs w:val="13"/>
          <w:color w:val="auto"/>
        </w:rPr>
        <w:t>” means a director of the Parent Guarantor who is independent with respect to the transaction at issue.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Independent Investment Banker</w:t>
      </w:r>
      <w:r>
        <w:rPr>
          <w:rFonts w:ascii="Arial" w:cs="Arial" w:eastAsia="Arial" w:hAnsi="Arial"/>
          <w:sz w:val="13"/>
          <w:szCs w:val="13"/>
          <w:color w:val="auto"/>
        </w:rPr>
        <w:t>” has the meaning specified in Section 1203.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Initial Notes</w:t>
      </w:r>
      <w:r>
        <w:rPr>
          <w:rFonts w:ascii="Arial" w:cs="Arial" w:eastAsia="Arial" w:hAnsi="Arial"/>
          <w:sz w:val="13"/>
          <w:szCs w:val="13"/>
          <w:color w:val="auto"/>
        </w:rPr>
        <w:t>” has the meaning indicated in the recitals to this Supplemental Indenture.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Insolvency or Liquidation Proceeding</w:t>
      </w:r>
      <w:r>
        <w:rPr>
          <w:rFonts w:ascii="Arial" w:cs="Arial" w:eastAsia="Arial" w:hAnsi="Arial"/>
          <w:sz w:val="13"/>
          <w:szCs w:val="13"/>
          <w:color w:val="auto"/>
        </w:rPr>
        <w:t>” has the meaning specified in Section 707.</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Institutional Accredited Investor Global Note</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Institutional Accredit Investor Notes</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interest</w:t>
      </w:r>
      <w:r>
        <w:rPr>
          <w:rFonts w:ascii="Arial" w:cs="Arial" w:eastAsia="Arial" w:hAnsi="Arial"/>
          <w:sz w:val="13"/>
          <w:szCs w:val="13"/>
          <w:color w:val="auto"/>
        </w:rPr>
        <w:t>” with respect to the Notes includes Additional Interest, if any.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Interest Payment Date</w:t>
      </w:r>
      <w:r>
        <w:rPr>
          <w:rFonts w:ascii="Arial" w:cs="Arial" w:eastAsia="Arial" w:hAnsi="Arial"/>
          <w:sz w:val="13"/>
          <w:szCs w:val="13"/>
          <w:color w:val="auto"/>
        </w:rPr>
        <w:t>,” when used with respect to any Note, means the Stated Maturity of an installment of interest on such Note.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Investment Company Act</w:t>
      </w:r>
      <w:r>
        <w:rPr>
          <w:rFonts w:ascii="Arial" w:cs="Arial" w:eastAsia="Arial" w:hAnsi="Arial"/>
          <w:sz w:val="13"/>
          <w:szCs w:val="13"/>
          <w:color w:val="auto"/>
        </w:rPr>
        <w:t>” means the Investment Company Act of 1940 and any statute successor thereto, in each case as amended from time to time.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40"/>
          </w:cols>
          <w:pgMar w:left="220" w:top="435" w:right="239" w:bottom="1440" w:gutter="0" w:footer="0" w:header="0"/>
        </w:sectPr>
      </w:pPr>
    </w:p>
    <w:bookmarkStart w:id="29" w:name="page30"/>
    <w:bookmarkEnd w:id="29"/>
    <w:p>
      <w:pPr>
        <w:ind w:right="54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Investment Grade Rating</w:t>
      </w:r>
      <w:r>
        <w:rPr>
          <w:rFonts w:ascii="Arial" w:cs="Arial" w:eastAsia="Arial" w:hAnsi="Arial"/>
          <w:sz w:val="13"/>
          <w:szCs w:val="13"/>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Investments</w:t>
      </w:r>
      <w:r>
        <w:rPr>
          <w:rFonts w:ascii="Arial" w:cs="Arial" w:eastAsia="Arial" w:hAnsi="Arial"/>
          <w:sz w:val="13"/>
          <w:szCs w:val="13"/>
          <w:color w:val="auto"/>
        </w:rPr>
        <w:t>” of any Person means:</w:t>
      </w:r>
    </w:p>
    <w:p>
      <w:pPr>
        <w:spacing w:after="0" w:line="148" w:lineRule="exact"/>
        <w:rPr>
          <w:sz w:val="20"/>
          <w:szCs w:val="20"/>
          <w:color w:val="auto"/>
        </w:rPr>
      </w:pPr>
    </w:p>
    <w:p>
      <w:pPr>
        <w:ind w:left="420" w:right="700" w:firstLine="437"/>
        <w:spacing w:after="0" w:line="271" w:lineRule="auto"/>
        <w:tabs>
          <w:tab w:leader="none" w:pos="1126"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12" w:lineRule="exact"/>
        <w:rPr>
          <w:rFonts w:ascii="Arial" w:cs="Arial" w:eastAsia="Arial" w:hAnsi="Arial"/>
          <w:sz w:val="13"/>
          <w:szCs w:val="13"/>
          <w:color w:val="auto"/>
        </w:rPr>
      </w:pPr>
    </w:p>
    <w:p>
      <w:pPr>
        <w:ind w:left="420" w:right="360" w:firstLine="437"/>
        <w:spacing w:after="0" w:line="271" w:lineRule="auto"/>
        <w:tabs>
          <w:tab w:leader="none" w:pos="1126"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all other items that would be classified as investments in another Person on a balance sheet of such Person prepared in accordance with GAAP; and</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Designation of any Subsidiary as an Unrestricted Subsidiary.</w:t>
      </w:r>
    </w:p>
    <w:p>
      <w:pPr>
        <w:spacing w:after="0" w:line="148" w:lineRule="exact"/>
        <w:rPr>
          <w:sz w:val="20"/>
          <w:szCs w:val="20"/>
          <w:color w:val="auto"/>
        </w:rPr>
      </w:pPr>
    </w:p>
    <w:p>
      <w:pPr>
        <w:ind w:firstLine="432"/>
        <w:spacing w:after="0" w:line="278" w:lineRule="auto"/>
        <w:rPr>
          <w:sz w:val="20"/>
          <w:szCs w:val="20"/>
          <w:color w:val="auto"/>
        </w:rPr>
      </w:pPr>
      <w:r>
        <w:rPr>
          <w:rFonts w:ascii="Arial" w:cs="Arial" w:eastAsia="Arial" w:hAnsi="Arial"/>
          <w:sz w:val="12"/>
          <w:szCs w:val="12"/>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Section 1106.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Issue Date</w:t>
      </w:r>
      <w:r>
        <w:rPr>
          <w:rFonts w:ascii="Arial" w:cs="Arial" w:eastAsia="Arial" w:hAnsi="Arial"/>
          <w:sz w:val="13"/>
          <w:szCs w:val="13"/>
          <w:color w:val="auto"/>
        </w:rPr>
        <w:t>” means the first date on which the Notes are issued under the Indenture.</w:t>
      </w:r>
    </w:p>
    <w:p>
      <w:pPr>
        <w:spacing w:after="0" w:line="148" w:lineRule="exact"/>
        <w:rPr>
          <w:sz w:val="20"/>
          <w:szCs w:val="20"/>
          <w:color w:val="auto"/>
        </w:rPr>
      </w:pPr>
    </w:p>
    <w:p>
      <w:pPr>
        <w:ind w:right="20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Issuer</w:t>
      </w:r>
      <w:r>
        <w:rPr>
          <w:rFonts w:ascii="Arial" w:cs="Arial" w:eastAsia="Arial" w:hAnsi="Arial"/>
          <w:sz w:val="13"/>
          <w:szCs w:val="13"/>
          <w:color w:val="auto"/>
        </w:rPr>
        <w:t>” means the Person named as the “Issuer” in the first paragraph of this Supplemental Indenture until a successor Person shall have become such pursuant to the applicable provisions of the Indenture, and thereafter “Issuer” shall mean such successor Person.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Issuer Request</w:t>
      </w:r>
      <w:r>
        <w:rPr>
          <w:rFonts w:ascii="Arial" w:cs="Arial" w:eastAsia="Arial" w:hAnsi="Arial"/>
          <w:sz w:val="13"/>
          <w:szCs w:val="13"/>
          <w:color w:val="auto"/>
        </w:rPr>
        <w:t>” or “</w:t>
      </w:r>
      <w:r>
        <w:rPr>
          <w:rFonts w:ascii="Arial" w:cs="Arial" w:eastAsia="Arial" w:hAnsi="Arial"/>
          <w:sz w:val="13"/>
          <w:szCs w:val="13"/>
          <w:i w:val="1"/>
          <w:iCs w:val="1"/>
          <w:color w:val="auto"/>
        </w:rPr>
        <w:t>Issuer Order</w:t>
      </w:r>
      <w:r>
        <w:rPr>
          <w:rFonts w:ascii="Arial" w:cs="Arial" w:eastAsia="Arial" w:hAnsi="Arial"/>
          <w:sz w:val="13"/>
          <w:szCs w:val="13"/>
          <w:color w:val="auto"/>
        </w:rPr>
        <w:t>” means a written request or order signed in the name of the Issuer by an Officer and delivered to the Trustee.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Judgment Currency</w:t>
      </w:r>
      <w:r>
        <w:rPr>
          <w:rFonts w:ascii="Arial" w:cs="Arial" w:eastAsia="Arial" w:hAnsi="Arial"/>
          <w:sz w:val="13"/>
          <w:szCs w:val="13"/>
          <w:color w:val="auto"/>
        </w:rPr>
        <w:t>” has the meaning specified in Section 217.</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Legal Defeasance</w:t>
      </w:r>
      <w:r>
        <w:rPr>
          <w:rFonts w:ascii="Arial" w:cs="Arial" w:eastAsia="Arial" w:hAnsi="Arial"/>
          <w:sz w:val="13"/>
          <w:szCs w:val="13"/>
          <w:color w:val="auto"/>
        </w:rPr>
        <w:t>” has the meaning specified in Section 1402.</w:t>
      </w:r>
    </w:p>
    <w:p>
      <w:pPr>
        <w:spacing w:after="0" w:line="148" w:lineRule="exact"/>
        <w:rPr>
          <w:sz w:val="20"/>
          <w:szCs w:val="20"/>
          <w:color w:val="auto"/>
        </w:rPr>
      </w:pPr>
    </w:p>
    <w:p>
      <w:pPr>
        <w:jc w:val="both"/>
        <w:ind w:right="12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Lien</w:t>
      </w:r>
      <w:r>
        <w:rPr>
          <w:rFonts w:ascii="Arial" w:cs="Arial" w:eastAsia="Arial" w:hAnsi="Arial"/>
          <w:sz w:val="13"/>
          <w:szCs w:val="13"/>
          <w:color w:val="auto"/>
        </w:rPr>
        <w:t xml:space="preserve">” means any mortgage, pledge, security interest, charge, lien or other encumbrance of any kind, whether or not filed, recorded or perfected under applicable law;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435" w:right="19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3"/>
          <w:szCs w:val="13"/>
          <w:color w:val="auto"/>
        </w:rPr>
        <w:t>(including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Make-Whole Price</w:t>
      </w:r>
      <w:r>
        <w:rPr>
          <w:rFonts w:ascii="Arial" w:cs="Arial" w:eastAsia="Arial" w:hAnsi="Arial"/>
          <w:sz w:val="13"/>
          <w:szCs w:val="13"/>
          <w:color w:val="auto"/>
        </w:rPr>
        <w:t>” has the meaning specified in Section 1203.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Moody’s</w:t>
      </w:r>
      <w:r>
        <w:rPr>
          <w:rFonts w:ascii="Arial" w:cs="Arial" w:eastAsia="Arial" w:hAnsi="Arial"/>
          <w:sz w:val="13"/>
          <w:szCs w:val="13"/>
          <w:color w:val="auto"/>
        </w:rPr>
        <w:t>” means Moody’s Investors Service, Inc., and its successors.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Non-Recourse Debt</w:t>
      </w:r>
      <w:r>
        <w:rPr>
          <w:rFonts w:ascii="Arial" w:cs="Arial" w:eastAsia="Arial" w:hAnsi="Arial"/>
          <w:sz w:val="13"/>
          <w:szCs w:val="13"/>
          <w:color w:val="auto"/>
        </w:rPr>
        <w:t>” means Indebtedness of an Unrestricted Subsidiary:</w:t>
      </w:r>
    </w:p>
    <w:p>
      <w:pPr>
        <w:spacing w:after="0" w:line="148" w:lineRule="exact"/>
        <w:rPr>
          <w:sz w:val="20"/>
          <w:szCs w:val="20"/>
          <w:color w:val="auto"/>
        </w:rPr>
      </w:pPr>
    </w:p>
    <w:p>
      <w:pPr>
        <w:ind w:left="420" w:right="580" w:firstLine="437"/>
        <w:spacing w:after="0" w:line="271" w:lineRule="auto"/>
        <w:tabs>
          <w:tab w:leader="none" w:pos="1126" w:val="left"/>
        </w:tabs>
        <w:numPr>
          <w:ilvl w:val="0"/>
          <w:numId w:val="19"/>
        </w:numPr>
        <w:rPr>
          <w:rFonts w:ascii="Arial" w:cs="Arial" w:eastAsia="Arial" w:hAnsi="Arial"/>
          <w:sz w:val="13"/>
          <w:szCs w:val="13"/>
          <w:color w:val="auto"/>
        </w:rPr>
      </w:pPr>
      <w:r>
        <w:rPr>
          <w:rFonts w:ascii="Arial" w:cs="Arial" w:eastAsia="Arial" w:hAnsi="Arial"/>
          <w:sz w:val="13"/>
          <w:szCs w:val="13"/>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12" w:lineRule="exact"/>
        <w:rPr>
          <w:rFonts w:ascii="Arial" w:cs="Arial" w:eastAsia="Arial" w:hAnsi="Arial"/>
          <w:sz w:val="13"/>
          <w:szCs w:val="13"/>
          <w:color w:val="auto"/>
        </w:rPr>
      </w:pPr>
    </w:p>
    <w:p>
      <w:pPr>
        <w:jc w:val="both"/>
        <w:ind w:left="420" w:right="100" w:firstLine="437"/>
        <w:spacing w:after="0" w:line="258" w:lineRule="auto"/>
        <w:tabs>
          <w:tab w:leader="none" w:pos="1126" w:val="left"/>
        </w:tabs>
        <w:numPr>
          <w:ilvl w:val="0"/>
          <w:numId w:val="19"/>
        </w:numPr>
        <w:rPr>
          <w:rFonts w:ascii="Arial" w:cs="Arial" w:eastAsia="Arial" w:hAnsi="Arial"/>
          <w:sz w:val="13"/>
          <w:szCs w:val="13"/>
          <w:color w:val="auto"/>
        </w:rPr>
      </w:pPr>
      <w:r>
        <w:rPr>
          <w:rFonts w:ascii="Arial" w:cs="Arial" w:eastAsia="Arial" w:hAnsi="Arial"/>
          <w:sz w:val="13"/>
          <w:szCs w:val="13"/>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Non-U.S. Person</w:t>
      </w:r>
      <w:r>
        <w:rPr>
          <w:rFonts w:ascii="Arial" w:cs="Arial" w:eastAsia="Arial" w:hAnsi="Arial"/>
          <w:sz w:val="13"/>
          <w:szCs w:val="13"/>
          <w:color w:val="auto"/>
        </w:rPr>
        <w:t>” means a Person who is not a U.S. Person (as defined in Regulation 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Notation of Guarantee</w:t>
      </w:r>
      <w:r>
        <w:rPr>
          <w:rFonts w:ascii="Arial" w:cs="Arial" w:eastAsia="Arial" w:hAnsi="Arial"/>
          <w:sz w:val="13"/>
          <w:szCs w:val="13"/>
          <w:color w:val="auto"/>
        </w:rPr>
        <w:t>” has the meaning specified in Section 1502.</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Notes</w:t>
      </w:r>
      <w:r>
        <w:rPr>
          <w:rFonts w:ascii="Arial" w:cs="Arial" w:eastAsia="Arial" w:hAnsi="Arial"/>
          <w:sz w:val="13"/>
          <w:szCs w:val="13"/>
          <w:color w:val="auto"/>
        </w:rPr>
        <w:t>” has the meaning indicated in the recitals to this Supplemental Indenture and includes both the Initial Notes and any Additional Notes and Exchange Notes.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Obligation</w:t>
      </w:r>
      <w:r>
        <w:rPr>
          <w:rFonts w:ascii="Arial" w:cs="Arial" w:eastAsia="Arial" w:hAnsi="Arial"/>
          <w:sz w:val="12"/>
          <w:szCs w:val="12"/>
          <w:color w:val="auto"/>
        </w:rPr>
        <w:t>” means any principal, interest, penalties, fees, indemnification, reimbursements, costs, expenses, damages and other liabilities payable under the documentation governing any Indebtedness.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Offering Memorandum</w:t>
      </w:r>
      <w:r>
        <w:rPr>
          <w:rFonts w:ascii="Arial" w:cs="Arial" w:eastAsia="Arial" w:hAnsi="Arial"/>
          <w:sz w:val="13"/>
          <w:szCs w:val="13"/>
          <w:color w:val="auto"/>
        </w:rPr>
        <w:t>” means the Issuer’s final offering memorandum dated February 21, 2018 respecting the offering of the Initial Notes.</w:t>
      </w:r>
    </w:p>
    <w:p>
      <w:pPr>
        <w:spacing w:after="0" w:line="148" w:lineRule="exact"/>
        <w:rPr>
          <w:sz w:val="20"/>
          <w:szCs w:val="20"/>
          <w:color w:val="auto"/>
        </w:rPr>
      </w:pPr>
    </w:p>
    <w:p>
      <w:pPr>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Officer</w:t>
      </w:r>
      <w:r>
        <w:rPr>
          <w:rFonts w:ascii="Arial" w:cs="Arial" w:eastAsia="Arial" w:hAnsi="Arial"/>
          <w:sz w:val="13"/>
          <w:szCs w:val="13"/>
          <w:color w:val="auto"/>
        </w:rPr>
        <w:t>” means any of the following of the Issuer or any Guarantor: the Chairman of the Board, the Chief Executive Officer, the President, any Vice President, or any other duly authorized officer of the Issuer or such Guarantor, as the case may be, or any other person duly authorized by any such person.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Officer’s Certificate</w:t>
      </w:r>
      <w:r>
        <w:rPr>
          <w:rFonts w:ascii="Arial" w:cs="Arial" w:eastAsia="Arial" w:hAnsi="Arial"/>
          <w:sz w:val="13"/>
          <w:szCs w:val="13"/>
          <w:color w:val="auto"/>
        </w:rPr>
        <w:t>” means a certificate signed by an Officer of the Issuer or a Guarantor, as appropriate, and delivered to the Trustee.</w:t>
      </w:r>
    </w:p>
    <w:p>
      <w:pPr>
        <w:spacing w:after="0" w:line="148" w:lineRule="exact"/>
        <w:rPr>
          <w:sz w:val="20"/>
          <w:szCs w:val="20"/>
          <w:color w:val="auto"/>
        </w:rPr>
      </w:pPr>
    </w:p>
    <w:p>
      <w:pPr>
        <w:ind w:right="18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Opinion of Counsel</w:t>
      </w:r>
      <w:r>
        <w:rPr>
          <w:rFonts w:ascii="Arial" w:cs="Arial" w:eastAsia="Arial" w:hAnsi="Arial"/>
          <w:sz w:val="13"/>
          <w:szCs w:val="13"/>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Original Indenture</w:t>
      </w:r>
      <w:r>
        <w:rPr>
          <w:rFonts w:ascii="Arial" w:cs="Arial" w:eastAsia="Arial" w:hAnsi="Arial"/>
          <w:sz w:val="13"/>
          <w:szCs w:val="13"/>
          <w:color w:val="auto"/>
        </w:rPr>
        <w:t>” has the meaning stated in the first recital of this Supplemental Indenture.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Outstanding,</w:t>
      </w:r>
      <w:r>
        <w:rPr>
          <w:rFonts w:ascii="Arial" w:cs="Arial" w:eastAsia="Arial" w:hAnsi="Arial"/>
          <w:sz w:val="13"/>
          <w:szCs w:val="13"/>
          <w:color w:val="auto"/>
        </w:rPr>
        <w:t>” when used with respect to the Notes, means, as of the date of determination, all Notes theretofore authenticated and delivered under the Indenture, except: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435" w:right="219" w:bottom="1440" w:gutter="0" w:footer="0" w:header="0"/>
        </w:sectPr>
      </w:pPr>
    </w:p>
    <w:bookmarkStart w:id="31" w:name="page32"/>
    <w:bookmarkEnd w:id="31"/>
    <w:p>
      <w:pPr>
        <w:ind w:left="1140" w:hanging="283"/>
        <w:spacing w:after="0"/>
        <w:tabs>
          <w:tab w:leader="none" w:pos="11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Notes theretofore cancelled by the Trustee or delivered to the Trustee for cancellation;</w:t>
      </w:r>
    </w:p>
    <w:p>
      <w:pPr>
        <w:spacing w:after="0" w:line="147" w:lineRule="exact"/>
        <w:rPr>
          <w:rFonts w:ascii="Arial" w:cs="Arial" w:eastAsia="Arial" w:hAnsi="Arial"/>
          <w:sz w:val="13"/>
          <w:szCs w:val="13"/>
          <w:color w:val="auto"/>
        </w:rPr>
      </w:pPr>
    </w:p>
    <w:p>
      <w:pPr>
        <w:jc w:val="both"/>
        <w:ind w:left="420" w:firstLine="437"/>
        <w:spacing w:after="0" w:line="258" w:lineRule="auto"/>
        <w:tabs>
          <w:tab w:leader="none" w:pos="1126"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Notes for whose payment or redemption money in the necessary amount has been theretofore deposited with the Trustee or any Paying Agent (other than the Issuer or an Affiliate of the Issuer) in trust or set aside and segregated in trust by the Issuer (if the Issuer or an Affiliate of the Issuer shall act as its own Paying Agent) for the Holders of such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Notes are to be redeemed, notice of such redemption has been duly given pursuant to the Indenture or provision therefor satisfactory to the Trustee has been made;</w:t>
      </w:r>
    </w:p>
    <w:p>
      <w:pPr>
        <w:spacing w:after="0" w:line="121" w:lineRule="exact"/>
        <w:rPr>
          <w:rFonts w:ascii="Arial" w:cs="Arial" w:eastAsia="Arial" w:hAnsi="Arial"/>
          <w:sz w:val="13"/>
          <w:szCs w:val="13"/>
          <w:color w:val="auto"/>
        </w:rPr>
      </w:pPr>
    </w:p>
    <w:p>
      <w:pPr>
        <w:ind w:left="1140" w:hanging="283"/>
        <w:spacing w:after="0"/>
        <w:tabs>
          <w:tab w:leader="none" w:pos="11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Notes as to which Legal Defeasance has been effected pursuant to Section 1402; and</w:t>
      </w:r>
    </w:p>
    <w:p>
      <w:pPr>
        <w:spacing w:after="0" w:line="147" w:lineRule="exact"/>
        <w:rPr>
          <w:rFonts w:ascii="Arial" w:cs="Arial" w:eastAsia="Arial" w:hAnsi="Arial"/>
          <w:sz w:val="13"/>
          <w:szCs w:val="13"/>
          <w:color w:val="auto"/>
        </w:rPr>
      </w:pPr>
    </w:p>
    <w:p>
      <w:pPr>
        <w:ind w:left="420" w:firstLine="437"/>
        <w:spacing w:after="0" w:line="364" w:lineRule="auto"/>
        <w:tabs>
          <w:tab w:leader="none" w:pos="1126" w:val="left"/>
        </w:tabs>
        <w:numPr>
          <w:ilvl w:val="0"/>
          <w:numId w:val="20"/>
        </w:numPr>
        <w:rPr>
          <w:rFonts w:ascii="Arial" w:cs="Arial" w:eastAsia="Arial" w:hAnsi="Arial"/>
          <w:sz w:val="11"/>
          <w:szCs w:val="11"/>
          <w:color w:val="auto"/>
        </w:rPr>
      </w:pPr>
      <w:r>
        <w:rPr>
          <w:rFonts w:ascii="Arial" w:cs="Arial" w:eastAsia="Arial" w:hAnsi="Arial"/>
          <w:sz w:val="11"/>
          <w:szCs w:val="11"/>
          <w:color w:val="auto"/>
        </w:rPr>
        <w:t>Notes which have been paid pursuant to Section 406 or in exchange for or in lieu of which other Notes have been authenticated and delivered pursuant to the Indenture, other than any such Notes in respect of which there shall have been presented to the Trustee proof satisfactory to it that such Notes are held by a protected purchaser in whose hands such Notes are valid obligations of the Issuer;</w:t>
      </w:r>
    </w:p>
    <w:p>
      <w:pPr>
        <w:spacing w:after="0" w:line="67"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in determining whether the Holders of the requisite principal amount of the Outstanding Notes have given, made or taken any request, demand, authorization, direction, notice, consent, waiver</w:t>
      </w:r>
      <w:r>
        <w:rPr>
          <w:rFonts w:ascii="Arial" w:cs="Arial" w:eastAsia="Arial" w:hAnsi="Arial"/>
          <w:sz w:val="12"/>
          <w:szCs w:val="12"/>
          <w:i w:val="1"/>
          <w:iCs w:val="1"/>
          <w:color w:val="auto"/>
        </w:rPr>
        <w:t xml:space="preserve"> </w:t>
      </w:r>
      <w:r>
        <w:rPr>
          <w:rFonts w:ascii="Arial" w:cs="Arial" w:eastAsia="Arial" w:hAnsi="Arial"/>
          <w:sz w:val="12"/>
          <w:szCs w:val="12"/>
          <w:color w:val="auto"/>
        </w:rPr>
        <w:t>or other Act hereunder as of any date, Notes owned by the Issuer or any other obligor upon the Notes or any Affiliate of the Issuer or such other obligor shall be disregarded and deemed not to be Outstanding, except that, in determining whether the Trustee shall be protected in relying upon any such request, demand, authorization, direction, notice, consent, waiver or other action, only Notes which the Trustee knows to be so owned shall be so disregarded. Notes so owned which have been pledged in good faith may be regarded as Outstanding if the pledgee certifies to the Trustee that the pledgee has the right so to act with respect to such Notes and that the pledgee is not the Issuer or any other obligor upon the Notes or any Affiliate of the Issuer or of such other obligor.</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Par Call Date</w:t>
      </w:r>
      <w:r>
        <w:rPr>
          <w:rFonts w:ascii="Arial" w:cs="Arial" w:eastAsia="Arial" w:hAnsi="Arial"/>
          <w:sz w:val="13"/>
          <w:szCs w:val="13"/>
          <w:color w:val="auto"/>
        </w:rPr>
        <w:t>” has the meaning specified in Section 1203.</w:t>
      </w:r>
    </w:p>
    <w:p>
      <w:pPr>
        <w:spacing w:after="0" w:line="148" w:lineRule="exact"/>
        <w:rPr>
          <w:sz w:val="20"/>
          <w:szCs w:val="20"/>
          <w:color w:val="auto"/>
        </w:rPr>
      </w:pPr>
    </w:p>
    <w:p>
      <w:pPr>
        <w:ind w:right="40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Parent Guarantor</w:t>
      </w:r>
      <w:r>
        <w:rPr>
          <w:rFonts w:ascii="Arial" w:cs="Arial" w:eastAsia="Arial" w:hAnsi="Arial"/>
          <w:sz w:val="13"/>
          <w:szCs w:val="13"/>
          <w:color w:val="auto"/>
        </w:rPr>
        <w:t>” means the Person named as the “Parent Guarantor” in the first paragraph of this Supplemental Indenture until a successor Person shall have become such pursuant to the applicable provisions of the Indenture, and thereafter “Parent Guarantor” shall mean such successor Person.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Pari Passu Indebtedness</w:t>
      </w:r>
      <w:r>
        <w:rPr>
          <w:rFonts w:ascii="Arial" w:cs="Arial" w:eastAsia="Arial" w:hAnsi="Arial"/>
          <w:sz w:val="13"/>
          <w:szCs w:val="13"/>
          <w:color w:val="auto"/>
        </w:rPr>
        <w:t>” means any Indebtedness of the Parent Guarantor that is not Subordinated Indebtedness.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Paying Agent</w:t>
      </w:r>
      <w:r>
        <w:rPr>
          <w:rFonts w:ascii="Arial" w:cs="Arial" w:eastAsia="Arial" w:hAnsi="Arial"/>
          <w:sz w:val="13"/>
          <w:szCs w:val="13"/>
          <w:color w:val="auto"/>
        </w:rPr>
        <w:t>” means any Person authorized by the Issuer to pay the principal of or any premium or interest on any Notes on behalf of the Issuer.</w:t>
      </w:r>
    </w:p>
    <w:p>
      <w:pPr>
        <w:spacing w:after="0" w:line="148" w:lineRule="exact"/>
        <w:rPr>
          <w:sz w:val="20"/>
          <w:szCs w:val="20"/>
          <w:color w:val="auto"/>
        </w:rPr>
      </w:pPr>
    </w:p>
    <w:p>
      <w:pPr>
        <w:ind w:right="18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Business</w:t>
      </w:r>
      <w:r>
        <w:rPr>
          <w:rFonts w:ascii="Arial" w:cs="Arial" w:eastAsia="Arial" w:hAnsi="Arial"/>
          <w:sz w:val="13"/>
          <w:szCs w:val="13"/>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13" w:lineRule="exact"/>
        <w:rPr>
          <w:sz w:val="20"/>
          <w:szCs w:val="20"/>
          <w:color w:val="auto"/>
        </w:rPr>
      </w:pPr>
    </w:p>
    <w:p>
      <w:pPr>
        <w:ind w:right="6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Business Investment</w:t>
      </w:r>
      <w:r>
        <w:rPr>
          <w:rFonts w:ascii="Arial" w:cs="Arial" w:eastAsia="Arial" w:hAnsi="Arial"/>
          <w:sz w:val="13"/>
          <w:szCs w:val="13"/>
          <w:color w:val="auto"/>
        </w:rPr>
        <w:t>” means Investments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00"/>
          </w:cols>
          <w:pgMar w:left="220" w:top="435" w:right="279" w:bottom="1440" w:gutter="0" w:footer="0" w:header="0"/>
        </w:sectPr>
      </w:pPr>
    </w:p>
    <w:bookmarkStart w:id="32" w:name="page33"/>
    <w:bookmarkEnd w:id="32"/>
    <w:p>
      <w:pPr>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Factoring Transactions</w:t>
      </w:r>
      <w:r>
        <w:rPr>
          <w:rFonts w:ascii="Arial" w:cs="Arial" w:eastAsia="Arial" w:hAnsi="Arial"/>
          <w:sz w:val="13"/>
          <w:szCs w:val="13"/>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Indebtedness</w:t>
      </w:r>
      <w:r>
        <w:rPr>
          <w:rFonts w:ascii="Arial" w:cs="Arial" w:eastAsia="Arial" w:hAnsi="Arial"/>
          <w:sz w:val="13"/>
          <w:szCs w:val="13"/>
          <w:color w:val="auto"/>
        </w:rPr>
        <w:t>” has the meaning set forth in the second paragraph of Section 1108.</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Investment</w:t>
      </w:r>
      <w:r>
        <w:rPr>
          <w:rFonts w:ascii="Arial" w:cs="Arial" w:eastAsia="Arial" w:hAnsi="Arial"/>
          <w:sz w:val="13"/>
          <w:szCs w:val="13"/>
          <w:color w:val="auto"/>
        </w:rPr>
        <w:t>” means:</w:t>
      </w:r>
    </w:p>
    <w:p>
      <w:pPr>
        <w:spacing w:after="0" w:line="148" w:lineRule="exact"/>
        <w:rPr>
          <w:sz w:val="20"/>
          <w:szCs w:val="20"/>
          <w:color w:val="auto"/>
        </w:rPr>
      </w:pPr>
    </w:p>
    <w:p>
      <w:pPr>
        <w:ind w:left="420" w:right="20" w:firstLine="437"/>
        <w:spacing w:after="0" w:line="258" w:lineRule="auto"/>
        <w:tabs>
          <w:tab w:leader="none" w:pos="1126"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121" w:lineRule="exact"/>
        <w:rPr>
          <w:rFonts w:ascii="Arial" w:cs="Arial" w:eastAsia="Arial" w:hAnsi="Arial"/>
          <w:sz w:val="13"/>
          <w:szCs w:val="13"/>
          <w:color w:val="auto"/>
        </w:rPr>
      </w:pPr>
    </w:p>
    <w:p>
      <w:pPr>
        <w:ind w:left="1140" w:hanging="283"/>
        <w:spacing w:after="0"/>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Investments in the Parent Guarantor by any Restricted Subsidiary;</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loans and advances to directors, employees and officers of the Parent Guarantor and its Restricted Subsidiaries in the ordinary course of business;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Hedging Obligations entered into in the ordinary course of business for bona fide hedging purposes of the Parent Guarantor or any Restricted Subsidiary not for the purpose of speculation;</w:t>
      </w:r>
    </w:p>
    <w:p>
      <w:pPr>
        <w:spacing w:after="0" w:line="159" w:lineRule="exact"/>
        <w:rPr>
          <w:rFonts w:ascii="Arial" w:cs="Arial" w:eastAsia="Arial" w:hAnsi="Arial"/>
          <w:sz w:val="12"/>
          <w:szCs w:val="12"/>
          <w:color w:val="auto"/>
        </w:rPr>
      </w:pPr>
    </w:p>
    <w:p>
      <w:pPr>
        <w:ind w:left="1140" w:hanging="283"/>
        <w:spacing w:after="0"/>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Investments in cash and Cash Equivalents;</w:t>
      </w:r>
    </w:p>
    <w:p>
      <w:pPr>
        <w:spacing w:after="0" w:line="147" w:lineRule="exact"/>
        <w:rPr>
          <w:rFonts w:ascii="Arial" w:cs="Arial" w:eastAsia="Arial" w:hAnsi="Arial"/>
          <w:sz w:val="13"/>
          <w:szCs w:val="13"/>
          <w:color w:val="auto"/>
        </w:rPr>
      </w:pPr>
    </w:p>
    <w:p>
      <w:pPr>
        <w:ind w:left="420" w:right="420" w:firstLine="437"/>
        <w:spacing w:after="0" w:line="271" w:lineRule="auto"/>
        <w:tabs>
          <w:tab w:leader="none" w:pos="1126"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receivables owing to the Parent Guarantor or any Restricted Subsidiary if created or acquired in the ordinary course of business;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trade terms may include such concessionary trade terms as the Parent Guarantor or any such Restricted Subsidiary deems reasonable under the circumstances;</w:t>
      </w:r>
    </w:p>
    <w:p>
      <w:pPr>
        <w:spacing w:after="0" w:line="112" w:lineRule="exact"/>
        <w:rPr>
          <w:rFonts w:ascii="Arial" w:cs="Arial" w:eastAsia="Arial" w:hAnsi="Arial"/>
          <w:sz w:val="13"/>
          <w:szCs w:val="13"/>
          <w:color w:val="auto"/>
        </w:rPr>
      </w:pPr>
    </w:p>
    <w:p>
      <w:pPr>
        <w:ind w:left="420" w:right="380" w:firstLine="437"/>
        <w:spacing w:after="0" w:line="271" w:lineRule="auto"/>
        <w:tabs>
          <w:tab w:leader="none" w:pos="1126"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12" w:lineRule="exact"/>
        <w:rPr>
          <w:rFonts w:ascii="Arial" w:cs="Arial" w:eastAsia="Arial" w:hAnsi="Arial"/>
          <w:sz w:val="13"/>
          <w:szCs w:val="13"/>
          <w:color w:val="auto"/>
        </w:rPr>
      </w:pPr>
    </w:p>
    <w:p>
      <w:pPr>
        <w:ind w:left="420" w:right="80" w:firstLine="437"/>
        <w:spacing w:after="0" w:line="271" w:lineRule="auto"/>
        <w:tabs>
          <w:tab w:leader="none" w:pos="1126"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Investments evidencing the right to receive a deferred purchase price or other consideration for the disposition of Receivables and Receivables Related Security in connection with any Permitted Factoring Transaction;</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guarantees of performance or similar obligations (other than Indebtedness) arising in the ordinary course of business;</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lease, utility and other similar deposits in the ordinary course of business;</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stock, obligations or securities received in settlement of debts created in the ordinary course of business and owing to the Parent Guarantor or any Restricted Subsidiary or in satisfaction of</w:t>
      </w:r>
    </w:p>
    <w:p>
      <w:pPr>
        <w:spacing w:after="0" w:line="25"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judgments;</w:t>
      </w:r>
    </w:p>
    <w:p>
      <w:pPr>
        <w:spacing w:after="0" w:line="137" w:lineRule="exact"/>
        <w:rPr>
          <w:rFonts w:ascii="Arial" w:cs="Arial" w:eastAsia="Arial" w:hAnsi="Arial"/>
          <w:sz w:val="12"/>
          <w:szCs w:val="12"/>
          <w:color w:val="auto"/>
        </w:rPr>
      </w:pPr>
    </w:p>
    <w:p>
      <w:pPr>
        <w:ind w:left="1200" w:hanging="343"/>
        <w:spacing w:after="0"/>
        <w:tabs>
          <w:tab w:leader="none" w:pos="12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Permitted Business Investments;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40"/>
          </w:cols>
          <w:pgMar w:left="220" w:top="435" w:right="239" w:bottom="1440" w:gutter="0" w:footer="0" w:header="0"/>
        </w:sectPr>
      </w:pPr>
    </w:p>
    <w:bookmarkStart w:id="33" w:name="page34"/>
    <w:bookmarkEnd w:id="33"/>
    <w:p>
      <w:pPr>
        <w:ind w:left="1200" w:hanging="343"/>
        <w:spacing w:after="0"/>
        <w:tabs>
          <w:tab w:leader="none" w:pos="12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guarantees of Indebtedness of the Parent Guarantor or any of its Restricted Subsidiaries permitted in accordance with Section 1108;</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repurchases of, or other Investments in, the Notes and Pari Passu Indebtedness;</w:t>
      </w:r>
    </w:p>
    <w:p>
      <w:pPr>
        <w:spacing w:after="0" w:line="147" w:lineRule="exact"/>
        <w:rPr>
          <w:rFonts w:ascii="Arial" w:cs="Arial" w:eastAsia="Arial" w:hAnsi="Arial"/>
          <w:sz w:val="13"/>
          <w:szCs w:val="13"/>
          <w:color w:val="auto"/>
        </w:rPr>
      </w:pPr>
    </w:p>
    <w:p>
      <w:pPr>
        <w:ind w:left="420" w:firstLine="437"/>
        <w:spacing w:after="0" w:line="258" w:lineRule="auto"/>
        <w:tabs>
          <w:tab w:leader="none" w:pos="1192"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trade terms may include such concessionary trade terms as the Parent Guarantor or the applicable Restricted Subsidiary deems reasonable under the circumstances;</w:t>
      </w:r>
    </w:p>
    <w:p>
      <w:pPr>
        <w:spacing w:after="0" w:line="121" w:lineRule="exact"/>
        <w:rPr>
          <w:rFonts w:ascii="Arial" w:cs="Arial" w:eastAsia="Arial" w:hAnsi="Arial"/>
          <w:sz w:val="13"/>
          <w:szCs w:val="13"/>
          <w:color w:val="auto"/>
        </w:rPr>
      </w:pPr>
    </w:p>
    <w:p>
      <w:pPr>
        <w:ind w:left="1200" w:hanging="343"/>
        <w:spacing w:after="0"/>
        <w:tabs>
          <w:tab w:leader="none" w:pos="12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Investments made pursuant to commitments in effect on the Issue Date;</w:t>
      </w:r>
    </w:p>
    <w:p>
      <w:pPr>
        <w:spacing w:after="0" w:line="147" w:lineRule="exact"/>
        <w:rPr>
          <w:rFonts w:ascii="Arial" w:cs="Arial" w:eastAsia="Arial" w:hAnsi="Arial"/>
          <w:sz w:val="13"/>
          <w:szCs w:val="13"/>
          <w:color w:val="auto"/>
        </w:rPr>
      </w:pPr>
    </w:p>
    <w:p>
      <w:pPr>
        <w:ind w:left="420" w:firstLine="437"/>
        <w:spacing w:after="0" w:line="271" w:lineRule="auto"/>
        <w:tabs>
          <w:tab w:leader="none" w:pos="1192"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Investments the payment for which consists of Equity Interests (exclusive of Disqualified Equity Interests) of the Parent Guarantor;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Equity Interests will not increase the amount available for Restricted Payments under the Restricted Payments Basket;</w:t>
      </w:r>
    </w:p>
    <w:p>
      <w:pPr>
        <w:spacing w:after="0" w:line="112" w:lineRule="exact"/>
        <w:rPr>
          <w:rFonts w:ascii="Arial" w:cs="Arial" w:eastAsia="Arial" w:hAnsi="Arial"/>
          <w:sz w:val="13"/>
          <w:szCs w:val="13"/>
          <w:color w:val="auto"/>
        </w:rPr>
      </w:pPr>
    </w:p>
    <w:p>
      <w:pPr>
        <w:ind w:left="1200" w:hanging="343"/>
        <w:spacing w:after="0"/>
        <w:tabs>
          <w:tab w:leader="none" w:pos="12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Investments consisting of the licensing or contribution of intellectual property pursuant to joint marketing arrangements with other Persons;</w:t>
      </w:r>
    </w:p>
    <w:p>
      <w:pPr>
        <w:spacing w:after="0" w:line="147" w:lineRule="exact"/>
        <w:rPr>
          <w:rFonts w:ascii="Arial" w:cs="Arial" w:eastAsia="Arial" w:hAnsi="Arial"/>
          <w:sz w:val="13"/>
          <w:szCs w:val="13"/>
          <w:color w:val="auto"/>
        </w:rPr>
      </w:pPr>
    </w:p>
    <w:p>
      <w:pPr>
        <w:ind w:left="420" w:right="40" w:firstLine="437"/>
        <w:spacing w:after="0" w:line="258" w:lineRule="auto"/>
        <w:tabs>
          <w:tab w:leader="none" w:pos="1192" w:val="left"/>
        </w:tabs>
        <w:numPr>
          <w:ilvl w:val="0"/>
          <w:numId w:val="22"/>
        </w:numPr>
        <w:rPr>
          <w:rFonts w:ascii="Arial" w:cs="Arial" w:eastAsia="Arial" w:hAnsi="Arial"/>
          <w:sz w:val="13"/>
          <w:szCs w:val="13"/>
          <w:color w:val="auto"/>
        </w:rPr>
      </w:pPr>
      <w:r>
        <w:rPr>
          <w:rFonts w:ascii="Arial" w:cs="Arial" w:eastAsia="Arial" w:hAnsi="Arial"/>
          <w:sz w:val="13"/>
          <w:szCs w:val="13"/>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Issue Date and then outstanding, do not exceed the greater of (i) $125.0 million or (ii) 1.0% of the Parent Guarantor’s Consolidated Tangible Assets;</w:t>
      </w:r>
    </w:p>
    <w:p>
      <w:pPr>
        <w:spacing w:after="0" w:line="121" w:lineRule="exact"/>
        <w:rPr>
          <w:rFonts w:ascii="Arial" w:cs="Arial" w:eastAsia="Arial" w:hAnsi="Arial"/>
          <w:sz w:val="13"/>
          <w:szCs w:val="13"/>
          <w:color w:val="auto"/>
        </w:rPr>
      </w:pPr>
    </w:p>
    <w:p>
      <w:pPr>
        <w:ind w:left="1220" w:hanging="363"/>
        <w:spacing w:after="0"/>
        <w:tabs>
          <w:tab w:leader="none" w:pos="12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Investments in or payments to SpinCo or its Subsidiaries in connection with a Qualified Spin Transaction and the transactions relating thereto, including the payment of all fees and expenses</w:t>
      </w:r>
    </w:p>
    <w:p>
      <w:pPr>
        <w:spacing w:after="0" w:line="25"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related thereto;</w:t>
      </w:r>
    </w:p>
    <w:p>
      <w:pPr>
        <w:spacing w:after="0" w:line="137" w:lineRule="exact"/>
        <w:rPr>
          <w:rFonts w:ascii="Arial" w:cs="Arial" w:eastAsia="Arial" w:hAnsi="Arial"/>
          <w:sz w:val="12"/>
          <w:szCs w:val="12"/>
          <w:color w:val="auto"/>
        </w:rPr>
      </w:pPr>
    </w:p>
    <w:p>
      <w:pPr>
        <w:ind w:left="1200" w:hanging="343"/>
        <w:spacing w:after="0"/>
        <w:tabs>
          <w:tab w:leader="none" w:pos="12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performance guarantees of any trade or non-financial operating contract (other than such contract that itself constitutes Indebtedness) in the ordinary course of business.</w:t>
      </w:r>
    </w:p>
    <w:p>
      <w:pPr>
        <w:spacing w:after="0" w:line="148" w:lineRule="exact"/>
        <w:rPr>
          <w:sz w:val="20"/>
          <w:szCs w:val="20"/>
          <w:color w:val="auto"/>
        </w:rPr>
      </w:pPr>
    </w:p>
    <w:p>
      <w:pPr>
        <w:ind w:right="460" w:firstLine="432"/>
        <w:spacing w:after="0" w:line="271" w:lineRule="auto"/>
        <w:rPr>
          <w:sz w:val="20"/>
          <w:szCs w:val="20"/>
          <w:color w:val="auto"/>
        </w:rPr>
      </w:pPr>
      <w:r>
        <w:rPr>
          <w:rFonts w:ascii="Arial" w:cs="Arial" w:eastAsia="Arial" w:hAnsi="Arial"/>
          <w:sz w:val="13"/>
          <w:szCs w:val="13"/>
          <w:color w:val="auto"/>
        </w:rPr>
        <w:t>In determining whether any Investment is a Permitted Investment, the Parent Guarantor may allocate or reallocate all or any portion of an Investment among the clauses of this definition and any of the provisions of Section 1109.</w:t>
      </w:r>
    </w:p>
    <w:p>
      <w:pPr>
        <w:spacing w:after="0" w:line="113" w:lineRule="exact"/>
        <w:rPr>
          <w:sz w:val="20"/>
          <w:szCs w:val="20"/>
          <w:color w:val="auto"/>
        </w:rPr>
      </w:pPr>
    </w:p>
    <w:p>
      <w:pPr>
        <w:ind w:right="20" w:firstLine="432"/>
        <w:spacing w:after="0" w:line="25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Liens</w:t>
      </w:r>
      <w:r>
        <w:rPr>
          <w:rFonts w:ascii="Arial" w:cs="Arial" w:eastAsia="Arial" w:hAnsi="Arial"/>
          <w:sz w:val="13"/>
          <w:szCs w:val="13"/>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60"/>
          </w:cols>
          <w:pgMar w:left="220" w:top="435" w:right="219" w:bottom="1440" w:gutter="0" w:footer="0" w:header="0"/>
        </w:sectPr>
      </w:pPr>
    </w:p>
    <w:bookmarkStart w:id="34" w:name="page35"/>
    <w:bookmarkEnd w:id="34"/>
    <w:p>
      <w:pPr>
        <w:spacing w:after="0" w:line="271" w:lineRule="auto"/>
        <w:rPr>
          <w:sz w:val="20"/>
          <w:szCs w:val="20"/>
          <w:color w:val="auto"/>
        </w:rPr>
      </w:pPr>
      <w:r>
        <w:rPr>
          <w:rFonts w:ascii="Arial" w:cs="Arial" w:eastAsia="Arial" w:hAnsi="Arial"/>
          <w:sz w:val="12"/>
          <w:szCs w:val="12"/>
          <w:color w:val="auto"/>
        </w:rPr>
        <w:t>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the greater of (a) $100.0 million or (b) 1.0% of the Parent Guarantor’s Consolidated Tangible Assets at any one time securing letters of credit or letter of credit facilities supporting such obligations); (ix) any Lien upon any property or assets in accordance with customary banking practice to secure any Debt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 (xi) precautionary Liens on Receivables and Receivables Related Security arising in connection with Permitted Factoring Transactions; or (xii)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w:t>
      </w:r>
    </w:p>
    <w:p>
      <w:pPr>
        <w:spacing w:after="0" w:line="117" w:lineRule="exact"/>
        <w:rPr>
          <w:sz w:val="20"/>
          <w:szCs w:val="20"/>
          <w:color w:val="auto"/>
        </w:rPr>
      </w:pPr>
    </w:p>
    <w:p>
      <w:pPr>
        <w:ind w:right="6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Person</w:t>
      </w:r>
      <w:r>
        <w:rPr>
          <w:rFonts w:ascii="Arial" w:cs="Arial" w:eastAsia="Arial" w:hAnsi="Arial"/>
          <w:sz w:val="13"/>
          <w:szCs w:val="13"/>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Place of Payment</w:t>
      </w:r>
      <w:r>
        <w:rPr>
          <w:rFonts w:ascii="Arial" w:cs="Arial" w:eastAsia="Arial" w:hAnsi="Arial"/>
          <w:sz w:val="13"/>
          <w:szCs w:val="13"/>
          <w:color w:val="auto"/>
        </w:rPr>
        <w:t>” means the place or places where the principal of and any premium and interest on the Notes are payable as specified in Section 1102.</w:t>
      </w:r>
    </w:p>
    <w:p>
      <w:pPr>
        <w:spacing w:after="0" w:line="148" w:lineRule="exact"/>
        <w:rPr>
          <w:sz w:val="20"/>
          <w:szCs w:val="20"/>
          <w:color w:val="auto"/>
        </w:rPr>
      </w:pPr>
    </w:p>
    <w:p>
      <w:pPr>
        <w:ind w:right="160" w:firstLine="432"/>
        <w:spacing w:after="0" w:line="31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Predecessor Note</w:t>
      </w:r>
      <w:r>
        <w:rPr>
          <w:rFonts w:ascii="Arial" w:cs="Arial" w:eastAsia="Arial" w:hAnsi="Arial"/>
          <w:sz w:val="12"/>
          <w:szCs w:val="12"/>
          <w:color w:val="auto"/>
        </w:rPr>
        <w:t>” of any particular Note means every previous Note evidencing all or a portion of the same debt as that evidenced by such particular Note; and, for the purposes of this definition, any Note authenticated and delivered under Section 406 in exchange for or in lieu of a mutilated, destroyed, lost or stolen Note shall be deemed to evidence the same debt as the mutilated, destroyed, lost or stolen Note.</w:t>
      </w:r>
    </w:p>
    <w:p>
      <w:pPr>
        <w:spacing w:after="0" w:line="89" w:lineRule="exact"/>
        <w:rPr>
          <w:sz w:val="20"/>
          <w:szCs w:val="20"/>
          <w:color w:val="auto"/>
        </w:rPr>
      </w:pPr>
    </w:p>
    <w:p>
      <w:pPr>
        <w:jc w:val="both"/>
        <w:ind w:right="14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Preferred Stock</w:t>
      </w:r>
      <w:r>
        <w:rPr>
          <w:rFonts w:ascii="Arial" w:cs="Arial" w:eastAsia="Arial" w:hAnsi="Arial"/>
          <w:sz w:val="13"/>
          <w:szCs w:val="13"/>
          <w:color w:val="auto"/>
        </w:rPr>
        <w:t>” means, with respect to any Person, any and all preferred or preference stock or shares or other Equity Interests (however designated) of such Person whether now outstanding or issued after the Issue Date that is preferred as to the payment of dividends upon liquidation, dissolution or winding up.</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Prior Issue Date</w:t>
      </w:r>
      <w:r>
        <w:rPr>
          <w:rFonts w:ascii="Arial" w:cs="Arial" w:eastAsia="Arial" w:hAnsi="Arial"/>
          <w:sz w:val="13"/>
          <w:szCs w:val="13"/>
          <w:color w:val="auto"/>
        </w:rPr>
        <w:t>” means June 17, 2016.</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Process Agent</w:t>
      </w:r>
      <w:r>
        <w:rPr>
          <w:rFonts w:ascii="Arial" w:cs="Arial" w:eastAsia="Arial" w:hAnsi="Arial"/>
          <w:sz w:val="13"/>
          <w:szCs w:val="13"/>
          <w:color w:val="auto"/>
        </w:rPr>
        <w:t>” has the meaning specified in Section 212.</w:t>
      </w:r>
    </w:p>
    <w:p>
      <w:pPr>
        <w:spacing w:after="0" w:line="148" w:lineRule="exact"/>
        <w:rPr>
          <w:sz w:val="20"/>
          <w:szCs w:val="20"/>
          <w:color w:val="auto"/>
        </w:rPr>
      </w:pPr>
    </w:p>
    <w:p>
      <w:pPr>
        <w:jc w:val="both"/>
        <w:ind w:right="14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Purchase Money Indebtedness</w:t>
      </w:r>
      <w:r>
        <w:rPr>
          <w:rFonts w:ascii="Arial" w:cs="Arial" w:eastAsia="Arial" w:hAnsi="Arial"/>
          <w:sz w:val="13"/>
          <w:szCs w:val="13"/>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amount of such Indebtedness shall not exceed such purchase price or cost.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QIB</w:t>
      </w:r>
      <w:r>
        <w:rPr>
          <w:rFonts w:ascii="Arial" w:cs="Arial" w:eastAsia="Arial" w:hAnsi="Arial"/>
          <w:sz w:val="13"/>
          <w:szCs w:val="13"/>
          <w:color w:val="auto"/>
        </w:rPr>
        <w:t>” means any “qualified institutional buyer” as such term is defined in Rule 144A.</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435" w:right="199" w:bottom="1440" w:gutter="0" w:footer="0" w:header="0"/>
        </w:sectPr>
      </w:pPr>
    </w:p>
    <w:bookmarkStart w:id="35" w:name="page36"/>
    <w:bookmarkEnd w:id="35"/>
    <w:p>
      <w:pPr>
        <w:ind w:left="8" w:right="20" w:firstLine="432"/>
        <w:spacing w:after="0" w:line="27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Qualified Equity Interests</w:t>
      </w:r>
      <w:r>
        <w:rPr>
          <w:rFonts w:ascii="Arial" w:cs="Arial" w:eastAsia="Arial" w:hAnsi="Arial"/>
          <w:sz w:val="12"/>
          <w:szCs w:val="12"/>
          <w:color w:val="auto"/>
        </w:rPr>
        <w:t xml:space="preserve">” of any Person means Equity Interests of such Person other than Disqualified Equity Interests;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w:t>
      </w:r>
    </w:p>
    <w:p>
      <w:pPr>
        <w:ind w:left="8" w:right="420" w:hanging="8"/>
        <w:spacing w:after="0" w:line="255" w:lineRule="auto"/>
        <w:tabs>
          <w:tab w:leader="none" w:pos="195"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23" w:lineRule="exact"/>
        <w:rPr>
          <w:sz w:val="20"/>
          <w:szCs w:val="20"/>
          <w:color w:val="auto"/>
        </w:rPr>
      </w:pPr>
    </w:p>
    <w:p>
      <w:pPr>
        <w:ind w:left="8" w:right="160" w:firstLine="432"/>
        <w:spacing w:after="0" w:line="31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Qualified Spin Transaction</w:t>
      </w:r>
      <w:r>
        <w:rPr>
          <w:rFonts w:ascii="Arial" w:cs="Arial" w:eastAsia="Arial" w:hAnsi="Arial"/>
          <w:sz w:val="12"/>
          <w:szCs w:val="12"/>
          <w:color w:val="auto"/>
        </w:rPr>
        <w:t>” means the distribution, through one or more dividends by the Weatherford Parent Company, of all or a portion of the Voting Stock of a Subsidiary (“</w:t>
      </w:r>
      <w:r>
        <w:rPr>
          <w:rFonts w:ascii="Arial" w:cs="Arial" w:eastAsia="Arial" w:hAnsi="Arial"/>
          <w:sz w:val="12"/>
          <w:szCs w:val="12"/>
          <w:i w:val="1"/>
          <w:iCs w:val="1"/>
          <w:color w:val="auto"/>
        </w:rPr>
        <w:t>SpinCo</w:t>
      </w:r>
      <w:r>
        <w:rPr>
          <w:rFonts w:ascii="Arial" w:cs="Arial" w:eastAsia="Arial" w:hAnsi="Arial"/>
          <w:sz w:val="12"/>
          <w:szCs w:val="12"/>
          <w:color w:val="auto"/>
        </w:rPr>
        <w:t>”) which, directly or indirectly through one or more Subsidiaries, holds all or substantially all of the Parent Guarantor’s and its Restricted Subsidiaries’ land drilling rig business, properties and related assets.</w:t>
      </w:r>
    </w:p>
    <w:p>
      <w:pPr>
        <w:spacing w:after="0" w:line="89" w:lineRule="exact"/>
        <w:rPr>
          <w:sz w:val="20"/>
          <w:szCs w:val="20"/>
          <w:color w:val="auto"/>
        </w:rPr>
      </w:pPr>
    </w:p>
    <w:p>
      <w:pPr>
        <w:ind w:left="8" w:right="140" w:firstLine="432"/>
        <w:spacing w:after="0" w:line="29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Rating Agencies</w:t>
      </w:r>
      <w:r>
        <w:rPr>
          <w:rFonts w:ascii="Arial" w:cs="Arial" w:eastAsia="Arial" w:hAnsi="Arial"/>
          <w:sz w:val="12"/>
          <w:szCs w:val="12"/>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03" w:lineRule="exact"/>
        <w:rPr>
          <w:sz w:val="20"/>
          <w:szCs w:val="20"/>
          <w:color w:val="auto"/>
        </w:rPr>
      </w:pPr>
    </w:p>
    <w:p>
      <w:pPr>
        <w:ind w:left="8"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Rating Event</w:t>
      </w:r>
      <w:r>
        <w:rPr>
          <w:rFonts w:ascii="Arial" w:cs="Arial" w:eastAsia="Arial" w:hAnsi="Arial"/>
          <w:sz w:val="13"/>
          <w:szCs w:val="13"/>
          <w:color w:val="auto"/>
        </w:rPr>
        <w:t>” means the rating of the Notes is lowered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121" w:lineRule="exact"/>
        <w:rPr>
          <w:sz w:val="20"/>
          <w:szCs w:val="20"/>
          <w:color w:val="auto"/>
        </w:rPr>
      </w:pPr>
    </w:p>
    <w:p>
      <w:pPr>
        <w:ind w:left="8" w:right="38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Receivables</w:t>
      </w:r>
      <w:r>
        <w:rPr>
          <w:rFonts w:ascii="Arial" w:cs="Arial" w:eastAsia="Arial" w:hAnsi="Arial"/>
          <w:sz w:val="13"/>
          <w:szCs w:val="13"/>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13" w:lineRule="exact"/>
        <w:rPr>
          <w:sz w:val="20"/>
          <w:szCs w:val="20"/>
          <w:color w:val="auto"/>
        </w:rPr>
      </w:pPr>
    </w:p>
    <w:p>
      <w:pPr>
        <w:ind w:left="8" w:firstLine="432"/>
        <w:spacing w:after="0" w:line="31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Receivables Related Security</w:t>
      </w:r>
      <w:r>
        <w:rPr>
          <w:rFonts w:ascii="Arial" w:cs="Arial" w:eastAsia="Arial" w:hAnsi="Arial"/>
          <w:sz w:val="12"/>
          <w:szCs w:val="12"/>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89" w:lineRule="exact"/>
        <w:rPr>
          <w:sz w:val="20"/>
          <w:szCs w:val="20"/>
          <w:color w:val="auto"/>
        </w:rPr>
      </w:pPr>
    </w:p>
    <w:p>
      <w:pPr>
        <w:ind w:left="8" w:right="6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Receivables Repurchase Obligation</w:t>
      </w:r>
      <w:r>
        <w:rPr>
          <w:rFonts w:ascii="Arial" w:cs="Arial" w:eastAsia="Arial" w:hAnsi="Arial"/>
          <w:sz w:val="13"/>
          <w:szCs w:val="13"/>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Redemption Date,</w:t>
      </w:r>
      <w:r>
        <w:rPr>
          <w:rFonts w:ascii="Arial" w:cs="Arial" w:eastAsia="Arial" w:hAnsi="Arial"/>
          <w:sz w:val="13"/>
          <w:szCs w:val="13"/>
          <w:color w:val="auto"/>
        </w:rPr>
        <w:t>” when used with respect to any Note to be redeemed, means the date fixed for such redemption by or pursuant to the Indenture.</w:t>
      </w:r>
    </w:p>
    <w:p>
      <w:pPr>
        <w:spacing w:after="0" w:line="148"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Redemption Price,</w:t>
      </w:r>
      <w:r>
        <w:rPr>
          <w:rFonts w:ascii="Arial" w:cs="Arial" w:eastAsia="Arial" w:hAnsi="Arial"/>
          <w:sz w:val="13"/>
          <w:szCs w:val="13"/>
          <w:color w:val="auto"/>
        </w:rPr>
        <w:t>” when used with respect to any Note to be redeemed, means the price at which it is to be redeemed pursuant to the Indenture.</w:t>
      </w:r>
    </w:p>
    <w:p>
      <w:pPr>
        <w:spacing w:after="0" w:line="148"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Redesignation</w:t>
      </w:r>
      <w:r>
        <w:rPr>
          <w:rFonts w:ascii="Arial" w:cs="Arial" w:eastAsia="Arial" w:hAnsi="Arial"/>
          <w:sz w:val="13"/>
          <w:szCs w:val="13"/>
          <w:color w:val="auto"/>
        </w:rPr>
        <w:t>” has the meaning given to such term in Section 1106.</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8"/>
          </w:cols>
          <w:pgMar w:left="212" w:top="435" w:right="21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Redomestication</w:t>
      </w:r>
      <w:r>
        <w:rPr>
          <w:rFonts w:ascii="Arial" w:cs="Arial" w:eastAsia="Arial" w:hAnsi="Arial"/>
          <w:sz w:val="13"/>
          <w:szCs w:val="13"/>
          <w:color w:val="auto"/>
        </w:rPr>
        <w:t>” means:</w:t>
      </w:r>
    </w:p>
    <w:p>
      <w:pPr>
        <w:spacing w:after="0" w:line="148" w:lineRule="exact"/>
        <w:rPr>
          <w:sz w:val="20"/>
          <w:szCs w:val="20"/>
          <w:color w:val="auto"/>
        </w:rPr>
      </w:pPr>
    </w:p>
    <w:p>
      <w:pPr>
        <w:ind w:firstLine="437"/>
        <w:spacing w:after="0" w:line="254" w:lineRule="auto"/>
        <w:tabs>
          <w:tab w:leader="none" w:pos="699"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23" w:lineRule="exact"/>
        <w:rPr>
          <w:rFonts w:ascii="Arial" w:cs="Arial" w:eastAsia="Arial" w:hAnsi="Arial"/>
          <w:sz w:val="13"/>
          <w:szCs w:val="13"/>
          <w:color w:val="auto"/>
        </w:rPr>
      </w:pPr>
    </w:p>
    <w:p>
      <w:pPr>
        <w:ind w:right="120" w:firstLine="437"/>
        <w:spacing w:after="0" w:line="314" w:lineRule="auto"/>
        <w:tabs>
          <w:tab w:leader="none" w:pos="706"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89" w:lineRule="exact"/>
        <w:rPr>
          <w:rFonts w:ascii="Arial" w:cs="Arial" w:eastAsia="Arial" w:hAnsi="Arial"/>
          <w:sz w:val="12"/>
          <w:szCs w:val="12"/>
          <w:color w:val="auto"/>
        </w:rPr>
      </w:pPr>
    </w:p>
    <w:p>
      <w:pPr>
        <w:ind w:right="260" w:firstLine="437"/>
        <w:spacing w:after="0" w:line="271" w:lineRule="auto"/>
        <w:tabs>
          <w:tab w:leader="none" w:pos="699"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3"/>
          <w:szCs w:val="13"/>
          <w:i w:val="1"/>
          <w:iCs w:val="1"/>
          <w:color w:val="auto"/>
        </w:rPr>
        <w:t>New Parent</w:t>
      </w:r>
      <w:r>
        <w:rPr>
          <w:rFonts w:ascii="Arial" w:cs="Arial" w:eastAsia="Arial" w:hAnsi="Arial"/>
          <w:sz w:val="13"/>
          <w:szCs w:val="13"/>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if as a result thereof</w:t>
      </w:r>
    </w:p>
    <w:p>
      <w:pPr>
        <w:spacing w:after="0" w:line="148" w:lineRule="exact"/>
        <w:rPr>
          <w:sz w:val="20"/>
          <w:szCs w:val="20"/>
          <w:color w:val="auto"/>
        </w:rPr>
      </w:pPr>
    </w:p>
    <w:p>
      <w:pPr>
        <w:ind w:right="360" w:firstLine="437"/>
        <w:spacing w:after="0" w:line="271" w:lineRule="auto"/>
        <w:tabs>
          <w:tab w:leader="none" w:pos="706"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12" w:lineRule="exact"/>
        <w:rPr>
          <w:rFonts w:ascii="Arial" w:cs="Arial" w:eastAsia="Arial" w:hAnsi="Arial"/>
          <w:sz w:val="13"/>
          <w:szCs w:val="13"/>
          <w:color w:val="auto"/>
        </w:rPr>
      </w:pPr>
    </w:p>
    <w:p>
      <w:pPr>
        <w:ind w:right="540" w:firstLine="437"/>
        <w:spacing w:after="0" w:line="271" w:lineRule="auto"/>
        <w:tabs>
          <w:tab w:leader="none" w:pos="706"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12" w:lineRule="exact"/>
        <w:rPr>
          <w:rFonts w:ascii="Arial" w:cs="Arial" w:eastAsia="Arial" w:hAnsi="Arial"/>
          <w:sz w:val="13"/>
          <w:szCs w:val="13"/>
          <w:color w:val="auto"/>
        </w:rPr>
      </w:pPr>
    </w:p>
    <w:p>
      <w:pPr>
        <w:ind w:left="700" w:hanging="263"/>
        <w:spacing w:after="0"/>
        <w:tabs>
          <w:tab w:leader="none" w:pos="7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the case of any action specified in clause (c), the New Parent</w:t>
      </w:r>
    </w:p>
    <w:p>
      <w:pPr>
        <w:spacing w:after="0" w:line="148" w:lineRule="exact"/>
        <w:rPr>
          <w:sz w:val="20"/>
          <w:szCs w:val="20"/>
          <w:color w:val="auto"/>
        </w:rPr>
      </w:pPr>
    </w:p>
    <w:p>
      <w:pPr>
        <w:ind w:right="40"/>
        <w:spacing w:after="0" w:line="315" w:lineRule="auto"/>
        <w:rPr>
          <w:sz w:val="20"/>
          <w:szCs w:val="20"/>
          <w:color w:val="auto"/>
        </w:rPr>
      </w:pPr>
      <w:r>
        <w:rPr>
          <w:rFonts w:ascii="Arial" w:cs="Arial" w:eastAsia="Arial" w:hAnsi="Arial"/>
          <w:sz w:val="11"/>
          <w:szCs w:val="11"/>
          <w:color w:val="auto"/>
        </w:rPr>
        <w:t>(in any such case, the “</w:t>
      </w:r>
      <w:r>
        <w:rPr>
          <w:rFonts w:ascii="Arial" w:cs="Arial" w:eastAsia="Arial" w:hAnsi="Arial"/>
          <w:sz w:val="11"/>
          <w:szCs w:val="11"/>
          <w:i w:val="1"/>
          <w:iCs w:val="1"/>
          <w:color w:val="auto"/>
        </w:rPr>
        <w:t>Surviving Person</w:t>
      </w:r>
      <w:r>
        <w:rPr>
          <w:rFonts w:ascii="Arial" w:cs="Arial" w:eastAsia="Arial" w:hAnsi="Arial"/>
          <w:sz w:val="11"/>
          <w:szCs w:val="11"/>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Reference Treasury Dealer</w:t>
      </w:r>
      <w:r>
        <w:rPr>
          <w:rFonts w:ascii="Arial" w:cs="Arial" w:eastAsia="Arial" w:hAnsi="Arial"/>
          <w:sz w:val="13"/>
          <w:szCs w:val="13"/>
          <w:color w:val="auto"/>
        </w:rPr>
        <w:t>” has the meaning specified in Section 1203.</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Reference Treasury Dealer Quotation</w:t>
      </w:r>
      <w:r>
        <w:rPr>
          <w:rFonts w:ascii="Arial" w:cs="Arial" w:eastAsia="Arial" w:hAnsi="Arial"/>
          <w:sz w:val="13"/>
          <w:szCs w:val="13"/>
          <w:color w:val="auto"/>
        </w:rPr>
        <w:t>” has the meaning specified in Section 1203.</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refinance</w:t>
      </w:r>
      <w:r>
        <w:rPr>
          <w:rFonts w:ascii="Arial" w:cs="Arial" w:eastAsia="Arial" w:hAnsi="Arial"/>
          <w:sz w:val="13"/>
          <w:szCs w:val="13"/>
          <w:color w:val="auto"/>
        </w:rPr>
        <w:t>” means to refinance, repay, prepay, replace, renew or refund.</w:t>
      </w:r>
    </w:p>
    <w:p>
      <w:pPr>
        <w:spacing w:after="0" w:line="312"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040"/>
          </w:cols>
          <w:pgMar w:left="640" w:top="435" w:right="219" w:bottom="1440" w:gutter="0" w:footer="0" w:header="0"/>
        </w:sectPr>
      </w:pPr>
    </w:p>
    <w:bookmarkStart w:id="37" w:name="page38"/>
    <w:bookmarkEnd w:id="37"/>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Refinancing Indebtedness</w:t>
      </w:r>
      <w:r>
        <w:rPr>
          <w:rFonts w:ascii="Arial" w:cs="Arial" w:eastAsia="Arial" w:hAnsi="Arial"/>
          <w:sz w:val="12"/>
          <w:szCs w:val="12"/>
          <w:color w:val="auto"/>
        </w:rPr>
        <w:t>” means Indebtedness of the Parent Guarantor or a Restricted Subsidiary incurred in exchange for, or the proceeds of which are used to refinance, in whole or in part, any</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Indebtedness of the Parent Guarantor or any Restricted Subsidiary (the “</w:t>
      </w:r>
      <w:r>
        <w:rPr>
          <w:rFonts w:ascii="Arial" w:cs="Arial" w:eastAsia="Arial" w:hAnsi="Arial"/>
          <w:sz w:val="13"/>
          <w:szCs w:val="13"/>
          <w:i w:val="1"/>
          <w:iCs w:val="1"/>
          <w:color w:val="auto"/>
        </w:rPr>
        <w:t>Refinanced Indebtedness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w:t>
      </w:r>
    </w:p>
    <w:p>
      <w:pPr>
        <w:spacing w:after="0" w:line="138" w:lineRule="exact"/>
        <w:rPr>
          <w:sz w:val="20"/>
          <w:szCs w:val="20"/>
          <w:color w:val="auto"/>
        </w:rPr>
      </w:pPr>
    </w:p>
    <w:p>
      <w:pPr>
        <w:jc w:val="both"/>
        <w:ind w:left="420" w:right="20" w:firstLine="437"/>
        <w:spacing w:after="0" w:line="258" w:lineRule="auto"/>
        <w:tabs>
          <w:tab w:leader="none" w:pos="1126"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21" w:lineRule="exact"/>
        <w:rPr>
          <w:rFonts w:ascii="Arial" w:cs="Arial" w:eastAsia="Arial" w:hAnsi="Arial"/>
          <w:sz w:val="13"/>
          <w:szCs w:val="13"/>
          <w:color w:val="auto"/>
        </w:rPr>
      </w:pPr>
    </w:p>
    <w:p>
      <w:pPr>
        <w:ind w:left="420" w:right="20" w:firstLine="437"/>
        <w:spacing w:after="0" w:line="271" w:lineRule="auto"/>
        <w:tabs>
          <w:tab w:leader="none" w:pos="1126"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Section 1114;</w:t>
      </w:r>
    </w:p>
    <w:p>
      <w:pPr>
        <w:spacing w:after="0" w:line="112" w:lineRule="exact"/>
        <w:rPr>
          <w:rFonts w:ascii="Arial" w:cs="Arial" w:eastAsia="Arial" w:hAnsi="Arial"/>
          <w:sz w:val="13"/>
          <w:szCs w:val="13"/>
          <w:color w:val="auto"/>
        </w:rPr>
      </w:pPr>
    </w:p>
    <w:p>
      <w:pPr>
        <w:ind w:left="420" w:firstLine="437"/>
        <w:spacing w:after="0" w:line="271" w:lineRule="auto"/>
        <w:tabs>
          <w:tab w:leader="none" w:pos="1126" w:val="left"/>
        </w:tabs>
        <w:numPr>
          <w:ilvl w:val="0"/>
          <w:numId w:val="26"/>
        </w:numPr>
        <w:rPr>
          <w:rFonts w:ascii="Arial" w:cs="Arial" w:eastAsia="Arial" w:hAnsi="Arial"/>
          <w:sz w:val="13"/>
          <w:szCs w:val="13"/>
          <w:color w:val="auto"/>
        </w:rPr>
      </w:pPr>
      <w:r>
        <w:rPr>
          <w:rFonts w:ascii="Arial" w:cs="Arial" w:eastAsia="Arial" w:hAnsi="Arial"/>
          <w:sz w:val="13"/>
          <w:szCs w:val="13"/>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Refinancing Indebtedness has a Stated Maturity either (a) no earlier than the Refinanced Indebtedness being repaid or amended or (b) no earlier than 91 days after the maturity date of the</w:t>
      </w:r>
    </w:p>
    <w:p>
      <w:pPr>
        <w:spacing w:after="0" w:line="25"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Notes; and</w:t>
      </w:r>
    </w:p>
    <w:p>
      <w:pPr>
        <w:spacing w:after="0" w:line="137" w:lineRule="exact"/>
        <w:rPr>
          <w:rFonts w:ascii="Arial" w:cs="Arial" w:eastAsia="Arial" w:hAnsi="Arial"/>
          <w:sz w:val="12"/>
          <w:szCs w:val="12"/>
          <w:color w:val="auto"/>
        </w:rPr>
      </w:pPr>
    </w:p>
    <w:p>
      <w:pPr>
        <w:jc w:val="both"/>
        <w:ind w:left="420" w:right="60" w:firstLine="437"/>
        <w:spacing w:after="0" w:line="258" w:lineRule="auto"/>
        <w:tabs>
          <w:tab w:leader="none" w:pos="1126"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21" w:lineRule="exact"/>
        <w:rPr>
          <w:sz w:val="20"/>
          <w:szCs w:val="20"/>
          <w:color w:val="auto"/>
        </w:rPr>
      </w:pPr>
    </w:p>
    <w:p>
      <w:pPr>
        <w:jc w:val="both"/>
        <w:ind w:right="6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Registration Rights Agreement</w:t>
      </w:r>
      <w:r>
        <w:rPr>
          <w:rFonts w:ascii="Arial" w:cs="Arial" w:eastAsia="Arial" w:hAnsi="Arial"/>
          <w:sz w:val="13"/>
          <w:szCs w:val="13"/>
          <w:color w:val="auto"/>
        </w:rPr>
        <w:t>” means that certain registration rights agreement dated as of the Issue Date by and among the Issuer, the Guarantors and Deutsche Bank Securities Inc., as representative of the several initial purchasers named therein and, with respect to any Additional Notes, one or more substantially similar registration rights agreements among the Issuer, the Guarantors and the other parties thereto, as any such agreement may be amended from time to time.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Regular Record Date</w:t>
      </w:r>
      <w:r>
        <w:rPr>
          <w:rFonts w:ascii="Arial" w:cs="Arial" w:eastAsia="Arial" w:hAnsi="Arial"/>
          <w:sz w:val="13"/>
          <w:szCs w:val="13"/>
          <w:color w:val="auto"/>
        </w:rPr>
        <w:t>” for the interest payable on any Interest Payment Date on the Notes means the date specified for that purpose as contemplated by Section 401.</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Regulation S</w:t>
      </w:r>
      <w:r>
        <w:rPr>
          <w:rFonts w:ascii="Arial" w:cs="Arial" w:eastAsia="Arial" w:hAnsi="Arial"/>
          <w:sz w:val="13"/>
          <w:szCs w:val="13"/>
          <w:color w:val="auto"/>
        </w:rPr>
        <w:t>” means Regulation S under the Securities Act.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Regulation S Global Note</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Regulation S Notes</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Related Taxes</w:t>
      </w:r>
      <w:r>
        <w:rPr>
          <w:rFonts w:ascii="Arial" w:cs="Arial" w:eastAsia="Arial" w:hAnsi="Arial"/>
          <w:sz w:val="13"/>
          <w:szCs w:val="13"/>
          <w:color w:val="auto"/>
        </w:rPr>
        <w:t>” means, without duplication:</w:t>
      </w:r>
    </w:p>
    <w:p>
      <w:pPr>
        <w:spacing w:after="0" w:line="148" w:lineRule="exact"/>
        <w:rPr>
          <w:sz w:val="20"/>
          <w:szCs w:val="20"/>
          <w:color w:val="auto"/>
        </w:rPr>
      </w:pPr>
    </w:p>
    <w:p>
      <w:pPr>
        <w:ind w:left="1140" w:hanging="283"/>
        <w:spacing w:after="0"/>
        <w:tabs>
          <w:tab w:leader="none" w:pos="114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any taxes, including sales, use, transfer, rental, ad valorem, value added, stamp, property, consumption, franchise, license, capital, registration, business, customs, net worth, gross receipts, excise,</w:t>
      </w:r>
    </w:p>
    <w:p>
      <w:pPr>
        <w:spacing w:after="0" w:line="334"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24</w:t>
      </w:r>
    </w:p>
    <w:p>
      <w:pPr>
        <w:sectPr>
          <w:pgSz w:w="11900" w:h="16838" w:orient="portrait"/>
          <w:cols w:equalWidth="0" w:num="1">
            <w:col w:w="11460"/>
          </w:cols>
          <w:pgMar w:left="220" w:top="435" w:right="219" w:bottom="1440" w:gutter="0" w:footer="0" w:header="0"/>
        </w:sectPr>
      </w:pPr>
    </w:p>
    <w:bookmarkStart w:id="38" w:name="page39"/>
    <w:bookmarkEnd w:id="38"/>
    <w:p>
      <w:pPr>
        <w:ind w:left="420" w:right="100"/>
        <w:spacing w:after="0" w:line="271" w:lineRule="auto"/>
        <w:rPr>
          <w:sz w:val="20"/>
          <w:szCs w:val="20"/>
          <w:color w:val="auto"/>
        </w:rPr>
      </w:pPr>
      <w:r>
        <w:rPr>
          <w:rFonts w:ascii="Arial" w:cs="Arial" w:eastAsia="Arial" w:hAnsi="Arial"/>
          <w:sz w:val="13"/>
          <w:szCs w:val="13"/>
          <w:color w:val="auto"/>
        </w:rPr>
        <w:t>occupancy, intangibles or similar taxes (other than (x) taxes measured by income and (y) withholding imposed on payments made by any Successor Parent), required to be paid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such taxes are in fact paid) by any Successor Parent by virtue of its:</w:t>
      </w:r>
    </w:p>
    <w:p>
      <w:pPr>
        <w:spacing w:after="0" w:line="113" w:lineRule="exact"/>
        <w:rPr>
          <w:sz w:val="20"/>
          <w:szCs w:val="20"/>
          <w:color w:val="auto"/>
        </w:rPr>
      </w:pPr>
    </w:p>
    <w:p>
      <w:pPr>
        <w:ind w:left="860" w:right="160" w:firstLine="429"/>
        <w:spacing w:after="0" w:line="271" w:lineRule="auto"/>
        <w:tabs>
          <w:tab w:leader="none" w:pos="1559" w:val="left"/>
        </w:tabs>
        <w:numPr>
          <w:ilvl w:val="1"/>
          <w:numId w:val="28"/>
        </w:numPr>
        <w:rPr>
          <w:rFonts w:ascii="Arial" w:cs="Arial" w:eastAsia="Arial" w:hAnsi="Arial"/>
          <w:sz w:val="13"/>
          <w:szCs w:val="13"/>
          <w:color w:val="auto"/>
        </w:rPr>
      </w:pPr>
      <w:r>
        <w:rPr>
          <w:rFonts w:ascii="Arial" w:cs="Arial" w:eastAsia="Arial" w:hAnsi="Arial"/>
          <w:sz w:val="13"/>
          <w:szCs w:val="13"/>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12" w:lineRule="exact"/>
        <w:rPr>
          <w:rFonts w:ascii="Arial" w:cs="Arial" w:eastAsia="Arial" w:hAnsi="Arial"/>
          <w:sz w:val="13"/>
          <w:szCs w:val="13"/>
          <w:color w:val="auto"/>
        </w:rPr>
      </w:pPr>
    </w:p>
    <w:p>
      <w:pPr>
        <w:ind w:left="1560" w:hanging="271"/>
        <w:spacing w:after="0"/>
        <w:tabs>
          <w:tab w:leader="none" w:pos="1560" w:val="left"/>
        </w:tabs>
        <w:numPr>
          <w:ilvl w:val="1"/>
          <w:numId w:val="28"/>
        </w:numPr>
        <w:rPr>
          <w:rFonts w:ascii="Arial" w:cs="Arial" w:eastAsia="Arial" w:hAnsi="Arial"/>
          <w:sz w:val="13"/>
          <w:szCs w:val="13"/>
          <w:color w:val="auto"/>
        </w:rPr>
      </w:pPr>
      <w:r>
        <w:rPr>
          <w:rFonts w:ascii="Arial" w:cs="Arial" w:eastAsia="Arial" w:hAnsi="Arial"/>
          <w:sz w:val="13"/>
          <w:szCs w:val="13"/>
          <w:color w:val="auto"/>
        </w:rPr>
        <w:t>being a holding company parent, directly or indirectly, of the Parent Guarantor or any of the Parent Guarantor’s Subsidiaries;</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28"/>
        </w:numPr>
        <w:rPr>
          <w:rFonts w:ascii="Arial" w:cs="Arial" w:eastAsia="Arial" w:hAnsi="Arial"/>
          <w:sz w:val="12"/>
          <w:szCs w:val="12"/>
          <w:color w:val="auto"/>
        </w:rPr>
      </w:pPr>
      <w:r>
        <w:rPr>
          <w:rFonts w:ascii="Arial" w:cs="Arial" w:eastAsia="Arial" w:hAnsi="Arial"/>
          <w:sz w:val="12"/>
          <w:szCs w:val="12"/>
          <w:color w:val="auto"/>
        </w:rPr>
        <w:t>receiving dividends from or other distributions in respect of the Equity Interests of, directly or indirectly, the Parent Guarantor or any of the Parent Guarantor’s Subsidiaries; or</w:t>
      </w:r>
    </w:p>
    <w:p>
      <w:pPr>
        <w:spacing w:after="0" w:line="159" w:lineRule="exact"/>
        <w:rPr>
          <w:rFonts w:ascii="Arial" w:cs="Arial" w:eastAsia="Arial" w:hAnsi="Arial"/>
          <w:sz w:val="12"/>
          <w:szCs w:val="12"/>
          <w:color w:val="auto"/>
        </w:rPr>
      </w:pPr>
    </w:p>
    <w:p>
      <w:pPr>
        <w:ind w:left="860" w:right="300" w:firstLine="429"/>
        <w:spacing w:after="0" w:line="271" w:lineRule="auto"/>
        <w:tabs>
          <w:tab w:leader="none" w:pos="1566" w:val="left"/>
        </w:tabs>
        <w:numPr>
          <w:ilvl w:val="1"/>
          <w:numId w:val="28"/>
        </w:numPr>
        <w:rPr>
          <w:rFonts w:ascii="Arial" w:cs="Arial" w:eastAsia="Arial" w:hAnsi="Arial"/>
          <w:sz w:val="13"/>
          <w:szCs w:val="13"/>
          <w:color w:val="auto"/>
        </w:rPr>
      </w:pPr>
      <w:r>
        <w:rPr>
          <w:rFonts w:ascii="Arial" w:cs="Arial" w:eastAsia="Arial" w:hAnsi="Arial"/>
          <w:sz w:val="13"/>
          <w:szCs w:val="13"/>
          <w:color w:val="auto"/>
        </w:rPr>
        <w:t>having made any payment in respect to any of the items for which the Parent Guarantor or any of the Parent Guarantor’s Subsidiaries is permitted to make payments to any Successor Parent pursuant to Section 1109; and</w:t>
      </w:r>
    </w:p>
    <w:p>
      <w:pPr>
        <w:spacing w:after="0" w:line="112" w:lineRule="exact"/>
        <w:rPr>
          <w:rFonts w:ascii="Arial" w:cs="Arial" w:eastAsia="Arial" w:hAnsi="Arial"/>
          <w:sz w:val="13"/>
          <w:szCs w:val="13"/>
          <w:color w:val="auto"/>
        </w:rPr>
      </w:pPr>
    </w:p>
    <w:p>
      <w:pPr>
        <w:jc w:val="both"/>
        <w:ind w:left="420" w:firstLine="437"/>
        <w:spacing w:after="0" w:line="254" w:lineRule="auto"/>
        <w:tabs>
          <w:tab w:leader="none" w:pos="1126" w:val="left"/>
        </w:tabs>
        <w:numPr>
          <w:ilvl w:val="0"/>
          <w:numId w:val="29"/>
        </w:numPr>
        <w:rPr>
          <w:rFonts w:ascii="Arial" w:cs="Arial" w:eastAsia="Arial" w:hAnsi="Arial"/>
          <w:sz w:val="13"/>
          <w:szCs w:val="13"/>
          <w:color w:val="auto"/>
        </w:rPr>
      </w:pPr>
      <w:r>
        <w:rPr>
          <w:rFonts w:ascii="Arial" w:cs="Arial" w:eastAsia="Arial" w:hAnsi="Arial"/>
          <w:sz w:val="13"/>
          <w:szCs w:val="13"/>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Remaining Life</w:t>
      </w:r>
      <w:r>
        <w:rPr>
          <w:rFonts w:ascii="Arial" w:cs="Arial" w:eastAsia="Arial" w:hAnsi="Arial"/>
          <w:sz w:val="13"/>
          <w:szCs w:val="13"/>
          <w:color w:val="auto"/>
        </w:rPr>
        <w:t>” has the meaning specified in Section 1203.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Required Currency</w:t>
      </w:r>
      <w:r>
        <w:rPr>
          <w:rFonts w:ascii="Arial" w:cs="Arial" w:eastAsia="Arial" w:hAnsi="Arial"/>
          <w:sz w:val="13"/>
          <w:szCs w:val="13"/>
          <w:color w:val="auto"/>
        </w:rPr>
        <w:t>” has the meaning specified in Section 217.</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Resale Restriction Termination Date</w:t>
      </w:r>
      <w:r>
        <w:rPr>
          <w:rFonts w:ascii="Arial" w:cs="Arial" w:eastAsia="Arial" w:hAnsi="Arial"/>
          <w:sz w:val="13"/>
          <w:szCs w:val="13"/>
          <w:color w:val="auto"/>
        </w:rPr>
        <w:t>” has the meaning specified in Section 411.</w:t>
      </w:r>
    </w:p>
    <w:p>
      <w:pPr>
        <w:spacing w:after="0" w:line="148" w:lineRule="exact"/>
        <w:rPr>
          <w:sz w:val="20"/>
          <w:szCs w:val="20"/>
          <w:color w:val="auto"/>
        </w:rPr>
      </w:pPr>
    </w:p>
    <w:p>
      <w:pPr>
        <w:ind w:right="120" w:firstLine="432"/>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Responsible Officer</w:t>
      </w:r>
      <w:r>
        <w:rPr>
          <w:rFonts w:ascii="Arial" w:cs="Arial" w:eastAsia="Arial" w:hAnsi="Arial"/>
          <w:sz w:val="13"/>
          <w:szCs w:val="13"/>
          <w:color w:val="auto"/>
        </w:rPr>
        <w:t>,” when used with respect to the Trustee, means any officer within the corporate trust department of the Trustee, including any director, managing director, vice president, assistant vice president, assistant secretary, assistant treasurer,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the Indenture.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Notes</w:t>
      </w:r>
      <w:r>
        <w:rPr>
          <w:rFonts w:ascii="Arial" w:cs="Arial" w:eastAsia="Arial" w:hAnsi="Arial"/>
          <w:sz w:val="13"/>
          <w:szCs w:val="13"/>
          <w:color w:val="auto"/>
        </w:rPr>
        <w:t>” means the Initial Notes and any Additional Notes required to bear the Restricted Notes Legend.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Notes Legend</w:t>
      </w:r>
      <w:r>
        <w:rPr>
          <w:rFonts w:ascii="Arial" w:cs="Arial" w:eastAsia="Arial" w:hAnsi="Arial"/>
          <w:sz w:val="13"/>
          <w:szCs w:val="13"/>
          <w:color w:val="auto"/>
        </w:rPr>
        <w:t>” has the meaning specified in Section 302.</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Payment</w:t>
      </w:r>
      <w:r>
        <w:rPr>
          <w:rFonts w:ascii="Arial" w:cs="Arial" w:eastAsia="Arial" w:hAnsi="Arial"/>
          <w:sz w:val="13"/>
          <w:szCs w:val="13"/>
          <w:color w:val="auto"/>
        </w:rPr>
        <w:t>” means any of the following:</w:t>
      </w:r>
    </w:p>
    <w:p>
      <w:pPr>
        <w:spacing w:after="0" w:line="148" w:lineRule="exact"/>
        <w:rPr>
          <w:sz w:val="20"/>
          <w:szCs w:val="20"/>
          <w:color w:val="auto"/>
        </w:rPr>
      </w:pPr>
    </w:p>
    <w:p>
      <w:pPr>
        <w:ind w:left="1140" w:hanging="283"/>
        <w:spacing w:after="0"/>
        <w:tabs>
          <w:tab w:leader="none" w:pos="11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declaration or payment of any dividend or any other distribution (whether made in cash, securities or other property) on or in respect of Equity Interests of the Parent Guarantor or any</w:t>
      </w:r>
    </w:p>
    <w:p>
      <w:pPr>
        <w:spacing w:after="0" w:line="25"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Restricted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435" w:right="199" w:bottom="1440" w:gutter="0" w:footer="0" w:header="0"/>
        </w:sectPr>
      </w:pPr>
    </w:p>
    <w:bookmarkStart w:id="39" w:name="page40"/>
    <w:bookmarkEnd w:id="39"/>
    <w:p>
      <w:pPr>
        <w:ind w:left="420" w:right="20"/>
        <w:spacing w:after="0" w:line="282" w:lineRule="auto"/>
        <w:rPr>
          <w:sz w:val="20"/>
          <w:szCs w:val="20"/>
          <w:color w:val="auto"/>
        </w:rPr>
      </w:pPr>
      <w:r>
        <w:rPr>
          <w:rFonts w:ascii="Arial" w:cs="Arial" w:eastAsia="Arial" w:hAnsi="Arial"/>
          <w:sz w:val="12"/>
          <w:szCs w:val="12"/>
          <w:color w:val="auto"/>
        </w:rPr>
        <w:t>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108" w:lineRule="exact"/>
        <w:rPr>
          <w:sz w:val="20"/>
          <w:szCs w:val="20"/>
          <w:color w:val="auto"/>
        </w:rPr>
      </w:pPr>
    </w:p>
    <w:p>
      <w:pPr>
        <w:ind w:left="420" w:right="40" w:firstLine="437"/>
        <w:spacing w:after="0" w:line="314" w:lineRule="auto"/>
        <w:tabs>
          <w:tab w:leader="none" w:pos="1126"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89" w:lineRule="exact"/>
        <w:rPr>
          <w:rFonts w:ascii="Arial" w:cs="Arial" w:eastAsia="Arial" w:hAnsi="Arial"/>
          <w:sz w:val="12"/>
          <w:szCs w:val="12"/>
          <w:color w:val="auto"/>
        </w:rPr>
      </w:pPr>
    </w:p>
    <w:p>
      <w:pPr>
        <w:ind w:left="1140" w:hanging="283"/>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Investment other than a Permitted Investment; or</w:t>
      </w:r>
    </w:p>
    <w:p>
      <w:pPr>
        <w:spacing w:after="0" w:line="147" w:lineRule="exact"/>
        <w:rPr>
          <w:rFonts w:ascii="Arial" w:cs="Arial" w:eastAsia="Arial" w:hAnsi="Arial"/>
          <w:sz w:val="13"/>
          <w:szCs w:val="13"/>
          <w:color w:val="auto"/>
        </w:rPr>
      </w:pPr>
    </w:p>
    <w:p>
      <w:pPr>
        <w:ind w:left="420" w:firstLine="437"/>
        <w:spacing w:after="0" w:line="254" w:lineRule="auto"/>
        <w:tabs>
          <w:tab w:leader="none" w:pos="1126"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Payments Basket</w:t>
      </w:r>
      <w:r>
        <w:rPr>
          <w:rFonts w:ascii="Arial" w:cs="Arial" w:eastAsia="Arial" w:hAnsi="Arial"/>
          <w:sz w:val="13"/>
          <w:szCs w:val="13"/>
          <w:color w:val="auto"/>
        </w:rPr>
        <w:t>” has the meaning given to such term in the first paragraph of Section 1109.</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Period</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Subsidiary</w:t>
      </w:r>
      <w:r>
        <w:rPr>
          <w:rFonts w:ascii="Arial" w:cs="Arial" w:eastAsia="Arial" w:hAnsi="Arial"/>
          <w:sz w:val="13"/>
          <w:szCs w:val="13"/>
          <w:color w:val="auto"/>
        </w:rPr>
        <w:t>” means any Subsidiary of the Parent Guarantor other than an Unrestricted Subsidiary.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Rule 144A</w:t>
      </w:r>
      <w:r>
        <w:rPr>
          <w:rFonts w:ascii="Arial" w:cs="Arial" w:eastAsia="Arial" w:hAnsi="Arial"/>
          <w:sz w:val="13"/>
          <w:szCs w:val="13"/>
          <w:color w:val="auto"/>
        </w:rPr>
        <w:t>” means Rule 144A under the Securities Act.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Rule 144A Global Note</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Rule 144A Notes</w:t>
      </w:r>
      <w:r>
        <w:rPr>
          <w:rFonts w:ascii="Arial" w:cs="Arial" w:eastAsia="Arial" w:hAnsi="Arial"/>
          <w:sz w:val="13"/>
          <w:szCs w:val="13"/>
          <w:color w:val="auto"/>
        </w:rPr>
        <w:t>” has the meaning specified in Section 303.</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S&amp;P</w:t>
      </w:r>
      <w:r>
        <w:rPr>
          <w:rFonts w:ascii="Arial" w:cs="Arial" w:eastAsia="Arial" w:hAnsi="Arial"/>
          <w:sz w:val="13"/>
          <w:szCs w:val="13"/>
          <w:color w:val="auto"/>
        </w:rPr>
        <w:t>” means S&amp;P Global Ratings and its successors.</w:t>
      </w:r>
    </w:p>
    <w:p>
      <w:pPr>
        <w:spacing w:after="0" w:line="148" w:lineRule="exact"/>
        <w:rPr>
          <w:sz w:val="20"/>
          <w:szCs w:val="20"/>
          <w:color w:val="auto"/>
        </w:rPr>
      </w:pPr>
    </w:p>
    <w:p>
      <w:pPr>
        <w:ind w:right="40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Sale-Leaseback Transaction</w:t>
      </w:r>
      <w:r>
        <w:rPr>
          <w:rFonts w:ascii="Arial" w:cs="Arial" w:eastAsia="Arial" w:hAnsi="Arial"/>
          <w:sz w:val="13"/>
          <w:szCs w:val="13"/>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w:t>
      </w:r>
      <w:r>
        <w:rPr>
          <w:rFonts w:ascii="Arial" w:cs="Arial" w:eastAsia="Arial" w:hAnsi="Arial"/>
          <w:sz w:val="13"/>
          <w:szCs w:val="13"/>
          <w:color w:val="auto"/>
        </w:rPr>
        <w:t>” means the U.S. Securities and Exchange Commission.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w:t>
      </w:r>
      <w:r>
        <w:rPr>
          <w:rFonts w:ascii="Arial" w:cs="Arial" w:eastAsia="Arial" w:hAnsi="Arial"/>
          <w:sz w:val="13"/>
          <w:szCs w:val="13"/>
          <w:color w:val="auto"/>
        </w:rPr>
        <w:t>” has the meaning stated in the first recital of this Supplemental Indenture and more particularly means any Securities authenticated and delivered under the Base Indenture.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40"/>
          </w:cols>
          <w:pgMar w:left="220" w:top="435" w:right="239" w:bottom="1440" w:gutter="0" w:footer="0" w:header="0"/>
        </w:sectPr>
      </w:pPr>
    </w:p>
    <w:bookmarkStart w:id="40" w:name="page41"/>
    <w:bookmarkEnd w:id="40"/>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 Act</w:t>
      </w:r>
      <w:r>
        <w:rPr>
          <w:rFonts w:ascii="Arial" w:cs="Arial" w:eastAsia="Arial" w:hAnsi="Arial"/>
          <w:sz w:val="13"/>
          <w:szCs w:val="13"/>
          <w:color w:val="auto"/>
        </w:rPr>
        <w:t>” means the U.S. Securities Act of 1933, as amended.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 Custodian</w:t>
      </w:r>
      <w:r>
        <w:rPr>
          <w:rFonts w:ascii="Arial" w:cs="Arial" w:eastAsia="Arial" w:hAnsi="Arial"/>
          <w:sz w:val="13"/>
          <w:szCs w:val="13"/>
          <w:color w:val="auto"/>
        </w:rPr>
        <w:t>” means the custodian with respect to a Global Note (as appointed by the Depositary), or any successor Person thereto and shall initially be the Trustee.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Security Register</w:t>
      </w:r>
      <w:r>
        <w:rPr>
          <w:rFonts w:ascii="Arial" w:cs="Arial" w:eastAsia="Arial" w:hAnsi="Arial"/>
          <w:sz w:val="13"/>
          <w:szCs w:val="13"/>
          <w:color w:val="auto"/>
        </w:rPr>
        <w:t>” and “</w:t>
      </w:r>
      <w:r>
        <w:rPr>
          <w:rFonts w:ascii="Arial" w:cs="Arial" w:eastAsia="Arial" w:hAnsi="Arial"/>
          <w:sz w:val="13"/>
          <w:szCs w:val="13"/>
          <w:i w:val="1"/>
          <w:iCs w:val="1"/>
          <w:color w:val="auto"/>
        </w:rPr>
        <w:t>Registrar</w:t>
      </w:r>
      <w:r>
        <w:rPr>
          <w:rFonts w:ascii="Arial" w:cs="Arial" w:eastAsia="Arial" w:hAnsi="Arial"/>
          <w:sz w:val="13"/>
          <w:szCs w:val="13"/>
          <w:color w:val="auto"/>
        </w:rPr>
        <w:t>” have the respective meanings specified in Section 405.</w:t>
      </w:r>
    </w:p>
    <w:p>
      <w:pPr>
        <w:spacing w:after="0" w:line="148" w:lineRule="exact"/>
        <w:rPr>
          <w:sz w:val="20"/>
          <w:szCs w:val="20"/>
          <w:color w:val="auto"/>
        </w:rPr>
      </w:pPr>
    </w:p>
    <w:p>
      <w:pPr>
        <w:ind w:right="1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Significant Subsidiary</w:t>
      </w:r>
      <w:r>
        <w:rPr>
          <w:rFonts w:ascii="Arial" w:cs="Arial" w:eastAsia="Arial" w:hAnsi="Arial"/>
          <w:sz w:val="13"/>
          <w:szCs w:val="13"/>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Special Record Date</w:t>
      </w:r>
      <w:r>
        <w:rPr>
          <w:rFonts w:ascii="Arial" w:cs="Arial" w:eastAsia="Arial" w:hAnsi="Arial"/>
          <w:sz w:val="13"/>
          <w:szCs w:val="13"/>
          <w:color w:val="auto"/>
        </w:rPr>
        <w:t>” for the payment of any Defaulted Interest means a date fixed by the Trustee pursuant to Section 407.</w:t>
      </w:r>
    </w:p>
    <w:p>
      <w:pPr>
        <w:spacing w:after="0" w:line="148" w:lineRule="exact"/>
        <w:rPr>
          <w:sz w:val="20"/>
          <w:szCs w:val="20"/>
          <w:color w:val="auto"/>
        </w:rPr>
      </w:pPr>
    </w:p>
    <w:p>
      <w:pPr>
        <w:ind w:right="1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Specified Cash Management Agreements</w:t>
      </w:r>
      <w:r>
        <w:rPr>
          <w:rFonts w:ascii="Arial" w:cs="Arial" w:eastAsia="Arial" w:hAnsi="Arial"/>
          <w:sz w:val="13"/>
          <w:szCs w:val="13"/>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13" w:lineRule="exact"/>
        <w:rPr>
          <w:sz w:val="20"/>
          <w:szCs w:val="20"/>
          <w:color w:val="auto"/>
        </w:rPr>
      </w:pPr>
    </w:p>
    <w:p>
      <w:pPr>
        <w:ind w:right="40" w:firstLine="432"/>
        <w:spacing w:after="0" w:line="364"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Standard Securitization Undertakings</w:t>
      </w:r>
      <w:r>
        <w:rPr>
          <w:rFonts w:ascii="Arial" w:cs="Arial" w:eastAsia="Arial" w:hAnsi="Arial"/>
          <w:sz w:val="11"/>
          <w:szCs w:val="11"/>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67" w:lineRule="exact"/>
        <w:rPr>
          <w:sz w:val="20"/>
          <w:szCs w:val="20"/>
          <w:color w:val="auto"/>
        </w:rPr>
      </w:pPr>
    </w:p>
    <w:p>
      <w:pPr>
        <w:ind w:right="10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Stated Maturity</w:t>
      </w:r>
      <w:r>
        <w:rPr>
          <w:rFonts w:ascii="Arial" w:cs="Arial" w:eastAsia="Arial" w:hAnsi="Arial"/>
          <w:sz w:val="13"/>
          <w:szCs w:val="13"/>
          <w:color w:val="auto"/>
        </w:rPr>
        <w:t>” means, with respect to any Indebtedness or any interest thereon, the date specified in the agreement governing or certificate relating to such Indebtedness as the fixed date on which the final payment of principal of such Indebtedness or such interest is due and payable, including pursuant to any mandatory redemption provision, but shall not include any contingent obligations to repay, redeem or repurchase any such principal prior to the date originally scheduled for the payment thereof.</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Subordinated Indebtedness</w:t>
      </w:r>
      <w:r>
        <w:rPr>
          <w:rFonts w:ascii="Arial" w:cs="Arial" w:eastAsia="Arial" w:hAnsi="Arial"/>
          <w:sz w:val="13"/>
          <w:szCs w:val="13"/>
          <w:color w:val="auto"/>
        </w:rPr>
        <w:t>” means Indebtedness of the Issuer or any Guarantor that is expressly subordinated in right of payment to the Notes or any Guarantee, respectively.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w:t>
      </w:r>
      <w:r>
        <w:rPr>
          <w:rFonts w:ascii="Arial" w:cs="Arial" w:eastAsia="Arial" w:hAnsi="Arial"/>
          <w:sz w:val="13"/>
          <w:szCs w:val="13"/>
          <w:color w:val="auto"/>
        </w:rPr>
        <w:t>” means, with respect to any Person:</w:t>
      </w:r>
    </w:p>
    <w:p>
      <w:pPr>
        <w:spacing w:after="0" w:line="148" w:lineRule="exact"/>
        <w:rPr>
          <w:sz w:val="20"/>
          <w:szCs w:val="20"/>
          <w:color w:val="auto"/>
        </w:rPr>
      </w:pPr>
    </w:p>
    <w:p>
      <w:pPr>
        <w:ind w:left="420" w:right="20" w:firstLine="437"/>
        <w:spacing w:after="0" w:line="271" w:lineRule="auto"/>
        <w:tabs>
          <w:tab w:leader="none" w:pos="1126"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corporation of which more than 50.0% of the total voting power of the Voting Stock thereof is at the time owned, directly or indirectly, by such Person or one or more of the other Subsidiaries of such Person; and</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partnership or similar business organization more than 50.0% of the ownership interests having ordinary voting power of which shall at the time be so owned.</w:t>
      </w:r>
    </w:p>
    <w:p>
      <w:pPr>
        <w:spacing w:after="0" w:line="148" w:lineRule="exact"/>
        <w:rPr>
          <w:sz w:val="20"/>
          <w:szCs w:val="20"/>
          <w:color w:val="auto"/>
        </w:rPr>
      </w:pPr>
    </w:p>
    <w:p>
      <w:pPr>
        <w:ind w:right="240"/>
        <w:spacing w:after="0" w:line="271" w:lineRule="auto"/>
        <w:rPr>
          <w:sz w:val="20"/>
          <w:szCs w:val="20"/>
          <w:color w:val="auto"/>
        </w:rPr>
      </w:pPr>
      <w:r>
        <w:rPr>
          <w:rFonts w:ascii="Arial" w:cs="Arial" w:eastAsia="Arial" w:hAnsi="Arial"/>
          <w:sz w:val="13"/>
          <w:szCs w:val="13"/>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this Supplemental Indenture.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Subsidiary Guarantor</w:t>
      </w:r>
      <w:r>
        <w:rPr>
          <w:rFonts w:ascii="Arial" w:cs="Arial" w:eastAsia="Arial" w:hAnsi="Arial"/>
          <w:sz w:val="11"/>
          <w:szCs w:val="11"/>
          <w:color w:val="auto"/>
        </w:rPr>
        <w:t>” means the Person named as a “Subsidiary Guarantor” in the first paragraph of this Supplemental Indenture and any other Restricted Subsidiary that after the Issue Date becomes a party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to the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60"/>
          </w:cols>
          <w:pgMar w:left="220" w:top="435" w:right="219" w:bottom="1440" w:gutter="0" w:footer="0" w:header="0"/>
        </w:sectPr>
      </w:pPr>
    </w:p>
    <w:bookmarkStart w:id="41" w:name="page42"/>
    <w:bookmarkEnd w:id="41"/>
    <w:p>
      <w:pPr>
        <w:spacing w:after="0"/>
        <w:rPr>
          <w:sz w:val="20"/>
          <w:szCs w:val="20"/>
          <w:color w:val="auto"/>
        </w:rPr>
      </w:pPr>
      <w:r>
        <w:rPr>
          <w:rFonts w:ascii="Arial" w:cs="Arial" w:eastAsia="Arial" w:hAnsi="Arial"/>
          <w:sz w:val="13"/>
          <w:szCs w:val="13"/>
          <w:color w:val="auto"/>
        </w:rPr>
        <w:t>Indenture for purposes of providing a Guarantee with respect to the Notes, in each case, until such Person is released from its Guarantee in accordance with the terms of the Indenture.</w:t>
      </w:r>
    </w:p>
    <w:p>
      <w:pPr>
        <w:spacing w:after="0" w:line="148" w:lineRule="exact"/>
        <w:rPr>
          <w:sz w:val="20"/>
          <w:szCs w:val="20"/>
          <w:color w:val="auto"/>
        </w:rPr>
      </w:pPr>
    </w:p>
    <w:p>
      <w:pPr>
        <w:ind w:right="2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Successor Parent</w:t>
      </w:r>
      <w:r>
        <w:rPr>
          <w:rFonts w:ascii="Arial" w:cs="Arial" w:eastAsia="Arial" w:hAnsi="Arial"/>
          <w:sz w:val="13"/>
          <w:szCs w:val="13"/>
          <w:color w:val="auto"/>
        </w:rPr>
        <w:t>” means any Person which legally and beneficially owns more than 50% of the Voting Stock and/or Equity Interests of the Parent Guarantor or any Restricted Subsidiary, either directly or through one or more Subsidiaries.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Successor Person</w:t>
      </w:r>
      <w:r>
        <w:rPr>
          <w:rFonts w:ascii="Arial" w:cs="Arial" w:eastAsia="Arial" w:hAnsi="Arial"/>
          <w:sz w:val="13"/>
          <w:szCs w:val="13"/>
          <w:color w:val="auto"/>
        </w:rPr>
        <w:t>” has the meaning set forth in Section 901.</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Supplemental Indenture</w:t>
      </w:r>
      <w:r>
        <w:rPr>
          <w:rFonts w:ascii="Arial" w:cs="Arial" w:eastAsia="Arial" w:hAnsi="Arial"/>
          <w:sz w:val="13"/>
          <w:szCs w:val="13"/>
          <w:color w:val="auto"/>
        </w:rPr>
        <w:t>” has the meaning stated in the first recital of this Supplemental Indenture.</w:t>
      </w:r>
    </w:p>
    <w:p>
      <w:pPr>
        <w:spacing w:after="0" w:line="148" w:lineRule="exact"/>
        <w:rPr>
          <w:sz w:val="20"/>
          <w:szCs w:val="20"/>
          <w:color w:val="auto"/>
        </w:rPr>
      </w:pPr>
    </w:p>
    <w:p>
      <w:pPr>
        <w:ind w:firstLine="432"/>
        <w:spacing w:after="0" w:line="25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Term Loan Agreement</w:t>
      </w:r>
      <w:r>
        <w:rPr>
          <w:rFonts w:ascii="Arial" w:cs="Arial" w:eastAsia="Arial" w:hAnsi="Arial"/>
          <w:sz w:val="13"/>
          <w:szCs w:val="13"/>
          <w:color w:val="auto"/>
        </w:rPr>
        <w:t>” means the Term Loan Agreement dated as of May 4, 2016, among the Subsidiary Guarantor, JPMorgan Chase Bank, N.A., as administrative agent, and the several lenders from time to time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to the extent such increase is permitted under the Indenture or adding or removing Subsidiaries as borrowers or guarantors thereunder) all or any portion of the Indebtedness under such agreement or facility or any successor or replacement agreement or facility.</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Treasury Yield</w:t>
      </w:r>
      <w:r>
        <w:rPr>
          <w:rFonts w:ascii="Arial" w:cs="Arial" w:eastAsia="Arial" w:hAnsi="Arial"/>
          <w:sz w:val="13"/>
          <w:szCs w:val="13"/>
          <w:color w:val="auto"/>
        </w:rPr>
        <w:t>” has the meaning specified in Section 1203.</w:t>
      </w:r>
    </w:p>
    <w:p>
      <w:pPr>
        <w:spacing w:after="0" w:line="148" w:lineRule="exact"/>
        <w:rPr>
          <w:sz w:val="20"/>
          <w:szCs w:val="20"/>
          <w:color w:val="auto"/>
        </w:rPr>
      </w:pPr>
    </w:p>
    <w:p>
      <w:pPr>
        <w:ind w:right="1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Trust Indenture Act</w:t>
      </w:r>
      <w:r>
        <w:rPr>
          <w:rFonts w:ascii="Arial" w:cs="Arial" w:eastAsia="Arial" w:hAnsi="Arial"/>
          <w:sz w:val="13"/>
          <w:szCs w:val="13"/>
          <w:color w:val="auto"/>
        </w:rPr>
        <w:t xml:space="preserve">” means the Trust Indenture Act of 1939 as in force at the date as of which this Supplemental Indenture was executed;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the event the Trust Indenture Act of 1939 is amended after such date, “Trust Indenture Act” means, to the extent required by any such amendment, the Trust Indenture Act of 1939 as so amended.</w:t>
      </w:r>
    </w:p>
    <w:p>
      <w:pPr>
        <w:spacing w:after="0" w:line="113" w:lineRule="exact"/>
        <w:rPr>
          <w:sz w:val="20"/>
          <w:szCs w:val="20"/>
          <w:color w:val="auto"/>
        </w:rPr>
      </w:pPr>
    </w:p>
    <w:p>
      <w:pPr>
        <w:ind w:right="40" w:firstLine="432"/>
        <w:spacing w:after="0" w:line="364"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Trustee</w:t>
      </w:r>
      <w:r>
        <w:rPr>
          <w:rFonts w:ascii="Arial" w:cs="Arial" w:eastAsia="Arial" w:hAnsi="Arial"/>
          <w:sz w:val="11"/>
          <w:szCs w:val="11"/>
          <w:color w:val="auto"/>
        </w:rPr>
        <w:t>” means the Person named as the “Trustee” in the first paragraph of this Supplemental Indenture until a successor Trustee shall have become such pursuant to the applicable provisions of the Indenture, and thereafter “Trustee” shall mean or include each Person who is then a Trustee under the Indenture, and if at any time there is more than one such Person, “Trustee” shall mean the Trustee with respect to the Notes.</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United States</w:t>
      </w:r>
      <w:r>
        <w:rPr>
          <w:rFonts w:ascii="Arial" w:cs="Arial" w:eastAsia="Arial" w:hAnsi="Arial"/>
          <w:sz w:val="13"/>
          <w:szCs w:val="13"/>
          <w:color w:val="auto"/>
        </w:rPr>
        <w:t>” or “</w:t>
      </w:r>
      <w:r>
        <w:rPr>
          <w:rFonts w:ascii="Arial" w:cs="Arial" w:eastAsia="Arial" w:hAnsi="Arial"/>
          <w:sz w:val="13"/>
          <w:szCs w:val="13"/>
          <w:i w:val="1"/>
          <w:iCs w:val="1"/>
          <w:color w:val="auto"/>
        </w:rPr>
        <w:t>U.S.</w:t>
      </w:r>
      <w:r>
        <w:rPr>
          <w:rFonts w:ascii="Arial" w:cs="Arial" w:eastAsia="Arial" w:hAnsi="Arial"/>
          <w:sz w:val="13"/>
          <w:szCs w:val="13"/>
          <w:color w:val="auto"/>
        </w:rPr>
        <w:t>” means the United States of America.</w:t>
      </w:r>
    </w:p>
    <w:p>
      <w:pPr>
        <w:spacing w:after="0" w:line="148" w:lineRule="exact"/>
        <w:rPr>
          <w:sz w:val="20"/>
          <w:szCs w:val="20"/>
          <w:color w:val="auto"/>
        </w:rPr>
      </w:pPr>
    </w:p>
    <w:p>
      <w:pPr>
        <w:jc w:val="both"/>
        <w:ind w:right="36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Unrestricted Subsidiary</w:t>
      </w:r>
      <w:r>
        <w:rPr>
          <w:rFonts w:ascii="Arial" w:cs="Arial" w:eastAsia="Arial" w:hAnsi="Arial"/>
          <w:sz w:val="13"/>
          <w:szCs w:val="13"/>
          <w:color w:val="auto"/>
        </w:rPr>
        <w:t>” means (1) any Subsidiary that at the time of determination shall be designated an Unrestricted Subsidiary by the Board of Directors of the Parent Guarantor in accordance with Section 1106 and (2) any Subsidiary of an Unrestricted Subsidiary. Notwithstanding the preceding, if at any time, any Unrestricted Subsidiary would fail to meet the requirements as an Unrestricted Subsidiary in Section 1106, it shall thereafter cease to be an Unrestricted Subsidiary for purposes of the Indenture.</w:t>
      </w:r>
    </w:p>
    <w:p>
      <w:pPr>
        <w:spacing w:after="0" w:line="121" w:lineRule="exact"/>
        <w:rPr>
          <w:sz w:val="20"/>
          <w:szCs w:val="20"/>
          <w:color w:val="auto"/>
        </w:rPr>
      </w:pPr>
    </w:p>
    <w:p>
      <w:pPr>
        <w:ind w:right="2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U.S. Government Obligations</w:t>
      </w:r>
      <w:r>
        <w:rPr>
          <w:rFonts w:ascii="Arial" w:cs="Arial" w:eastAsia="Arial" w:hAnsi="Arial"/>
          <w:sz w:val="13"/>
          <w:szCs w:val="13"/>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435" w:right="199" w:bottom="1440" w:gutter="0" w:footer="0" w:header="0"/>
        </w:sectPr>
      </w:pPr>
    </w:p>
    <w:bookmarkStart w:id="42" w:name="page43"/>
    <w:bookmarkEnd w:id="42"/>
    <w:p>
      <w:pPr>
        <w:ind w:right="1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Voting Stock</w:t>
      </w:r>
      <w:r>
        <w:rPr>
          <w:rFonts w:ascii="Arial" w:cs="Arial" w:eastAsia="Arial" w:hAnsi="Arial"/>
          <w:sz w:val="13"/>
          <w:szCs w:val="13"/>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13" w:lineRule="exact"/>
        <w:rPr>
          <w:sz w:val="20"/>
          <w:szCs w:val="20"/>
          <w:color w:val="auto"/>
        </w:rPr>
      </w:pPr>
    </w:p>
    <w:p>
      <w:pPr>
        <w:ind w:right="34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Weatherford Parent Company</w:t>
      </w:r>
      <w:r>
        <w:rPr>
          <w:rFonts w:ascii="Arial" w:cs="Arial" w:eastAsia="Arial" w:hAnsi="Arial"/>
          <w:sz w:val="13"/>
          <w:szCs w:val="13"/>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13" w:lineRule="exact"/>
        <w:rPr>
          <w:sz w:val="20"/>
          <w:szCs w:val="20"/>
          <w:color w:val="auto"/>
        </w:rPr>
      </w:pPr>
    </w:p>
    <w:p>
      <w:pPr>
        <w:ind w:right="6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Weighted Average Life to Maturity</w:t>
      </w:r>
      <w:r>
        <w:rPr>
          <w:rFonts w:ascii="Arial" w:cs="Arial" w:eastAsia="Arial" w:hAnsi="Arial"/>
          <w:sz w:val="13"/>
          <w:szCs w:val="13"/>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21" w:lineRule="exact"/>
        <w:rPr>
          <w:sz w:val="20"/>
          <w:szCs w:val="20"/>
          <w:color w:val="auto"/>
        </w:rPr>
      </w:pPr>
    </w:p>
    <w:p>
      <w:pPr>
        <w:ind w:right="56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Wholly-Owned Subsidiary</w:t>
      </w:r>
      <w:r>
        <w:rPr>
          <w:rFonts w:ascii="Arial" w:cs="Arial" w:eastAsia="Arial" w:hAnsi="Arial"/>
          <w:sz w:val="13"/>
          <w:szCs w:val="13"/>
          <w:color w:val="auto"/>
        </w:rPr>
        <w:t>” means a Restricted Subsidiary, all of the Equity Interests of which (other than directors’ qualifying shares) are owned by the Parent Guarantor or another Wholly-Owned Subsidiary.</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202.</w:t>
      </w:r>
      <w:r>
        <w:rPr>
          <w:sz w:val="20"/>
          <w:szCs w:val="20"/>
          <w:color w:val="auto"/>
        </w:rPr>
        <w:tab/>
      </w:r>
      <w:r>
        <w:rPr>
          <w:rFonts w:ascii="Arial" w:cs="Arial" w:eastAsia="Arial" w:hAnsi="Arial"/>
          <w:sz w:val="12"/>
          <w:szCs w:val="12"/>
          <w:u w:val="single" w:color="auto"/>
          <w:color w:val="auto"/>
        </w:rPr>
        <w:t>Compliance Certificates and Opinions.</w:t>
      </w:r>
    </w:p>
    <w:p>
      <w:pPr>
        <w:spacing w:after="0" w:line="157" w:lineRule="exact"/>
        <w:rPr>
          <w:sz w:val="20"/>
          <w:szCs w:val="20"/>
          <w:color w:val="auto"/>
        </w:rPr>
      </w:pPr>
    </w:p>
    <w:p>
      <w:pPr>
        <w:jc w:val="both"/>
        <w:ind w:right="160" w:firstLine="432"/>
        <w:spacing w:after="0" w:line="290" w:lineRule="auto"/>
        <w:rPr>
          <w:sz w:val="20"/>
          <w:szCs w:val="20"/>
          <w:color w:val="auto"/>
        </w:rPr>
      </w:pPr>
      <w:r>
        <w:rPr>
          <w:rFonts w:ascii="Arial" w:cs="Arial" w:eastAsia="Arial" w:hAnsi="Arial"/>
          <w:sz w:val="12"/>
          <w:szCs w:val="12"/>
          <w:color w:val="auto"/>
        </w:rPr>
        <w:t>Upon any application or request by the Issuer or any Guarantor to the Trustee to take or refrain from taking any action under any provision of the Indenture, the Issuer or such Guarantor, as the case may be, shall furnish to the Trustee such certificates and opinions as may be required under the Trust Indenture Act. Each such certificate or opinion shall be given in the form of an Officer’s Certificate, if to be given by the Issuer or a Guarantor, or an Opinion of Counsel, if to be given by counsel, and shall comply with the requirements of the Trust Indenture Act and any other requirements set forth in the Indenture.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Every certificate or opinion with respect to compliance with a condition or covenant provided for in the Indenture shall include,</w:t>
      </w:r>
    </w:p>
    <w:p>
      <w:pPr>
        <w:spacing w:after="0" w:line="148" w:lineRule="exact"/>
        <w:rPr>
          <w:sz w:val="20"/>
          <w:szCs w:val="20"/>
          <w:color w:val="auto"/>
        </w:rPr>
      </w:pPr>
    </w:p>
    <w:p>
      <w:pPr>
        <w:ind w:left="1140" w:hanging="283"/>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statement that each individual signing such certificate or opinion has read such covenant or condition and the definitions herein relating thereto;</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brief statement as to the nature and scope of the examination or investigation upon which the statements or opinions contained in such certificate or opinion are based;</w:t>
      </w:r>
    </w:p>
    <w:p>
      <w:pPr>
        <w:spacing w:after="0" w:line="147" w:lineRule="exact"/>
        <w:rPr>
          <w:rFonts w:ascii="Arial" w:cs="Arial" w:eastAsia="Arial" w:hAnsi="Arial"/>
          <w:sz w:val="13"/>
          <w:szCs w:val="13"/>
          <w:color w:val="auto"/>
        </w:rPr>
      </w:pPr>
    </w:p>
    <w:p>
      <w:pPr>
        <w:ind w:left="420" w:right="300" w:firstLine="437"/>
        <w:spacing w:after="0" w:line="271" w:lineRule="auto"/>
        <w:tabs>
          <w:tab w:leader="none" w:pos="1126"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statement as to whether or not, in the opinion of each such individual, such condition or covenant has been complied with.</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203.</w:t>
      </w:r>
      <w:r>
        <w:rPr>
          <w:sz w:val="20"/>
          <w:szCs w:val="20"/>
          <w:color w:val="auto"/>
        </w:rPr>
        <w:tab/>
      </w:r>
      <w:r>
        <w:rPr>
          <w:rFonts w:ascii="Arial" w:cs="Arial" w:eastAsia="Arial" w:hAnsi="Arial"/>
          <w:sz w:val="12"/>
          <w:szCs w:val="12"/>
          <w:u w:val="single" w:color="auto"/>
          <w:color w:val="auto"/>
        </w:rPr>
        <w:t>Form of Documents Delivered to Trustee.</w:t>
      </w:r>
    </w:p>
    <w:p>
      <w:pPr>
        <w:spacing w:after="0" w:line="157"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40"/>
          </w:cols>
          <w:pgMar w:left="220" w:top="435" w:right="239"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auto"/>
        </w:rPr>
        <w:t>with respect to some matters and one or more other such persons as to other matters, and any such person may certify or give an opinion as to such matters in one or several documents.</w:t>
      </w:r>
    </w:p>
    <w:p>
      <w:pPr>
        <w:spacing w:after="0" w:line="148"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Any certificate or opinion of an Officer of the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25" w:lineRule="exact"/>
        <w:rPr>
          <w:sz w:val="20"/>
          <w:szCs w:val="20"/>
          <w:color w:val="auto"/>
        </w:rPr>
      </w:pPr>
    </w:p>
    <w:p>
      <w:pPr>
        <w:ind w:right="380" w:firstLine="432"/>
        <w:spacing w:after="0" w:line="271" w:lineRule="auto"/>
        <w:rPr>
          <w:sz w:val="20"/>
          <w:szCs w:val="20"/>
          <w:color w:val="auto"/>
        </w:rPr>
      </w:pPr>
      <w:r>
        <w:rPr>
          <w:rFonts w:ascii="Arial" w:cs="Arial" w:eastAsia="Arial" w:hAnsi="Arial"/>
          <w:sz w:val="13"/>
          <w:szCs w:val="13"/>
          <w:color w:val="auto"/>
        </w:rPr>
        <w:t>Where any Person is required to make, give or execute two or more applications, requests, consents, certificates, statements, opinions or other instruments under the Indenture, they may, but need not, be consolidated and form one instrument.</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204.</w:t>
      </w:r>
      <w:r>
        <w:rPr>
          <w:sz w:val="20"/>
          <w:szCs w:val="20"/>
          <w:color w:val="auto"/>
        </w:rPr>
        <w:tab/>
      </w:r>
      <w:r>
        <w:rPr>
          <w:rFonts w:ascii="Arial" w:cs="Arial" w:eastAsia="Arial" w:hAnsi="Arial"/>
          <w:sz w:val="12"/>
          <w:szCs w:val="12"/>
          <w:u w:val="single" w:color="auto"/>
          <w:color w:val="auto"/>
        </w:rPr>
        <w:t>Acts of Holders; Record Dates</w:t>
      </w:r>
      <w:r>
        <w:rPr>
          <w:rFonts w:ascii="Arial" w:cs="Arial" w:eastAsia="Arial" w:hAnsi="Arial"/>
          <w:sz w:val="12"/>
          <w:szCs w:val="12"/>
          <w:color w:val="auto"/>
        </w:rPr>
        <w:t>.</w:t>
      </w:r>
    </w:p>
    <w:p>
      <w:pPr>
        <w:spacing w:after="0" w:line="157" w:lineRule="exact"/>
        <w:rPr>
          <w:sz w:val="20"/>
          <w:szCs w:val="20"/>
          <w:color w:val="auto"/>
        </w:rPr>
      </w:pPr>
    </w:p>
    <w:p>
      <w:pPr>
        <w:ind w:right="100" w:firstLine="432"/>
        <w:spacing w:after="0" w:line="275" w:lineRule="auto"/>
        <w:rPr>
          <w:sz w:val="20"/>
          <w:szCs w:val="20"/>
          <w:color w:val="auto"/>
        </w:rPr>
      </w:pPr>
      <w:r>
        <w:rPr>
          <w:rFonts w:ascii="Arial" w:cs="Arial" w:eastAsia="Arial" w:hAnsi="Arial"/>
          <w:sz w:val="12"/>
          <w:szCs w:val="12"/>
          <w:color w:val="auto"/>
        </w:rPr>
        <w:t xml:space="preserve">Any request, demand, authorization, direction, notice, consent, waiver or other action provided or permitted by the Indenture to be given, made or taken by Holders of the Notes may be embodied in and evidenced by one or more instruments of substantially similar tenor signed (either physically or by means of a facsimile or an electronic transmission,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electronic transmission is transmitted through the facilities of a Depositary) by such Holders in person or by agent duly appointed in writing; and, except as herein otherwise expressly provided, such action shall become effective when such instrument or instruments are delivered to the Trustee and, where it is hereby expressly required, to the Issuer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the Indenture and conclusive in favor of the Trustee and the Issuer and, if applicable, the Subsidiary Guarantors, if made in the manner provided in this Section.</w:t>
      </w:r>
    </w:p>
    <w:p>
      <w:pPr>
        <w:spacing w:after="0" w:line="114" w:lineRule="exact"/>
        <w:rPr>
          <w:sz w:val="20"/>
          <w:szCs w:val="20"/>
          <w:color w:val="auto"/>
        </w:rPr>
      </w:pPr>
    </w:p>
    <w:p>
      <w:pPr>
        <w:ind w:right="40" w:firstLine="432"/>
        <w:spacing w:after="0" w:line="258" w:lineRule="auto"/>
        <w:rPr>
          <w:sz w:val="20"/>
          <w:szCs w:val="20"/>
          <w:color w:val="auto"/>
        </w:rPr>
      </w:pPr>
      <w:r>
        <w:rPr>
          <w:rFonts w:ascii="Arial" w:cs="Arial" w:eastAsia="Arial" w:hAnsi="Arial"/>
          <w:sz w:val="13"/>
          <w:szCs w:val="13"/>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ownership, principal amount and serial numbers of Notes held by any Person, and the date of commencement of such Person’s holding of same, shall be proved by the Security Register.</w:t>
      </w:r>
    </w:p>
    <w:p>
      <w:pPr>
        <w:spacing w:after="0" w:line="148" w:lineRule="exact"/>
        <w:rPr>
          <w:sz w:val="20"/>
          <w:szCs w:val="20"/>
          <w:color w:val="auto"/>
        </w:rPr>
      </w:pPr>
    </w:p>
    <w:p>
      <w:pPr>
        <w:ind w:right="100" w:firstLine="432"/>
        <w:spacing w:after="0" w:line="258" w:lineRule="auto"/>
        <w:rPr>
          <w:sz w:val="20"/>
          <w:szCs w:val="20"/>
          <w:color w:val="auto"/>
        </w:rPr>
      </w:pPr>
      <w:r>
        <w:rPr>
          <w:rFonts w:ascii="Arial" w:cs="Arial" w:eastAsia="Arial" w:hAnsi="Arial"/>
          <w:sz w:val="13"/>
          <w:szCs w:val="13"/>
          <w:color w:val="auto"/>
        </w:rPr>
        <w:t>Any request, demand, authorization, direction, notice, consent, waiver or other Act of the Holder of any Note shall bind every future Holder of Notes and the Holder of every Note issued upon the registration of transfer thereof or in exchange therefor or in lieu thereof in respect of anything done, omitted or suffered to be done by the Trustee or the Issuer or, if applicable, the Subsidiary Guarantors in reliance thereon, whether or not notation of such action is made upon such Note.</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 xml:space="preserve">The Issuer may set any day as a record date for the purpose of determining the Holders of Outstanding Notes entitled to give, make or take any request, demand, authorization, direction, notice, consent, waiver or other Act provided or permitted by the Indenture to be given, made or taken by Holders of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Issuer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60"/>
          </w:cols>
          <w:pgMar w:left="220" w:top="435" w:right="219" w:bottom="1440" w:gutter="0" w:footer="0" w:header="0"/>
        </w:sectPr>
      </w:pPr>
    </w:p>
    <w:bookmarkStart w:id="44" w:name="page45"/>
    <w:bookmarkEnd w:id="44"/>
    <w:p>
      <w:pPr>
        <w:ind w:right="20"/>
        <w:spacing w:after="0" w:line="274" w:lineRule="auto"/>
        <w:rPr>
          <w:sz w:val="20"/>
          <w:szCs w:val="20"/>
          <w:color w:val="auto"/>
        </w:rPr>
      </w:pPr>
      <w:r>
        <w:rPr>
          <w:rFonts w:ascii="Arial" w:cs="Arial" w:eastAsia="Arial" w:hAnsi="Arial"/>
          <w:sz w:val="12"/>
          <w:szCs w:val="12"/>
          <w:color w:val="auto"/>
        </w:rPr>
        <w:t xml:space="preserve">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and no other Holders, shall be entitled to take the relevant action, whether or not such Holders remain Holders after such record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Issuer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Issuer, at its own expense, shall cause notice of such record date, the proposed action by Holders and the applicable Expiration Date to be given to the Trustee in writing and to each Holder of Notes in the manner set forth in Section 206.</w:t>
      </w:r>
    </w:p>
    <w:p>
      <w:pPr>
        <w:spacing w:after="0" w:line="113" w:lineRule="exact"/>
        <w:rPr>
          <w:sz w:val="20"/>
          <w:szCs w:val="20"/>
          <w:color w:val="auto"/>
        </w:rPr>
      </w:pPr>
    </w:p>
    <w:p>
      <w:pPr>
        <w:ind w:firstLine="432"/>
        <w:spacing w:after="0" w:line="273" w:lineRule="auto"/>
        <w:rPr>
          <w:sz w:val="20"/>
          <w:szCs w:val="20"/>
          <w:color w:val="auto"/>
        </w:rPr>
      </w:pPr>
      <w:r>
        <w:rPr>
          <w:rFonts w:ascii="Arial" w:cs="Arial" w:eastAsia="Arial" w:hAnsi="Arial"/>
          <w:sz w:val="12"/>
          <w:szCs w:val="12"/>
          <w:color w:val="auto"/>
        </w:rPr>
        <w:t xml:space="preserve">The Trustee may set any day as a record date for the purpose of determining the Holders of Notes entitled to join in the giving or making of (i) any notice of Default, (ii) any declaration of acceleration referred to in Section 602, (iii) any request to institute proceedings referred to in Section 607(2) or (iv) any direction referred to in Section 612.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Issuer’s expense, shall cause notice of such record date, the proposed action by Holders and the applicable Expiration Date to be given to the Issuer in writing and to each Holder of Notes in the manner set forth in Section 206.</w:t>
      </w:r>
    </w:p>
    <w:p>
      <w:pPr>
        <w:spacing w:after="0" w:line="113" w:lineRule="exact"/>
        <w:rPr>
          <w:sz w:val="20"/>
          <w:szCs w:val="20"/>
          <w:color w:val="auto"/>
        </w:rPr>
      </w:pPr>
    </w:p>
    <w:p>
      <w:pPr>
        <w:ind w:right="40" w:firstLine="432"/>
        <w:spacing w:after="0" w:line="252" w:lineRule="auto"/>
        <w:rPr>
          <w:sz w:val="20"/>
          <w:szCs w:val="20"/>
          <w:color w:val="auto"/>
        </w:rPr>
      </w:pPr>
      <w:r>
        <w:rPr>
          <w:rFonts w:ascii="Arial" w:cs="Arial" w:eastAsia="Arial" w:hAnsi="Arial"/>
          <w:sz w:val="13"/>
          <w:szCs w:val="13"/>
          <w:color w:val="auto"/>
        </w:rPr>
        <w:t xml:space="preserve">With respect to any record date set pursuant to this Section, the party hereto which sets such record date may designate any day as the “Expiration Date” and from time to time may change the Expiration Date to any earlier or later day;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change shall be effective unless notice of the proposed new Expiration Date is given to each other party hereto in writing, and to each Holder of Notes in the manner set forth in Section 206,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3"/>
          <w:szCs w:val="13"/>
          <w:color w:val="auto"/>
        </w:rPr>
        <w:t>Without limiting the foregoing, a Holder entitled hereunder to take any action hereunder with regard to the Notes may do so with regard to all or any part of the principal amount of such Note or by one or more duly appointed agents each of which may do so pursuant to such appointment with regard to all or any part of such principal amount.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435" w:right="199" w:bottom="1440" w:gutter="0" w:footer="0" w:header="0"/>
        </w:sectPr>
      </w:pPr>
    </w:p>
    <w:bookmarkStart w:id="45" w:name="page46"/>
    <w:bookmarkEnd w:id="45"/>
    <w:p>
      <w:pPr>
        <w:spacing w:after="0"/>
        <w:tabs>
          <w:tab w:leader="none" w:pos="760" w:val="left"/>
        </w:tabs>
        <w:rPr>
          <w:sz w:val="20"/>
          <w:szCs w:val="20"/>
          <w:color w:val="auto"/>
        </w:rPr>
      </w:pPr>
      <w:r>
        <w:rPr>
          <w:rFonts w:ascii="Arial" w:cs="Arial" w:eastAsia="Arial" w:hAnsi="Arial"/>
          <w:sz w:val="13"/>
          <w:szCs w:val="13"/>
          <w:color w:val="auto"/>
        </w:rPr>
        <w:t>Section 205.</w:t>
      </w:r>
      <w:r>
        <w:rPr>
          <w:sz w:val="20"/>
          <w:szCs w:val="20"/>
          <w:color w:val="auto"/>
        </w:rPr>
        <w:tab/>
      </w:r>
      <w:r>
        <w:rPr>
          <w:rFonts w:ascii="Arial" w:cs="Arial" w:eastAsia="Arial" w:hAnsi="Arial"/>
          <w:sz w:val="11"/>
          <w:szCs w:val="11"/>
          <w:u w:val="single" w:color="auto"/>
          <w:color w:val="auto"/>
        </w:rPr>
        <w:t>Notices, Etc., to Trustee, Issuer and Guarantors</w:t>
      </w:r>
      <w:r>
        <w:rPr>
          <w:rFonts w:ascii="Arial" w:cs="Arial" w:eastAsia="Arial" w:hAnsi="Arial"/>
          <w:sz w:val="11"/>
          <w:szCs w:val="11"/>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Any request, demand, authorization, direction, notice, consent, waiver or other Act of Holders or other document provided or permitted by the Indenture to be made upon, given or furnished to, or filed with,</w:t>
      </w:r>
    </w:p>
    <w:p>
      <w:pPr>
        <w:spacing w:after="0" w:line="159" w:lineRule="exact"/>
        <w:rPr>
          <w:sz w:val="20"/>
          <w:szCs w:val="20"/>
          <w:color w:val="auto"/>
        </w:rPr>
      </w:pPr>
    </w:p>
    <w:p>
      <w:pPr>
        <w:ind w:left="420" w:right="160" w:firstLine="437"/>
        <w:spacing w:after="0" w:line="271" w:lineRule="auto"/>
        <w:tabs>
          <w:tab w:leader="none" w:pos="1126"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Trustee by any Holder or by the Issuer or by any Guarantor shall be sufficient for every purpose hereunder if made, given, furnished or filed in writing to or with the Trustee at its Corporate Trust Office, or</w:t>
      </w:r>
    </w:p>
    <w:p>
      <w:pPr>
        <w:spacing w:after="0" w:line="112" w:lineRule="exact"/>
        <w:rPr>
          <w:rFonts w:ascii="Arial" w:cs="Arial" w:eastAsia="Arial" w:hAnsi="Arial"/>
          <w:sz w:val="13"/>
          <w:szCs w:val="13"/>
          <w:color w:val="auto"/>
        </w:rPr>
      </w:pPr>
    </w:p>
    <w:p>
      <w:pPr>
        <w:ind w:left="420" w:right="20" w:firstLine="437"/>
        <w:spacing w:after="0" w:line="258" w:lineRule="auto"/>
        <w:tabs>
          <w:tab w:leader="none" w:pos="1126"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Issuer or a Guarantor by the Trustee or by any Holder shall be sufficient for every purpose hereunder (unless otherwise herein expressly provided) if in writing and mailed, first-class postage prepaid, addressed to the Issuer or the Guarantor, as the case may be, in Weatherford International, LLC, at 2000 St. James Place, Houston, Texas 77056, Attention: Corporate Secretary, or at any other address previously furnished in writing to the Trustee by the Issuer or the Guarantors.</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206.</w:t>
      </w:r>
      <w:r>
        <w:rPr>
          <w:sz w:val="20"/>
          <w:szCs w:val="20"/>
          <w:color w:val="auto"/>
        </w:rPr>
        <w:tab/>
      </w:r>
      <w:r>
        <w:rPr>
          <w:rFonts w:ascii="Arial" w:cs="Arial" w:eastAsia="Arial" w:hAnsi="Arial"/>
          <w:sz w:val="12"/>
          <w:szCs w:val="12"/>
          <w:u w:val="single" w:color="auto"/>
          <w:color w:val="auto"/>
        </w:rPr>
        <w:t>Notice to Holders; Waiver</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50" w:lineRule="auto"/>
        <w:rPr>
          <w:sz w:val="20"/>
          <w:szCs w:val="20"/>
          <w:color w:val="auto"/>
        </w:rPr>
      </w:pPr>
      <w:r>
        <w:rPr>
          <w:rFonts w:ascii="Arial" w:cs="Arial" w:eastAsia="Arial" w:hAnsi="Arial"/>
          <w:sz w:val="13"/>
          <w:szCs w:val="13"/>
          <w:color w:val="auto"/>
        </w:rPr>
        <w:t>Where the Indenture provides for notice to Holders of any event, such notice shall be sufficiently given (unless otherwise herein expressly provided) if in writing and mailed, first-class postage prepaid (or sent electronically in accordance with the procedures of the Depositary in cases where the Holder is the Depositary or its nominee)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If notice is mailed to Holders in the manner provided in this Section 206, it is duly given, whether or not the addressee receives it. Where the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26" w:lineRule="exact"/>
        <w:rPr>
          <w:sz w:val="20"/>
          <w:szCs w:val="20"/>
          <w:color w:val="auto"/>
        </w:rPr>
      </w:pPr>
    </w:p>
    <w:p>
      <w:pPr>
        <w:ind w:right="80" w:firstLine="432"/>
        <w:spacing w:after="0" w:line="271" w:lineRule="auto"/>
        <w:rPr>
          <w:sz w:val="20"/>
          <w:szCs w:val="20"/>
          <w:color w:val="auto"/>
        </w:rPr>
      </w:pPr>
      <w:r>
        <w:rPr>
          <w:rFonts w:ascii="Arial" w:cs="Arial" w:eastAsia="Arial" w:hAnsi="Arial"/>
          <w:sz w:val="13"/>
          <w:szCs w:val="13"/>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207.</w:t>
      </w:r>
      <w:r>
        <w:rPr>
          <w:sz w:val="20"/>
          <w:szCs w:val="20"/>
          <w:color w:val="auto"/>
        </w:rPr>
        <w:tab/>
      </w:r>
      <w:r>
        <w:rPr>
          <w:rFonts w:ascii="Arial" w:cs="Arial" w:eastAsia="Arial" w:hAnsi="Arial"/>
          <w:sz w:val="12"/>
          <w:szCs w:val="12"/>
          <w:u w:val="single" w:color="auto"/>
          <w:color w:val="auto"/>
        </w:rPr>
        <w:t>Conflict with Trust Indenture Act</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58" w:lineRule="auto"/>
        <w:rPr>
          <w:sz w:val="20"/>
          <w:szCs w:val="20"/>
          <w:color w:val="auto"/>
        </w:rPr>
      </w:pPr>
      <w:r>
        <w:rPr>
          <w:rFonts w:ascii="Arial" w:cs="Arial" w:eastAsia="Arial" w:hAnsi="Arial"/>
          <w:sz w:val="13"/>
          <w:szCs w:val="13"/>
          <w:color w:val="auto"/>
        </w:rPr>
        <w:t>If any provision hereof limits, qualifies or conflicts with a provision of the Trust Indenture Act which is required under the Trust Indenture Act to be a part of and govern the Indenture, the latter provision shall control. If any provision of the Indenture modifies or excludes any provision of the Trust Indenture Act which may be so modified or excluded, the latter provision shall be deemed to apply to the Indenture as so modified or to be excluded, as the case may be.</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208.</w:t>
      </w:r>
      <w:r>
        <w:rPr>
          <w:sz w:val="20"/>
          <w:szCs w:val="20"/>
          <w:color w:val="auto"/>
        </w:rPr>
        <w:tab/>
      </w:r>
      <w:r>
        <w:rPr>
          <w:rFonts w:ascii="Arial" w:cs="Arial" w:eastAsia="Arial" w:hAnsi="Arial"/>
          <w:sz w:val="11"/>
          <w:szCs w:val="11"/>
          <w:u w:val="single" w:color="auto"/>
          <w:color w:val="auto"/>
        </w:rPr>
        <w:t>Effect of Headings and Table of Contents</w:t>
      </w:r>
      <w:r>
        <w:rPr>
          <w:rFonts w:ascii="Arial" w:cs="Arial" w:eastAsia="Arial" w:hAnsi="Arial"/>
          <w:sz w:val="11"/>
          <w:szCs w:val="11"/>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Article and Section headings herein and the Table of Contents are for convenience only and shall not affect the construction hereof.</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40"/>
          </w:cols>
          <w:pgMar w:left="220" w:top="435" w:right="239" w:bottom="1440" w:gutter="0" w:footer="0" w:header="0"/>
        </w:sectPr>
      </w:pPr>
    </w:p>
    <w:bookmarkStart w:id="46" w:name="page47"/>
    <w:bookmarkEnd w:id="46"/>
    <w:p>
      <w:pPr>
        <w:spacing w:after="0"/>
        <w:tabs>
          <w:tab w:leader="none" w:pos="760" w:val="left"/>
        </w:tabs>
        <w:rPr>
          <w:sz w:val="20"/>
          <w:szCs w:val="20"/>
          <w:color w:val="auto"/>
        </w:rPr>
      </w:pPr>
      <w:r>
        <w:rPr>
          <w:rFonts w:ascii="Arial" w:cs="Arial" w:eastAsia="Arial" w:hAnsi="Arial"/>
          <w:sz w:val="13"/>
          <w:szCs w:val="13"/>
          <w:color w:val="auto"/>
        </w:rPr>
        <w:t>Section 209.</w:t>
      </w:r>
      <w:r>
        <w:rPr>
          <w:sz w:val="20"/>
          <w:szCs w:val="20"/>
          <w:color w:val="auto"/>
        </w:rPr>
        <w:tab/>
      </w:r>
      <w:r>
        <w:rPr>
          <w:rFonts w:ascii="Arial" w:cs="Arial" w:eastAsia="Arial" w:hAnsi="Arial"/>
          <w:sz w:val="11"/>
          <w:szCs w:val="11"/>
          <w:u w:val="single" w:color="auto"/>
          <w:color w:val="auto"/>
        </w:rPr>
        <w:t>Successors and Assigns</w:t>
      </w:r>
      <w:r>
        <w:rPr>
          <w:rFonts w:ascii="Arial" w:cs="Arial" w:eastAsia="Arial" w:hAnsi="Arial"/>
          <w:sz w:val="11"/>
          <w:szCs w:val="11"/>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All covenants and agreements in the Indenture by the Issuer, the Guarantors or the Trustee shall bind their respective successors and assigns, whether so expressed or not.</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210.</w:t>
      </w:r>
      <w:r>
        <w:rPr>
          <w:sz w:val="20"/>
          <w:szCs w:val="20"/>
          <w:color w:val="auto"/>
        </w:rPr>
        <w:tab/>
      </w:r>
      <w:r>
        <w:rPr>
          <w:rFonts w:ascii="Arial" w:cs="Arial" w:eastAsia="Arial" w:hAnsi="Arial"/>
          <w:sz w:val="11"/>
          <w:szCs w:val="11"/>
          <w:u w:val="single" w:color="auto"/>
          <w:color w:val="auto"/>
        </w:rPr>
        <w:t>Separability Clause</w:t>
      </w:r>
      <w:r>
        <w:rPr>
          <w:rFonts w:ascii="Arial" w:cs="Arial" w:eastAsia="Arial" w:hAnsi="Arial"/>
          <w:sz w:val="11"/>
          <w:szCs w:val="11"/>
          <w:color w:val="auto"/>
        </w:rPr>
        <w:t>.</w:t>
      </w:r>
    </w:p>
    <w:p>
      <w:pPr>
        <w:spacing w:after="0" w:line="157" w:lineRule="exact"/>
        <w:rPr>
          <w:sz w:val="20"/>
          <w:szCs w:val="20"/>
          <w:color w:val="auto"/>
        </w:rPr>
      </w:pPr>
    </w:p>
    <w:p>
      <w:pPr>
        <w:ind w:right="100" w:firstLine="432"/>
        <w:spacing w:after="0" w:line="271" w:lineRule="auto"/>
        <w:rPr>
          <w:sz w:val="20"/>
          <w:szCs w:val="20"/>
          <w:color w:val="auto"/>
        </w:rPr>
      </w:pPr>
      <w:r>
        <w:rPr>
          <w:rFonts w:ascii="Arial" w:cs="Arial" w:eastAsia="Arial" w:hAnsi="Arial"/>
          <w:sz w:val="13"/>
          <w:szCs w:val="13"/>
          <w:color w:val="auto"/>
        </w:rPr>
        <w:t>In case any provision in this Supplemental Indenture or the Notes shall be invalid, illegal or unenforceable, the validity, legality and enforce ability of the remaining provisions shall not in any way be affected or impaired thereby.</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211.</w:t>
      </w:r>
      <w:r>
        <w:rPr>
          <w:sz w:val="20"/>
          <w:szCs w:val="20"/>
          <w:color w:val="auto"/>
        </w:rPr>
        <w:tab/>
      </w:r>
      <w:r>
        <w:rPr>
          <w:rFonts w:ascii="Arial" w:cs="Arial" w:eastAsia="Arial" w:hAnsi="Arial"/>
          <w:sz w:val="12"/>
          <w:szCs w:val="12"/>
          <w:u w:val="single" w:color="auto"/>
          <w:color w:val="auto"/>
        </w:rPr>
        <w:t>Benefits of Indenture</w:t>
      </w:r>
      <w:r>
        <w:rPr>
          <w:rFonts w:ascii="Arial" w:cs="Arial" w:eastAsia="Arial" w:hAnsi="Arial"/>
          <w:sz w:val="12"/>
          <w:szCs w:val="12"/>
          <w:color w:val="auto"/>
        </w:rPr>
        <w:t>.</w:t>
      </w:r>
    </w:p>
    <w:p>
      <w:pPr>
        <w:spacing w:after="0" w:line="157" w:lineRule="exact"/>
        <w:rPr>
          <w:sz w:val="20"/>
          <w:szCs w:val="20"/>
          <w:color w:val="auto"/>
        </w:rPr>
      </w:pPr>
    </w:p>
    <w:p>
      <w:pPr>
        <w:ind w:right="100" w:firstLine="432"/>
        <w:spacing w:after="0" w:line="258" w:lineRule="auto"/>
        <w:rPr>
          <w:sz w:val="20"/>
          <w:szCs w:val="20"/>
          <w:color w:val="auto"/>
        </w:rPr>
      </w:pPr>
      <w:r>
        <w:rPr>
          <w:rFonts w:ascii="Arial" w:cs="Arial" w:eastAsia="Arial" w:hAnsi="Arial"/>
          <w:sz w:val="13"/>
          <w:szCs w:val="13"/>
          <w:color w:val="auto"/>
        </w:rPr>
        <w:t>Nothing in the Indenture or the Notes, express or implied, shall give to any Person, other than the parties hereto and their successors hereunder and the Holders, any benefit or any legal or equitable right, remedy or claim under the Indenture. Notwithstanding the foregoing sentence, the Trustee, in each of its representative capacities hereunder, including as Registrar and Paying Agent, shall have all the rights, benefits, protections and immunities afforded by the Indenture to the Trustee in its capacity as such.</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212.</w:t>
      </w:r>
      <w:r>
        <w:rPr>
          <w:sz w:val="20"/>
          <w:szCs w:val="20"/>
          <w:color w:val="auto"/>
        </w:rPr>
        <w:tab/>
      </w:r>
      <w:r>
        <w:rPr>
          <w:rFonts w:ascii="Arial" w:cs="Arial" w:eastAsia="Arial" w:hAnsi="Arial"/>
          <w:sz w:val="12"/>
          <w:szCs w:val="12"/>
          <w:u w:val="single" w:color="auto"/>
          <w:color w:val="auto"/>
        </w:rPr>
        <w:t>Governing Law; Submission to Jurisdiction</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Indenture, the Notes and the Guarantees shall be governed by and construed in accordance with the laws of the State of New York.</w:t>
      </w:r>
    </w:p>
    <w:p>
      <w:pPr>
        <w:spacing w:after="0" w:line="148" w:lineRule="exact"/>
        <w:rPr>
          <w:sz w:val="20"/>
          <w:szCs w:val="20"/>
          <w:color w:val="auto"/>
        </w:rPr>
      </w:pPr>
    </w:p>
    <w:p>
      <w:pPr>
        <w:ind w:firstLine="432"/>
        <w:spacing w:after="0" w:line="270" w:lineRule="auto"/>
        <w:rPr>
          <w:sz w:val="20"/>
          <w:szCs w:val="20"/>
          <w:color w:val="auto"/>
        </w:rPr>
      </w:pPr>
      <w:r>
        <w:rPr>
          <w:rFonts w:ascii="Arial" w:cs="Arial" w:eastAsia="Arial" w:hAnsi="Arial"/>
          <w:sz w:val="12"/>
          <w:szCs w:val="12"/>
          <w:color w:val="auto"/>
        </w:rPr>
        <w:t xml:space="preserve">To the fullest extent permitted by applicable law, each of the Issuer and the Guarantors hereby irrevocably submits to the non-exclusive jurisdiction of any Federal or state court located in the Borough of Manhattan in New York, New York in any suit, action or proceeding based on or arising out of or relating to the Indenture or the Notes and irrevocably agrees that all claims in respect of such suit or proceeding may be determined in any such court. Each of the Issuer and the Guarantors irrevocably waives, to the fullest extent permitted by law, any objection which it may have to the laying of the venue of any such suit, action or proceeding brought in an inconvenient forum. Each of the Issuer and the Guarantors agrees that final judgment in any such suit, action or proceeding brought in such a court shall be conclusive and binding and may be enforced in the courts of Bermuda (or any other courts of any other jurisdiction to which either of them is subject) by a suit upon such judgment,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service of process is effected upon the Issuer. Each of the Issuer and the Guarantors hereby irrevocably designates and appoints CT Corporation Systems, New York, New York (the “Process Agent”) as its authorized agent for purposes of this Section 212, it being understood that the designation and appointment of the Process Agent as such authorized agent shall become effective immediately without any further action on the part of the Issuer or such Guarantor, as the case may be. Each of the Issuer and the Guarantors further agrees that, unless otherwise required by law, service of process upon the Process Agent and written notice of said service to the Issuer or a Guarantor, as the case may be, mailed by prepaid registered first class mail or delivered to the Process Agent at its principal office, shall be deemed in every respect effective service of process upon the Issuer or such Guarantor, as the case may be, in any such suit or proceeding. Each of the Issuer and the Guarantors further agrees to take any and all action, including the execution and filing of any and all such documents and instruments as may be necessary, to continue such designation and appointment of the Process Agent in full force and effect so long as the Issuer or such Guarantor, as the case may be, has any outstanding obligations under this Indenture. To the extent the Issuer or a Guarantor, as the case may be, has or hereafter may acquire any immunity from jurisdiction of any court or from any legal process (whether through service of notice, attachment prior to judgment, attachment in aid of execution,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435" w:right="199" w:bottom="1440" w:gutter="0" w:footer="0" w:header="0"/>
        </w:sectPr>
      </w:pPr>
    </w:p>
    <w:bookmarkStart w:id="47" w:name="page48"/>
    <w:bookmarkEnd w:id="47"/>
    <w:p>
      <w:pPr>
        <w:ind w:right="120"/>
        <w:spacing w:after="0" w:line="271" w:lineRule="auto"/>
        <w:rPr>
          <w:sz w:val="20"/>
          <w:szCs w:val="20"/>
          <w:color w:val="auto"/>
        </w:rPr>
      </w:pPr>
      <w:r>
        <w:rPr>
          <w:rFonts w:ascii="Arial" w:cs="Arial" w:eastAsia="Arial" w:hAnsi="Arial"/>
          <w:sz w:val="13"/>
          <w:szCs w:val="13"/>
          <w:color w:val="auto"/>
        </w:rPr>
        <w:t>executor or otherwise) with respect to itself or its property, each of the Issuer and such Guarantor hereby irrevocably waives such immunity in respect of its obligations under this Indenture to the extent permitted by law.</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213.</w:t>
      </w:r>
      <w:r>
        <w:rPr>
          <w:sz w:val="20"/>
          <w:szCs w:val="20"/>
          <w:color w:val="auto"/>
        </w:rPr>
        <w:tab/>
      </w:r>
      <w:r>
        <w:rPr>
          <w:rFonts w:ascii="Arial" w:cs="Arial" w:eastAsia="Arial" w:hAnsi="Arial"/>
          <w:sz w:val="12"/>
          <w:szCs w:val="12"/>
          <w:u w:val="single" w:color="auto"/>
          <w:color w:val="auto"/>
        </w:rPr>
        <w:t>Legal Holidays</w:t>
      </w:r>
      <w:r>
        <w:rPr>
          <w:rFonts w:ascii="Arial" w:cs="Arial" w:eastAsia="Arial" w:hAnsi="Arial"/>
          <w:sz w:val="12"/>
          <w:szCs w:val="12"/>
          <w:color w:val="auto"/>
        </w:rPr>
        <w:t>.</w:t>
      </w:r>
    </w:p>
    <w:p>
      <w:pPr>
        <w:spacing w:after="0" w:line="157" w:lineRule="exact"/>
        <w:rPr>
          <w:sz w:val="20"/>
          <w:szCs w:val="20"/>
          <w:color w:val="auto"/>
        </w:rPr>
      </w:pPr>
    </w:p>
    <w:p>
      <w:pPr>
        <w:jc w:val="both"/>
        <w:ind w:right="40" w:firstLine="432"/>
        <w:spacing w:after="0" w:line="258" w:lineRule="auto"/>
        <w:rPr>
          <w:sz w:val="20"/>
          <w:szCs w:val="20"/>
          <w:color w:val="auto"/>
        </w:rPr>
      </w:pPr>
      <w:r>
        <w:rPr>
          <w:rFonts w:ascii="Arial" w:cs="Arial" w:eastAsia="Arial" w:hAnsi="Arial"/>
          <w:sz w:val="13"/>
          <w:szCs w:val="13"/>
          <w:color w:val="auto"/>
        </w:rPr>
        <w:t>In any case where any Interest Payment Date, Redemption Date, purchase date or Stated Maturity of any Note shall not be a Business Day, then (notwithstanding any other provision of the Indenture or of the Notes), payment of interest or principal (and premium, if any) may be made on the next succeeding Business Day with the same force and effect as if made on the Interest Payment Date, Redemption Date or purchase date, or at the Stated Maturity, and no additional interest will accrue solely as a result of such delayed payment.</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214.</w:t>
      </w:r>
      <w:r>
        <w:rPr>
          <w:sz w:val="20"/>
          <w:szCs w:val="20"/>
          <w:color w:val="auto"/>
        </w:rPr>
        <w:tab/>
      </w:r>
      <w:r>
        <w:rPr>
          <w:rFonts w:ascii="Arial" w:cs="Arial" w:eastAsia="Arial" w:hAnsi="Arial"/>
          <w:sz w:val="12"/>
          <w:szCs w:val="12"/>
          <w:u w:val="single" w:color="auto"/>
          <w:color w:val="auto"/>
        </w:rPr>
        <w:t>No Personal Liability of Directors, Officers, Employees and Shareholders</w:t>
      </w:r>
      <w:r>
        <w:rPr>
          <w:rFonts w:ascii="Arial" w:cs="Arial" w:eastAsia="Arial" w:hAnsi="Arial"/>
          <w:sz w:val="12"/>
          <w:szCs w:val="12"/>
          <w:color w:val="auto"/>
        </w:rPr>
        <w:t>.</w:t>
      </w:r>
    </w:p>
    <w:p>
      <w:pPr>
        <w:spacing w:after="0" w:line="157" w:lineRule="exact"/>
        <w:rPr>
          <w:sz w:val="20"/>
          <w:szCs w:val="20"/>
          <w:color w:val="auto"/>
        </w:rPr>
      </w:pPr>
    </w:p>
    <w:p>
      <w:pPr>
        <w:jc w:val="both"/>
        <w:ind w:right="180" w:firstLine="432"/>
        <w:spacing w:after="0" w:line="258" w:lineRule="auto"/>
        <w:rPr>
          <w:sz w:val="20"/>
          <w:szCs w:val="20"/>
          <w:color w:val="auto"/>
        </w:rPr>
      </w:pPr>
      <w:r>
        <w:rPr>
          <w:rFonts w:ascii="Arial" w:cs="Arial" w:eastAsia="Arial" w:hAnsi="Arial"/>
          <w:sz w:val="13"/>
          <w:szCs w:val="13"/>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215.</w:t>
      </w:r>
      <w:r>
        <w:rPr>
          <w:sz w:val="20"/>
          <w:szCs w:val="20"/>
          <w:color w:val="auto"/>
        </w:rPr>
        <w:tab/>
      </w:r>
      <w:r>
        <w:rPr>
          <w:rFonts w:ascii="Arial" w:cs="Arial" w:eastAsia="Arial" w:hAnsi="Arial"/>
          <w:sz w:val="12"/>
          <w:szCs w:val="12"/>
          <w:u w:val="single" w:color="auto"/>
          <w:color w:val="auto"/>
        </w:rPr>
        <w:t>No Adverse Interpretation of Other Agreements</w:t>
      </w:r>
      <w:r>
        <w:rPr>
          <w:rFonts w:ascii="Arial" w:cs="Arial" w:eastAsia="Arial" w:hAnsi="Arial"/>
          <w:sz w:val="12"/>
          <w:szCs w:val="12"/>
          <w:color w:val="auto"/>
        </w:rPr>
        <w:t>.</w:t>
      </w:r>
    </w:p>
    <w:p>
      <w:pPr>
        <w:spacing w:after="0" w:line="157" w:lineRule="exact"/>
        <w:rPr>
          <w:sz w:val="20"/>
          <w:szCs w:val="20"/>
          <w:color w:val="auto"/>
        </w:rPr>
      </w:pPr>
    </w:p>
    <w:p>
      <w:pPr>
        <w:ind w:right="140" w:firstLine="432"/>
        <w:spacing w:after="0" w:line="271" w:lineRule="auto"/>
        <w:rPr>
          <w:sz w:val="20"/>
          <w:szCs w:val="20"/>
          <w:color w:val="auto"/>
        </w:rPr>
      </w:pPr>
      <w:r>
        <w:rPr>
          <w:rFonts w:ascii="Arial" w:cs="Arial" w:eastAsia="Arial" w:hAnsi="Arial"/>
          <w:sz w:val="13"/>
          <w:szCs w:val="13"/>
          <w:color w:val="auto"/>
        </w:rPr>
        <w:t>The Indenture may not be used to interpret any other indenture, loan or debt agreement of the Issuer or its Subsidiaries or of any other Person. Any such indenture, loan or debt agreement may not be used to interpret the Indenture.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216.</w:t>
      </w:r>
      <w:r>
        <w:rPr>
          <w:sz w:val="20"/>
          <w:szCs w:val="20"/>
          <w:color w:val="auto"/>
        </w:rPr>
        <w:tab/>
      </w:r>
      <w:r>
        <w:rPr>
          <w:rFonts w:ascii="Arial" w:cs="Arial" w:eastAsia="Arial" w:hAnsi="Arial"/>
          <w:sz w:val="12"/>
          <w:szCs w:val="12"/>
          <w:u w:val="single" w:color="auto"/>
          <w:color w:val="auto"/>
        </w:rPr>
        <w:t>U.S.A. PATRIOT Act</w:t>
      </w:r>
      <w:r>
        <w:rPr>
          <w:rFonts w:ascii="Arial" w:cs="Arial" w:eastAsia="Arial" w:hAnsi="Arial"/>
          <w:sz w:val="12"/>
          <w:szCs w:val="12"/>
          <w:color w:val="auto"/>
        </w:rPr>
        <w:t>.</w:t>
      </w:r>
    </w:p>
    <w:p>
      <w:pPr>
        <w:spacing w:after="0" w:line="157" w:lineRule="exact"/>
        <w:rPr>
          <w:sz w:val="20"/>
          <w:szCs w:val="20"/>
          <w:color w:val="auto"/>
        </w:rPr>
      </w:pPr>
    </w:p>
    <w:p>
      <w:pPr>
        <w:ind w:right="20" w:firstLine="432"/>
        <w:spacing w:after="0" w:line="254" w:lineRule="auto"/>
        <w:rPr>
          <w:sz w:val="20"/>
          <w:szCs w:val="20"/>
          <w:color w:val="auto"/>
        </w:rPr>
      </w:pPr>
      <w:r>
        <w:rPr>
          <w:rFonts w:ascii="Arial" w:cs="Arial" w:eastAsia="Arial" w:hAnsi="Arial"/>
          <w:sz w:val="13"/>
          <w:szCs w:val="13"/>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(“Applicable Banking Laws”), the Trustee is required to obtain, verify, record and update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parties in order to enable the Trustee to comply with Applicable Banking Laws.</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217.</w:t>
      </w:r>
      <w:r>
        <w:rPr>
          <w:sz w:val="20"/>
          <w:szCs w:val="20"/>
          <w:color w:val="auto"/>
        </w:rPr>
        <w:tab/>
      </w:r>
      <w:r>
        <w:rPr>
          <w:rFonts w:ascii="Arial" w:cs="Arial" w:eastAsia="Arial" w:hAnsi="Arial"/>
          <w:sz w:val="11"/>
          <w:szCs w:val="11"/>
          <w:u w:val="single" w:color="auto"/>
          <w:color w:val="auto"/>
        </w:rPr>
        <w:t>Payment in Required Currency; Judgment Currency</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94" w:lineRule="auto"/>
        <w:rPr>
          <w:sz w:val="20"/>
          <w:szCs w:val="20"/>
          <w:color w:val="auto"/>
        </w:rPr>
      </w:pPr>
      <w:r>
        <w:rPr>
          <w:rFonts w:ascii="Arial" w:cs="Arial" w:eastAsia="Arial" w:hAnsi="Arial"/>
          <w:sz w:val="11"/>
          <w:szCs w:val="11"/>
          <w:color w:val="auto"/>
        </w:rPr>
        <w:t>Each of the Issuer and the Guarantors agrees, to the fullest extent that it may effectively do so under applicable law, that (a) if for the purpose of obtaining judgment in any court it is necessary to convert the sum due in Dollars in respect of the principal of, or premium, if any, or interest on, the Notes (the “Required Currency”) into another currency in which a judgment will be rendered (the “Judgment Currency”), the rate of exchange used shall be the rate at which in accordance with normal banking procedures the Trustee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Trustee could purchase in New York, New York the Required Currency with the Judgment Currency on the Business Day next preceding the day on which final non-appealable judgment is entered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(b) its obligations under this Indenture to make payments in the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40"/>
          </w:cols>
          <w:pgMar w:left="220" w:top="435" w:right="239" w:bottom="1440" w:gutter="0" w:footer="0" w:header="0"/>
        </w:sectPr>
      </w:pPr>
    </w:p>
    <w:bookmarkStart w:id="48" w:name="page49"/>
    <w:bookmarkEnd w:id="48"/>
    <w:p>
      <w:pPr>
        <w:ind w:right="120"/>
        <w:spacing w:after="0" w:line="254" w:lineRule="auto"/>
        <w:rPr>
          <w:sz w:val="20"/>
          <w:szCs w:val="20"/>
          <w:color w:val="auto"/>
        </w:rPr>
      </w:pPr>
      <w:r>
        <w:rPr>
          <w:rFonts w:ascii="Arial" w:cs="Arial" w:eastAsia="Arial" w:hAnsi="Arial"/>
          <w:sz w:val="13"/>
          <w:szCs w:val="13"/>
          <w:color w:val="auto"/>
        </w:rPr>
        <w:t>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218.</w:t>
      </w:r>
      <w:r>
        <w:rPr>
          <w:sz w:val="20"/>
          <w:szCs w:val="20"/>
          <w:color w:val="auto"/>
        </w:rPr>
        <w:tab/>
      </w:r>
      <w:r>
        <w:rPr>
          <w:rFonts w:ascii="Arial" w:cs="Arial" w:eastAsia="Arial" w:hAnsi="Arial"/>
          <w:sz w:val="12"/>
          <w:szCs w:val="12"/>
          <w:u w:val="single" w:color="auto"/>
          <w:color w:val="auto"/>
        </w:rPr>
        <w:t>Language of Notices, Etc</w:t>
      </w:r>
      <w:r>
        <w:rPr>
          <w:rFonts w:ascii="Arial" w:cs="Arial" w:eastAsia="Arial" w:hAnsi="Arial"/>
          <w:sz w:val="12"/>
          <w:szCs w:val="12"/>
          <w:color w:val="auto"/>
        </w:rPr>
        <w:t>.</w:t>
      </w:r>
    </w:p>
    <w:p>
      <w:pPr>
        <w:spacing w:after="0" w:line="157" w:lineRule="exact"/>
        <w:rPr>
          <w:sz w:val="20"/>
          <w:szCs w:val="20"/>
          <w:color w:val="auto"/>
        </w:rPr>
      </w:pPr>
    </w:p>
    <w:p>
      <w:pPr>
        <w:ind w:right="140" w:firstLine="432"/>
        <w:spacing w:after="0" w:line="271" w:lineRule="auto"/>
        <w:rPr>
          <w:sz w:val="20"/>
          <w:szCs w:val="20"/>
          <w:color w:val="auto"/>
        </w:rPr>
      </w:pPr>
      <w:r>
        <w:rPr>
          <w:rFonts w:ascii="Arial" w:cs="Arial" w:eastAsia="Arial" w:hAnsi="Arial"/>
          <w:sz w:val="13"/>
          <w:szCs w:val="13"/>
          <w:color w:val="auto"/>
        </w:rPr>
        <w:t>Any request, demand, authorization, direction, notice, consent, waiver or Act required or permitted under the Indenture shall be in the English language, except that any published notice may be in an official language of the country of publication.</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219.</w:t>
      </w:r>
      <w:r>
        <w:rPr>
          <w:sz w:val="20"/>
          <w:szCs w:val="20"/>
          <w:color w:val="auto"/>
        </w:rPr>
        <w:tab/>
      </w:r>
      <w:r>
        <w:rPr>
          <w:rFonts w:ascii="Arial" w:cs="Arial" w:eastAsia="Arial" w:hAnsi="Arial"/>
          <w:sz w:val="12"/>
          <w:szCs w:val="12"/>
          <w:u w:val="single" w:color="auto"/>
          <w:color w:val="auto"/>
        </w:rPr>
        <w:t>Counterpart Originals</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54" w:lineRule="auto"/>
        <w:rPr>
          <w:sz w:val="20"/>
          <w:szCs w:val="20"/>
          <w:color w:val="auto"/>
        </w:rPr>
      </w:pPr>
      <w:r>
        <w:rPr>
          <w:rFonts w:ascii="Arial" w:cs="Arial" w:eastAsia="Arial" w:hAnsi="Arial"/>
          <w:sz w:val="13"/>
          <w:szCs w:val="13"/>
          <w:color w:val="auto"/>
        </w:rPr>
        <w:t>The parties may sign any number of copies of this Supplemental Indenture, and each party hereto may sign any number of separate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20"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ARTICLE THREE</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NOTE FORMS</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301.</w:t>
      </w:r>
      <w:r>
        <w:rPr>
          <w:sz w:val="20"/>
          <w:szCs w:val="20"/>
          <w:color w:val="auto"/>
        </w:rPr>
        <w:tab/>
      </w:r>
      <w:r>
        <w:rPr>
          <w:rFonts w:ascii="Arial" w:cs="Arial" w:eastAsia="Arial" w:hAnsi="Arial"/>
          <w:sz w:val="11"/>
          <w:szCs w:val="11"/>
          <w:u w:val="single" w:color="auto"/>
          <w:color w:val="auto"/>
        </w:rPr>
        <w:t>Forms Generally</w:t>
      </w:r>
      <w:r>
        <w:rPr>
          <w:rFonts w:ascii="Arial" w:cs="Arial" w:eastAsia="Arial" w:hAnsi="Arial"/>
          <w:sz w:val="11"/>
          <w:szCs w:val="11"/>
          <w:color w:val="auto"/>
        </w:rPr>
        <w:t>.</w:t>
      </w:r>
    </w:p>
    <w:p>
      <w:pPr>
        <w:spacing w:after="0" w:line="157" w:lineRule="exact"/>
        <w:rPr>
          <w:sz w:val="20"/>
          <w:szCs w:val="20"/>
          <w:color w:val="auto"/>
        </w:rPr>
      </w:pPr>
    </w:p>
    <w:p>
      <w:pPr>
        <w:ind w:right="160" w:firstLine="432"/>
        <w:spacing w:after="0" w:line="254" w:lineRule="auto"/>
        <w:rPr>
          <w:sz w:val="20"/>
          <w:szCs w:val="20"/>
          <w:color w:val="auto"/>
        </w:rPr>
      </w:pPr>
      <w:r>
        <w:rPr>
          <w:rFonts w:ascii="Arial" w:cs="Arial" w:eastAsia="Arial" w:hAnsi="Arial"/>
          <w:sz w:val="13"/>
          <w:szCs w:val="13"/>
          <w:color w:val="auto"/>
        </w:rPr>
        <w:t>The Notes and the Trustee’s certificate of authentication shall be in substantially the respective forms set forth in Annex A hereto, and the notations of Guarantee shall be in substantially the form set forth in Annex B hereto. The Notes may have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Notes as evidenced by their execution thereof.</w:t>
      </w:r>
    </w:p>
    <w:p>
      <w:pPr>
        <w:spacing w:after="0" w:line="124"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The Notes shall be printed, lithographed or engraved on steel engraved borders or may be produced in any other manner, all as determined by the Officers executing such Notes, as evidenced by their execution of such Notes.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provided in Section 303, the Initial Notes shall be issued initially in the form of one or more Global Notes, which shall be deposited with the Trustee, as Securities Custodian for the Depositary.</w:t>
      </w:r>
    </w:p>
    <w:p>
      <w:pPr>
        <w:spacing w:after="0" w:line="159"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302.</w:t>
      </w:r>
      <w:r>
        <w:rPr>
          <w:sz w:val="20"/>
          <w:szCs w:val="20"/>
          <w:color w:val="auto"/>
        </w:rPr>
        <w:tab/>
      </w:r>
      <w:r>
        <w:rPr>
          <w:rFonts w:ascii="Arial" w:cs="Arial" w:eastAsia="Arial" w:hAnsi="Arial"/>
          <w:sz w:val="12"/>
          <w:szCs w:val="12"/>
          <w:u w:val="single" w:color="auto"/>
          <w:color w:val="auto"/>
        </w:rPr>
        <w:t>Legends for Notes</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Every Global Note authenticated and delivered under the Indenture shall bear a legend in substantially the following form:</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60"/>
          </w:cols>
          <w:pgMar w:left="220" w:top="435" w:right="219" w:bottom="1440" w:gutter="0" w:footer="0" w:header="0"/>
        </w:sectPr>
      </w:pPr>
    </w:p>
    <w:bookmarkStart w:id="49" w:name="page50"/>
    <w:bookmarkEnd w:id="49"/>
    <w:p>
      <w:pPr>
        <w:ind w:right="20"/>
        <w:spacing w:after="0" w:line="256" w:lineRule="auto"/>
        <w:rPr>
          <w:sz w:val="20"/>
          <w:szCs w:val="20"/>
          <w:color w:val="auto"/>
        </w:rPr>
      </w:pPr>
      <w:r>
        <w:rPr>
          <w:rFonts w:ascii="Arial" w:cs="Arial" w:eastAsia="Arial" w:hAnsi="Arial"/>
          <w:sz w:val="13"/>
          <w:szCs w:val="13"/>
          <w:b w:val="1"/>
          <w:bCs w:val="1"/>
          <w:color w:val="auto"/>
        </w:rPr>
        <w:t>THIS NOTE IS A GLOBAL NOTE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19" w:lineRule="exact"/>
        <w:rPr>
          <w:sz w:val="20"/>
          <w:szCs w:val="20"/>
          <w:color w:val="auto"/>
        </w:rPr>
      </w:pPr>
    </w:p>
    <w:p>
      <w:pPr>
        <w:ind w:right="160"/>
        <w:spacing w:after="0" w:line="253" w:lineRule="auto"/>
        <w:rPr>
          <w:sz w:val="20"/>
          <w:szCs w:val="20"/>
          <w:color w:val="auto"/>
        </w:rPr>
      </w:pPr>
      <w:r>
        <w:rPr>
          <w:rFonts w:ascii="Arial" w:cs="Arial" w:eastAsia="Arial" w:hAnsi="Arial"/>
          <w:sz w:val="13"/>
          <w:szCs w:val="13"/>
          <w:b w:val="1"/>
          <w:bCs w:val="1"/>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6" w:lineRule="exact"/>
        <w:rPr>
          <w:sz w:val="20"/>
          <w:szCs w:val="20"/>
          <w:color w:val="auto"/>
        </w:rPr>
      </w:pPr>
    </w:p>
    <w:p>
      <w:pPr>
        <w:ind w:right="160" w:firstLine="432"/>
        <w:spacing w:after="0" w:line="258" w:lineRule="auto"/>
        <w:rPr>
          <w:sz w:val="20"/>
          <w:szCs w:val="20"/>
          <w:color w:val="auto"/>
        </w:rPr>
      </w:pPr>
      <w:r>
        <w:rPr>
          <w:rFonts w:ascii="Arial" w:cs="Arial" w:eastAsia="Arial" w:hAnsi="Arial"/>
          <w:sz w:val="13"/>
          <w:szCs w:val="13"/>
          <w:color w:val="auto"/>
        </w:rPr>
        <w:t>Unless and until (i) an Initial Note or an Additional Restricted Note is sold under an effective registration statement, (ii) an Initial Note or an Additional Restricted Note is exchanged for an Exchange Note under an effective registration statement, in each case pursuant to a Registration Rights Agreement or a similar agreement, or (iii) as otherwise provided in Section 411, such Note shall bear the following legend (the “Restricted Notes Legend”) on the face thereof:</w:t>
      </w:r>
    </w:p>
    <w:p>
      <w:pPr>
        <w:spacing w:after="0" w:line="117" w:lineRule="exact"/>
        <w:rPr>
          <w:sz w:val="20"/>
          <w:szCs w:val="20"/>
          <w:color w:val="auto"/>
        </w:rPr>
      </w:pPr>
    </w:p>
    <w:p>
      <w:pPr>
        <w:ind w:right="220"/>
        <w:spacing w:after="0" w:line="261" w:lineRule="auto"/>
        <w:rPr>
          <w:sz w:val="20"/>
          <w:szCs w:val="20"/>
          <w:color w:val="auto"/>
        </w:rPr>
      </w:pPr>
      <w:r>
        <w:rPr>
          <w:rFonts w:ascii="Arial" w:cs="Arial" w:eastAsia="Arial" w:hAnsi="Arial"/>
          <w:sz w:val="13"/>
          <w:szCs w:val="13"/>
          <w:b w:val="1"/>
          <w:bCs w:val="1"/>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16" w:lineRule="exact"/>
        <w:rPr>
          <w:sz w:val="20"/>
          <w:szCs w:val="20"/>
          <w:color w:val="auto"/>
        </w:rPr>
      </w:pPr>
    </w:p>
    <w:p>
      <w:pPr>
        <w:spacing w:after="0" w:line="250" w:lineRule="auto"/>
        <w:rPr>
          <w:sz w:val="20"/>
          <w:szCs w:val="20"/>
          <w:color w:val="auto"/>
        </w:rPr>
      </w:pPr>
      <w:r>
        <w:rPr>
          <w:rFonts w:ascii="Arial" w:cs="Arial" w:eastAsia="Arial" w:hAnsi="Arial"/>
          <w:sz w:val="13"/>
          <w:szCs w:val="13"/>
          <w:b w:val="1"/>
          <w:bCs w:val="1"/>
          <w:color w:val="auto"/>
        </w:rPr>
        <w:t>THE HOLDER OF THIS NOTE, BY ITS ACCEPTANCE HEREOF, AGREES ON ITS OWN BEHALF AND ON BEHALF OF ANY INVESTOR ACCOUNT FOR WHICH IT HAS PURCHASED NOTES, TO OFFER, SELL, OR OTHERWISE TRANSFER SUCH NOTE, PRIOR TO THE DATE (THE “RESALE RESTRICTION TERMINATION DATE”) THAT IS [</w:t>
      </w:r>
      <w:r>
        <w:rPr>
          <w:rFonts w:ascii="Arial" w:cs="Arial" w:eastAsia="Arial" w:hAnsi="Arial"/>
          <w:sz w:val="13"/>
          <w:szCs w:val="13"/>
          <w:b w:val="1"/>
          <w:bCs w:val="1"/>
          <w:i w:val="1"/>
          <w:iCs w:val="1"/>
          <w:color w:val="auto"/>
        </w:rPr>
        <w:t>IN THE CASE OF RULE 144A</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NOTES</w:t>
      </w:r>
      <w:r>
        <w:rPr>
          <w:rFonts w:ascii="Arial" w:cs="Arial" w:eastAsia="Arial" w:hAnsi="Arial"/>
          <w:sz w:val="13"/>
          <w:szCs w:val="13"/>
          <w:b w:val="1"/>
          <w:bCs w:val="1"/>
          <w:color w:val="auto"/>
        </w:rPr>
        <w:t>: ONE YEAR AFTER THE LATER OF THE ORIGINAL ISSUE DATE HEREOF, THE ORIGINAL ISSUE DATE OF THE ISSUANCE OF ANY ADDITIONAL NOTES AND THE LAST</w:t>
      </w:r>
      <w:r>
        <w:rPr>
          <w:rFonts w:ascii="Arial" w:cs="Arial" w:eastAsia="Arial" w:hAnsi="Arial"/>
          <w:sz w:val="13"/>
          <w:szCs w:val="13"/>
          <w:b w:val="1"/>
          <w:bCs w:val="1"/>
          <w:i w:val="1"/>
          <w:iCs w:val="1"/>
          <w:color w:val="auto"/>
        </w:rPr>
        <w:t xml:space="preserve"> </w:t>
      </w:r>
      <w:r>
        <w:rPr>
          <w:rFonts w:ascii="Arial" w:cs="Arial" w:eastAsia="Arial" w:hAnsi="Arial"/>
          <w:sz w:val="13"/>
          <w:szCs w:val="13"/>
          <w:b w:val="1"/>
          <w:bCs w:val="1"/>
          <w:color w:val="auto"/>
        </w:rPr>
        <w:t>DATE ON WHICH THE ISSUER OR ANY AFFILIATE OF THE ISSUER WAS THE OWNER OF THIS NOTE (OR ANY PREDECESSOR OF SUCH NOTE)][</w:t>
      </w:r>
      <w:r>
        <w:rPr>
          <w:rFonts w:ascii="Arial" w:cs="Arial" w:eastAsia="Arial" w:hAnsi="Arial"/>
          <w:sz w:val="13"/>
          <w:szCs w:val="13"/>
          <w:b w:val="1"/>
          <w:bCs w:val="1"/>
          <w:i w:val="1"/>
          <w:iCs w:val="1"/>
          <w:color w:val="auto"/>
        </w:rPr>
        <w:t>IN THE CASE OF REGULATION S</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NOTES</w:t>
      </w:r>
      <w:r>
        <w:rPr>
          <w:rFonts w:ascii="Arial" w:cs="Arial" w:eastAsia="Arial" w:hAnsi="Arial"/>
          <w:sz w:val="13"/>
          <w:szCs w:val="13"/>
          <w:b w:val="1"/>
          <w:bCs w:val="1"/>
          <w:color w:val="auto"/>
        </w:rPr>
        <w:t>: 40 DAYS AFTER THE LATER OF THE ORIGINAL ISSUE DATE HEREOF, THE ORIGINAL ISSUE DATE OF THE ISSUANCE OF ANY ADDITIONAL NOTES AND THE DATE ON</w:t>
      </w:r>
      <w:r>
        <w:rPr>
          <w:rFonts w:ascii="Arial" w:cs="Arial" w:eastAsia="Arial" w:hAnsi="Arial"/>
          <w:sz w:val="13"/>
          <w:szCs w:val="13"/>
          <w:b w:val="1"/>
          <w:bCs w:val="1"/>
          <w:i w:val="1"/>
          <w:iCs w:val="1"/>
          <w:color w:val="auto"/>
        </w:rPr>
        <w:t xml:space="preserve"> </w:t>
      </w:r>
      <w:r>
        <w:rPr>
          <w:rFonts w:ascii="Arial" w:cs="Arial" w:eastAsia="Arial" w:hAnsi="Arial"/>
          <w:sz w:val="13"/>
          <w:szCs w:val="13"/>
          <w:b w:val="1"/>
          <w:bCs w:val="1"/>
          <w:color w:val="auto"/>
        </w:rPr>
        <w:t>WHICH THIS NOTE (OR ANY PREDECESSOR OF SUCH NOTE) WAS FIRST OFFERED TO PERSONS OTHER THAN DISTRIBUTORS (AS DEFINED IN RULE 902 OF REGULATION S) IN RELIANCE ON REGULATION S], ONLY (A) TO THE PARENT GUARANTOR OR ANY SUBSIDIARY THEREOF, (B) PURSUANT TO A REGISTRATION STATEMENT THAT HAS BEEN DECLARED EFFECTIVE UNDER THE SECURITIES ACT, (C) FOR SO LONG AS THE NOTES ARE ELIGIBLE FOR RESALE PURSUANT TO RULE 144A UNDER THE SECURITIES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431" w:right="199" w:bottom="1440" w:gutter="0" w:footer="0" w:header="0"/>
        </w:sectPr>
      </w:pPr>
    </w:p>
    <w:bookmarkStart w:id="50" w:name="page51"/>
    <w:bookmarkEnd w:id="50"/>
    <w:p>
      <w:pPr>
        <w:ind w:left="8" w:right="60"/>
        <w:spacing w:after="0" w:line="253" w:lineRule="auto"/>
        <w:rPr>
          <w:sz w:val="20"/>
          <w:szCs w:val="20"/>
          <w:color w:val="auto"/>
        </w:rPr>
      </w:pPr>
      <w:r>
        <w:rPr>
          <w:rFonts w:ascii="Arial" w:cs="Arial" w:eastAsia="Arial" w:hAnsi="Arial"/>
          <w:sz w:val="13"/>
          <w:szCs w:val="13"/>
          <w:b w:val="1"/>
          <w:bCs w:val="1"/>
          <w:color w:val="auto"/>
        </w:rPr>
        <w:t>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w:t>
      </w:r>
    </w:p>
    <w:p>
      <w:pPr>
        <w:spacing w:after="0" w:line="1" w:lineRule="exact"/>
        <w:rPr>
          <w:sz w:val="20"/>
          <w:szCs w:val="20"/>
          <w:color w:val="auto"/>
        </w:rPr>
      </w:pPr>
    </w:p>
    <w:p>
      <w:pPr>
        <w:ind w:left="8" w:right="60" w:hanging="8"/>
        <w:spacing w:after="0" w:line="247" w:lineRule="auto"/>
        <w:tabs>
          <w:tab w:leader="none" w:pos="217"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THE NOTES OF $250,000, FOR INVESTMENT PURPOSES AND NOT WITH A VIEW TO OR FOR OFFER OR SALE IN CONNECTION WITH ANY DISTRIBUTION IN VIOLATION OF THE SECURITIES ACT OR (F) PURSUANT TO ANOTHER AVAILABLE EXEMPTION FROM THE REGISTRATION REQUIREMENTS OF THE SECURITIES ACT, SUBJECT TO THE ISSUER’S AND THE TRUSTEE’S RIGHT PRIOR TO ANY SUCH OFFER, SALE OR TRANSFER PURSUANT TO CLAUSES (D), (E) OR (F) TO REQUIRE THE DELIVERY OF AN OPINION OF COUNSEL, CERTIFICATION, AND/OR OTHER INFORMATION SATISFACTORY TO EACH OF THEM. THIS LEGEND WILL BE REMOVED UPON THE REQUEST OF THE HOLDER AFTER THE RESALE RESTRICTION TERMINATION DATE. [</w:t>
      </w:r>
      <w:r>
        <w:rPr>
          <w:rFonts w:ascii="Arial" w:cs="Arial" w:eastAsia="Arial" w:hAnsi="Arial"/>
          <w:sz w:val="13"/>
          <w:szCs w:val="13"/>
          <w:b w:val="1"/>
          <w:bCs w:val="1"/>
          <w:i w:val="1"/>
          <w:iCs w:val="1"/>
          <w:color w:val="auto"/>
        </w:rPr>
        <w:t>IN THE CASE OF REGULATION S NOTES</w:t>
      </w:r>
      <w:r>
        <w:rPr>
          <w:rFonts w:ascii="Arial" w:cs="Arial" w:eastAsia="Arial" w:hAnsi="Arial"/>
          <w:sz w:val="13"/>
          <w:szCs w:val="13"/>
          <w:b w:val="1"/>
          <w:bCs w:val="1"/>
          <w:color w:val="auto"/>
        </w:rPr>
        <w:t>: 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123" w:lineRule="exact"/>
        <w:rPr>
          <w:sz w:val="20"/>
          <w:szCs w:val="20"/>
          <w:color w:val="auto"/>
        </w:rPr>
      </w:pPr>
    </w:p>
    <w:p>
      <w:pPr>
        <w:ind w:left="8" w:right="20"/>
        <w:spacing w:after="0" w:line="251" w:lineRule="auto"/>
        <w:rPr>
          <w:sz w:val="20"/>
          <w:szCs w:val="20"/>
          <w:color w:val="auto"/>
        </w:rPr>
      </w:pPr>
      <w:r>
        <w:rPr>
          <w:rFonts w:ascii="Arial" w:cs="Arial" w:eastAsia="Arial" w:hAnsi="Arial"/>
          <w:sz w:val="13"/>
          <w:szCs w:val="13"/>
          <w:b w:val="1"/>
          <w:bCs w:val="1"/>
          <w:color w:val="auto"/>
        </w:rPr>
        <w:t>BY ITS ACQUISITION OF THIS NOTE, THE HOLDER THEREOF WILL BE DEEMED TO HAVE REPRESENTED AND WARRANTED THAT EITHER (1) NO PORTION OF THE ASSETS USED BY SUCH HOLDER TO ACQUIRE OR HOLD THIS NOTE CONSTITUTES THE ASSETS OF AN EMPLOYEE BENEFIT PLAN THAT IS SUBJECT TO TITLE I OF THE U.S. EMPLOYEE RETIREMENT INCOME NOTE ACT OF 1974, AS AMENDED (“ERISA”), ANY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ANY ENTITY WHOSE UNDERLYING ASSETS ARE CONSIDERED TO INCLUDE “PLAN ASSETS” OF ANY SUCH PLAN, ACCOUNT OR ARRANGEMENT, OR (2) THE ACQUISITION AND HOLDING OF THIS NOTE WILL NOT CONSTITUTE A NON-EXEMPT PROHIBITED TRANSACTION UNDER SECTION 406 OF ERISA OR SECTION 4975 OF THE CODE OR A SIMILAR VIOLATION UNDER ANY APPLICABLE SIMILAR LAWS.</w:t>
      </w:r>
    </w:p>
    <w:p>
      <w:pPr>
        <w:spacing w:after="0" w:line="126" w:lineRule="exact"/>
        <w:rPr>
          <w:sz w:val="20"/>
          <w:szCs w:val="20"/>
          <w:color w:val="auto"/>
        </w:rPr>
      </w:pPr>
    </w:p>
    <w:p>
      <w:pPr>
        <w:ind w:left="8"/>
        <w:spacing w:after="0"/>
        <w:tabs>
          <w:tab w:leader="none" w:pos="768" w:val="left"/>
        </w:tabs>
        <w:rPr>
          <w:sz w:val="20"/>
          <w:szCs w:val="20"/>
          <w:color w:val="auto"/>
        </w:rPr>
      </w:pPr>
      <w:r>
        <w:rPr>
          <w:rFonts w:ascii="Arial" w:cs="Arial" w:eastAsia="Arial" w:hAnsi="Arial"/>
          <w:sz w:val="13"/>
          <w:szCs w:val="13"/>
          <w:color w:val="auto"/>
        </w:rPr>
        <w:t>Section 303.</w:t>
      </w:r>
      <w:r>
        <w:rPr>
          <w:sz w:val="20"/>
          <w:szCs w:val="20"/>
          <w:color w:val="auto"/>
        </w:rPr>
        <w:tab/>
      </w:r>
      <w:r>
        <w:rPr>
          <w:rFonts w:ascii="Arial" w:cs="Arial" w:eastAsia="Arial" w:hAnsi="Arial"/>
          <w:sz w:val="12"/>
          <w:szCs w:val="12"/>
          <w:u w:val="single" w:color="auto"/>
          <w:color w:val="auto"/>
        </w:rPr>
        <w:t>Global Notes</w:t>
      </w:r>
      <w:r>
        <w:rPr>
          <w:rFonts w:ascii="Arial" w:cs="Arial" w:eastAsia="Arial" w:hAnsi="Arial"/>
          <w:sz w:val="12"/>
          <w:szCs w:val="12"/>
          <w:color w:val="auto"/>
        </w:rPr>
        <w:t>.</w:t>
      </w:r>
    </w:p>
    <w:p>
      <w:pPr>
        <w:spacing w:after="0" w:line="157" w:lineRule="exact"/>
        <w:rPr>
          <w:sz w:val="20"/>
          <w:szCs w:val="20"/>
          <w:color w:val="auto"/>
        </w:rPr>
      </w:pPr>
    </w:p>
    <w:p>
      <w:pPr>
        <w:ind w:left="8" w:firstLine="432"/>
        <w:spacing w:after="0" w:line="282" w:lineRule="auto"/>
        <w:rPr>
          <w:sz w:val="20"/>
          <w:szCs w:val="20"/>
          <w:color w:val="auto"/>
        </w:rPr>
      </w:pPr>
      <w:r>
        <w:rPr>
          <w:rFonts w:ascii="Arial" w:cs="Arial" w:eastAsia="Arial" w:hAnsi="Arial"/>
          <w:sz w:val="12"/>
          <w:szCs w:val="12"/>
          <w:color w:val="auto"/>
        </w:rPr>
        <w:t>The Initial Notes are being offered and sold by the Issuer pursuant to a Purchase Agreement, dated February 21, 2018, among the Issuer, the Guarantors and Deutsche Bank Securities Inc., as representative of the several initial purchasers named therein. The Initial Notes and any Additional Notes (if issued as Restricted Notes) (the “Additional Restricted Notes”) shall be resold initially only to (A) QIBs in reliance on Rule 144A and (B) Non-U.S. Persons in reliance on Regulation S. Such Initial Notes and Additional Restricted Notes may thereafter be transferred to, among others, QIBs, purchasers in reliance on Regulation S and IAIs in accordance with Rule 501 of the Securities Act, in each case, in accordance with the procedure described herein. Additional Notes offered after</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8"/>
          </w:cols>
          <w:pgMar w:left="212" w:top="431" w:right="199"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auto"/>
        </w:rPr>
        <w:t>the date hereof may be offered and sold by the Issuer from time to time pursuant to one or more purchase agreements in accordance with applicable law.</w:t>
      </w:r>
    </w:p>
    <w:p>
      <w:pPr>
        <w:spacing w:after="0" w:line="148"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Initial Notes and Additional Restricted Notes offered and sold to QIBs in the United States of America in reliance on Rule 144A (the “Rule 144A Notes”) shall be issued in the form of a permanent Global Note substantially in the form of Annex A, including appropriate legends as set forth in Section 302 (the “Rule 144A Global Note”), duly executed by the Issuer and authenticated by the Trustee as herein provided and deposited upon issuance with the Trustee, as Securities Custodian. The Rule 144A Global Note may be represented by more than one certificate, if so required by DTC’s rules regarding the maximum principal amount to be represented by a single certificate. The aggregate principal amount of the Rule 144A Global Note may from time to time be increased or decreased by adjustments made on the records of the Trustee, as Securities Custodian, as hereinafter provided.</w:t>
      </w:r>
    </w:p>
    <w:p>
      <w:pPr>
        <w:spacing w:after="0" w:line="125" w:lineRule="exact"/>
        <w:rPr>
          <w:sz w:val="20"/>
          <w:szCs w:val="20"/>
          <w:color w:val="auto"/>
        </w:rPr>
      </w:pPr>
    </w:p>
    <w:p>
      <w:pPr>
        <w:ind w:right="20" w:firstLine="432"/>
        <w:spacing w:after="0" w:line="275" w:lineRule="auto"/>
        <w:rPr>
          <w:sz w:val="20"/>
          <w:szCs w:val="20"/>
          <w:color w:val="auto"/>
        </w:rPr>
      </w:pPr>
      <w:r>
        <w:rPr>
          <w:rFonts w:ascii="Arial" w:cs="Arial" w:eastAsia="Arial" w:hAnsi="Arial"/>
          <w:sz w:val="12"/>
          <w:szCs w:val="12"/>
          <w:color w:val="auto"/>
        </w:rPr>
        <w:t>Initial Notes and any Additional Restricted Notes offered and sold outside the United States of America (the “Regulation S Notes”) in reliance on Regulation S shall initially be issued in the form of a permanent Global Note substantially in the form of Annex A, including appropriate legends as set forth in Section 302 (the “Regulation S Global Note”), duly executed by the Issuer and authenticated by the Trustee as herein provided and deposited upon issuance with the Trustee, as Securities Custodian, for credit to the respective accounts of the purchasers (or to such other accounts as they may direct) at Euroclear Bank SA/NV, as operator of the Euroclear system (“Euroclear”) or Clearstream Banking, société anonyme (“Clearstream”). Prior to the 40th day after the later of the commencement of the offering of the Initial Notes and the Issue Date (such period through and including such 40th day, the “Restricted Period”), interests in the Regulation S Global Note may only be held through Euroclear and Clearstream, and may only be transferred to Non-U.S. Persons pursuant to Regulation S, unless exchanged for interests in another Global Note in accordance with the transfer and certification requirements described herein.</w:t>
      </w:r>
    </w:p>
    <w:p>
      <w:pPr>
        <w:spacing w:after="0" w:line="114" w:lineRule="exact"/>
        <w:rPr>
          <w:sz w:val="20"/>
          <w:szCs w:val="20"/>
          <w:color w:val="auto"/>
        </w:rPr>
      </w:pPr>
    </w:p>
    <w:p>
      <w:pPr>
        <w:ind w:firstLine="432"/>
        <w:spacing w:after="0" w:line="282" w:lineRule="auto"/>
        <w:rPr>
          <w:sz w:val="20"/>
          <w:szCs w:val="20"/>
          <w:color w:val="auto"/>
        </w:rPr>
      </w:pPr>
      <w:r>
        <w:rPr>
          <w:rFonts w:ascii="Arial" w:cs="Arial" w:eastAsia="Arial" w:hAnsi="Arial"/>
          <w:sz w:val="12"/>
          <w:szCs w:val="12"/>
          <w:color w:val="auto"/>
        </w:rPr>
        <w:t>Investors may hold their interests in the Regulation S Global Note after the Restricted Period through organizations other than Euroclear or Clearstream that are participants in DTC’s system or directly through Euroclear or Clearstream, if they are participants in such systems, or indirectly through organizations which are participants in such systems. If such interests are held through Euroclear or Clearstream, Euroclear and Clearstream shall hold such interests in the applicable Regulation S Global Note on behalf of their participants through customers’ securities accounts in their respective names on the books of their respective depositaries. Such depositaries, in turn, shall hold such interests in the applicable Regulation S Global Note in customers’ securities accounts in the depositaries’ names on the books of DTC.</w:t>
      </w:r>
    </w:p>
    <w:p>
      <w:pPr>
        <w:spacing w:after="0" w:line="108" w:lineRule="exact"/>
        <w:rPr>
          <w:sz w:val="20"/>
          <w:szCs w:val="20"/>
          <w:color w:val="auto"/>
        </w:rPr>
      </w:pPr>
    </w:p>
    <w:p>
      <w:pPr>
        <w:ind w:right="100" w:firstLine="432"/>
        <w:spacing w:after="0" w:line="314" w:lineRule="auto"/>
        <w:rPr>
          <w:sz w:val="20"/>
          <w:szCs w:val="20"/>
          <w:color w:val="auto"/>
        </w:rPr>
      </w:pPr>
      <w:r>
        <w:rPr>
          <w:rFonts w:ascii="Arial" w:cs="Arial" w:eastAsia="Arial" w:hAnsi="Arial"/>
          <w:sz w:val="12"/>
          <w:szCs w:val="12"/>
          <w:color w:val="auto"/>
        </w:rPr>
        <w:t>The Regulation S Global Note may be represented by more than one certificate, if so required by DTC’s rules regarding the maximum principal amount to be represented by a single certificate. The aggregate principal amount of the Regulation S Global Note may from time to time be increased or decreased by adjustments made on the records of the Trustee, as Securities Custodian, as hereinafter provided.</w:t>
      </w:r>
    </w:p>
    <w:p>
      <w:pPr>
        <w:spacing w:after="0" w:line="89" w:lineRule="exact"/>
        <w:rPr>
          <w:sz w:val="20"/>
          <w:szCs w:val="20"/>
          <w:color w:val="auto"/>
        </w:rPr>
      </w:pPr>
    </w:p>
    <w:p>
      <w:pPr>
        <w:ind w:right="80" w:firstLine="432"/>
        <w:spacing w:after="0" w:line="254" w:lineRule="auto"/>
        <w:rPr>
          <w:sz w:val="20"/>
          <w:szCs w:val="20"/>
          <w:color w:val="auto"/>
        </w:rPr>
      </w:pPr>
      <w:r>
        <w:rPr>
          <w:rFonts w:ascii="Arial" w:cs="Arial" w:eastAsia="Arial" w:hAnsi="Arial"/>
          <w:sz w:val="13"/>
          <w:szCs w:val="13"/>
          <w:color w:val="auto"/>
        </w:rPr>
        <w:t>Initial Notes and Additional Restricted Notes resold to IAIs (the “Institutional Accredited Investor Notes”) in the United States of America shall be issued in the form of a permanent Global Note substantially in the form of Annex A including appropriate legends as set forth in Section 302 (the “Institutional Accredited Investor Global Note”), duly executed by the Issuer and authenticated by the Trustee as herein provided and deposited upon issuance with the Trustee, as Securities Custodian. The Institutional Accredited Investor Global Note may be represented by more than one certificate, if so required by DTC’s rules regarding the maximum principal amount to be represented by a single certificate. The aggregate principal amount of the Institutional Accredited Investor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60"/>
          </w:cols>
          <w:pgMar w:left="220" w:top="435" w:right="219" w:bottom="1440" w:gutter="0" w:footer="0" w:header="0"/>
        </w:sectPr>
      </w:pPr>
    </w:p>
    <w:bookmarkStart w:id="52" w:name="page53"/>
    <w:bookmarkEnd w:id="52"/>
    <w:p>
      <w:pPr>
        <w:spacing w:after="0"/>
        <w:rPr>
          <w:sz w:val="20"/>
          <w:szCs w:val="20"/>
          <w:color w:val="auto"/>
        </w:rPr>
      </w:pPr>
      <w:r>
        <w:rPr>
          <w:rFonts w:ascii="Arial" w:cs="Arial" w:eastAsia="Arial" w:hAnsi="Arial"/>
          <w:sz w:val="13"/>
          <w:szCs w:val="13"/>
          <w:color w:val="auto"/>
        </w:rPr>
        <w:t>Global Note may from time to time be increased or decreased by adjustments made on the records of the Trustee, as Securities Custodian, as hereinafter provided.</w:t>
      </w:r>
    </w:p>
    <w:p>
      <w:pPr>
        <w:spacing w:after="0" w:line="148" w:lineRule="exact"/>
        <w:rPr>
          <w:sz w:val="20"/>
          <w:szCs w:val="20"/>
          <w:color w:val="auto"/>
        </w:rPr>
      </w:pPr>
    </w:p>
    <w:p>
      <w:pPr>
        <w:ind w:right="40" w:firstLine="432"/>
        <w:spacing w:after="0" w:line="254" w:lineRule="auto"/>
        <w:rPr>
          <w:sz w:val="20"/>
          <w:szCs w:val="20"/>
          <w:color w:val="auto"/>
        </w:rPr>
      </w:pPr>
      <w:r>
        <w:rPr>
          <w:rFonts w:ascii="Arial" w:cs="Arial" w:eastAsia="Arial" w:hAnsi="Arial"/>
          <w:sz w:val="13"/>
          <w:szCs w:val="13"/>
          <w:color w:val="auto"/>
        </w:rPr>
        <w:t>Exchange Notes exchanged for interests in the Rule 144A Notes, the Regulation S Notes and the Institutional Accredited Investor Notes shall be issued in the form of a permanent Global Note, substantially in the form of Annex A, including appropriate legends as set forth in Section 302 (the “Exchange Global Note”), duly executed by the Issuer and authenticated by the Trustee as herein provided and deposited upon issuance with the Trustee, as Securities Custodian. The Exchange Global Note may be represented by more than one certificate, if so required by DTC’s rules regarding the maximum principal amount to be represented by a single certificate.</w:t>
      </w:r>
    </w:p>
    <w:p>
      <w:pPr>
        <w:spacing w:after="0" w:line="124"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The Rule 144A Global Note, the Regulation S Global Note, the Institutional Accredited Investor Global Note and the Exchange Global Note are sometimes collectively herein referred to as the “Global Notes.”</w:t>
      </w:r>
    </w:p>
    <w:p>
      <w:pPr>
        <w:spacing w:after="0" w:line="155"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ARTICLE FOUR</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THE NOTES</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401.</w:t>
      </w:r>
      <w:r>
        <w:rPr>
          <w:sz w:val="20"/>
          <w:szCs w:val="20"/>
          <w:color w:val="auto"/>
        </w:rPr>
        <w:tab/>
      </w:r>
      <w:r>
        <w:rPr>
          <w:rFonts w:ascii="Arial" w:cs="Arial" w:eastAsia="Arial" w:hAnsi="Arial"/>
          <w:sz w:val="11"/>
          <w:szCs w:val="11"/>
          <w:u w:val="single" w:color="auto"/>
          <w:color w:val="auto"/>
        </w:rPr>
        <w:t>Title and Terms</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The Notes shall be entitled the “9.875% Senior Notes due 2025.” The Trustee shall authenticate and deliver on the Issue Date $600,000,000 in aggregate principal amount of the Initial Notes, upon delivery of an Issuer Order. The Trustee shall authenticate Additional Notes thereafter from time to time for original issue in unlimited aggregate principal amount upon receipt of an Issuer Order (subject to compliance with Section 1108). The Trustee shall also authenticate Exchange Notes thereafter from time to time for original issue in exchange for an equal principal amount of Initial Notes or Additional Notes upon receipt of an Issuer Order. Any such Issuer Order shall also specify the date on which the original issue of Notes is to be authenticated, and, in relation to any Additional Notes or Exchange Notes, it shall also specify the principal amount thereof to be issued and, in relation to any Additional Notes, it shall certify that such issuance is not prohibited by Section 1108.</w:t>
      </w:r>
    </w:p>
    <w:p>
      <w:pPr>
        <w:spacing w:after="0" w:line="125" w:lineRule="exact"/>
        <w:rPr>
          <w:sz w:val="20"/>
          <w:szCs w:val="20"/>
          <w:color w:val="auto"/>
        </w:rPr>
      </w:pPr>
    </w:p>
    <w:p>
      <w:pPr>
        <w:ind w:right="240" w:firstLine="432"/>
        <w:spacing w:after="0" w:line="315" w:lineRule="auto"/>
        <w:rPr>
          <w:sz w:val="20"/>
          <w:szCs w:val="20"/>
          <w:color w:val="auto"/>
        </w:rPr>
      </w:pPr>
      <w:r>
        <w:rPr>
          <w:rFonts w:ascii="Arial" w:cs="Arial" w:eastAsia="Arial" w:hAnsi="Arial"/>
          <w:sz w:val="11"/>
          <w:szCs w:val="11"/>
          <w:color w:val="auto"/>
        </w:rPr>
        <w:t>The Notes will mature on March 1, 2025. Interest on the Notes will accrue at the rate of 9.875% per annum, and will be payable semiannually in cash on each May 1 and November 1, commencing on November 1, 2018 in the case of the Initial Notes, to the Persons who are registered Holders of Notes at the close of business on the April 15 and October 15 immediately preceding the applicable Interest Payment Date. Interest from November 1, 2024 to March 1, 2025 will be payable in cash on March 1, 2025, to the Persons who are registered Holders of Notes at the close of business on February 15, 2025. Interest on the Notes will accrue from the most recent date to which interest has been paid or, if no interest has been paid, from and including the date of issuance to but excluding the actual Interest Payment Date.</w:t>
      </w:r>
    </w:p>
    <w:p>
      <w:pPr>
        <w:spacing w:after="0" w:line="93" w:lineRule="exact"/>
        <w:rPr>
          <w:sz w:val="20"/>
          <w:szCs w:val="20"/>
          <w:color w:val="auto"/>
        </w:rPr>
      </w:pPr>
    </w:p>
    <w:p>
      <w:pPr>
        <w:ind w:right="40" w:firstLine="432"/>
        <w:spacing w:after="0" w:line="271" w:lineRule="auto"/>
        <w:rPr>
          <w:sz w:val="20"/>
          <w:szCs w:val="20"/>
          <w:color w:val="auto"/>
        </w:rPr>
      </w:pPr>
      <w:r>
        <w:rPr>
          <w:rFonts w:ascii="Arial" w:cs="Arial" w:eastAsia="Arial" w:hAnsi="Arial"/>
          <w:sz w:val="13"/>
          <w:szCs w:val="13"/>
          <w:color w:val="auto"/>
        </w:rPr>
        <w:t>The Notes shall be redeemable as provided in Article Twelve and subject to Legal Defeasance and Covenant Defeasance as provided in Article Fourteen. The Notes shall have such other terms as are indicated in Annex A.</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402.</w:t>
      </w:r>
      <w:r>
        <w:rPr>
          <w:sz w:val="20"/>
          <w:szCs w:val="20"/>
          <w:color w:val="auto"/>
        </w:rPr>
        <w:tab/>
      </w:r>
      <w:r>
        <w:rPr>
          <w:rFonts w:ascii="Arial" w:cs="Arial" w:eastAsia="Arial" w:hAnsi="Arial"/>
          <w:sz w:val="12"/>
          <w:szCs w:val="12"/>
          <w:u w:val="single" w:color="auto"/>
          <w:color w:val="auto"/>
        </w:rPr>
        <w:t>Denominations</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Notes shall be issuable only in fully registered form without coupons and only in denominations of $2,000 and any integral multiple of $1,000 in excess thereof.</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60"/>
          </w:cols>
          <w:pgMar w:left="220" w:top="435" w:right="219" w:bottom="1440" w:gutter="0" w:footer="0" w:header="0"/>
        </w:sectPr>
      </w:pPr>
    </w:p>
    <w:bookmarkStart w:id="53" w:name="page54"/>
    <w:bookmarkEnd w:id="53"/>
    <w:p>
      <w:pPr>
        <w:spacing w:after="0"/>
        <w:tabs>
          <w:tab w:leader="none" w:pos="760" w:val="left"/>
        </w:tabs>
        <w:rPr>
          <w:sz w:val="20"/>
          <w:szCs w:val="20"/>
          <w:color w:val="auto"/>
        </w:rPr>
      </w:pPr>
      <w:r>
        <w:rPr>
          <w:rFonts w:ascii="Arial" w:cs="Arial" w:eastAsia="Arial" w:hAnsi="Arial"/>
          <w:sz w:val="13"/>
          <w:szCs w:val="13"/>
          <w:color w:val="auto"/>
        </w:rPr>
        <w:t>Section 403.</w:t>
      </w:r>
      <w:r>
        <w:rPr>
          <w:sz w:val="20"/>
          <w:szCs w:val="20"/>
          <w:color w:val="auto"/>
        </w:rPr>
        <w:tab/>
      </w:r>
      <w:r>
        <w:rPr>
          <w:rFonts w:ascii="Arial" w:cs="Arial" w:eastAsia="Arial" w:hAnsi="Arial"/>
          <w:sz w:val="12"/>
          <w:szCs w:val="12"/>
          <w:u w:val="single" w:color="auto"/>
          <w:color w:val="auto"/>
        </w:rPr>
        <w:t>Execution, Authentication, Delivery and Dating</w:t>
      </w:r>
      <w:r>
        <w:rPr>
          <w:rFonts w:ascii="Arial" w:cs="Arial" w:eastAsia="Arial" w:hAnsi="Arial"/>
          <w:sz w:val="12"/>
          <w:szCs w:val="12"/>
          <w:color w:val="auto"/>
        </w:rPr>
        <w:t>.</w:t>
      </w:r>
    </w:p>
    <w:p>
      <w:pPr>
        <w:spacing w:after="0" w:line="157"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The Notes shall be executed on behalf of the Issuer by one of its Officers. If its corporate seal is reproduced thereon, it shall be attested by the Secretary or an Assistant Secretary of the Issuer. The signature of any of these officers on the Notes may be manual or facsimile.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the Issuer elects to reproduce its corporate seal on the Notes, then such seal may be in the form of a facsimile thereof and may be impressed, affixed, imprinted or otherwise reproduced on the Notes.</w:t>
      </w:r>
    </w:p>
    <w:p>
      <w:pPr>
        <w:spacing w:after="0" w:line="15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3"/>
          <w:szCs w:val="13"/>
          <w:color w:val="auto"/>
        </w:rPr>
        <w:t>Notes bearing the manual or facsimile signatures of individuals who were at any time the proper Officers of the Issuer shall bind the Issuer, notwithstanding the fact that such individuals or any of them have ceased to hold such offices prior to the authentication and delivery of such Notes or did not hold such offices at the date of such Notes.</w:t>
      </w:r>
    </w:p>
    <w:p>
      <w:pPr>
        <w:spacing w:after="0" w:line="113" w:lineRule="exact"/>
        <w:rPr>
          <w:sz w:val="20"/>
          <w:szCs w:val="20"/>
          <w:color w:val="auto"/>
        </w:rPr>
      </w:pPr>
    </w:p>
    <w:p>
      <w:pPr>
        <w:ind w:right="460" w:firstLine="432"/>
        <w:spacing w:after="0" w:line="314" w:lineRule="auto"/>
        <w:rPr>
          <w:sz w:val="20"/>
          <w:szCs w:val="20"/>
          <w:color w:val="auto"/>
        </w:rPr>
      </w:pPr>
      <w:r>
        <w:rPr>
          <w:rFonts w:ascii="Arial" w:cs="Arial" w:eastAsia="Arial" w:hAnsi="Arial"/>
          <w:sz w:val="12"/>
          <w:szCs w:val="12"/>
          <w:color w:val="auto"/>
        </w:rPr>
        <w:t>At any time and from time to time after the execution and delivery of this Supplemental Indenture and as provided in Section 401, the Issuer may deliver Notes executed by the Issuer to the Trustee for authentication, together with an Issuer Order for the authentication and delivery of such Notes, and the Trustee in accordance with the Issuer Order shall authenticate and deliver such Notes.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Each Note shall be dated the date of its authentication.</w:t>
      </w:r>
    </w:p>
    <w:p>
      <w:pPr>
        <w:spacing w:after="0" w:line="148" w:lineRule="exact"/>
        <w:rPr>
          <w:sz w:val="20"/>
          <w:szCs w:val="20"/>
          <w:color w:val="auto"/>
        </w:rPr>
      </w:pPr>
    </w:p>
    <w:p>
      <w:pPr>
        <w:ind w:firstLine="432"/>
        <w:spacing w:after="0" w:line="315" w:lineRule="auto"/>
        <w:rPr>
          <w:sz w:val="20"/>
          <w:szCs w:val="20"/>
          <w:color w:val="auto"/>
        </w:rPr>
      </w:pPr>
      <w:r>
        <w:rPr>
          <w:rFonts w:ascii="Arial" w:cs="Arial" w:eastAsia="Arial" w:hAnsi="Arial"/>
          <w:sz w:val="11"/>
          <w:szCs w:val="11"/>
          <w:color w:val="auto"/>
        </w:rPr>
        <w:t>No Note shall be entitled to any benefit under the Indenture or be valid or obligatory for any purpose unless there appears on such Note a certificate of authentication substantially in the form provided for in Annex A, signed manually in the name of the Trustee by an authorized signatory,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409, for all purposes of the Indenture such Note shall be deemed never to have been authenticated and delivered hereunder and shall never be entitled to the benefits of the Indenture.</w:t>
      </w:r>
    </w:p>
    <w:p>
      <w:pPr>
        <w:spacing w:after="0" w:line="9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404.</w:t>
      </w:r>
      <w:r>
        <w:rPr>
          <w:sz w:val="20"/>
          <w:szCs w:val="20"/>
          <w:color w:val="auto"/>
        </w:rPr>
        <w:tab/>
      </w:r>
      <w:r>
        <w:rPr>
          <w:rFonts w:ascii="Arial" w:cs="Arial" w:eastAsia="Arial" w:hAnsi="Arial"/>
          <w:sz w:val="11"/>
          <w:szCs w:val="11"/>
          <w:u w:val="single" w:color="auto"/>
          <w:color w:val="auto"/>
        </w:rPr>
        <w:t>Temporary Securities</w:t>
      </w:r>
      <w:r>
        <w:rPr>
          <w:rFonts w:ascii="Arial" w:cs="Arial" w:eastAsia="Arial" w:hAnsi="Arial"/>
          <w:sz w:val="11"/>
          <w:szCs w:val="11"/>
          <w:color w:val="auto"/>
        </w:rPr>
        <w:t>.</w:t>
      </w:r>
    </w:p>
    <w:p>
      <w:pPr>
        <w:spacing w:after="0" w:line="157" w:lineRule="exact"/>
        <w:rPr>
          <w:sz w:val="20"/>
          <w:szCs w:val="20"/>
          <w:color w:val="auto"/>
        </w:rPr>
      </w:pPr>
    </w:p>
    <w:p>
      <w:pPr>
        <w:ind w:right="180" w:firstLine="432"/>
        <w:spacing w:after="0" w:line="258" w:lineRule="auto"/>
        <w:rPr>
          <w:sz w:val="20"/>
          <w:szCs w:val="20"/>
          <w:color w:val="auto"/>
        </w:rPr>
      </w:pPr>
      <w:r>
        <w:rPr>
          <w:rFonts w:ascii="Arial" w:cs="Arial" w:eastAsia="Arial" w:hAnsi="Arial"/>
          <w:sz w:val="13"/>
          <w:szCs w:val="13"/>
          <w:color w:val="auto"/>
        </w:rPr>
        <w:t>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evidenced by their execution of such Notes.</w:t>
      </w:r>
    </w:p>
    <w:p>
      <w:pPr>
        <w:spacing w:after="0" w:line="121" w:lineRule="exact"/>
        <w:rPr>
          <w:sz w:val="20"/>
          <w:szCs w:val="20"/>
          <w:color w:val="auto"/>
        </w:rPr>
      </w:pPr>
    </w:p>
    <w:p>
      <w:pPr>
        <w:ind w:right="40" w:firstLine="432"/>
        <w:spacing w:after="0" w:line="282" w:lineRule="auto"/>
        <w:rPr>
          <w:sz w:val="20"/>
          <w:szCs w:val="20"/>
          <w:color w:val="auto"/>
        </w:rPr>
      </w:pPr>
      <w:r>
        <w:rPr>
          <w:rFonts w:ascii="Arial" w:cs="Arial" w:eastAsia="Arial" w:hAnsi="Arial"/>
          <w:sz w:val="12"/>
          <w:szCs w:val="12"/>
          <w:color w:val="auto"/>
        </w:rPr>
        <w:t>If temporary Notes are issued, the Issuer will cause definitive Notes in either global or certificated form, as appropriate, to be prepared without unreasonable delay. After the preparation of definitive Notes, the temporary Notes shall be exchangeable for definitive Notes upon surrender of the temporary Notes at the office or agency of the Issuer in a Place of Payment, without charge to the Holder. Upon surrender for cancellation of any one or more temporary Notes, the Issuer shall execute and the Trustee shall authenticate and deliver in exchange therefor one or more definitive Notes, of any authorized denominations and of like tenor and aggregate principal amount. Until so exchanged, the temporary Notes shall in all respects be entitled to the same benefits under the Indenture as definitive Notes.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60"/>
          </w:cols>
          <w:pgMar w:left="220" w:top="435" w:right="219" w:bottom="1440" w:gutter="0" w:footer="0" w:header="0"/>
        </w:sectPr>
      </w:pPr>
    </w:p>
    <w:bookmarkStart w:id="54" w:name="page55"/>
    <w:bookmarkEnd w:id="54"/>
    <w:p>
      <w:pPr>
        <w:spacing w:after="0"/>
        <w:tabs>
          <w:tab w:leader="none" w:pos="760" w:val="left"/>
        </w:tabs>
        <w:rPr>
          <w:sz w:val="20"/>
          <w:szCs w:val="20"/>
          <w:color w:val="auto"/>
        </w:rPr>
      </w:pPr>
      <w:r>
        <w:rPr>
          <w:rFonts w:ascii="Arial" w:cs="Arial" w:eastAsia="Arial" w:hAnsi="Arial"/>
          <w:sz w:val="13"/>
          <w:szCs w:val="13"/>
          <w:color w:val="auto"/>
        </w:rPr>
        <w:t>Section 405.</w:t>
      </w:r>
      <w:r>
        <w:rPr>
          <w:sz w:val="20"/>
          <w:szCs w:val="20"/>
          <w:color w:val="auto"/>
        </w:rPr>
        <w:tab/>
      </w:r>
      <w:r>
        <w:rPr>
          <w:rFonts w:ascii="Arial" w:cs="Arial" w:eastAsia="Arial" w:hAnsi="Arial"/>
          <w:sz w:val="12"/>
          <w:szCs w:val="12"/>
          <w:u w:val="single" w:color="auto"/>
          <w:color w:val="auto"/>
        </w:rPr>
        <w:t>Registrar, Global Notes and Definitive Notes</w:t>
      </w:r>
      <w:r>
        <w:rPr>
          <w:rFonts w:ascii="Arial" w:cs="Arial" w:eastAsia="Arial" w:hAnsi="Arial"/>
          <w:sz w:val="12"/>
          <w:szCs w:val="12"/>
          <w:color w:val="auto"/>
        </w:rPr>
        <w:t>.</w:t>
      </w:r>
    </w:p>
    <w:p>
      <w:pPr>
        <w:spacing w:after="0" w:line="157"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auto"/>
        </w:rPr>
        <w:t>The Issuer shall cause to be kept at the Corporate Trust Office of the Trustee a register (the register maintained in such office and in any other office or agency of the Issuer being herein sometimes collectively referred to as the “Security Register”) in which, subject to such reasonable regulations as it may prescribe, the Issuer shall provide for the registration of Notes and of transfers of Notes. The Trustee is hereby appointed “Registrar” for the purpose of registering Notes and transfers of Notes as herein provided.</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auto"/>
        </w:rPr>
        <w:t>Book-Entry Provisions</w:t>
      </w:r>
      <w:r>
        <w:rPr>
          <w:rFonts w:ascii="Arial" w:cs="Arial" w:eastAsia="Arial" w:hAnsi="Arial"/>
          <w:sz w:val="13"/>
          <w:szCs w:val="13"/>
          <w:color w:val="auto"/>
        </w:rPr>
        <w:t>. The provisions of clauses (1) through (6) below shall apply only to Global Notes:</w:t>
      </w:r>
    </w:p>
    <w:p>
      <w:pPr>
        <w:spacing w:after="0" w:line="148" w:lineRule="exact"/>
        <w:rPr>
          <w:sz w:val="20"/>
          <w:szCs w:val="20"/>
          <w:color w:val="auto"/>
        </w:rPr>
      </w:pPr>
    </w:p>
    <w:p>
      <w:pPr>
        <w:ind w:left="420" w:firstLine="437"/>
        <w:spacing w:after="0" w:line="274" w:lineRule="auto"/>
        <w:tabs>
          <w:tab w:leader="none" w:pos="1126" w:val="left"/>
        </w:tabs>
        <w:numPr>
          <w:ilvl w:val="0"/>
          <w:numId w:val="36"/>
        </w:numPr>
        <w:rPr>
          <w:rFonts w:ascii="Arial" w:cs="Arial" w:eastAsia="Arial" w:hAnsi="Arial"/>
          <w:sz w:val="12"/>
          <w:szCs w:val="12"/>
          <w:color w:val="auto"/>
        </w:rPr>
      </w:pPr>
      <w:r>
        <w:rPr>
          <w:rFonts w:ascii="Arial" w:cs="Arial" w:eastAsia="Arial" w:hAnsi="Arial"/>
          <w:sz w:val="12"/>
          <w:szCs w:val="12"/>
          <w:color w:val="auto"/>
        </w:rPr>
        <w:t>Each Global Note authenticated under the Indenture shall be registered in the name of the Depositary designated for such Global Note or a nominee thereof, delivered to the Trustee, as Securities Custodian, and bear appropriate legends as set forth in Section 302. Transfers of a Global Note (but not a beneficial interest therein) will be limited to transfers thereof in whole, but not in part, to the Depositary, its successors or their respective nominees, except as set forth in this Section 405. If a beneficial interest in a Global Note is transferred or exchanged for a beneficial interest in another Global Note, the Trustee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113" w:lineRule="exact"/>
        <w:rPr>
          <w:rFonts w:ascii="Arial" w:cs="Arial" w:eastAsia="Arial" w:hAnsi="Arial"/>
          <w:sz w:val="12"/>
          <w:szCs w:val="12"/>
          <w:color w:val="auto"/>
        </w:rPr>
      </w:pPr>
    </w:p>
    <w:p>
      <w:pPr>
        <w:ind w:left="420" w:right="20" w:firstLine="437"/>
        <w:spacing w:after="0" w:line="252" w:lineRule="auto"/>
        <w:tabs>
          <w:tab w:leader="none" w:pos="1126"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Members of, or participants in, DTC (“Agent Members”) shall have no rights under the Indenture with respect to any Global Note held on their behalf by DTC or by the Trustee as the Securities Custodian, and DTC may be treated by the Issuer, the Guarantors, the Trustee and any agent of the Issuer, the Guarantors or the Trustee as the absolute owner of such Global Note for all purposes whatsoever. Notwithstanding the foregoing, nothing herein shall prevent the Issuer, the Guarantors, the Trustee or any agent of the Issuer, the Guarantors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24" w:lineRule="exact"/>
        <w:rPr>
          <w:rFonts w:ascii="Arial" w:cs="Arial" w:eastAsia="Arial" w:hAnsi="Arial"/>
          <w:sz w:val="13"/>
          <w:szCs w:val="13"/>
          <w:color w:val="auto"/>
        </w:rPr>
      </w:pPr>
    </w:p>
    <w:p>
      <w:pPr>
        <w:ind w:left="420" w:right="20" w:firstLine="437"/>
        <w:spacing w:after="0" w:line="290" w:lineRule="auto"/>
        <w:tabs>
          <w:tab w:leader="none" w:pos="1126"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connection with any transfer of a portion of the beneficial interest in a Global Note pursuant to this Article Four to beneficial owners who are required to hold Definitive Notes, the Securities Custodian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103" w:lineRule="exact"/>
        <w:rPr>
          <w:rFonts w:ascii="Arial" w:cs="Arial" w:eastAsia="Arial" w:hAnsi="Arial"/>
          <w:sz w:val="12"/>
          <w:szCs w:val="12"/>
          <w:color w:val="auto"/>
        </w:rPr>
      </w:pPr>
    </w:p>
    <w:p>
      <w:pPr>
        <w:ind w:left="420" w:right="100" w:firstLine="437"/>
        <w:spacing w:after="0" w:line="271" w:lineRule="auto"/>
        <w:tabs>
          <w:tab w:leader="none" w:pos="1126"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connection with the transfer of an entire Global Note to beneficial owners pursuant to this this Article Four, such Global Note shall be deemed to be surrendered to the Trustee for cancellation, and the Issuer shall execute, and the Trustee shall authenticate and make available for delivery, to each</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435" w:right="199" w:bottom="1440" w:gutter="0" w:footer="0" w:header="0"/>
        </w:sectPr>
      </w:pPr>
    </w:p>
    <w:bookmarkStart w:id="55" w:name="page56"/>
    <w:bookmarkEnd w:id="55"/>
    <w:p>
      <w:pPr>
        <w:spacing w:after="0"/>
        <w:rPr>
          <w:sz w:val="20"/>
          <w:szCs w:val="20"/>
          <w:color w:val="auto"/>
        </w:rPr>
      </w:pPr>
      <w:r>
        <w:rPr>
          <w:rFonts w:ascii="Arial" w:cs="Arial" w:eastAsia="Arial" w:hAnsi="Arial"/>
          <w:sz w:val="13"/>
          <w:szCs w:val="13"/>
          <w:color w:val="auto"/>
        </w:rPr>
        <w:t>beneficial owner identified by DTC in exchange for its beneficial interest in such Global Note, an equal aggregate principal amount of Definitive Notes of authorized denominations.</w:t>
      </w:r>
    </w:p>
    <w:p>
      <w:pPr>
        <w:spacing w:after="0" w:line="148" w:lineRule="exact"/>
        <w:rPr>
          <w:sz w:val="20"/>
          <w:szCs w:val="20"/>
          <w:color w:val="auto"/>
        </w:rPr>
      </w:pPr>
    </w:p>
    <w:p>
      <w:pPr>
        <w:ind w:right="60" w:firstLine="437"/>
        <w:spacing w:after="0" w:line="271" w:lineRule="auto"/>
        <w:tabs>
          <w:tab w:leader="none" w:pos="706"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12" w:lineRule="exact"/>
        <w:rPr>
          <w:rFonts w:ascii="Arial" w:cs="Arial" w:eastAsia="Arial" w:hAnsi="Arial"/>
          <w:sz w:val="13"/>
          <w:szCs w:val="13"/>
          <w:color w:val="auto"/>
        </w:rPr>
      </w:pPr>
    </w:p>
    <w:p>
      <w:pPr>
        <w:ind w:right="80" w:firstLine="437"/>
        <w:spacing w:after="0" w:line="258" w:lineRule="auto"/>
        <w:tabs>
          <w:tab w:leader="none" w:pos="706"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u w:val="single" w:color="auto"/>
          <w:color w:val="auto"/>
        </w:rPr>
        <w:t>Definitive Notes</w:t>
      </w:r>
      <w:r>
        <w:rPr>
          <w:rFonts w:ascii="Arial" w:cs="Arial" w:eastAsia="Arial" w:hAnsi="Arial"/>
          <w:sz w:val="13"/>
          <w:szCs w:val="13"/>
          <w:color w:val="auto"/>
        </w:rPr>
        <w:t>. The provision of clauses (i) - (iv) below shall apply only to Definitive Notes.</w:t>
      </w:r>
    </w:p>
    <w:p>
      <w:pPr>
        <w:spacing w:after="0" w:line="148" w:lineRule="exact"/>
        <w:rPr>
          <w:sz w:val="20"/>
          <w:szCs w:val="20"/>
          <w:color w:val="auto"/>
        </w:rPr>
      </w:pPr>
    </w:p>
    <w:p>
      <w:pPr>
        <w:ind w:right="20" w:firstLine="437"/>
        <w:spacing w:after="0" w:line="273" w:lineRule="auto"/>
        <w:tabs>
          <w:tab w:leader="none" w:pos="677"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Except as provided below, owners of beneficial interests in Global Notes will not be entitled to receive Definitive Notes. If required to do so pursuant to any applicable law or regulation, beneficial owners may obtain Definitive Notes in exchange for their beneficial interests in a Global Note upon written request in accordance with DTC’s and the Registrar’s procedures. In addition,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subject to DTC’s rules, the Issuer, at its option, delivers to the Trustee and Registrar written notice stating that such Global Note shall be so exchangeable or (C) an Event of Default has occurred and is continuing and DTC notifies the Issuer and the Trustee of DTC’s decision to exchange such Global Note for Definitive Notes. In the event of the occurrence of any of the events specified in the second preceding sentence or in clause (A), (B) or (C) of the immediately preceding sentence, Definitive Notes delivered in exchange for any Global Note or beneficial interests therein will be registered in the names, and issued in any approved denominations, requested by or on behalf of DTC (in accordance with its customary procedures).</w:t>
      </w:r>
    </w:p>
    <w:p>
      <w:pPr>
        <w:spacing w:after="0" w:line="113" w:lineRule="exact"/>
        <w:rPr>
          <w:rFonts w:ascii="Arial" w:cs="Arial" w:eastAsia="Arial" w:hAnsi="Arial"/>
          <w:sz w:val="12"/>
          <w:szCs w:val="12"/>
          <w:color w:val="auto"/>
        </w:rPr>
      </w:pPr>
    </w:p>
    <w:p>
      <w:pPr>
        <w:ind w:left="720" w:hanging="283"/>
        <w:spacing w:after="0"/>
        <w:tabs>
          <w:tab w:leader="none" w:pos="7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Any Definitive Note delivered in exchange for an interest in a Global Note pursuant to this Article Four shall, except as otherwise provided by Section 302 or 411, bear the Restricted Notes</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Legend.</w:t>
      </w:r>
    </w:p>
    <w:p>
      <w:pPr>
        <w:spacing w:after="0" w:line="137" w:lineRule="exact"/>
        <w:rPr>
          <w:rFonts w:ascii="Arial" w:cs="Arial" w:eastAsia="Arial" w:hAnsi="Arial"/>
          <w:sz w:val="12"/>
          <w:szCs w:val="12"/>
          <w:color w:val="auto"/>
        </w:rPr>
      </w:pPr>
    </w:p>
    <w:p>
      <w:pPr>
        <w:ind w:right="160" w:firstLine="437"/>
        <w:spacing w:after="0" w:line="290" w:lineRule="auto"/>
        <w:tabs>
          <w:tab w:leader="none" w:pos="75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If a Definitive Note is transferred or exchanged for a beneficial interest in a Global Note, the Trustee 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103" w:lineRule="exact"/>
        <w:rPr>
          <w:rFonts w:ascii="Arial" w:cs="Arial" w:eastAsia="Arial" w:hAnsi="Arial"/>
          <w:sz w:val="12"/>
          <w:szCs w:val="12"/>
          <w:color w:val="auto"/>
        </w:rPr>
      </w:pPr>
    </w:p>
    <w:p>
      <w:pPr>
        <w:ind w:firstLine="437"/>
        <w:spacing w:after="0" w:line="314" w:lineRule="auto"/>
        <w:tabs>
          <w:tab w:leader="none" w:pos="743" w:val="left"/>
        </w:tabs>
        <w:numPr>
          <w:ilvl w:val="0"/>
          <w:numId w:val="38"/>
        </w:numPr>
        <w:rPr>
          <w:rFonts w:ascii="Arial" w:cs="Arial" w:eastAsia="Arial" w:hAnsi="Arial"/>
          <w:sz w:val="12"/>
          <w:szCs w:val="12"/>
          <w:color w:val="auto"/>
        </w:rPr>
      </w:pPr>
      <w:r>
        <w:rPr>
          <w:rFonts w:ascii="Arial" w:cs="Arial" w:eastAsia="Arial" w:hAnsi="Arial"/>
          <w:sz w:val="12"/>
          <w:szCs w:val="12"/>
          <w:color w:val="auto"/>
        </w:rPr>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w:t>
      </w: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060"/>
          </w:cols>
          <w:pgMar w:left="640" w:top="435" w:right="199" w:bottom="1440" w:gutter="0" w:footer="0" w:header="0"/>
        </w:sectPr>
      </w:pPr>
    </w:p>
    <w:bookmarkStart w:id="56" w:name="page57"/>
    <w:bookmarkEnd w:id="56"/>
    <w:p>
      <w:pPr>
        <w:ind w:left="420" w:right="60"/>
        <w:spacing w:after="0" w:line="254" w:lineRule="auto"/>
        <w:rPr>
          <w:sz w:val="20"/>
          <w:szCs w:val="20"/>
          <w:color w:val="auto"/>
        </w:rPr>
      </w:pPr>
      <w:r>
        <w:rPr>
          <w:rFonts w:ascii="Arial" w:cs="Arial" w:eastAsia="Arial" w:hAnsi="Arial"/>
          <w:sz w:val="13"/>
          <w:szCs w:val="13"/>
          <w:color w:val="auto"/>
        </w:rPr>
        <w:t>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406.</w:t>
      </w:r>
      <w:r>
        <w:rPr>
          <w:sz w:val="20"/>
          <w:szCs w:val="20"/>
          <w:color w:val="auto"/>
        </w:rPr>
        <w:tab/>
      </w:r>
      <w:r>
        <w:rPr>
          <w:rFonts w:ascii="Arial" w:cs="Arial" w:eastAsia="Arial" w:hAnsi="Arial"/>
          <w:sz w:val="12"/>
          <w:szCs w:val="12"/>
          <w:u w:val="single" w:color="auto"/>
          <w:color w:val="auto"/>
        </w:rPr>
        <w:t>Mutilated, Destroyed, Lost and Stolen Notes</w:t>
      </w:r>
      <w:r>
        <w:rPr>
          <w:rFonts w:ascii="Arial" w:cs="Arial" w:eastAsia="Arial" w:hAnsi="Arial"/>
          <w:sz w:val="12"/>
          <w:szCs w:val="12"/>
          <w:color w:val="auto"/>
        </w:rPr>
        <w:t>.</w:t>
      </w:r>
    </w:p>
    <w:p>
      <w:pPr>
        <w:spacing w:after="0" w:line="157" w:lineRule="exact"/>
        <w:rPr>
          <w:sz w:val="20"/>
          <w:szCs w:val="20"/>
          <w:color w:val="auto"/>
        </w:rPr>
      </w:pPr>
    </w:p>
    <w:p>
      <w:pPr>
        <w:ind w:right="360" w:firstLine="432"/>
        <w:spacing w:after="0" w:line="271" w:lineRule="auto"/>
        <w:rPr>
          <w:sz w:val="20"/>
          <w:szCs w:val="20"/>
          <w:color w:val="auto"/>
        </w:rPr>
      </w:pPr>
      <w:r>
        <w:rPr>
          <w:rFonts w:ascii="Arial" w:cs="Arial" w:eastAsia="Arial" w:hAnsi="Arial"/>
          <w:sz w:val="13"/>
          <w:szCs w:val="13"/>
          <w:color w:val="auto"/>
        </w:rPr>
        <w:t>If any mutilated Note is surrendered to the Trustee, the Issuer shall execute and the Trustee shall authenticate and deliver in exchange therefor a new Note of like tenor and principal amount and bearing a number not contemporaneously outstanding.</w:t>
      </w:r>
    </w:p>
    <w:p>
      <w:pPr>
        <w:spacing w:after="0" w:line="113" w:lineRule="exact"/>
        <w:rPr>
          <w:sz w:val="20"/>
          <w:szCs w:val="20"/>
          <w:color w:val="auto"/>
        </w:rPr>
      </w:pPr>
    </w:p>
    <w:p>
      <w:pPr>
        <w:ind w:firstLine="432"/>
        <w:spacing w:after="0" w:line="290" w:lineRule="auto"/>
        <w:rPr>
          <w:sz w:val="20"/>
          <w:szCs w:val="20"/>
          <w:color w:val="auto"/>
        </w:rPr>
      </w:pPr>
      <w:r>
        <w:rPr>
          <w:rFonts w:ascii="Arial" w:cs="Arial" w:eastAsia="Arial" w:hAnsi="Arial"/>
          <w:sz w:val="12"/>
          <w:szCs w:val="12"/>
          <w:color w:val="auto"/>
        </w:rPr>
        <w:t>If there shall be delivered to the Issuer and the Trustee (i) evidence to their satisfaction of the destruction, loss or theft of any Note and (ii) such security or indemnity as may be required by them to save each of them and any agent of either of them harmless, then, in the absence of notice to the Issuer or the Trustee that such Note has been acquired by a protected purchaser, the Issuer shall execute and the Trustee shall authenticate and deliver, in lieu of any such destroyed, lost or stolen Note, a new Note of like tenor and principal amount and bearing a number not contemporaneously outstanding.</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case any such mutilated, destroyed, lost or stolen Note has become or is about to become due and payable, the Issuer in its discretion may, instead of issuing a new Note, pay such Note.</w:t>
      </w:r>
    </w:p>
    <w:p>
      <w:pPr>
        <w:spacing w:after="0" w:line="148" w:lineRule="exact"/>
        <w:rPr>
          <w:sz w:val="20"/>
          <w:szCs w:val="20"/>
          <w:color w:val="auto"/>
        </w:rPr>
      </w:pPr>
    </w:p>
    <w:p>
      <w:pPr>
        <w:ind w:right="240" w:firstLine="432"/>
        <w:spacing w:after="0" w:line="271" w:lineRule="auto"/>
        <w:rPr>
          <w:sz w:val="20"/>
          <w:szCs w:val="20"/>
          <w:color w:val="auto"/>
        </w:rPr>
      </w:pPr>
      <w:r>
        <w:rPr>
          <w:rFonts w:ascii="Arial" w:cs="Arial" w:eastAsia="Arial" w:hAnsi="Arial"/>
          <w:sz w:val="13"/>
          <w:szCs w:val="13"/>
          <w:color w:val="auto"/>
        </w:rPr>
        <w:t>Upon the issuance of any new Note under this Section, the Issuer may require the payment of a sum sufficient to cover any tax or other governmental charge that may be imposed in relation thereto and any other expenses (including the fees and expenses of the Trustee) connected therewith.</w:t>
      </w:r>
    </w:p>
    <w:p>
      <w:pPr>
        <w:spacing w:after="0" w:line="113" w:lineRule="exact"/>
        <w:rPr>
          <w:sz w:val="20"/>
          <w:szCs w:val="20"/>
          <w:color w:val="auto"/>
        </w:rPr>
      </w:pPr>
    </w:p>
    <w:p>
      <w:pPr>
        <w:ind w:right="80" w:firstLine="432"/>
        <w:spacing w:after="0" w:line="314" w:lineRule="auto"/>
        <w:rPr>
          <w:sz w:val="20"/>
          <w:szCs w:val="20"/>
          <w:color w:val="auto"/>
        </w:rPr>
      </w:pPr>
      <w:r>
        <w:rPr>
          <w:rFonts w:ascii="Arial" w:cs="Arial" w:eastAsia="Arial" w:hAnsi="Arial"/>
          <w:sz w:val="12"/>
          <w:szCs w:val="12"/>
          <w:color w:val="auto"/>
        </w:rPr>
        <w:t>Every new Note issued pursuant to this Section in lieu of any destroyed, lost or stolen Note shall constitute an original additional contractual obligation of the Issuer whether or not the destroyed, lost or stolen Note shall be at any time enforceable by anyone, and shall be entitled to all the benefits of the Indenture equally and proportionately with any and all other Notes duly issued hereunder.</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provisions of this Section are exclusive and shall preclude (to the extent lawful) all other rights and remedies with respect to the replacement or payment of mutilated, destroyed, lost or stolen Notes.</w:t>
      </w:r>
    </w:p>
    <w:p>
      <w:pPr>
        <w:spacing w:after="0" w:line="159"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407.</w:t>
      </w:r>
      <w:r>
        <w:rPr>
          <w:sz w:val="20"/>
          <w:szCs w:val="20"/>
          <w:color w:val="auto"/>
        </w:rPr>
        <w:tab/>
      </w:r>
      <w:r>
        <w:rPr>
          <w:rFonts w:ascii="Arial" w:cs="Arial" w:eastAsia="Arial" w:hAnsi="Arial"/>
          <w:sz w:val="11"/>
          <w:szCs w:val="11"/>
          <w:u w:val="single" w:color="auto"/>
          <w:color w:val="auto"/>
        </w:rPr>
        <w:t>Payment of Interest; Interest Rights Preserved</w:t>
      </w:r>
      <w:r>
        <w:rPr>
          <w:rFonts w:ascii="Arial" w:cs="Arial" w:eastAsia="Arial" w:hAnsi="Arial"/>
          <w:sz w:val="11"/>
          <w:szCs w:val="11"/>
          <w:color w:val="auto"/>
        </w:rPr>
        <w:t>.</w:t>
      </w:r>
    </w:p>
    <w:p>
      <w:pPr>
        <w:spacing w:after="0" w:line="157" w:lineRule="exact"/>
        <w:rPr>
          <w:sz w:val="20"/>
          <w:szCs w:val="20"/>
          <w:color w:val="auto"/>
        </w:rPr>
      </w:pPr>
    </w:p>
    <w:p>
      <w:pPr>
        <w:ind w:right="320" w:firstLine="432"/>
        <w:spacing w:after="0" w:line="271" w:lineRule="auto"/>
        <w:rPr>
          <w:sz w:val="20"/>
          <w:szCs w:val="20"/>
          <w:color w:val="auto"/>
        </w:rPr>
      </w:pPr>
      <w:r>
        <w:rPr>
          <w:rFonts w:ascii="Arial" w:cs="Arial" w:eastAsia="Arial" w:hAnsi="Arial"/>
          <w:sz w:val="13"/>
          <w:szCs w:val="13"/>
          <w:color w:val="auto"/>
        </w:rPr>
        <w:t>Interest on any Note which is payable, and is punctually paid or duly provided for, on any Interest Payment Date shall be paid to the Person in whose name that Note (or one or more Predecessor Notes) is registered at the close of business on the Regular Record Date for such interest.</w:t>
      </w:r>
    </w:p>
    <w:p>
      <w:pPr>
        <w:spacing w:after="0" w:line="113" w:lineRule="exact"/>
        <w:rPr>
          <w:sz w:val="20"/>
          <w:szCs w:val="20"/>
          <w:color w:val="auto"/>
        </w:rPr>
      </w:pPr>
    </w:p>
    <w:p>
      <w:pPr>
        <w:ind w:right="20" w:firstLine="432"/>
        <w:spacing w:after="0" w:line="314" w:lineRule="auto"/>
        <w:rPr>
          <w:sz w:val="20"/>
          <w:szCs w:val="20"/>
          <w:color w:val="auto"/>
        </w:rPr>
      </w:pPr>
      <w:r>
        <w:rPr>
          <w:rFonts w:ascii="Arial" w:cs="Arial" w:eastAsia="Arial" w:hAnsi="Arial"/>
          <w:sz w:val="12"/>
          <w:szCs w:val="12"/>
          <w:color w:val="auto"/>
        </w:rPr>
        <w:t>Any interest on any Note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Issuer, at its election in each case, as provided in clause (1) or (2) below:</w:t>
      </w:r>
    </w:p>
    <w:p>
      <w:pPr>
        <w:spacing w:after="0" w:line="89" w:lineRule="exact"/>
        <w:rPr>
          <w:sz w:val="20"/>
          <w:szCs w:val="20"/>
          <w:color w:val="auto"/>
        </w:rPr>
      </w:pPr>
    </w:p>
    <w:p>
      <w:pPr>
        <w:ind w:left="1140" w:hanging="283"/>
        <w:spacing w:after="0"/>
        <w:tabs>
          <w:tab w:leader="none" w:pos="114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Issuer may elect to make payment of any Defaulted Interest to the Persons in whose names the Notes (or their respective Predecessor Notes) are registered at the close of business on a Special</w:t>
      </w:r>
    </w:p>
    <w:p>
      <w:pPr>
        <w:spacing w:after="0" w:line="334"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43</w:t>
      </w:r>
    </w:p>
    <w:p>
      <w:pPr>
        <w:sectPr>
          <w:pgSz w:w="11900" w:h="16838" w:orient="portrait"/>
          <w:cols w:equalWidth="0" w:num="1">
            <w:col w:w="11480"/>
          </w:cols>
          <w:pgMar w:left="220" w:top="435" w:right="199" w:bottom="1440" w:gutter="0" w:footer="0" w:header="0"/>
        </w:sectPr>
      </w:pPr>
    </w:p>
    <w:bookmarkStart w:id="57" w:name="page58"/>
    <w:bookmarkEnd w:id="57"/>
    <w:p>
      <w:pPr>
        <w:ind w:left="420"/>
        <w:spacing w:after="0" w:line="272" w:lineRule="auto"/>
        <w:rPr>
          <w:sz w:val="20"/>
          <w:szCs w:val="20"/>
          <w:color w:val="auto"/>
        </w:rPr>
      </w:pPr>
      <w:r>
        <w:rPr>
          <w:rFonts w:ascii="Arial" w:cs="Arial" w:eastAsia="Arial" w:hAnsi="Arial"/>
          <w:sz w:val="12"/>
          <w:szCs w:val="12"/>
          <w:color w:val="auto"/>
        </w:rPr>
        <w:t>Record Date for the payment of such Defaulted Interest, which shall be fixed in the following manner.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Issuer of such Special Record Date and, in the name and at the expense of the Issuer, shall cause notice of the proposed payment of such Defaulted Interest and the Special Record Date therefor to be given to each Holder of Notes in the manner set forth in Section 206, not less than 10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at the close of business on such Special Record Date and shall no longer be payable pursuant to the following clause (2).</w:t>
      </w:r>
    </w:p>
    <w:p>
      <w:pPr>
        <w:spacing w:after="0" w:line="115" w:lineRule="exact"/>
        <w:rPr>
          <w:sz w:val="20"/>
          <w:szCs w:val="20"/>
          <w:color w:val="auto"/>
        </w:rPr>
      </w:pPr>
    </w:p>
    <w:p>
      <w:pPr>
        <w:jc w:val="both"/>
        <w:ind w:left="420" w:right="140" w:firstLine="437"/>
        <w:spacing w:after="0" w:line="258" w:lineRule="auto"/>
        <w:tabs>
          <w:tab w:leader="none" w:pos="1126"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Issuer may make payment of any Defaulted Interest on the Notes in any other lawful manner not inconsistent with the requirements of any securities exchange on which such Notes may be listed, and upon such notice as may be required by such exchange, if, after notice given by the Issuer to the Trustee of the proposed payment pursuant to this clause, such manner of payment shall be deemed practicable by the Trustee.</w:t>
      </w:r>
    </w:p>
    <w:p>
      <w:pPr>
        <w:spacing w:after="0" w:line="121" w:lineRule="exact"/>
        <w:rPr>
          <w:sz w:val="20"/>
          <w:szCs w:val="20"/>
          <w:color w:val="auto"/>
        </w:rPr>
      </w:pPr>
    </w:p>
    <w:p>
      <w:pPr>
        <w:ind w:right="380" w:firstLine="432"/>
        <w:spacing w:after="0" w:line="271" w:lineRule="auto"/>
        <w:rPr>
          <w:sz w:val="20"/>
          <w:szCs w:val="20"/>
          <w:color w:val="auto"/>
        </w:rPr>
      </w:pPr>
      <w:r>
        <w:rPr>
          <w:rFonts w:ascii="Arial" w:cs="Arial" w:eastAsia="Arial" w:hAnsi="Arial"/>
          <w:sz w:val="13"/>
          <w:szCs w:val="13"/>
          <w:color w:val="auto"/>
        </w:rPr>
        <w:t>Subject to the foregoing provisions of this Section, each Note delivered under the Indenture upon registration of transfer of or in exchange for or in lieu of any other Note shall carry the rights to interest accrued and unpaid, and to accrue, which were carried by such other Note.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408.</w:t>
      </w:r>
      <w:r>
        <w:rPr>
          <w:sz w:val="20"/>
          <w:szCs w:val="20"/>
          <w:color w:val="auto"/>
        </w:rPr>
        <w:tab/>
      </w:r>
      <w:r>
        <w:rPr>
          <w:rFonts w:ascii="Arial" w:cs="Arial" w:eastAsia="Arial" w:hAnsi="Arial"/>
          <w:sz w:val="11"/>
          <w:szCs w:val="11"/>
          <w:u w:val="single" w:color="auto"/>
          <w:color w:val="auto"/>
        </w:rPr>
        <w:t>Persons Deemed Owners</w:t>
      </w:r>
      <w:r>
        <w:rPr>
          <w:rFonts w:ascii="Arial" w:cs="Arial" w:eastAsia="Arial" w:hAnsi="Arial"/>
          <w:sz w:val="11"/>
          <w:szCs w:val="11"/>
          <w:color w:val="auto"/>
        </w:rPr>
        <w:t>.</w:t>
      </w:r>
    </w:p>
    <w:p>
      <w:pPr>
        <w:spacing w:after="0" w:line="157" w:lineRule="exact"/>
        <w:rPr>
          <w:sz w:val="20"/>
          <w:szCs w:val="20"/>
          <w:color w:val="auto"/>
        </w:rPr>
      </w:pPr>
    </w:p>
    <w:p>
      <w:pPr>
        <w:ind w:right="40" w:firstLine="432"/>
        <w:spacing w:after="0" w:line="290" w:lineRule="auto"/>
        <w:rPr>
          <w:sz w:val="20"/>
          <w:szCs w:val="20"/>
          <w:color w:val="auto"/>
        </w:rPr>
      </w:pPr>
      <w:r>
        <w:rPr>
          <w:rFonts w:ascii="Arial" w:cs="Arial" w:eastAsia="Arial" w:hAnsi="Arial"/>
          <w:sz w:val="12"/>
          <w:szCs w:val="12"/>
          <w:color w:val="auto"/>
        </w:rPr>
        <w:t>Prior to due presentment of a Note for registration of transfer, the Issuer, the Guarantors, the Trustee and any agent of the Issuer, the Guarantors or the Trustee may treat the Person in whose name such Note is registered as the owner of such Note for the purpose of receiving payment of principal of and any premium and (subject to Section 407) any interest on such Note and for all other purposes whatsoever (except as required by applicable tax laws), whether or not such Note be overdue, and none of the Issuer, the Guarantors, the Trustee nor any of their respective agents shall be affected by notice to the contrary.</w:t>
      </w:r>
    </w:p>
    <w:p>
      <w:pPr>
        <w:spacing w:after="0" w:line="103" w:lineRule="exact"/>
        <w:rPr>
          <w:sz w:val="20"/>
          <w:szCs w:val="20"/>
          <w:color w:val="auto"/>
        </w:rPr>
      </w:pPr>
    </w:p>
    <w:p>
      <w:pPr>
        <w:ind w:right="180" w:firstLine="432"/>
        <w:spacing w:after="0" w:line="271" w:lineRule="auto"/>
        <w:rPr>
          <w:sz w:val="20"/>
          <w:szCs w:val="20"/>
          <w:color w:val="auto"/>
        </w:rPr>
      </w:pPr>
      <w:r>
        <w:rPr>
          <w:rFonts w:ascii="Arial" w:cs="Arial" w:eastAsia="Arial" w:hAnsi="Arial"/>
          <w:sz w:val="13"/>
          <w:szCs w:val="13"/>
          <w:color w:val="auto"/>
        </w:rPr>
        <w:t>None of the Issuer, the Guarantors, the Trustee, nor any of their respective agents will have any responsibility or liability for any aspect of the records relating to, or payments made on account of, beneficial ownership interests of a Note or for maintaining, supervising or reviewing any records relating to such beneficial ownership interests.</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409.</w:t>
      </w:r>
      <w:r>
        <w:rPr>
          <w:sz w:val="20"/>
          <w:szCs w:val="20"/>
          <w:color w:val="auto"/>
        </w:rPr>
        <w:tab/>
      </w:r>
      <w:r>
        <w:rPr>
          <w:rFonts w:ascii="Arial" w:cs="Arial" w:eastAsia="Arial" w:hAnsi="Arial"/>
          <w:sz w:val="12"/>
          <w:szCs w:val="12"/>
          <w:u w:val="single" w:color="auto"/>
          <w:color w:val="auto"/>
        </w:rPr>
        <w:t>Cancellation</w:t>
      </w:r>
      <w:r>
        <w:rPr>
          <w:rFonts w:ascii="Arial" w:cs="Arial" w:eastAsia="Arial" w:hAnsi="Arial"/>
          <w:sz w:val="12"/>
          <w:szCs w:val="12"/>
          <w:color w:val="auto"/>
        </w:rPr>
        <w:t>.</w:t>
      </w:r>
    </w:p>
    <w:p>
      <w:pPr>
        <w:spacing w:after="0" w:line="157" w:lineRule="exact"/>
        <w:rPr>
          <w:sz w:val="20"/>
          <w:szCs w:val="20"/>
          <w:color w:val="auto"/>
        </w:rPr>
      </w:pPr>
    </w:p>
    <w:p>
      <w:pPr>
        <w:ind w:right="100" w:firstLine="432"/>
        <w:spacing w:after="0" w:line="258" w:lineRule="auto"/>
        <w:rPr>
          <w:sz w:val="20"/>
          <w:szCs w:val="20"/>
          <w:color w:val="auto"/>
        </w:rPr>
      </w:pPr>
      <w:r>
        <w:rPr>
          <w:rFonts w:ascii="Arial" w:cs="Arial" w:eastAsia="Arial" w:hAnsi="Arial"/>
          <w:sz w:val="13"/>
          <w:szCs w:val="13"/>
          <w:color w:val="auto"/>
        </w:rPr>
        <w:t>All Notes surrendered for payment, redemption, purchase, registration of transfer or exchange shall, if surrendered to any Person other than the Trustee, be delivered to the Trustee and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40"/>
          </w:cols>
          <w:pgMar w:left="220" w:top="435" w:right="239" w:bottom="1440" w:gutter="0" w:footer="0" w:header="0"/>
        </w:sectPr>
      </w:pPr>
    </w:p>
    <w:bookmarkStart w:id="58" w:name="page59"/>
    <w:bookmarkEnd w:id="58"/>
    <w:p>
      <w:pPr>
        <w:spacing w:after="0" w:line="314" w:lineRule="auto"/>
        <w:rPr>
          <w:sz w:val="20"/>
          <w:szCs w:val="20"/>
          <w:color w:val="auto"/>
        </w:rPr>
      </w:pPr>
      <w:r>
        <w:rPr>
          <w:rFonts w:ascii="Arial" w:cs="Arial" w:eastAsia="Arial" w:hAnsi="Arial"/>
          <w:sz w:val="12"/>
          <w:szCs w:val="12"/>
          <w:color w:val="auto"/>
        </w:rPr>
        <w:t>Issuer has not issued and sold, and all Notes so delivered shall be promptly cancelled by the Trustee. No Notes shall be authenticated in lieu of or in exchange for any Notes cancelled as provided in this Section, except as expressly permitted by the Indenture. All cancelled Notes held by the Trustee shall be disposed of in accordance with the Trustee’s standard provisions or as directed by an Issuer Order.</w:t>
      </w:r>
    </w:p>
    <w:p>
      <w:pPr>
        <w:spacing w:after="0" w:line="89"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410.</w:t>
      </w:r>
      <w:r>
        <w:rPr>
          <w:sz w:val="20"/>
          <w:szCs w:val="20"/>
          <w:color w:val="auto"/>
        </w:rPr>
        <w:tab/>
      </w:r>
      <w:r>
        <w:rPr>
          <w:rFonts w:ascii="Arial" w:cs="Arial" w:eastAsia="Arial" w:hAnsi="Arial"/>
          <w:sz w:val="12"/>
          <w:szCs w:val="12"/>
          <w:u w:val="single" w:color="auto"/>
          <w:color w:val="auto"/>
        </w:rPr>
        <w:t>Computation of Interest</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Interest on the Notes shall be computed on the basis of a 360-day year of twelve 30-day months.</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411.</w:t>
      </w:r>
      <w:r>
        <w:rPr>
          <w:sz w:val="20"/>
          <w:szCs w:val="20"/>
          <w:color w:val="auto"/>
        </w:rPr>
        <w:tab/>
      </w:r>
      <w:r>
        <w:rPr>
          <w:rFonts w:ascii="Arial" w:cs="Arial" w:eastAsia="Arial" w:hAnsi="Arial"/>
          <w:sz w:val="11"/>
          <w:szCs w:val="11"/>
          <w:u w:val="single" w:color="auto"/>
          <w:color w:val="auto"/>
        </w:rPr>
        <w:t>Transfer and Exchange</w:t>
      </w:r>
      <w:r>
        <w:rPr>
          <w:rFonts w:ascii="Arial" w:cs="Arial" w:eastAsia="Arial" w:hAnsi="Arial"/>
          <w:sz w:val="11"/>
          <w:szCs w:val="11"/>
          <w:color w:val="auto"/>
        </w:rPr>
        <w:t>.</w:t>
      </w:r>
    </w:p>
    <w:p>
      <w:pPr>
        <w:spacing w:after="0" w:line="157" w:lineRule="exact"/>
        <w:rPr>
          <w:sz w:val="20"/>
          <w:szCs w:val="20"/>
          <w:color w:val="auto"/>
        </w:rPr>
      </w:pPr>
    </w:p>
    <w:p>
      <w:pPr>
        <w:ind w:right="100" w:firstLine="432"/>
        <w:spacing w:after="0" w:line="251" w:lineRule="auto"/>
        <w:rPr>
          <w:sz w:val="20"/>
          <w:szCs w:val="20"/>
          <w:color w:val="auto"/>
        </w:rPr>
      </w:pPr>
      <w:r>
        <w:rPr>
          <w:rFonts w:ascii="Arial" w:cs="Arial" w:eastAsia="Arial" w:hAnsi="Arial"/>
          <w:sz w:val="13"/>
          <w:szCs w:val="13"/>
          <w:u w:val="single" w:color="auto"/>
          <w:color w:val="auto"/>
        </w:rPr>
        <w:t>General Provisions</w:t>
      </w:r>
      <w:r>
        <w:rPr>
          <w:rFonts w:ascii="Arial" w:cs="Arial" w:eastAsia="Arial" w:hAnsi="Arial"/>
          <w:sz w:val="13"/>
          <w:szCs w:val="13"/>
          <w:color w:val="auto"/>
        </w:rPr>
        <w:t>. A Holder may transfer a Note (or a beneficial interest therein) to another Person or exchange a Note (or a beneficial interest therein) for another Note or Notes of any authorized denomination by presenting to the Trustee a written request therefor stating the name of the proposed transferee or requesting such an exchange, accompanied by any certification, opinion or other document required by this Section 411. The Trustee shall promptly register any transfer or exchange that meets the requirements of this Section 411 by noting the same in the Security Register maintained by the Trustee for the purpose, and no transfer or exchange shall be effective until it is registered in such register. The transfer or exchange of any Note (or a beneficial interest therein) may only be made in accordance with this Section 411 and Section 303, as applicable, and, in the case of a Global Note (or a beneficial interest therein), the applicable rules and procedures of DTC, Euroclear and Clearstream. The Trustee shall refuse to register any requested transfer or exchange that does not comply with this paragraph.</w:t>
      </w:r>
    </w:p>
    <w:p>
      <w:pPr>
        <w:spacing w:after="0" w:line="125" w:lineRule="exact"/>
        <w:rPr>
          <w:sz w:val="20"/>
          <w:szCs w:val="20"/>
          <w:color w:val="auto"/>
        </w:rPr>
      </w:pPr>
    </w:p>
    <w:p>
      <w:pPr>
        <w:jc w:val="both"/>
        <w:ind w:right="260" w:firstLine="432"/>
        <w:spacing w:after="0" w:line="258" w:lineRule="auto"/>
        <w:rPr>
          <w:sz w:val="20"/>
          <w:szCs w:val="20"/>
          <w:color w:val="auto"/>
        </w:rPr>
      </w:pPr>
      <w:r>
        <w:rPr>
          <w:rFonts w:ascii="Arial" w:cs="Arial" w:eastAsia="Arial" w:hAnsi="Arial"/>
          <w:sz w:val="13"/>
          <w:szCs w:val="13"/>
          <w:u w:val="single" w:color="auto"/>
          <w:color w:val="auto"/>
        </w:rPr>
        <w:t>Transfers of Rule 144A Notes and Institutional Accredited Investor Notes</w:t>
      </w:r>
      <w:r>
        <w:rPr>
          <w:rFonts w:ascii="Arial" w:cs="Arial" w:eastAsia="Arial" w:hAnsi="Arial"/>
          <w:sz w:val="13"/>
          <w:szCs w:val="13"/>
          <w:color w:val="auto"/>
        </w:rPr>
        <w:t>. The following provisions shall apply with respect to any proposed registration of transfer of a Rule 144A Note or an Institutional Accredited Investor Note prior to the date which is one year after the later of the date of its original issue, the original issue date of any Additional Notes and the last date on which the Issuer or any Affiliate of the Issuer was the owner of such Notes (or any predecessor thereto) (the “Resale Restriction Termination Date”):</w:t>
      </w:r>
    </w:p>
    <w:p>
      <w:pPr>
        <w:spacing w:after="0" w:line="121" w:lineRule="exact"/>
        <w:rPr>
          <w:sz w:val="20"/>
          <w:szCs w:val="20"/>
          <w:color w:val="auto"/>
        </w:rPr>
      </w:pPr>
    </w:p>
    <w:p>
      <w:pPr>
        <w:ind w:left="420" w:right="80" w:firstLine="437"/>
        <w:spacing w:after="0" w:line="275" w:lineRule="auto"/>
        <w:tabs>
          <w:tab w:leader="none" w:pos="1097" w:val="left"/>
        </w:tabs>
        <w:numPr>
          <w:ilvl w:val="0"/>
          <w:numId w:val="41"/>
        </w:numPr>
        <w:rPr>
          <w:rFonts w:ascii="Arial" w:cs="Arial" w:eastAsia="Arial" w:hAnsi="Arial"/>
          <w:sz w:val="12"/>
          <w:szCs w:val="12"/>
          <w:color w:val="auto"/>
        </w:rPr>
      </w:pPr>
      <w:r>
        <w:rPr>
          <w:rFonts w:ascii="Arial" w:cs="Arial" w:eastAsia="Arial" w:hAnsi="Arial"/>
          <w:sz w:val="12"/>
          <w:szCs w:val="12"/>
          <w:color w:val="auto"/>
        </w:rPr>
        <w:t>a registration of transfer of a Rule 144A Note or an Institutional Accredited Investor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it has requested pursuant to Rule 144A or has determined not to request such information and that it is aware that the transferor is relying upon its foregoing representations in order to claim the exemption from registration provided by Rule 144A; provided that no such written representation or other written certification shall be required in connection with the transfer of a beneficial interest in the Rule 144A Global Note to a transferee in the form of a beneficial interest in that Rule 144A Global Note in accordance with the Indenture and the applicable procedures of DTC;</w:t>
      </w:r>
    </w:p>
    <w:p>
      <w:pPr>
        <w:spacing w:after="0" w:line="114" w:lineRule="exact"/>
        <w:rPr>
          <w:rFonts w:ascii="Arial" w:cs="Arial" w:eastAsia="Arial" w:hAnsi="Arial"/>
          <w:sz w:val="12"/>
          <w:szCs w:val="12"/>
          <w:color w:val="auto"/>
        </w:rPr>
      </w:pPr>
    </w:p>
    <w:p>
      <w:pPr>
        <w:ind w:left="420" w:right="380" w:firstLine="437"/>
        <w:spacing w:after="0" w:line="258" w:lineRule="auto"/>
        <w:tabs>
          <w:tab w:leader="none" w:pos="1134"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registration of transfer of a Rule 144A Note or an Institutional Accredited Investor Note or a beneficial interest therein to an IAI shall be made upon receipt by the Trustee or its agent of a certificate substantially in the form set forth in Annex C hereto from the proposed transferee and, if requested by the Issuer, the delivery of an Opinion of Counsel, certification and/or other information satisfactory to it; and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60"/>
          </w:cols>
          <w:pgMar w:left="220" w:top="435" w:right="219" w:bottom="1440" w:gutter="0" w:footer="0" w:header="0"/>
        </w:sectPr>
      </w:pPr>
    </w:p>
    <w:bookmarkStart w:id="59" w:name="page60"/>
    <w:bookmarkEnd w:id="59"/>
    <w:p>
      <w:pPr>
        <w:ind w:left="420" w:right="240" w:firstLine="437"/>
        <w:spacing w:after="0" w:line="258" w:lineRule="auto"/>
        <w:tabs>
          <w:tab w:leader="none" w:pos="117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registration of transfer of a Rule 144A Note or an Institutional Accredited Investor Note or a beneficial interest therein to a Non-U.S. Person shall be made upon receipt by the Trustee or its agent of a certificate substantially in the form set forth in Annex C hereto from the proposed transferee and, if requested by the Issuer, the delivery of an Opinion of Counsel, certification and/or other information satisfactory to it.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auto"/>
        </w:rPr>
        <w:t>Transfers of Regulations S Notes</w:t>
      </w:r>
      <w:r>
        <w:rPr>
          <w:rFonts w:ascii="Arial" w:cs="Arial" w:eastAsia="Arial" w:hAnsi="Arial"/>
          <w:sz w:val="13"/>
          <w:szCs w:val="13"/>
          <w:color w:val="auto"/>
        </w:rPr>
        <w:t>. The following provisions shall apply with respect to any proposed transfer of a Regulation S Note prior to the expiration of the Restricted Period:</w:t>
      </w:r>
    </w:p>
    <w:p>
      <w:pPr>
        <w:spacing w:after="0" w:line="148" w:lineRule="exact"/>
        <w:rPr>
          <w:sz w:val="20"/>
          <w:szCs w:val="20"/>
          <w:color w:val="auto"/>
        </w:rPr>
      </w:pPr>
    </w:p>
    <w:p>
      <w:pPr>
        <w:ind w:left="420" w:right="20" w:firstLine="437"/>
        <w:spacing w:after="0" w:line="282" w:lineRule="auto"/>
        <w:tabs>
          <w:tab w:leader="none" w:pos="1097" w:val="left"/>
        </w:tabs>
        <w:numPr>
          <w:ilvl w:val="0"/>
          <w:numId w:val="43"/>
        </w:numPr>
        <w:rPr>
          <w:rFonts w:ascii="Arial" w:cs="Arial" w:eastAsia="Arial" w:hAnsi="Arial"/>
          <w:sz w:val="12"/>
          <w:szCs w:val="12"/>
          <w:color w:val="auto"/>
        </w:rPr>
      </w:pPr>
      <w:r>
        <w:rPr>
          <w:rFonts w:ascii="Arial" w:cs="Arial" w:eastAsia="Arial" w:hAnsi="Arial"/>
          <w:sz w:val="12"/>
          <w:szCs w:val="12"/>
          <w:color w:val="auto"/>
        </w:rPr>
        <w:t>a transfer of a Regulation S Note or a beneficial interest therein to a QIB shall be made upon the representation of the transferee, in the form of assignment on the reverse of the certificate, that it is purchasing the Note for its own account or an account with respect to which it exercises sole investment discretion and that it and any such account is a “qualified institutional buyer” within the meaning of Rule 144A, is aware that the sale to it is being made in reliance on Rule 144A and acknowledges that it has received such information regarding the Issuer as it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108" w:lineRule="exact"/>
        <w:rPr>
          <w:rFonts w:ascii="Arial" w:cs="Arial" w:eastAsia="Arial" w:hAnsi="Arial"/>
          <w:sz w:val="12"/>
          <w:szCs w:val="12"/>
          <w:color w:val="auto"/>
        </w:rPr>
      </w:pPr>
    </w:p>
    <w:p>
      <w:pPr>
        <w:ind w:left="420" w:right="20" w:firstLine="437"/>
        <w:spacing w:after="0" w:line="314" w:lineRule="auto"/>
        <w:tabs>
          <w:tab w:leader="none" w:pos="1134" w:val="left"/>
        </w:tabs>
        <w:numPr>
          <w:ilvl w:val="0"/>
          <w:numId w:val="43"/>
        </w:numPr>
        <w:rPr>
          <w:rFonts w:ascii="Arial" w:cs="Arial" w:eastAsia="Arial" w:hAnsi="Arial"/>
          <w:sz w:val="12"/>
          <w:szCs w:val="12"/>
          <w:color w:val="auto"/>
        </w:rPr>
      </w:pPr>
      <w:r>
        <w:rPr>
          <w:rFonts w:ascii="Arial" w:cs="Arial" w:eastAsia="Arial" w:hAnsi="Arial"/>
          <w:sz w:val="12"/>
          <w:szCs w:val="12"/>
          <w:color w:val="auto"/>
        </w:rPr>
        <w:t>a transfer of a Regulation S Note or a beneficial interest therein to an IAI shall be made upon receipt by the Trustee or its agent of a certificate substantially in the form set forth in Annex C hereto from the proposed transferee and, if requested by the Issuer or the Trustee, the delivery of an Opinion of Counsel, certification and/or other information satisfactory to each of them; and</w:t>
      </w:r>
    </w:p>
    <w:p>
      <w:pPr>
        <w:spacing w:after="0" w:line="89" w:lineRule="exact"/>
        <w:rPr>
          <w:rFonts w:ascii="Arial" w:cs="Arial" w:eastAsia="Arial" w:hAnsi="Arial"/>
          <w:sz w:val="12"/>
          <w:szCs w:val="12"/>
          <w:color w:val="auto"/>
        </w:rPr>
      </w:pPr>
    </w:p>
    <w:p>
      <w:pPr>
        <w:ind w:left="420" w:right="200" w:firstLine="437"/>
        <w:spacing w:after="0" w:line="314" w:lineRule="auto"/>
        <w:tabs>
          <w:tab w:leader="none" w:pos="117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 transfer of a Regulation S Note or a beneficial interest therein to a Non-U.S. Person shall be made upon receipt by the Trustee or its agent of a certificate substantially in the form set forth in Annex D hereto from the proposed transferee and, if requested by the Issuer, receipt by the Trustee or its agent of an Opinion of Counsel, certification or other information satisfactory to the Issuer.</w:t>
      </w:r>
    </w:p>
    <w:p>
      <w:pPr>
        <w:spacing w:after="0" w:line="89"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After the expiration of the Restricted Period, interests in the Regulation S Note may be transferred in accordance with applicable law without requiring the certification set forth in Annex C hereto or Annex D hereto or any additional certification.</w:t>
      </w:r>
    </w:p>
    <w:p>
      <w:pPr>
        <w:spacing w:after="0" w:line="113" w:lineRule="exact"/>
        <w:rPr>
          <w:sz w:val="20"/>
          <w:szCs w:val="20"/>
          <w:color w:val="auto"/>
        </w:rPr>
      </w:pPr>
    </w:p>
    <w:p>
      <w:pPr>
        <w:ind w:firstLine="432"/>
        <w:spacing w:after="0" w:line="251" w:lineRule="auto"/>
        <w:rPr>
          <w:sz w:val="20"/>
          <w:szCs w:val="20"/>
          <w:color w:val="auto"/>
        </w:rPr>
      </w:pPr>
      <w:r>
        <w:rPr>
          <w:rFonts w:ascii="Arial" w:cs="Arial" w:eastAsia="Arial" w:hAnsi="Arial"/>
          <w:sz w:val="13"/>
          <w:szCs w:val="13"/>
          <w:u w:val="single" w:color="auto"/>
          <w:color w:val="auto"/>
        </w:rPr>
        <w:t>Restricted Notes Legend</w:t>
      </w:r>
      <w:r>
        <w:rPr>
          <w:rFonts w:ascii="Arial" w:cs="Arial" w:eastAsia="Arial" w:hAnsi="Arial"/>
          <w:sz w:val="13"/>
          <w:szCs w:val="13"/>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(i) Initial Notes or Additional Restricted Notes are being exchanged for Exchange Notes in an exchange offer pursuant to a Registration Rights Agreement, in which case the Exchange Notes shall not bear a Restricted Notes Legend, (ii) an Initial Note or Additional Restricted Note is being transferred pursuant to an effective registration statement or (iii)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Any Additional Notes sold in a registered offering shall not be required to bear the Restricted Notes Legend.</w:t>
      </w:r>
    </w:p>
    <w:p>
      <w:pPr>
        <w:spacing w:after="0" w:line="125" w:lineRule="exact"/>
        <w:rPr>
          <w:sz w:val="20"/>
          <w:szCs w:val="20"/>
          <w:color w:val="auto"/>
        </w:rPr>
      </w:pPr>
    </w:p>
    <w:p>
      <w:pPr>
        <w:ind w:right="120" w:firstLine="432"/>
        <w:spacing w:after="0" w:line="271" w:lineRule="auto"/>
        <w:rPr>
          <w:sz w:val="20"/>
          <w:szCs w:val="20"/>
          <w:color w:val="auto"/>
        </w:rPr>
      </w:pPr>
      <w:r>
        <w:rPr>
          <w:rFonts w:ascii="Arial" w:cs="Arial" w:eastAsia="Arial" w:hAnsi="Arial"/>
          <w:sz w:val="13"/>
          <w:szCs w:val="13"/>
          <w:u w:val="single" w:color="auto"/>
          <w:color w:val="auto"/>
        </w:rPr>
        <w:t>Retention of Written Communications</w:t>
      </w:r>
      <w:r>
        <w:rPr>
          <w:rFonts w:ascii="Arial" w:cs="Arial" w:eastAsia="Arial" w:hAnsi="Arial"/>
          <w:sz w:val="13"/>
          <w:szCs w:val="13"/>
          <w:color w:val="auto"/>
        </w:rPr>
        <w:t>. The Registrar shall retain copies of all letters, notices and other written communications received pursuant to this Section 411. The Issuer shall have the right to inspect and make copies of all such letters, notices or other written communications at any reasonable time upon the giving of reasonable prior written notice to the Registrar.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60"/>
          </w:cols>
          <w:pgMar w:left="220" w:top="435" w:right="219" w:bottom="1440" w:gutter="0" w:footer="0" w:header="0"/>
        </w:sectPr>
      </w:pPr>
    </w:p>
    <w:bookmarkStart w:id="60" w:name="page61"/>
    <w:bookmarkEnd w:id="60"/>
    <w:p>
      <w:pPr>
        <w:ind w:left="420"/>
        <w:spacing w:after="0"/>
        <w:rPr>
          <w:sz w:val="20"/>
          <w:szCs w:val="20"/>
          <w:color w:val="auto"/>
        </w:rPr>
      </w:pPr>
      <w:r>
        <w:rPr>
          <w:rFonts w:ascii="Arial" w:cs="Arial" w:eastAsia="Arial" w:hAnsi="Arial"/>
          <w:sz w:val="13"/>
          <w:szCs w:val="13"/>
          <w:u w:val="single" w:color="auto"/>
          <w:color w:val="auto"/>
        </w:rPr>
        <w:t>Obligations with Respect to Transfers and Exchanges of Notes</w:t>
      </w:r>
      <w:r>
        <w:rPr>
          <w:rFonts w:ascii="Arial" w:cs="Arial" w:eastAsia="Arial" w:hAnsi="Arial"/>
          <w:sz w:val="13"/>
          <w:szCs w:val="13"/>
          <w:color w:val="auto"/>
        </w:rPr>
        <w:t>.</w:t>
      </w:r>
    </w:p>
    <w:p>
      <w:pPr>
        <w:spacing w:after="0" w:line="148" w:lineRule="exact"/>
        <w:rPr>
          <w:sz w:val="20"/>
          <w:szCs w:val="20"/>
          <w:color w:val="auto"/>
        </w:rPr>
      </w:pPr>
    </w:p>
    <w:p>
      <w:pPr>
        <w:ind w:left="420" w:right="160" w:firstLine="437"/>
        <w:spacing w:after="0" w:line="271" w:lineRule="auto"/>
        <w:tabs>
          <w:tab w:leader="none" w:pos="1097"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 permit registrations of transfers and exchanges, the Issuer shall, subject to the other terms and conditions of this Article Three, execute and the Trustee shall authenticate Definitive Notes and Global Notes at the Registrar’s request.</w:t>
      </w:r>
    </w:p>
    <w:p>
      <w:pPr>
        <w:spacing w:after="0" w:line="112" w:lineRule="exact"/>
        <w:rPr>
          <w:rFonts w:ascii="Arial" w:cs="Arial" w:eastAsia="Arial" w:hAnsi="Arial"/>
          <w:sz w:val="13"/>
          <w:szCs w:val="13"/>
          <w:color w:val="auto"/>
        </w:rPr>
      </w:pPr>
    </w:p>
    <w:p>
      <w:pPr>
        <w:ind w:left="420" w:right="80" w:firstLine="437"/>
        <w:spacing w:after="0" w:line="258" w:lineRule="auto"/>
        <w:tabs>
          <w:tab w:leader="none" w:pos="1134" w:val="left"/>
        </w:tabs>
        <w:numPr>
          <w:ilvl w:val="0"/>
          <w:numId w:val="44"/>
        </w:numPr>
        <w:rPr>
          <w:rFonts w:ascii="Arial" w:cs="Arial" w:eastAsia="Arial" w:hAnsi="Arial"/>
          <w:sz w:val="13"/>
          <w:szCs w:val="13"/>
          <w:color w:val="auto"/>
        </w:rPr>
      </w:pPr>
      <w:r>
        <w:rPr>
          <w:rFonts w:ascii="Arial" w:cs="Arial" w:eastAsia="Arial" w:hAnsi="Arial"/>
          <w:sz w:val="13"/>
          <w:szCs w:val="13"/>
          <w:color w:val="auto"/>
        </w:rPr>
        <w:t>No service charge shall be made to a Holder for any registration of transfer or exchange, but the Issuer may require the Holder to pay a sum sufficient to cover any transfer tax or similar governmental charge payable in connection therewith (other than any such transfer taxes or similar governmental charges payable upon an exchange pursuant to Section 404, 1006, 1107 or 1208 not involving any transfer).</w:t>
      </w:r>
    </w:p>
    <w:p>
      <w:pPr>
        <w:spacing w:after="0" w:line="121" w:lineRule="exact"/>
        <w:rPr>
          <w:rFonts w:ascii="Arial" w:cs="Arial" w:eastAsia="Arial" w:hAnsi="Arial"/>
          <w:sz w:val="13"/>
          <w:szCs w:val="13"/>
          <w:color w:val="auto"/>
        </w:rPr>
      </w:pPr>
    </w:p>
    <w:p>
      <w:pPr>
        <w:ind w:left="420" w:right="380" w:firstLine="437"/>
        <w:spacing w:after="0" w:line="314" w:lineRule="auto"/>
        <w:tabs>
          <w:tab w:leader="none" w:pos="117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Issuer (and the Registrar) shall not be required to register the transfer of or exchange of any Note (A) for a period (1) of 15 days before giving any notice of redemption of Notes or (2) beginning 15 days before an Interest Payment Date and ending on such Interest Payment Date or (B) selected for redemption, except the unredeemed portion of any Note being redeemed in part.</w:t>
      </w:r>
    </w:p>
    <w:p>
      <w:pPr>
        <w:spacing w:after="0" w:line="89" w:lineRule="exact"/>
        <w:rPr>
          <w:rFonts w:ascii="Arial" w:cs="Arial" w:eastAsia="Arial" w:hAnsi="Arial"/>
          <w:sz w:val="12"/>
          <w:szCs w:val="12"/>
          <w:color w:val="auto"/>
        </w:rPr>
      </w:pPr>
    </w:p>
    <w:p>
      <w:pPr>
        <w:ind w:left="420" w:firstLine="437"/>
        <w:spacing w:after="0" w:line="258" w:lineRule="auto"/>
        <w:tabs>
          <w:tab w:leader="none" w:pos="1163"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Prior to the due presentation for registration of transfer of any Note, the Issuer, any Guarantor, the Trustee, the Paying Agent or the Registrar may deem and treat the Person in whose name a Note is registered as the owner of such Note for the purpose of receiving any payment on such Note and for all other purposes whatsoever, including the transfer or exchange of such Note, whether or not such Note is overdue, and none of the Issuer, any Guarantor, the Trustee, the Paying Agent or the Registrar shall be affected by notice to the contrary.</w:t>
      </w:r>
    </w:p>
    <w:p>
      <w:pPr>
        <w:spacing w:after="0" w:line="121" w:lineRule="exact"/>
        <w:rPr>
          <w:rFonts w:ascii="Arial" w:cs="Arial" w:eastAsia="Arial" w:hAnsi="Arial"/>
          <w:sz w:val="13"/>
          <w:szCs w:val="13"/>
          <w:color w:val="auto"/>
        </w:rPr>
      </w:pPr>
    </w:p>
    <w:p>
      <w:pPr>
        <w:ind w:left="420" w:right="340" w:firstLine="437"/>
        <w:spacing w:after="0" w:line="271" w:lineRule="auto"/>
        <w:tabs>
          <w:tab w:leader="none" w:pos="1126" w:val="left"/>
        </w:tabs>
        <w:numPr>
          <w:ilvl w:val="0"/>
          <w:numId w:val="44"/>
        </w:numPr>
        <w:rPr>
          <w:rFonts w:ascii="Arial" w:cs="Arial" w:eastAsia="Arial" w:hAnsi="Arial"/>
          <w:sz w:val="13"/>
          <w:szCs w:val="13"/>
          <w:color w:val="auto"/>
        </w:rPr>
      </w:pPr>
      <w:r>
        <w:rPr>
          <w:rFonts w:ascii="Arial" w:cs="Arial" w:eastAsia="Arial" w:hAnsi="Arial"/>
          <w:sz w:val="13"/>
          <w:szCs w:val="13"/>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13" w:lineRule="exact"/>
        <w:rPr>
          <w:sz w:val="20"/>
          <w:szCs w:val="20"/>
          <w:color w:val="auto"/>
        </w:rPr>
      </w:pPr>
    </w:p>
    <w:p>
      <w:pPr>
        <w:ind w:firstLine="432"/>
        <w:spacing w:after="0" w:line="272" w:lineRule="auto"/>
        <w:rPr>
          <w:sz w:val="20"/>
          <w:szCs w:val="20"/>
          <w:color w:val="auto"/>
        </w:rPr>
      </w:pPr>
      <w:r>
        <w:rPr>
          <w:rFonts w:ascii="Arial" w:cs="Arial" w:eastAsia="Arial" w:hAnsi="Arial"/>
          <w:sz w:val="12"/>
          <w:szCs w:val="12"/>
          <w:u w:val="single" w:color="auto"/>
          <w:color w:val="auto"/>
        </w:rPr>
        <w:t>No Obligation of the Trustee</w:t>
      </w:r>
      <w:r>
        <w:rPr>
          <w:rFonts w:ascii="Arial" w:cs="Arial" w:eastAsia="Arial" w:hAnsi="Arial"/>
          <w:sz w:val="12"/>
          <w:szCs w:val="12"/>
          <w:color w:val="auto"/>
        </w:rPr>
        <w:t>. The Trustee shall have no responsibility or obligation to any beneficial owner of a Global Note, Agent Member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conclusively rely and shall be fully protected in so relying upon information furnished by DTC with respect to its Agent Members and any beneficial owners. The Trustee shall have no obligation or duty to monitor, determine or inquire as to compliance with any restrictions on transfer imposed under the Indenture or under applicable law with respect to any transfer of any interest in any Note (including any transfers between or among Agent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15" w:lineRule="exact"/>
        <w:rPr>
          <w:sz w:val="20"/>
          <w:szCs w:val="20"/>
          <w:color w:val="auto"/>
        </w:rPr>
      </w:pPr>
    </w:p>
    <w:p>
      <w:pPr>
        <w:ind w:right="380" w:firstLine="432"/>
        <w:spacing w:after="0" w:line="271" w:lineRule="auto"/>
        <w:rPr>
          <w:sz w:val="20"/>
          <w:szCs w:val="20"/>
          <w:color w:val="auto"/>
        </w:rPr>
      </w:pPr>
      <w:r>
        <w:rPr>
          <w:rFonts w:ascii="Arial" w:cs="Arial" w:eastAsia="Arial" w:hAnsi="Arial"/>
          <w:sz w:val="13"/>
          <w:szCs w:val="13"/>
          <w:u w:val="single" w:color="auto"/>
          <w:color w:val="auto"/>
        </w:rPr>
        <w:t>Affiliate Holders</w:t>
      </w:r>
      <w:r>
        <w:rPr>
          <w:rFonts w:ascii="Arial" w:cs="Arial" w:eastAsia="Arial" w:hAnsi="Arial"/>
          <w:sz w:val="13"/>
          <w:szCs w:val="13"/>
          <w:color w:val="auto"/>
        </w:rPr>
        <w:t>. By accepting a beneficial interest in a Global Note, any Person that is an Affiliate of the Issuer agrees to give notice to the Issuer, the Trustee and the Registrar of the acquisition and its Affiliate status.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60"/>
          </w:cols>
          <w:pgMar w:left="220" w:top="435" w:right="219" w:bottom="1440" w:gutter="0" w:footer="0" w:header="0"/>
        </w:sectPr>
      </w:pPr>
    </w:p>
    <w:bookmarkStart w:id="61" w:name="page62"/>
    <w:bookmarkEnd w:id="61"/>
    <w:p>
      <w:pPr>
        <w:jc w:val="center"/>
        <w:ind w:left="440"/>
        <w:spacing w:after="0"/>
        <w:rPr>
          <w:sz w:val="20"/>
          <w:szCs w:val="20"/>
          <w:color w:val="auto"/>
        </w:rPr>
      </w:pPr>
      <w:r>
        <w:rPr>
          <w:rFonts w:ascii="Arial" w:cs="Arial" w:eastAsia="Arial" w:hAnsi="Arial"/>
          <w:sz w:val="13"/>
          <w:szCs w:val="13"/>
          <w:b w:val="1"/>
          <w:bCs w:val="1"/>
          <w:color w:val="auto"/>
        </w:rPr>
        <w:t>ARTICLE FIVE</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SATISFACTION AND DISCHARGE</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501.</w:t>
      </w:r>
      <w:r>
        <w:rPr>
          <w:sz w:val="20"/>
          <w:szCs w:val="20"/>
          <w:color w:val="auto"/>
        </w:rPr>
        <w:tab/>
      </w:r>
      <w:r>
        <w:rPr>
          <w:rFonts w:ascii="Arial" w:cs="Arial" w:eastAsia="Arial" w:hAnsi="Arial"/>
          <w:sz w:val="12"/>
          <w:szCs w:val="12"/>
          <w:u w:val="single" w:color="auto"/>
          <w:color w:val="auto"/>
        </w:rPr>
        <w:t>Satisfaction and Discharge of Indenture</w:t>
      </w:r>
      <w:r>
        <w:rPr>
          <w:rFonts w:ascii="Arial" w:cs="Arial" w:eastAsia="Arial" w:hAnsi="Arial"/>
          <w:sz w:val="12"/>
          <w:szCs w:val="12"/>
          <w:color w:val="auto"/>
        </w:rPr>
        <w:t>.</w:t>
      </w:r>
    </w:p>
    <w:p>
      <w:pPr>
        <w:spacing w:after="0" w:line="157" w:lineRule="exact"/>
        <w:rPr>
          <w:sz w:val="20"/>
          <w:szCs w:val="20"/>
          <w:color w:val="auto"/>
        </w:rPr>
      </w:pPr>
    </w:p>
    <w:p>
      <w:pPr>
        <w:ind w:right="20" w:firstLine="432"/>
        <w:spacing w:after="0" w:line="271" w:lineRule="auto"/>
        <w:rPr>
          <w:sz w:val="20"/>
          <w:szCs w:val="20"/>
          <w:color w:val="auto"/>
        </w:rPr>
      </w:pPr>
      <w:r>
        <w:rPr>
          <w:rFonts w:ascii="Arial" w:cs="Arial" w:eastAsia="Arial" w:hAnsi="Arial"/>
          <w:sz w:val="13"/>
          <w:szCs w:val="13"/>
          <w:color w:val="auto"/>
        </w:rPr>
        <w:t>The Indenture shall be discharged and shall cease to be of further effect, and the Trustee, upon Issuer Request and at the expense of the Issuer, shall execute proper instruments acknowledging satisfaction and discharge of the Indenture, when</w:t>
      </w:r>
    </w:p>
    <w:p>
      <w:pPr>
        <w:spacing w:after="0" w:line="113" w:lineRule="exact"/>
        <w:rPr>
          <w:sz w:val="20"/>
          <w:szCs w:val="20"/>
          <w:color w:val="auto"/>
        </w:rPr>
      </w:pPr>
    </w:p>
    <w:p>
      <w:pPr>
        <w:ind w:left="1140" w:hanging="283"/>
        <w:spacing w:after="0"/>
        <w:tabs>
          <w:tab w:leader="none" w:pos="11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either</w:t>
      </w:r>
    </w:p>
    <w:p>
      <w:pPr>
        <w:spacing w:after="0" w:line="147" w:lineRule="exact"/>
        <w:rPr>
          <w:rFonts w:ascii="Arial" w:cs="Arial" w:eastAsia="Arial" w:hAnsi="Arial"/>
          <w:sz w:val="13"/>
          <w:szCs w:val="13"/>
          <w:color w:val="auto"/>
        </w:rPr>
      </w:pPr>
    </w:p>
    <w:p>
      <w:pPr>
        <w:ind w:left="860" w:right="60" w:firstLine="429"/>
        <w:spacing w:after="0" w:line="258" w:lineRule="auto"/>
        <w:tabs>
          <w:tab w:leader="none" w:pos="1559" w:val="left"/>
        </w:tabs>
        <w:numPr>
          <w:ilvl w:val="1"/>
          <w:numId w:val="45"/>
        </w:numPr>
        <w:rPr>
          <w:rFonts w:ascii="Arial" w:cs="Arial" w:eastAsia="Arial" w:hAnsi="Arial"/>
          <w:sz w:val="13"/>
          <w:szCs w:val="13"/>
          <w:color w:val="auto"/>
        </w:rPr>
      </w:pPr>
      <w:r>
        <w:rPr>
          <w:rFonts w:ascii="Arial" w:cs="Arial" w:eastAsia="Arial" w:hAnsi="Arial"/>
          <w:sz w:val="13"/>
          <w:szCs w:val="13"/>
          <w:color w:val="auto"/>
        </w:rPr>
        <w:t>all Notes theretofore authenticated and delivered (other than Notes which have been destroyed, lost or stolen and which have been replaced or paid as provided in Section 406 and Notes for whose payment money has theretofore been deposited in trust or segregated and held in trust by the Issuer and thereafter repaid to the Issuer or discharged from such trust, as provided in Section 1103) have been delivered to the Trustee for cancellation; or</w:t>
      </w:r>
    </w:p>
    <w:p>
      <w:pPr>
        <w:spacing w:after="0" w:line="121" w:lineRule="exact"/>
        <w:rPr>
          <w:rFonts w:ascii="Arial" w:cs="Arial" w:eastAsia="Arial" w:hAnsi="Arial"/>
          <w:sz w:val="13"/>
          <w:szCs w:val="13"/>
          <w:color w:val="auto"/>
        </w:rPr>
      </w:pPr>
    </w:p>
    <w:p>
      <w:pPr>
        <w:ind w:left="1560" w:hanging="271"/>
        <w:spacing w:after="0"/>
        <w:tabs>
          <w:tab w:leader="none" w:pos="156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all Notes not theretofore delivered to the Trustee for cancellation</w:t>
      </w:r>
    </w:p>
    <w:p>
      <w:pPr>
        <w:spacing w:after="0" w:line="148" w:lineRule="exact"/>
        <w:rPr>
          <w:sz w:val="20"/>
          <w:szCs w:val="20"/>
          <w:color w:val="auto"/>
        </w:rPr>
      </w:pPr>
    </w:p>
    <w:p>
      <w:pPr>
        <w:ind w:left="1100" w:hanging="243"/>
        <w:spacing w:after="0"/>
        <w:tabs>
          <w:tab w:leader="none" w:pos="11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have become due and payable, or</w:t>
      </w:r>
    </w:p>
    <w:p>
      <w:pPr>
        <w:spacing w:after="0" w:line="147" w:lineRule="exact"/>
        <w:rPr>
          <w:rFonts w:ascii="Arial" w:cs="Arial" w:eastAsia="Arial" w:hAnsi="Arial"/>
          <w:sz w:val="13"/>
          <w:szCs w:val="13"/>
          <w:color w:val="auto"/>
        </w:rPr>
      </w:pPr>
    </w:p>
    <w:p>
      <w:pPr>
        <w:ind w:left="420" w:right="40" w:firstLine="437"/>
        <w:spacing w:after="0" w:line="271" w:lineRule="auto"/>
        <w:tabs>
          <w:tab w:leader="none" w:pos="1134" w:val="left"/>
        </w:tabs>
        <w:numPr>
          <w:ilvl w:val="0"/>
          <w:numId w:val="46"/>
        </w:numPr>
        <w:rPr>
          <w:rFonts w:ascii="Arial" w:cs="Arial" w:eastAsia="Arial" w:hAnsi="Arial"/>
          <w:sz w:val="13"/>
          <w:szCs w:val="13"/>
          <w:color w:val="auto"/>
        </w:rPr>
      </w:pPr>
      <w:r>
        <w:rPr>
          <w:rFonts w:ascii="Arial" w:cs="Arial" w:eastAsia="Arial" w:hAnsi="Arial"/>
          <w:sz w:val="13"/>
          <w:szCs w:val="13"/>
          <w:color w:val="auto"/>
        </w:rPr>
        <w:t>will become due and payable at their Stated Maturity within one year, or are to be called for redemption within one year under arrangements satisfactory to the Trustee for the giving of notice of redemption by the Trustee in the name, and at the expense, of the Issuer, or</w:t>
      </w:r>
    </w:p>
    <w:p>
      <w:pPr>
        <w:spacing w:after="0" w:line="112" w:lineRule="exact"/>
        <w:rPr>
          <w:rFonts w:ascii="Arial" w:cs="Arial" w:eastAsia="Arial" w:hAnsi="Arial"/>
          <w:sz w:val="13"/>
          <w:szCs w:val="13"/>
          <w:color w:val="auto"/>
        </w:rPr>
      </w:pPr>
    </w:p>
    <w:p>
      <w:pPr>
        <w:ind w:left="1200" w:hanging="343"/>
        <w:spacing w:after="0"/>
        <w:tabs>
          <w:tab w:leader="none" w:pos="12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have been called for redemption pursuant to the provisions of Article Twelve,</w:t>
      </w:r>
    </w:p>
    <w:p>
      <w:pPr>
        <w:spacing w:after="0" w:line="148" w:lineRule="exact"/>
        <w:rPr>
          <w:sz w:val="20"/>
          <w:szCs w:val="20"/>
          <w:color w:val="auto"/>
        </w:rPr>
      </w:pPr>
    </w:p>
    <w:p>
      <w:pPr>
        <w:ind w:left="420"/>
        <w:spacing w:after="0" w:line="254" w:lineRule="auto"/>
        <w:rPr>
          <w:sz w:val="20"/>
          <w:szCs w:val="20"/>
          <w:color w:val="auto"/>
        </w:rPr>
      </w:pPr>
      <w:r>
        <w:rPr>
          <w:rFonts w:ascii="Arial" w:cs="Arial" w:eastAsia="Arial" w:hAnsi="Arial"/>
          <w:sz w:val="13"/>
          <w:szCs w:val="13"/>
          <w:color w:val="auto"/>
        </w:rPr>
        <w:t>and the Issuer or any Guarantor in the case of (i), (ii) or (iii) of subclause (b), has irrevocably deposited or caused to be irrevocably deposited or caused to be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124" w:lineRule="exact"/>
        <w:rPr>
          <w:sz w:val="20"/>
          <w:szCs w:val="20"/>
          <w:color w:val="auto"/>
        </w:rPr>
      </w:pPr>
    </w:p>
    <w:p>
      <w:pPr>
        <w:ind w:left="1140" w:hanging="283"/>
        <w:spacing w:after="0"/>
        <w:tabs>
          <w:tab w:leader="none" w:pos="1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Issuer has paid or caused to be paid all other sums payable under the Indenture by the Issuer;</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Issuer has delivered irrevocable instructions to the Trustee to apply the deposited funds towards the payment of such Notes at Stated Maturity or on the Redemption Date, as the case may be;</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and</w:t>
      </w:r>
    </w:p>
    <w:p>
      <w:pPr>
        <w:spacing w:after="0" w:line="138" w:lineRule="exact"/>
        <w:rPr>
          <w:sz w:val="20"/>
          <w:szCs w:val="20"/>
          <w:color w:val="auto"/>
        </w:rPr>
      </w:pPr>
    </w:p>
    <w:p>
      <w:pPr>
        <w:ind w:left="420" w:right="400" w:firstLine="437"/>
        <w:spacing w:after="0" w:line="271" w:lineRule="auto"/>
        <w:tabs>
          <w:tab w:leader="none" w:pos="1126"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Issuer has delivered to the Trustee an Officer’s Certificate and an Opinion of Counsel, each stating that all conditions precedent in the Indenture to the satisfaction and discharge of the Indenture have been complied with.</w:t>
      </w:r>
    </w:p>
    <w:p>
      <w:pPr>
        <w:spacing w:after="0" w:line="113" w:lineRule="exact"/>
        <w:rPr>
          <w:sz w:val="20"/>
          <w:szCs w:val="20"/>
          <w:color w:val="auto"/>
        </w:rPr>
      </w:pPr>
    </w:p>
    <w:p>
      <w:pPr>
        <w:ind w:right="300" w:firstLine="432"/>
        <w:spacing w:after="0" w:line="271" w:lineRule="auto"/>
        <w:rPr>
          <w:sz w:val="20"/>
          <w:szCs w:val="20"/>
          <w:color w:val="auto"/>
        </w:rPr>
      </w:pPr>
      <w:r>
        <w:rPr>
          <w:rFonts w:ascii="Arial" w:cs="Arial" w:eastAsia="Arial" w:hAnsi="Arial"/>
          <w:sz w:val="13"/>
          <w:szCs w:val="13"/>
          <w:color w:val="auto"/>
        </w:rPr>
        <w:t>Notwithstanding the satisfaction and discharge of the Indenture, the obligations of the Issuer to the Holders under Sections 405 and 406, the obligations of the Issuer to the Trustee under Section 707, the obligations of the</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80"/>
          </w:cols>
          <w:pgMar w:left="220" w:top="431" w:right="299" w:bottom="1440" w:gutter="0" w:footer="0" w:header="0"/>
        </w:sectPr>
      </w:pPr>
    </w:p>
    <w:bookmarkStart w:id="62" w:name="page63"/>
    <w:bookmarkEnd w:id="62"/>
    <w:p>
      <w:pPr>
        <w:ind w:right="80"/>
        <w:spacing w:after="0" w:line="271" w:lineRule="auto"/>
        <w:rPr>
          <w:sz w:val="20"/>
          <w:szCs w:val="20"/>
          <w:color w:val="auto"/>
        </w:rPr>
      </w:pPr>
      <w:r>
        <w:rPr>
          <w:rFonts w:ascii="Arial" w:cs="Arial" w:eastAsia="Arial" w:hAnsi="Arial"/>
          <w:sz w:val="13"/>
          <w:szCs w:val="13"/>
          <w:color w:val="auto"/>
        </w:rPr>
        <w:t>Trustee to any Authenticating Agent under Section 714 and, if cash or U.S. Government Obligations shall have been deposited with the Trustee pursuant to subclause (b) of clause (1) of this Section, the obligations of the Trustee under Section 502 and the last paragraph of Section 1103 shall survive so long as any Notes are Outstanding.</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502.</w:t>
      </w:r>
      <w:r>
        <w:rPr>
          <w:sz w:val="20"/>
          <w:szCs w:val="20"/>
          <w:color w:val="auto"/>
        </w:rPr>
        <w:tab/>
      </w:r>
      <w:r>
        <w:rPr>
          <w:rFonts w:ascii="Arial" w:cs="Arial" w:eastAsia="Arial" w:hAnsi="Arial"/>
          <w:sz w:val="12"/>
          <w:szCs w:val="12"/>
          <w:u w:val="single" w:color="auto"/>
          <w:color w:val="auto"/>
        </w:rPr>
        <w:t>Application of Trust Money</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54" w:lineRule="auto"/>
        <w:rPr>
          <w:sz w:val="20"/>
          <w:szCs w:val="20"/>
          <w:color w:val="auto"/>
        </w:rPr>
      </w:pPr>
      <w:r>
        <w:rPr>
          <w:rFonts w:ascii="Arial" w:cs="Arial" w:eastAsia="Arial" w:hAnsi="Arial"/>
          <w:sz w:val="13"/>
          <w:szCs w:val="13"/>
          <w:color w:val="auto"/>
        </w:rPr>
        <w:t>Subject to the provisions of the last paragraph of Section 1103, all cash and U.S. Government Obligations (including the proceeds thereof) deposited with the Trustee pursuant to Section 501 shall be held in trust and applied by it, in accordance with the provisions of the Notes and the Indenture, to the payment, either directly or through any Paying Agent (including the Issuer or a Subsidiary acting as its own Paying Agent) as the Trustee may determine, to the Persons entitled thereto, of the principal and any premium and interest for whose payment such cash and U.S. Government Obligations (including the proceeds thereof) have been deposited with the Trustee.</w:t>
      </w:r>
    </w:p>
    <w:p>
      <w:pPr>
        <w:spacing w:after="0" w:line="120"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ARTICLE SIX</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REMEDIES</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601.</w:t>
      </w:r>
      <w:r>
        <w:rPr>
          <w:sz w:val="20"/>
          <w:szCs w:val="20"/>
          <w:color w:val="auto"/>
        </w:rPr>
        <w:tab/>
      </w:r>
      <w:r>
        <w:rPr>
          <w:rFonts w:ascii="Arial" w:cs="Arial" w:eastAsia="Arial" w:hAnsi="Arial"/>
          <w:sz w:val="12"/>
          <w:szCs w:val="12"/>
          <w:u w:val="single" w:color="auto"/>
          <w:color w:val="auto"/>
        </w:rPr>
        <w:t>Events of Default</w:t>
      </w:r>
      <w:r>
        <w:rPr>
          <w:rFonts w:ascii="Arial" w:cs="Arial" w:eastAsia="Arial" w:hAnsi="Arial"/>
          <w:sz w:val="12"/>
          <w:szCs w:val="12"/>
          <w:color w:val="auto"/>
        </w:rPr>
        <w:t>.</w:t>
      </w:r>
    </w:p>
    <w:p>
      <w:pPr>
        <w:spacing w:after="0" w:line="157"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An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13" w:lineRule="exact"/>
        <w:rPr>
          <w:sz w:val="20"/>
          <w:szCs w:val="20"/>
          <w:color w:val="auto"/>
        </w:rPr>
      </w:pPr>
    </w:p>
    <w:p>
      <w:pPr>
        <w:ind w:left="1140" w:hanging="283"/>
        <w:spacing w:after="0"/>
        <w:tabs>
          <w:tab w:leader="none" w:pos="11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failure to pay interest on any of the Notes when the same becomes due and payable and the continuance of any such failure for 30 days;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failure to pay principal of or premium, if any, on any of the Notes when it becomes due and payable, whether at Stated Maturity, upon redemption, required purchase, acceleration or otherwise;</w:t>
      </w:r>
    </w:p>
    <w:p>
      <w:pPr>
        <w:spacing w:after="0" w:line="159" w:lineRule="exact"/>
        <w:rPr>
          <w:rFonts w:ascii="Arial" w:cs="Arial" w:eastAsia="Arial" w:hAnsi="Arial"/>
          <w:sz w:val="12"/>
          <w:szCs w:val="12"/>
          <w:color w:val="auto"/>
        </w:rPr>
      </w:pPr>
    </w:p>
    <w:p>
      <w:pPr>
        <w:ind w:left="420" w:right="100" w:firstLine="437"/>
        <w:spacing w:after="0" w:line="271" w:lineRule="auto"/>
        <w:tabs>
          <w:tab w:leader="none" w:pos="1126" w:val="left"/>
        </w:tabs>
        <w:numPr>
          <w:ilvl w:val="0"/>
          <w:numId w:val="49"/>
        </w:numPr>
        <w:rPr>
          <w:rFonts w:ascii="Arial" w:cs="Arial" w:eastAsia="Arial" w:hAnsi="Arial"/>
          <w:sz w:val="13"/>
          <w:szCs w:val="13"/>
          <w:color w:val="auto"/>
        </w:rPr>
      </w:pPr>
      <w:r>
        <w:rPr>
          <w:rFonts w:ascii="Arial" w:cs="Arial" w:eastAsia="Arial" w:hAnsi="Arial"/>
          <w:sz w:val="13"/>
          <w:szCs w:val="13"/>
          <w:color w:val="auto"/>
        </w:rPr>
        <w:t>failure by the Issuer or any Guarantors to comply with any of their respective agreements or covenants under Article Nine or failure by the Issuer to comply in respect of its obligations to make a Change of Control Offer under Section 1107;</w:t>
      </w:r>
    </w:p>
    <w:p>
      <w:pPr>
        <w:spacing w:after="0" w:line="112" w:lineRule="exact"/>
        <w:rPr>
          <w:rFonts w:ascii="Arial" w:cs="Arial" w:eastAsia="Arial" w:hAnsi="Arial"/>
          <w:sz w:val="13"/>
          <w:szCs w:val="13"/>
          <w:color w:val="auto"/>
        </w:rPr>
      </w:pPr>
    </w:p>
    <w:p>
      <w:pPr>
        <w:ind w:left="420" w:right="80" w:firstLine="437"/>
        <w:spacing w:after="0" w:line="282" w:lineRule="auto"/>
        <w:tabs>
          <w:tab w:leader="none" w:pos="1126" w:val="left"/>
        </w:tabs>
        <w:numPr>
          <w:ilvl w:val="0"/>
          <w:numId w:val="49"/>
        </w:numPr>
        <w:rPr>
          <w:rFonts w:ascii="Arial" w:cs="Arial" w:eastAsia="Arial" w:hAnsi="Arial"/>
          <w:sz w:val="12"/>
          <w:szCs w:val="12"/>
          <w:color w:val="auto"/>
        </w:rPr>
      </w:pPr>
      <w:r>
        <w:rPr>
          <w:rFonts w:ascii="Arial" w:cs="Arial" w:eastAsia="Arial" w:hAnsi="Arial"/>
          <w:sz w:val="12"/>
          <w:szCs w:val="12"/>
          <w:color w:val="auto"/>
        </w:rPr>
        <w:t>(a) except with respect to the covenant contained in Section 804 or as described in clause (3) 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then Outstanding, or (b) failure by the Parent Guarantor for 180 days after notice of the failure has been given to the Issuer by the Trustee or by the Holders of at least 25.0% of the aggregate principal amount of the Notes then Outstanding to comply with the covenant contained in Section 804;</w:t>
      </w:r>
    </w:p>
    <w:p>
      <w:pPr>
        <w:spacing w:after="0" w:line="108" w:lineRule="exact"/>
        <w:rPr>
          <w:rFonts w:ascii="Arial" w:cs="Arial" w:eastAsia="Arial" w:hAnsi="Arial"/>
          <w:sz w:val="12"/>
          <w:szCs w:val="12"/>
          <w:color w:val="auto"/>
        </w:rPr>
      </w:pPr>
    </w:p>
    <w:p>
      <w:pPr>
        <w:ind w:left="420" w:right="40" w:firstLine="437"/>
        <w:spacing w:after="0" w:line="314" w:lineRule="auto"/>
        <w:tabs>
          <w:tab w:leader="none" w:pos="1126" w:val="left"/>
        </w:tabs>
        <w:numPr>
          <w:ilvl w:val="0"/>
          <w:numId w:val="49"/>
        </w:numPr>
        <w:rPr>
          <w:rFonts w:ascii="Arial" w:cs="Arial" w:eastAsia="Arial" w:hAnsi="Arial"/>
          <w:sz w:val="12"/>
          <w:szCs w:val="12"/>
          <w:color w:val="auto"/>
        </w:rPr>
      </w:pPr>
      <w:r>
        <w:rPr>
          <w:rFonts w:ascii="Arial" w:cs="Arial" w:eastAsia="Arial" w:hAnsi="Arial"/>
          <w:sz w:val="12"/>
          <w:szCs w:val="12"/>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435" w:right="199" w:bottom="1440" w:gutter="0" w:footer="0" w:header="0"/>
        </w:sectPr>
      </w:pPr>
    </w:p>
    <w:bookmarkStart w:id="63" w:name="page64"/>
    <w:bookmarkEnd w:id="63"/>
    <w:p>
      <w:pPr>
        <w:ind w:left="1140" w:hanging="271"/>
        <w:spacing w:after="0"/>
        <w:tabs>
          <w:tab w:leader="none" w:pos="11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is caused by a failure to pay at its Stated Maturity principal on such Indebtedness within the applicable express grace period and any extensions thereof, or</w:t>
      </w:r>
    </w:p>
    <w:p>
      <w:pPr>
        <w:spacing w:after="0" w:line="147" w:lineRule="exact"/>
        <w:rPr>
          <w:rFonts w:ascii="Arial" w:cs="Arial" w:eastAsia="Arial" w:hAnsi="Arial"/>
          <w:sz w:val="13"/>
          <w:szCs w:val="13"/>
          <w:color w:val="auto"/>
        </w:rPr>
      </w:pPr>
    </w:p>
    <w:p>
      <w:pPr>
        <w:ind w:left="440" w:right="420" w:firstLine="429"/>
        <w:spacing w:after="0" w:line="271" w:lineRule="auto"/>
        <w:tabs>
          <w:tab w:leader="none" w:pos="1146"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13" w:lineRule="exact"/>
        <w:rPr>
          <w:sz w:val="20"/>
          <w:szCs w:val="20"/>
          <w:color w:val="auto"/>
        </w:rPr>
      </w:pPr>
    </w:p>
    <w:p>
      <w:pPr>
        <w:ind w:left="440"/>
        <w:spacing w:after="0" w:line="271" w:lineRule="auto"/>
        <w:rPr>
          <w:sz w:val="20"/>
          <w:szCs w:val="20"/>
          <w:color w:val="auto"/>
        </w:rPr>
      </w:pPr>
      <w:r>
        <w:rPr>
          <w:rFonts w:ascii="Arial" w:cs="Arial" w:eastAsia="Arial" w:hAnsi="Arial"/>
          <w:sz w:val="13"/>
          <w:szCs w:val="13"/>
          <w:color w:val="auto"/>
        </w:rPr>
        <w:t>and, in each case, the principal amount of such Indebtedness, together with the principal amount of any other Indebtedness with respect to which an event described in clause (a) or (b) has occurred and is continuing, aggregates $100.0 million or more;</w:t>
      </w:r>
    </w:p>
    <w:p>
      <w:pPr>
        <w:spacing w:after="0" w:line="113" w:lineRule="exact"/>
        <w:rPr>
          <w:sz w:val="20"/>
          <w:szCs w:val="20"/>
          <w:color w:val="auto"/>
        </w:rPr>
      </w:pPr>
    </w:p>
    <w:p>
      <w:pPr>
        <w:ind w:right="120" w:firstLine="437"/>
        <w:spacing w:after="0" w:line="364" w:lineRule="auto"/>
        <w:tabs>
          <w:tab w:leader="none" w:pos="706" w:val="left"/>
        </w:tabs>
        <w:numPr>
          <w:ilvl w:val="0"/>
          <w:numId w:val="51"/>
        </w:numPr>
        <w:rPr>
          <w:rFonts w:ascii="Arial" w:cs="Arial" w:eastAsia="Arial" w:hAnsi="Arial"/>
          <w:sz w:val="11"/>
          <w:szCs w:val="11"/>
          <w:color w:val="auto"/>
        </w:rPr>
      </w:pPr>
      <w:r>
        <w:rPr>
          <w:rFonts w:ascii="Arial" w:cs="Arial" w:eastAsia="Arial" w:hAnsi="Arial"/>
          <w:sz w:val="11"/>
          <w:szCs w:val="11"/>
          <w:color w:val="auto"/>
        </w:rPr>
        <w:t>one or more judgments (to the extent not covered by insurance) for the payment of money in an aggregate amount in excess of $100.0 million shall be rendered against the Parent Guarantor, any Significant Subsidiary of the Parent Guarantor or any combination thereof and the same shall remain undischarged for a period of 60 consecutive days during which execution shall not be effectively stayed;</w:t>
      </w:r>
    </w:p>
    <w:p>
      <w:pPr>
        <w:spacing w:after="0" w:line="66" w:lineRule="exact"/>
        <w:rPr>
          <w:rFonts w:ascii="Arial" w:cs="Arial" w:eastAsia="Arial" w:hAnsi="Arial"/>
          <w:sz w:val="11"/>
          <w:szCs w:val="11"/>
          <w:color w:val="auto"/>
        </w:rPr>
      </w:pPr>
    </w:p>
    <w:p>
      <w:pPr>
        <w:ind w:right="40" w:firstLine="437"/>
        <w:spacing w:after="0" w:line="273" w:lineRule="auto"/>
        <w:tabs>
          <w:tab w:leader="none" w:pos="706"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entry by a court having jurisdiction in the premises of (A) a decree or order for relief in respect of the Issuer,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(B) a decree or order adjudging as bankrupt or insolvent, or approving as properly filed a petition seeking reorganization, arrangement, adjustment or composition of or in respect of the Issuer, the Parent Guarantor or a Significant Subsidiary or group of Restricted Subsidiaries that, taken together (as of the latest audited consolidated financial statements for the Parent Guarantor and its Restricted Subsidiaries) would constitute a Significant Subsidiary, under any applicable Bankruptcy Law, or appointing a custodian, receiver, liquidator, assignee, trustee, sequestrator or other similar official of the Issuer, the Parent Guarantor or a Significant Subsidiary or group of Restricted Subsidiaries that, taken together (as of the latest audited consolidated financial statements for the Parent Guarantor and its Restricted Subsidiaries) would constitute a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w:t>
      </w:r>
    </w:p>
    <w:p>
      <w:pPr>
        <w:spacing w:after="0" w:line="113" w:lineRule="exact"/>
        <w:rPr>
          <w:rFonts w:ascii="Arial" w:cs="Arial" w:eastAsia="Arial" w:hAnsi="Arial"/>
          <w:sz w:val="12"/>
          <w:szCs w:val="12"/>
          <w:color w:val="auto"/>
        </w:rPr>
      </w:pPr>
    </w:p>
    <w:p>
      <w:pPr>
        <w:ind w:firstLine="437"/>
        <w:spacing w:after="0" w:line="275" w:lineRule="auto"/>
        <w:tabs>
          <w:tab w:leader="none" w:pos="706" w:val="left"/>
        </w:tabs>
        <w:numPr>
          <w:ilvl w:val="0"/>
          <w:numId w:val="51"/>
        </w:numPr>
        <w:rPr>
          <w:rFonts w:ascii="Arial" w:cs="Arial" w:eastAsia="Arial" w:hAnsi="Arial"/>
          <w:sz w:val="12"/>
          <w:szCs w:val="12"/>
          <w:color w:val="auto"/>
        </w:rPr>
      </w:pPr>
      <w:r>
        <w:rPr>
          <w:rFonts w:ascii="Arial" w:cs="Arial" w:eastAsia="Arial" w:hAnsi="Arial"/>
          <w:sz w:val="12"/>
          <w:szCs w:val="12"/>
          <w:color w:val="auto"/>
        </w:rPr>
        <w:t>(i) the commencement by the Issuer, the Parent Guarantor or a Significant Subsidiary or group of Restricted Subsidiaries that, taken together (as of the latest audited consolidated financial statements for the Parent Guarantor and its Restricted Subsidiaries) would constitute a Significant Subsidiary of a voluntary case or proceeding under any applicable Bankruptcy Law or of any other case or proceeding to be adjudicated a bankrupt or insolvent, or (ii) the consent by it or them to the entry of a decree or order for relief in respect of the Issuer,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to the commencement of any bankruptcy or insolvency case or proceeding against it or them, or (iii) the filing by it or them of a petition or answer or consent seeking reorganization or relief under any applicable Bankruptcy Law, or (iv) the consent by it or them to the filing of such petition or to the appointment of or taking possession by a</w:t>
      </w:r>
    </w:p>
    <w:p>
      <w:pPr>
        <w:spacing w:after="0" w:line="278"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040"/>
          </w:cols>
          <w:pgMar w:left="640" w:top="435" w:right="219" w:bottom="1440" w:gutter="0" w:footer="0" w:header="0"/>
        </w:sectPr>
      </w:pPr>
    </w:p>
    <w:bookmarkStart w:id="64" w:name="page65"/>
    <w:bookmarkEnd w:id="64"/>
    <w:p>
      <w:pPr>
        <w:ind w:left="420" w:right="40"/>
        <w:spacing w:after="0" w:line="252" w:lineRule="auto"/>
        <w:rPr>
          <w:sz w:val="20"/>
          <w:szCs w:val="20"/>
          <w:color w:val="auto"/>
        </w:rPr>
      </w:pPr>
      <w:r>
        <w:rPr>
          <w:rFonts w:ascii="Arial" w:cs="Arial" w:eastAsia="Arial" w:hAnsi="Arial"/>
          <w:sz w:val="13"/>
          <w:szCs w:val="13"/>
          <w:color w:val="auto"/>
        </w:rPr>
        <w:t>custodian, receiver, liquidator, assignee, trustee, sequestrator or other similar official of the Issuer, the Parent Guarantor or a Significant Subsidiary or group of Restricted Subsidiaries that, taken together (as of the last audited consolidated financial statements for the Parent Guarantor and its Restricted Subsidiaries) would constitute a Significant Subsidiary or of any substantial part of its or their property, or (v) the making by it or them of an assignment for the benefit of creditors, or the admission by it or them in writing of its or their inability to pay its or their debts generally as they become due, or (vi) the taking of corporate action by the Issuer, the Parent Guarantor or a Significant Subsidiary or group of Restricted Subsidiaries that, taken together (as of the latest audited consolidated financial statements for the Parent Guarantor and its Restricted Subsidiaries) would constitute a Significant Subsidiary in furtherance of any such action; or</w:t>
      </w:r>
    </w:p>
    <w:p>
      <w:pPr>
        <w:spacing w:after="0" w:line="125" w:lineRule="exact"/>
        <w:rPr>
          <w:sz w:val="20"/>
          <w:szCs w:val="20"/>
          <w:color w:val="auto"/>
        </w:rPr>
      </w:pPr>
    </w:p>
    <w:p>
      <w:pPr>
        <w:ind w:left="420" w:right="240" w:firstLine="437"/>
        <w:spacing w:after="0" w:line="258" w:lineRule="auto"/>
        <w:tabs>
          <w:tab w:leader="none" w:pos="1126" w:val="left"/>
        </w:tabs>
        <w:numPr>
          <w:ilvl w:val="0"/>
          <w:numId w:val="52"/>
        </w:numPr>
        <w:rPr>
          <w:rFonts w:ascii="Arial" w:cs="Arial" w:eastAsia="Arial" w:hAnsi="Arial"/>
          <w:sz w:val="13"/>
          <w:szCs w:val="13"/>
          <w:color w:val="auto"/>
        </w:rPr>
      </w:pPr>
      <w:r>
        <w:rPr>
          <w:rFonts w:ascii="Arial" w:cs="Arial" w:eastAsia="Arial" w:hAnsi="Arial"/>
          <w:sz w:val="13"/>
          <w:szCs w:val="13"/>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602.</w:t>
      </w:r>
      <w:r>
        <w:rPr>
          <w:sz w:val="20"/>
          <w:szCs w:val="20"/>
          <w:color w:val="auto"/>
        </w:rPr>
        <w:tab/>
      </w:r>
      <w:r>
        <w:rPr>
          <w:rFonts w:ascii="Arial" w:cs="Arial" w:eastAsia="Arial" w:hAnsi="Arial"/>
          <w:sz w:val="12"/>
          <w:szCs w:val="12"/>
          <w:u w:val="single" w:color="auto"/>
          <w:color w:val="auto"/>
        </w:rPr>
        <w:t>Acceleration of Maturity; Rescission and Annulment</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If an Event of Default (other than an Event of Default specified in Section 601(7) or 601(8) with respect to the Parent Guarantor or the Issuer) shall have occurred and be continuing, the Trustee, by written notice to the Issuer, or the Holders of at least 25% in aggregate principal amount of the Notes then Outstanding, by written notice to the Issuer and the Trustee, may declare (an “acceleration declaration”) all amounts owing under the Notes to be due and payable, and upon any such declaration the aggregate principal of and accrued and unpaid interest on all of the Outstanding Notes shall become due and payable immediately. If an Event of Default specified in Section 601(7) or 601(8) occurs with respect to the Parent Guarantor or the Issuer, the principal of, premium, if any, and accrued and unpaid interest, if any, on all of the Outstanding Notes shall become immediately due and payable, without any further action or notice to the extent permitted by law.</w:t>
      </w:r>
    </w:p>
    <w:p>
      <w:pPr>
        <w:spacing w:after="0" w:line="125" w:lineRule="exact"/>
        <w:rPr>
          <w:sz w:val="20"/>
          <w:szCs w:val="20"/>
          <w:color w:val="auto"/>
        </w:rPr>
      </w:pPr>
    </w:p>
    <w:p>
      <w:pPr>
        <w:ind w:right="140" w:firstLine="432"/>
        <w:spacing w:after="0" w:line="271" w:lineRule="auto"/>
        <w:rPr>
          <w:sz w:val="20"/>
          <w:szCs w:val="20"/>
          <w:color w:val="auto"/>
        </w:rPr>
      </w:pPr>
      <w:r>
        <w:rPr>
          <w:rFonts w:ascii="Arial" w:cs="Arial" w:eastAsia="Arial" w:hAnsi="Arial"/>
          <w:sz w:val="13"/>
          <w:szCs w:val="13"/>
          <w:color w:val="auto"/>
        </w:rPr>
        <w:t>At any time after such an acceleration declaration occurs, but before a judgment or decree based on acceleration, the Holders of a majority in aggregate principal amount of the Notes, by written notice to the Issuer and the Trustee, may rescind and annul such acceleration declaration and its consequences if</w:t>
      </w:r>
    </w:p>
    <w:p>
      <w:pPr>
        <w:spacing w:after="0" w:line="113" w:lineRule="exact"/>
        <w:rPr>
          <w:sz w:val="20"/>
          <w:szCs w:val="20"/>
          <w:color w:val="auto"/>
        </w:rPr>
      </w:pPr>
    </w:p>
    <w:p>
      <w:pPr>
        <w:ind w:left="1140" w:hanging="283"/>
        <w:spacing w:after="0"/>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such rescission would not conflict with any judgment or decree of a court of competent jurisdiction;</w:t>
      </w:r>
    </w:p>
    <w:p>
      <w:pPr>
        <w:spacing w:after="0" w:line="156" w:lineRule="exact"/>
        <w:rPr>
          <w:rFonts w:ascii="Arial" w:cs="Arial" w:eastAsia="Arial" w:hAnsi="Arial"/>
          <w:sz w:val="13"/>
          <w:szCs w:val="13"/>
          <w:color w:val="auto"/>
        </w:rPr>
      </w:pPr>
    </w:p>
    <w:p>
      <w:pPr>
        <w:ind w:left="1140" w:hanging="283"/>
        <w:spacing w:after="0"/>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Issuer has paid or deposited with the Trustee a sum sufficient to pay</w:t>
      </w:r>
    </w:p>
    <w:p>
      <w:pPr>
        <w:spacing w:after="0" w:line="16" w:lineRule="exact"/>
        <w:rPr>
          <w:rFonts w:ascii="Arial" w:cs="Arial" w:eastAsia="Arial" w:hAnsi="Arial"/>
          <w:sz w:val="13"/>
          <w:szCs w:val="13"/>
          <w:color w:val="auto"/>
        </w:rPr>
      </w:pPr>
    </w:p>
    <w:p>
      <w:pPr>
        <w:ind w:left="1880" w:hanging="591"/>
        <w:spacing w:after="0"/>
        <w:tabs>
          <w:tab w:leader="none" w:pos="1880" w:val="left"/>
        </w:tabs>
        <w:numPr>
          <w:ilvl w:val="1"/>
          <w:numId w:val="53"/>
        </w:numPr>
        <w:rPr>
          <w:rFonts w:ascii="Arial" w:cs="Arial" w:eastAsia="Arial" w:hAnsi="Arial"/>
          <w:sz w:val="12"/>
          <w:szCs w:val="12"/>
          <w:color w:val="auto"/>
        </w:rPr>
      </w:pPr>
      <w:r>
        <w:rPr>
          <w:rFonts w:ascii="Arial" w:cs="Arial" w:eastAsia="Arial" w:hAnsi="Arial"/>
          <w:sz w:val="13"/>
          <w:szCs w:val="13"/>
          <w:color w:val="auto"/>
        </w:rPr>
        <w:t>all overdue interest on all the Notes,</w:t>
      </w:r>
    </w:p>
    <w:p>
      <w:pPr>
        <w:spacing w:after="0" w:line="171" w:lineRule="exact"/>
        <w:rPr>
          <w:rFonts w:ascii="Arial" w:cs="Arial" w:eastAsia="Arial" w:hAnsi="Arial"/>
          <w:sz w:val="12"/>
          <w:szCs w:val="12"/>
          <w:color w:val="auto"/>
        </w:rPr>
      </w:pPr>
    </w:p>
    <w:p>
      <w:pPr>
        <w:ind w:left="860" w:right="440" w:firstLine="429"/>
        <w:spacing w:after="0" w:line="300" w:lineRule="auto"/>
        <w:tabs>
          <w:tab w:leader="none" w:pos="1885" w:val="left"/>
        </w:tabs>
        <w:numPr>
          <w:ilvl w:val="1"/>
          <w:numId w:val="53"/>
        </w:numPr>
        <w:rPr>
          <w:rFonts w:ascii="Arial" w:cs="Arial" w:eastAsia="Arial" w:hAnsi="Arial"/>
          <w:sz w:val="12"/>
          <w:szCs w:val="12"/>
          <w:color w:val="auto"/>
        </w:rPr>
      </w:pPr>
      <w:r>
        <w:rPr>
          <w:rFonts w:ascii="Arial" w:cs="Arial" w:eastAsia="Arial" w:hAnsi="Arial"/>
          <w:sz w:val="13"/>
          <w:szCs w:val="13"/>
          <w:color w:val="auto"/>
        </w:rPr>
        <w:t>the principal of (and premium, if any, on) any such Notes which have become due otherwise than by such acceleration declaration and any interest thereon at the rate or rates prescribed therefor in the Notes,</w:t>
      </w:r>
    </w:p>
    <w:p>
      <w:pPr>
        <w:spacing w:after="0" w:line="121" w:lineRule="exact"/>
        <w:rPr>
          <w:rFonts w:ascii="Arial" w:cs="Arial" w:eastAsia="Arial" w:hAnsi="Arial"/>
          <w:sz w:val="12"/>
          <w:szCs w:val="12"/>
          <w:color w:val="auto"/>
        </w:rPr>
      </w:pPr>
    </w:p>
    <w:p>
      <w:pPr>
        <w:ind w:left="1880" w:hanging="591"/>
        <w:spacing w:after="0"/>
        <w:tabs>
          <w:tab w:leader="none" w:pos="1880" w:val="left"/>
        </w:tabs>
        <w:numPr>
          <w:ilvl w:val="1"/>
          <w:numId w:val="53"/>
        </w:numPr>
        <w:rPr>
          <w:rFonts w:ascii="Arial" w:cs="Arial" w:eastAsia="Arial" w:hAnsi="Arial"/>
          <w:sz w:val="12"/>
          <w:szCs w:val="12"/>
          <w:color w:val="auto"/>
        </w:rPr>
      </w:pPr>
      <w:r>
        <w:rPr>
          <w:rFonts w:ascii="Arial" w:cs="Arial" w:eastAsia="Arial" w:hAnsi="Arial"/>
          <w:sz w:val="13"/>
          <w:szCs w:val="13"/>
          <w:color w:val="auto"/>
        </w:rPr>
        <w:t>to the extent that payment of such interest is lawful, interest upon overdue interest at the rate prescribed therefor in the Notes, and</w:t>
      </w:r>
    </w:p>
    <w:p>
      <w:pPr>
        <w:spacing w:after="0" w:line="174" w:lineRule="exact"/>
        <w:rPr>
          <w:rFonts w:ascii="Arial" w:cs="Arial" w:eastAsia="Arial" w:hAnsi="Arial"/>
          <w:sz w:val="12"/>
          <w:szCs w:val="12"/>
          <w:color w:val="auto"/>
        </w:rPr>
      </w:pPr>
    </w:p>
    <w:p>
      <w:pPr>
        <w:ind w:left="1880" w:hanging="591"/>
        <w:spacing w:after="0"/>
        <w:tabs>
          <w:tab w:leader="none" w:pos="1880" w:val="left"/>
        </w:tabs>
        <w:numPr>
          <w:ilvl w:val="1"/>
          <w:numId w:val="53"/>
        </w:numPr>
        <w:rPr>
          <w:rFonts w:ascii="Arial" w:cs="Arial" w:eastAsia="Arial" w:hAnsi="Arial"/>
          <w:sz w:val="11"/>
          <w:szCs w:val="11"/>
          <w:color w:val="auto"/>
        </w:rPr>
      </w:pPr>
      <w:r>
        <w:rPr>
          <w:rFonts w:ascii="Arial" w:cs="Arial" w:eastAsia="Arial" w:hAnsi="Arial"/>
          <w:sz w:val="12"/>
          <w:szCs w:val="12"/>
          <w:color w:val="auto"/>
        </w:rPr>
        <w:t>all sums paid or advanced by the Trustee hereunder and the reasonable compensation, expenses, disbursements and advances of the Trustee, its agents and counsel; and</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60"/>
          </w:cols>
          <w:pgMar w:left="220" w:top="435" w:right="219" w:bottom="1440" w:gutter="0" w:footer="0" w:header="0"/>
        </w:sectPr>
      </w:pPr>
    </w:p>
    <w:bookmarkStart w:id="65" w:name="page66"/>
    <w:bookmarkEnd w:id="65"/>
    <w:p>
      <w:pPr>
        <w:ind w:left="420" w:right="440" w:firstLine="437"/>
        <w:spacing w:after="0" w:line="253" w:lineRule="auto"/>
        <w:tabs>
          <w:tab w:leader="none" w:pos="1131" w:val="left"/>
        </w:tabs>
        <w:numPr>
          <w:ilvl w:val="0"/>
          <w:numId w:val="54"/>
        </w:numPr>
        <w:rPr>
          <w:rFonts w:ascii="Arial" w:cs="Arial" w:eastAsia="Arial" w:hAnsi="Arial"/>
          <w:sz w:val="13"/>
          <w:szCs w:val="13"/>
          <w:color w:val="auto"/>
        </w:rPr>
      </w:pPr>
      <w:r>
        <w:rPr>
          <w:rFonts w:ascii="Arial" w:cs="Arial" w:eastAsia="Arial" w:hAnsi="Arial"/>
          <w:sz w:val="13"/>
          <w:szCs w:val="13"/>
          <w:color w:val="auto"/>
        </w:rPr>
        <w:t>all Events of Default, other than the non-payment of the principal of, and interest on, the Notes that have become due solely by such acceleration declaration, have been cured or waived as provided in Section 613.</w:t>
      </w:r>
    </w:p>
    <w:p>
      <w:pPr>
        <w:spacing w:after="0" w:line="1"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3"/>
          <w:szCs w:val="13"/>
          <w:color w:val="auto"/>
        </w:rPr>
        <w:t>No such rescission shall affect any subsequent default or impair any right consequent thereon.</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603.</w:t>
      </w:r>
      <w:r>
        <w:rPr>
          <w:sz w:val="20"/>
          <w:szCs w:val="20"/>
          <w:color w:val="auto"/>
        </w:rPr>
        <w:tab/>
      </w:r>
      <w:r>
        <w:rPr>
          <w:rFonts w:ascii="Arial" w:cs="Arial" w:eastAsia="Arial" w:hAnsi="Arial"/>
          <w:sz w:val="11"/>
          <w:szCs w:val="11"/>
          <w:u w:val="single" w:color="auto"/>
          <w:color w:val="auto"/>
        </w:rPr>
        <w:t>Collection of Indebtedness and Suits for Enforcement by Trustee</w:t>
      </w:r>
      <w:r>
        <w:rPr>
          <w:rFonts w:ascii="Arial" w:cs="Arial" w:eastAsia="Arial" w:hAnsi="Arial"/>
          <w:sz w:val="11"/>
          <w:szCs w:val="11"/>
          <w:color w:val="auto"/>
        </w:rPr>
        <w:t>.</w:t>
      </w:r>
    </w:p>
    <w:p>
      <w:pPr>
        <w:spacing w:after="0" w:line="157" w:lineRule="exact"/>
        <w:rPr>
          <w:sz w:val="20"/>
          <w:szCs w:val="20"/>
          <w:color w:val="auto"/>
        </w:rPr>
      </w:pPr>
    </w:p>
    <w:p>
      <w:pPr>
        <w:ind w:right="40" w:firstLine="432"/>
        <w:spacing w:after="0" w:line="254" w:lineRule="auto"/>
        <w:rPr>
          <w:sz w:val="20"/>
          <w:szCs w:val="20"/>
          <w:color w:val="auto"/>
        </w:rPr>
      </w:pPr>
      <w:r>
        <w:rPr>
          <w:rFonts w:ascii="Arial" w:cs="Arial" w:eastAsia="Arial" w:hAnsi="Arial"/>
          <w:sz w:val="13"/>
          <w:szCs w:val="13"/>
          <w:color w:val="auto"/>
        </w:rPr>
        <w:t>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Notes or the Indenture, and may prosecute any such action or proceedings to judgment or final decree, and may enforce any such judgment or final decree against the Issuer or any other obligor upon the Notes (and collect in the manner provided by law out of the property of the Issuer or any other obligor upon the Notes wherever situated the moneys adjudged or decreed to be payable).</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604.</w:t>
      </w:r>
      <w:r>
        <w:rPr>
          <w:sz w:val="20"/>
          <w:szCs w:val="20"/>
          <w:color w:val="auto"/>
        </w:rPr>
        <w:tab/>
      </w:r>
      <w:r>
        <w:rPr>
          <w:rFonts w:ascii="Arial" w:cs="Arial" w:eastAsia="Arial" w:hAnsi="Arial"/>
          <w:sz w:val="12"/>
          <w:szCs w:val="12"/>
          <w:u w:val="single" w:color="auto"/>
          <w:color w:val="auto"/>
        </w:rPr>
        <w:t>Trustee May File Proofs of Claim</w:t>
      </w:r>
      <w:r>
        <w:rPr>
          <w:rFonts w:ascii="Arial" w:cs="Arial" w:eastAsia="Arial" w:hAnsi="Arial"/>
          <w:sz w:val="12"/>
          <w:szCs w:val="12"/>
          <w:color w:val="auto"/>
        </w:rPr>
        <w:t>.</w:t>
      </w:r>
    </w:p>
    <w:p>
      <w:pPr>
        <w:spacing w:after="0" w:line="157" w:lineRule="exact"/>
        <w:rPr>
          <w:sz w:val="20"/>
          <w:szCs w:val="20"/>
          <w:color w:val="auto"/>
        </w:rPr>
      </w:pPr>
    </w:p>
    <w:p>
      <w:pPr>
        <w:ind w:right="20" w:firstLine="432"/>
        <w:spacing w:after="0" w:line="251" w:lineRule="auto"/>
        <w:rPr>
          <w:sz w:val="20"/>
          <w:szCs w:val="20"/>
          <w:color w:val="auto"/>
        </w:rPr>
      </w:pPr>
      <w:r>
        <w:rPr>
          <w:rFonts w:ascii="Arial" w:cs="Arial" w:eastAsia="Arial" w:hAnsi="Arial"/>
          <w:sz w:val="13"/>
          <w:szCs w:val="13"/>
          <w:color w:val="auto"/>
        </w:rPr>
        <w:t>In case of any judicial proceeding relative to the Issuer, the Guarantors or any other obligor upon the Notes, or the property or creditors of the Issuer or the Guarantors,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expenses, disbursements and advances of the Trustee, its agents and counsel, and any other amounts due the Trustee under Section 707.</w:t>
      </w:r>
    </w:p>
    <w:p>
      <w:pPr>
        <w:spacing w:after="0" w:line="125"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auto"/>
        </w:rPr>
        <w:t xml:space="preserve">No provision of the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Trustee may, on behalf of the Holders, vote for the election of a trustee in bankruptcy or similar official and be a member of a creditors’ or other similar committee.</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605.</w:t>
      </w:r>
      <w:r>
        <w:rPr>
          <w:sz w:val="20"/>
          <w:szCs w:val="20"/>
          <w:color w:val="auto"/>
        </w:rPr>
        <w:tab/>
      </w:r>
      <w:r>
        <w:rPr>
          <w:rFonts w:ascii="Arial" w:cs="Arial" w:eastAsia="Arial" w:hAnsi="Arial"/>
          <w:sz w:val="12"/>
          <w:szCs w:val="12"/>
          <w:u w:val="single" w:color="auto"/>
          <w:color w:val="auto"/>
        </w:rPr>
        <w:t>Trustee May Enforce Claims Without Possession of Notes</w:t>
      </w:r>
      <w:r>
        <w:rPr>
          <w:rFonts w:ascii="Arial" w:cs="Arial" w:eastAsia="Arial" w:hAnsi="Arial"/>
          <w:sz w:val="12"/>
          <w:szCs w:val="12"/>
          <w:color w:val="auto"/>
        </w:rPr>
        <w:t>.</w:t>
      </w:r>
    </w:p>
    <w:p>
      <w:pPr>
        <w:spacing w:after="0" w:line="157" w:lineRule="exact"/>
        <w:rPr>
          <w:sz w:val="20"/>
          <w:szCs w:val="20"/>
          <w:color w:val="auto"/>
        </w:rPr>
      </w:pPr>
    </w:p>
    <w:p>
      <w:pPr>
        <w:ind w:right="120" w:firstLine="432"/>
        <w:spacing w:after="0" w:line="290" w:lineRule="auto"/>
        <w:rPr>
          <w:sz w:val="20"/>
          <w:szCs w:val="20"/>
          <w:color w:val="auto"/>
        </w:rPr>
      </w:pPr>
      <w:r>
        <w:rPr>
          <w:rFonts w:ascii="Arial" w:cs="Arial" w:eastAsia="Arial" w:hAnsi="Arial"/>
          <w:sz w:val="12"/>
          <w:szCs w:val="12"/>
          <w:color w:val="auto"/>
        </w:rPr>
        <w:t>All rights of action and claims under the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its agents and counsel, be for the ratable benefit of the Holders of the Notes in respect of which such judgment has been recovered.</w:t>
      </w:r>
    </w:p>
    <w:p>
      <w:pPr>
        <w:spacing w:after="0" w:line="10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606.</w:t>
      </w:r>
      <w:r>
        <w:rPr>
          <w:sz w:val="20"/>
          <w:szCs w:val="20"/>
          <w:color w:val="auto"/>
        </w:rPr>
        <w:tab/>
      </w:r>
      <w:r>
        <w:rPr>
          <w:rFonts w:ascii="Arial" w:cs="Arial" w:eastAsia="Arial" w:hAnsi="Arial"/>
          <w:sz w:val="12"/>
          <w:szCs w:val="12"/>
          <w:u w:val="single" w:color="auto"/>
          <w:color w:val="auto"/>
        </w:rPr>
        <w:t>Application of Money Collected</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Any money collected by the Trustee pursuant to this Article shall be applied in the following order, at the date or dates fixed by the Trustee and, in case of the distribution of such money on account of principal</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or any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60"/>
          </w:cols>
          <w:pgMar w:left="220" w:top="435" w:right="219" w:bottom="1440" w:gutter="0" w:footer="0" w:header="0"/>
        </w:sectPr>
      </w:pPr>
    </w:p>
    <w:bookmarkStart w:id="66" w:name="page67"/>
    <w:bookmarkEnd w:id="66"/>
    <w:p>
      <w:pPr>
        <w:spacing w:after="0"/>
        <w:rPr>
          <w:sz w:val="20"/>
          <w:szCs w:val="20"/>
          <w:color w:val="auto"/>
        </w:rPr>
      </w:pPr>
      <w:r>
        <w:rPr>
          <w:rFonts w:ascii="Arial" w:cs="Arial" w:eastAsia="Arial" w:hAnsi="Arial"/>
          <w:sz w:val="13"/>
          <w:szCs w:val="13"/>
          <w:color w:val="auto"/>
        </w:rPr>
        <w:t>premium or interest, upon presentation of the Notes and the notation thereon of the payment if only partially paid and upon surrender thereof if fully paid:</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FIRST: To the payment of all amounts due the Trustee under Section 707;</w:t>
      </w:r>
    </w:p>
    <w:p>
      <w:pPr>
        <w:spacing w:after="0" w:line="148" w:lineRule="exact"/>
        <w:rPr>
          <w:sz w:val="20"/>
          <w:szCs w:val="20"/>
          <w:color w:val="auto"/>
        </w:rPr>
      </w:pPr>
    </w:p>
    <w:p>
      <w:pPr>
        <w:ind w:left="420" w:firstLine="432"/>
        <w:spacing w:after="0" w:line="271" w:lineRule="auto"/>
        <w:rPr>
          <w:sz w:val="20"/>
          <w:szCs w:val="20"/>
          <w:color w:val="auto"/>
        </w:rPr>
      </w:pPr>
      <w:r>
        <w:rPr>
          <w:rFonts w:ascii="Arial" w:cs="Arial" w:eastAsia="Arial" w:hAnsi="Arial"/>
          <w:sz w:val="13"/>
          <w:szCs w:val="13"/>
          <w:color w:val="auto"/>
        </w:rPr>
        <w:t>SECOND: To the payment of the amounts then due and unpaid for principal of and any premium and interest on the Notes, ratably, without preference or priority of any kind, according to the amounts due and payable on the Notes for principal and any premium and interest, respectively; and</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THIRD: The remainder, if any, shall be paid to the Guarantors or the Issuer, as applicable, or to whomsoever may be lawfully entitled to receive the same, or as a court of competent jurisdiction may</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direct.</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607.</w:t>
      </w:r>
      <w:r>
        <w:rPr>
          <w:sz w:val="20"/>
          <w:szCs w:val="20"/>
          <w:color w:val="auto"/>
        </w:rPr>
        <w:tab/>
      </w:r>
      <w:r>
        <w:rPr>
          <w:rFonts w:ascii="Arial" w:cs="Arial" w:eastAsia="Arial" w:hAnsi="Arial"/>
          <w:sz w:val="12"/>
          <w:szCs w:val="12"/>
          <w:u w:val="single" w:color="auto"/>
          <w:color w:val="auto"/>
        </w:rPr>
        <w:t>Limitation on Suits</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Holder of Notes may not institute any proceeding, judicial or otherwise, with respect to the Indenture or the Notes, or for the appointment of a receiver or trustee, or for any other remedy hereunder, unless:</w:t>
      </w:r>
    </w:p>
    <w:p>
      <w:pPr>
        <w:spacing w:after="0" w:line="159" w:lineRule="exact"/>
        <w:rPr>
          <w:sz w:val="20"/>
          <w:szCs w:val="20"/>
          <w:color w:val="auto"/>
        </w:rPr>
      </w:pPr>
    </w:p>
    <w:p>
      <w:pPr>
        <w:ind w:left="1140" w:hanging="283"/>
        <w:spacing w:after="0"/>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Holder gives to the Trustee written notice of a continuing Event of Default;</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Holder or Holders of at least 25.0% in aggregate principal amount of the Outstanding Notes make a written request to the Trustee to pursue the remedy;</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such Holder or Holders offer the Trustee security or indemnity satisfactory to the Trustee against any costs, liability or expense;</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Trustee does not comply with the request within 60 days after receipt of the request and the offer of such security or indemnity; and</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during such 60-day period, the Holders of a majority in aggregate principal amount of the Outstanding Notes do not give the Trustee a direction that is inconsistent with the request.</w:t>
      </w:r>
    </w:p>
    <w:p>
      <w:pPr>
        <w:spacing w:after="0" w:line="159"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A Holder may not use the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a preference or priority over such other Holders).</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608.</w:t>
      </w:r>
      <w:r>
        <w:rPr>
          <w:sz w:val="20"/>
          <w:szCs w:val="20"/>
          <w:color w:val="auto"/>
        </w:rPr>
        <w:tab/>
      </w:r>
      <w:r>
        <w:rPr>
          <w:rFonts w:ascii="Arial" w:cs="Arial" w:eastAsia="Arial" w:hAnsi="Arial"/>
          <w:sz w:val="12"/>
          <w:szCs w:val="12"/>
          <w:u w:val="single" w:color="auto"/>
          <w:color w:val="auto"/>
        </w:rPr>
        <w:t>Unconditional Right of Holders to Receive Principal, Premium and Interest</w:t>
      </w:r>
      <w:r>
        <w:rPr>
          <w:rFonts w:ascii="Arial" w:cs="Arial" w:eastAsia="Arial" w:hAnsi="Arial"/>
          <w:sz w:val="12"/>
          <w:szCs w:val="12"/>
          <w:color w:val="auto"/>
        </w:rPr>
        <w:t>.</w:t>
      </w:r>
    </w:p>
    <w:p>
      <w:pPr>
        <w:spacing w:after="0" w:line="157"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2"/>
          <w:szCs w:val="12"/>
          <w:color w:val="auto"/>
        </w:rPr>
        <w:t>Notwithstanding any other provision in the Indenture, the Holder of any Notes shall have the right, which is absolute and unconditional, to receive payment of the principal of and any premium and (subject to Section 407) interest on such Notes on the Stated Maturity expressed in such Notes (or, in the case of redemption or offer by the Issuer to purchase the Notes pursuant to the terms of the Indenture, on the Redemption Date or purchase date, as applicable), and to bring suit for the enforcement of any such payment, which right shall not be impaired without the consent of such Holder.</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20" w:top="435" w:right="259" w:bottom="1440" w:gutter="0" w:footer="0" w:header="0"/>
        </w:sectPr>
      </w:pPr>
    </w:p>
    <w:bookmarkStart w:id="67" w:name="page68"/>
    <w:bookmarkEnd w:id="67"/>
    <w:p>
      <w:pPr>
        <w:spacing w:after="0"/>
        <w:tabs>
          <w:tab w:leader="none" w:pos="760" w:val="left"/>
        </w:tabs>
        <w:rPr>
          <w:sz w:val="20"/>
          <w:szCs w:val="20"/>
          <w:color w:val="auto"/>
        </w:rPr>
      </w:pPr>
      <w:r>
        <w:rPr>
          <w:rFonts w:ascii="Arial" w:cs="Arial" w:eastAsia="Arial" w:hAnsi="Arial"/>
          <w:sz w:val="13"/>
          <w:szCs w:val="13"/>
          <w:color w:val="auto"/>
        </w:rPr>
        <w:t>Section 609.</w:t>
      </w:r>
      <w:r>
        <w:rPr>
          <w:sz w:val="20"/>
          <w:szCs w:val="20"/>
          <w:color w:val="auto"/>
        </w:rPr>
        <w:tab/>
      </w:r>
      <w:r>
        <w:rPr>
          <w:rFonts w:ascii="Arial" w:cs="Arial" w:eastAsia="Arial" w:hAnsi="Arial"/>
          <w:sz w:val="11"/>
          <w:szCs w:val="11"/>
          <w:u w:val="single" w:color="auto"/>
          <w:color w:val="auto"/>
        </w:rPr>
        <w:t>Restoration of Rights and Remedies</w:t>
      </w:r>
      <w:r>
        <w:rPr>
          <w:rFonts w:ascii="Arial" w:cs="Arial" w:eastAsia="Arial" w:hAnsi="Arial"/>
          <w:sz w:val="11"/>
          <w:szCs w:val="11"/>
          <w:color w:val="auto"/>
        </w:rPr>
        <w:t>.</w:t>
      </w:r>
    </w:p>
    <w:p>
      <w:pPr>
        <w:spacing w:after="0" w:line="157" w:lineRule="exact"/>
        <w:rPr>
          <w:sz w:val="20"/>
          <w:szCs w:val="20"/>
          <w:color w:val="auto"/>
        </w:rPr>
      </w:pPr>
    </w:p>
    <w:p>
      <w:pPr>
        <w:ind w:right="140" w:firstLine="432"/>
        <w:spacing w:after="0" w:line="290" w:lineRule="auto"/>
        <w:rPr>
          <w:sz w:val="20"/>
          <w:szCs w:val="20"/>
          <w:color w:val="auto"/>
        </w:rPr>
      </w:pPr>
      <w:r>
        <w:rPr>
          <w:rFonts w:ascii="Arial" w:cs="Arial" w:eastAsia="Arial" w:hAnsi="Arial"/>
          <w:sz w:val="12"/>
          <w:szCs w:val="12"/>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Issuer,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0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610.</w:t>
      </w:r>
      <w:r>
        <w:rPr>
          <w:sz w:val="20"/>
          <w:szCs w:val="20"/>
          <w:color w:val="auto"/>
        </w:rPr>
        <w:tab/>
      </w:r>
      <w:r>
        <w:rPr>
          <w:rFonts w:ascii="Arial" w:cs="Arial" w:eastAsia="Arial" w:hAnsi="Arial"/>
          <w:sz w:val="11"/>
          <w:szCs w:val="11"/>
          <w:u w:val="single" w:color="auto"/>
          <w:color w:val="auto"/>
        </w:rPr>
        <w:t>Rights and Remedies Cumulative</w:t>
      </w:r>
      <w:r>
        <w:rPr>
          <w:rFonts w:ascii="Arial" w:cs="Arial" w:eastAsia="Arial" w:hAnsi="Arial"/>
          <w:sz w:val="11"/>
          <w:szCs w:val="11"/>
          <w:color w:val="auto"/>
        </w:rPr>
        <w:t>.</w:t>
      </w:r>
    </w:p>
    <w:p>
      <w:pPr>
        <w:spacing w:after="0" w:line="157" w:lineRule="exact"/>
        <w:rPr>
          <w:sz w:val="20"/>
          <w:szCs w:val="20"/>
          <w:color w:val="auto"/>
        </w:rPr>
      </w:pPr>
    </w:p>
    <w:p>
      <w:pPr>
        <w:jc w:val="both"/>
        <w:ind w:right="40" w:firstLine="432"/>
        <w:spacing w:after="0" w:line="254" w:lineRule="auto"/>
        <w:rPr>
          <w:sz w:val="20"/>
          <w:szCs w:val="20"/>
          <w:color w:val="auto"/>
        </w:rPr>
      </w:pPr>
      <w:r>
        <w:rPr>
          <w:rFonts w:ascii="Arial" w:cs="Arial" w:eastAsia="Arial" w:hAnsi="Arial"/>
          <w:sz w:val="13"/>
          <w:szCs w:val="13"/>
          <w:color w:val="auto"/>
        </w:rPr>
        <w:t>Except as otherwise provided with respect to the replacement or payment of mutilated, destroyed, lost or stolen Notes in the last paragraph of Section 406,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611.</w:t>
      </w:r>
      <w:r>
        <w:rPr>
          <w:sz w:val="20"/>
          <w:szCs w:val="20"/>
          <w:color w:val="auto"/>
        </w:rPr>
        <w:tab/>
      </w:r>
      <w:r>
        <w:rPr>
          <w:rFonts w:ascii="Arial" w:cs="Arial" w:eastAsia="Arial" w:hAnsi="Arial"/>
          <w:sz w:val="12"/>
          <w:szCs w:val="12"/>
          <w:u w:val="single" w:color="auto"/>
          <w:color w:val="auto"/>
        </w:rPr>
        <w:t>Delay or Omission Not Waiver</w:t>
      </w:r>
      <w:r>
        <w:rPr>
          <w:rFonts w:ascii="Arial" w:cs="Arial" w:eastAsia="Arial" w:hAnsi="Arial"/>
          <w:sz w:val="12"/>
          <w:szCs w:val="12"/>
          <w:color w:val="auto"/>
        </w:rPr>
        <w:t>.</w:t>
      </w:r>
    </w:p>
    <w:p>
      <w:pPr>
        <w:spacing w:after="0" w:line="157" w:lineRule="exact"/>
        <w:rPr>
          <w:sz w:val="20"/>
          <w:szCs w:val="20"/>
          <w:color w:val="auto"/>
        </w:rPr>
      </w:pPr>
    </w:p>
    <w:p>
      <w:pPr>
        <w:ind w:right="20" w:firstLine="432"/>
        <w:spacing w:after="0" w:line="258" w:lineRule="auto"/>
        <w:rPr>
          <w:sz w:val="20"/>
          <w:szCs w:val="20"/>
          <w:color w:val="auto"/>
        </w:rPr>
      </w:pPr>
      <w:r>
        <w:rPr>
          <w:rFonts w:ascii="Arial" w:cs="Arial" w:eastAsia="Arial" w:hAnsi="Arial"/>
          <w:sz w:val="13"/>
          <w:szCs w:val="13"/>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612.</w:t>
      </w:r>
      <w:r>
        <w:rPr>
          <w:sz w:val="20"/>
          <w:szCs w:val="20"/>
          <w:color w:val="auto"/>
        </w:rPr>
        <w:tab/>
      </w:r>
      <w:r>
        <w:rPr>
          <w:rFonts w:ascii="Arial" w:cs="Arial" w:eastAsia="Arial" w:hAnsi="Arial"/>
          <w:sz w:val="12"/>
          <w:szCs w:val="12"/>
          <w:u w:val="single" w:color="auto"/>
          <w:color w:val="auto"/>
        </w:rPr>
        <w:t>Control by Holders</w:t>
      </w:r>
      <w:r>
        <w:rPr>
          <w:rFonts w:ascii="Arial" w:cs="Arial" w:eastAsia="Arial" w:hAnsi="Arial"/>
          <w:sz w:val="12"/>
          <w:szCs w:val="12"/>
          <w:color w:val="auto"/>
        </w:rPr>
        <w:t>.</w:t>
      </w:r>
    </w:p>
    <w:p>
      <w:pPr>
        <w:spacing w:after="0" w:line="157" w:lineRule="exact"/>
        <w:rPr>
          <w:sz w:val="20"/>
          <w:szCs w:val="20"/>
          <w:color w:val="auto"/>
        </w:rPr>
      </w:pPr>
    </w:p>
    <w:p>
      <w:pPr>
        <w:ind w:right="300" w:firstLine="432"/>
        <w:spacing w:after="0" w:line="271" w:lineRule="auto"/>
        <w:rPr>
          <w:sz w:val="20"/>
          <w:szCs w:val="20"/>
          <w:color w:val="auto"/>
        </w:rPr>
      </w:pPr>
      <w:r>
        <w:rPr>
          <w:rFonts w:ascii="Arial" w:cs="Arial" w:eastAsia="Arial" w:hAnsi="Arial"/>
          <w:sz w:val="13"/>
          <w:szCs w:val="13"/>
          <w:color w:val="auto"/>
        </w:rPr>
        <w:t xml:space="preserve">Subject to Section 703(5), the Holders of a majority in aggregate principal amount of the then Outstanding Notes shall have the right to direct the time, method and place of conducting any proceeding for exercising any remedy available to the Trustee, or exercising any trust or power conferred on the Trustee,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w:t>
      </w:r>
    </w:p>
    <w:p>
      <w:pPr>
        <w:spacing w:after="0" w:line="113" w:lineRule="exact"/>
        <w:rPr>
          <w:sz w:val="20"/>
          <w:szCs w:val="20"/>
          <w:color w:val="auto"/>
        </w:rPr>
      </w:pPr>
    </w:p>
    <w:p>
      <w:pPr>
        <w:ind w:left="420" w:right="240" w:firstLine="437"/>
        <w:spacing w:after="0" w:line="271" w:lineRule="auto"/>
        <w:tabs>
          <w:tab w:leader="none" w:pos="1126"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Trustee may refuse to follow any direction that conflicts with any rule of law or with the Indenture, that may involve the Trustee in personal liability, or that the Trustee determines in good faith may be unduly prejudicial to the rights of Holders of Notes not joining in the giving of such direction, and</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Trustee may take any other action deemed proper by the Trustee that is not inconsistent with any such direction received from such Holders of Notes.</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613.</w:t>
      </w:r>
      <w:r>
        <w:rPr>
          <w:sz w:val="20"/>
          <w:szCs w:val="20"/>
          <w:color w:val="auto"/>
        </w:rPr>
        <w:tab/>
      </w:r>
      <w:r>
        <w:rPr>
          <w:rFonts w:ascii="Arial" w:cs="Arial" w:eastAsia="Arial" w:hAnsi="Arial"/>
          <w:sz w:val="12"/>
          <w:szCs w:val="12"/>
          <w:u w:val="single" w:color="auto"/>
          <w:color w:val="auto"/>
        </w:rPr>
        <w:t>Waiver of Existing Defaults</w:t>
      </w:r>
      <w:r>
        <w:rPr>
          <w:rFonts w:ascii="Arial" w:cs="Arial" w:eastAsia="Arial" w:hAnsi="Arial"/>
          <w:sz w:val="12"/>
          <w:szCs w:val="12"/>
          <w:color w:val="auto"/>
        </w:rPr>
        <w:t>.</w:t>
      </w:r>
    </w:p>
    <w:p>
      <w:pPr>
        <w:spacing w:after="0" w:line="157" w:lineRule="exact"/>
        <w:rPr>
          <w:sz w:val="20"/>
          <w:szCs w:val="20"/>
          <w:color w:val="auto"/>
        </w:rPr>
      </w:pPr>
    </w:p>
    <w:p>
      <w:pPr>
        <w:ind w:right="40" w:firstLine="432"/>
        <w:spacing w:after="0" w:line="271" w:lineRule="auto"/>
        <w:rPr>
          <w:sz w:val="20"/>
          <w:szCs w:val="20"/>
          <w:color w:val="auto"/>
        </w:rPr>
      </w:pPr>
      <w:r>
        <w:rPr>
          <w:rFonts w:ascii="Arial" w:cs="Arial" w:eastAsia="Arial" w:hAnsi="Arial"/>
          <w:sz w:val="13"/>
          <w:szCs w:val="13"/>
          <w:color w:val="auto"/>
        </w:rPr>
        <w:t>The Holders of a majority in aggregate principal amount of the Outstanding Notes may, on behalf of the Holders of all the Notes, waive any existing Default or Event of Default and its consequences under the Indenture, except a continuing Default or Event of Default</w:t>
      </w:r>
    </w:p>
    <w:p>
      <w:pPr>
        <w:spacing w:after="0" w:line="113" w:lineRule="exact"/>
        <w:rPr>
          <w:sz w:val="20"/>
          <w:szCs w:val="20"/>
          <w:color w:val="auto"/>
        </w:rPr>
      </w:pPr>
    </w:p>
    <w:p>
      <w:pPr>
        <w:ind w:left="420" w:firstLine="437"/>
        <w:spacing w:after="0" w:line="271" w:lineRule="auto"/>
        <w:tabs>
          <w:tab w:leader="none" w:pos="1126"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the payment of the principal of or any premium or interest on the Notes (including any Note which is required to have been purchased by the Issuer pursuant to an offer to purchase by the Issuer made pursuant to the terms of the Indenture), or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60"/>
          </w:cols>
          <w:pgMar w:left="220" w:top="435" w:right="219" w:bottom="1440" w:gutter="0" w:footer="0" w:header="0"/>
        </w:sectPr>
      </w:pPr>
    </w:p>
    <w:bookmarkStart w:id="68" w:name="page69"/>
    <w:bookmarkEnd w:id="68"/>
    <w:p>
      <w:pPr>
        <w:ind w:left="860"/>
        <w:spacing w:after="0"/>
        <w:tabs>
          <w:tab w:leader="none" w:pos="112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1"/>
          <w:szCs w:val="11"/>
          <w:color w:val="auto"/>
        </w:rPr>
        <w:t>in respect of a covenant or provision hereof which under Article Ten cannot be modified or amended without the consent of the Holder of each Outstanding Note affected.</w:t>
      </w:r>
    </w:p>
    <w:p>
      <w:pPr>
        <w:spacing w:after="0" w:line="148" w:lineRule="exact"/>
        <w:rPr>
          <w:sz w:val="20"/>
          <w:szCs w:val="20"/>
          <w:color w:val="auto"/>
        </w:rPr>
      </w:pPr>
    </w:p>
    <w:p>
      <w:pPr>
        <w:jc w:val="both"/>
        <w:ind w:right="140" w:firstLine="432"/>
        <w:spacing w:after="0" w:line="271" w:lineRule="auto"/>
        <w:rPr>
          <w:sz w:val="20"/>
          <w:szCs w:val="20"/>
          <w:color w:val="auto"/>
        </w:rPr>
      </w:pPr>
      <w:r>
        <w:rPr>
          <w:rFonts w:ascii="Arial" w:cs="Arial" w:eastAsia="Arial" w:hAnsi="Arial"/>
          <w:sz w:val="13"/>
          <w:szCs w:val="13"/>
          <w:color w:val="auto"/>
        </w:rPr>
        <w:t>Upon any such waiver with respect to an existing default, such default shall cease to exist, and any Event of Default arising therefrom shall be deemed to have been cured, for every purpose of the Indenture; but no such waiver shall extend to any subsequent or other default or impair any right consequent thereon.</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614.</w:t>
      </w:r>
      <w:r>
        <w:rPr>
          <w:sz w:val="20"/>
          <w:szCs w:val="20"/>
          <w:color w:val="auto"/>
        </w:rPr>
        <w:tab/>
      </w:r>
      <w:r>
        <w:rPr>
          <w:rFonts w:ascii="Arial" w:cs="Arial" w:eastAsia="Arial" w:hAnsi="Arial"/>
          <w:sz w:val="12"/>
          <w:szCs w:val="12"/>
          <w:u w:val="single" w:color="auto"/>
          <w:color w:val="auto"/>
        </w:rPr>
        <w:t>Undertaking for Costs</w:t>
      </w:r>
      <w:r>
        <w:rPr>
          <w:rFonts w:ascii="Arial" w:cs="Arial" w:eastAsia="Arial" w:hAnsi="Arial"/>
          <w:sz w:val="12"/>
          <w:szCs w:val="12"/>
          <w:color w:val="auto"/>
        </w:rPr>
        <w:t>.</w:t>
      </w:r>
    </w:p>
    <w:p>
      <w:pPr>
        <w:spacing w:after="0" w:line="157" w:lineRule="exact"/>
        <w:rPr>
          <w:sz w:val="20"/>
          <w:szCs w:val="20"/>
          <w:color w:val="auto"/>
        </w:rPr>
      </w:pPr>
    </w:p>
    <w:p>
      <w:pPr>
        <w:jc w:val="both"/>
        <w:ind w:right="140" w:firstLine="432"/>
        <w:spacing w:after="0" w:line="290" w:lineRule="auto"/>
        <w:rPr>
          <w:sz w:val="20"/>
          <w:szCs w:val="20"/>
          <w:color w:val="auto"/>
        </w:rPr>
      </w:pPr>
      <w:r>
        <w:rPr>
          <w:rFonts w:ascii="Arial" w:cs="Arial" w:eastAsia="Arial" w:hAnsi="Arial"/>
          <w:sz w:val="12"/>
          <w:szCs w:val="12"/>
          <w:color w:val="auto"/>
        </w:rPr>
        <w:t xml:space="preserve">In any suit for the enforcement of any right or remedy under the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neither this Section nor the Trust Indenture Act shall be deemed to authorize any court to require such an undertaking or to make such an assessment in any suit instituted by the Issuer.</w:t>
      </w:r>
    </w:p>
    <w:p>
      <w:pPr>
        <w:spacing w:after="0" w:line="10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615.</w:t>
      </w:r>
      <w:r>
        <w:rPr>
          <w:sz w:val="20"/>
          <w:szCs w:val="20"/>
          <w:color w:val="auto"/>
        </w:rPr>
        <w:tab/>
      </w:r>
      <w:r>
        <w:rPr>
          <w:rFonts w:ascii="Arial" w:cs="Arial" w:eastAsia="Arial" w:hAnsi="Arial"/>
          <w:sz w:val="12"/>
          <w:szCs w:val="12"/>
          <w:u w:val="single" w:color="auto"/>
          <w:color w:val="auto"/>
        </w:rPr>
        <w:t>Waiver of Usury, Stay or Extension Laws</w:t>
      </w:r>
      <w:r>
        <w:rPr>
          <w:rFonts w:ascii="Arial" w:cs="Arial" w:eastAsia="Arial" w:hAnsi="Arial"/>
          <w:sz w:val="12"/>
          <w:szCs w:val="12"/>
          <w:color w:val="auto"/>
        </w:rPr>
        <w:t>.</w:t>
      </w:r>
    </w:p>
    <w:p>
      <w:pPr>
        <w:spacing w:after="0" w:line="157" w:lineRule="exact"/>
        <w:rPr>
          <w:sz w:val="20"/>
          <w:szCs w:val="20"/>
          <w:color w:val="auto"/>
        </w:rPr>
      </w:pPr>
    </w:p>
    <w:p>
      <w:pPr>
        <w:ind w:right="20" w:firstLine="432"/>
        <w:spacing w:after="0" w:line="254" w:lineRule="auto"/>
        <w:rPr>
          <w:sz w:val="20"/>
          <w:szCs w:val="20"/>
          <w:color w:val="auto"/>
        </w:rPr>
      </w:pPr>
      <w:r>
        <w:rPr>
          <w:rFonts w:ascii="Arial" w:cs="Arial" w:eastAsia="Arial" w:hAnsi="Arial"/>
          <w:sz w:val="13"/>
          <w:szCs w:val="13"/>
          <w:color w:val="auto"/>
        </w:rPr>
        <w:t>Each of the Issuer and the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the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0"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ARTICLE SEVEN</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THE TRUSTEE</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701.</w:t>
      </w:r>
      <w:r>
        <w:rPr>
          <w:sz w:val="20"/>
          <w:szCs w:val="20"/>
          <w:color w:val="auto"/>
        </w:rPr>
        <w:tab/>
      </w:r>
      <w:r>
        <w:rPr>
          <w:rFonts w:ascii="Arial" w:cs="Arial" w:eastAsia="Arial" w:hAnsi="Arial"/>
          <w:sz w:val="12"/>
          <w:szCs w:val="12"/>
          <w:u w:val="single" w:color="auto"/>
          <w:color w:val="auto"/>
        </w:rPr>
        <w:t>Certain Duties and Responsibilities</w:t>
      </w:r>
      <w:r>
        <w:rPr>
          <w:rFonts w:ascii="Arial" w:cs="Arial" w:eastAsia="Arial" w:hAnsi="Arial"/>
          <w:sz w:val="12"/>
          <w:szCs w:val="12"/>
          <w:color w:val="auto"/>
        </w:rPr>
        <w:t>.</w:t>
      </w:r>
    </w:p>
    <w:p>
      <w:pPr>
        <w:spacing w:after="0" w:line="157" w:lineRule="exact"/>
        <w:rPr>
          <w:sz w:val="20"/>
          <w:szCs w:val="20"/>
          <w:color w:val="auto"/>
        </w:rPr>
      </w:pPr>
    </w:p>
    <w:p>
      <w:pPr>
        <w:ind w:right="140" w:firstLine="432"/>
        <w:spacing w:after="0" w:line="282" w:lineRule="auto"/>
        <w:rPr>
          <w:sz w:val="20"/>
          <w:szCs w:val="20"/>
          <w:color w:val="auto"/>
        </w:rPr>
      </w:pPr>
      <w:r>
        <w:rPr>
          <w:rFonts w:ascii="Arial" w:cs="Arial" w:eastAsia="Arial" w:hAnsi="Arial"/>
          <w:sz w:val="12"/>
          <w:szCs w:val="12"/>
          <w:color w:val="auto"/>
        </w:rPr>
        <w:t>The duties and responsibilities of the Trustee shall be as provided by the Trust Indenture Act. Notwithstanding the foregoing, no implied covenants shall be read into the Indenture against the Trustee, and no provision of the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the Indenture relating to the conduct or affecting the liability of or affording protection to the Trustee shall be subject to the provisions of this Section.</w:t>
      </w:r>
    </w:p>
    <w:p>
      <w:pPr>
        <w:spacing w:after="0" w:line="10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702.</w:t>
      </w:r>
      <w:r>
        <w:rPr>
          <w:sz w:val="20"/>
          <w:szCs w:val="20"/>
          <w:color w:val="auto"/>
        </w:rPr>
        <w:tab/>
      </w:r>
      <w:r>
        <w:rPr>
          <w:rFonts w:ascii="Arial" w:cs="Arial" w:eastAsia="Arial" w:hAnsi="Arial"/>
          <w:sz w:val="12"/>
          <w:szCs w:val="12"/>
          <w:u w:val="single" w:color="auto"/>
          <w:color w:val="auto"/>
        </w:rPr>
        <w:t>Notice of Defaults</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90" w:lineRule="auto"/>
        <w:rPr>
          <w:sz w:val="20"/>
          <w:szCs w:val="20"/>
          <w:color w:val="auto"/>
        </w:rPr>
      </w:pPr>
      <w:r>
        <w:rPr>
          <w:rFonts w:ascii="Arial" w:cs="Arial" w:eastAsia="Arial" w:hAnsi="Arial"/>
          <w:sz w:val="12"/>
          <w:szCs w:val="12"/>
          <w:color w:val="auto"/>
        </w:rPr>
        <w:t xml:space="preserve">If a default occurs hereunder which is actually known to a Responsible Officer of the Trustee, the Trustee shall give the Holders of the Notes notice of such default as and to the extent provided by the Trust Indenture Act;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case of any default of the character specified in Section 601(4) or 601(5), no such notice to Holders shall be given until at least 30 days after the occurrence thereof. For the purpose of this Section, the term “default” means any Event of Default and any event which is, or after notice or lapse of time or both would become, an Event of Default.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60"/>
          </w:cols>
          <w:pgMar w:left="220" w:top="435" w:right="219" w:bottom="1440" w:gutter="0" w:footer="0" w:header="0"/>
        </w:sectPr>
      </w:pPr>
    </w:p>
    <w:bookmarkStart w:id="69" w:name="page70"/>
    <w:bookmarkEnd w:id="69"/>
    <w:p>
      <w:pPr>
        <w:ind w:right="200" w:firstLine="432"/>
        <w:spacing w:after="0" w:line="271" w:lineRule="auto"/>
        <w:rPr>
          <w:sz w:val="20"/>
          <w:szCs w:val="20"/>
          <w:color w:val="auto"/>
        </w:rPr>
      </w:pPr>
      <w:r>
        <w:rPr>
          <w:rFonts w:ascii="Arial" w:cs="Arial" w:eastAsia="Arial" w:hAnsi="Arial"/>
          <w:sz w:val="13"/>
          <w:szCs w:val="13"/>
          <w:color w:val="auto"/>
        </w:rPr>
        <w:t>The Trustee shall not be deemed to have notice of any default unless a Responsible Officer of the Trustee has actual knowledge thereof or unless written notice of any event which is in fact such a default is received by the Trustee from the Issuer or a Holder at the Corporate Trust Office of the Trustee, and such notice references such Notes and the Indenture.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703.</w:t>
      </w:r>
      <w:r>
        <w:rPr>
          <w:sz w:val="20"/>
          <w:szCs w:val="20"/>
          <w:color w:val="auto"/>
        </w:rPr>
        <w:tab/>
      </w:r>
      <w:r>
        <w:rPr>
          <w:rFonts w:ascii="Arial" w:cs="Arial" w:eastAsia="Arial" w:hAnsi="Arial"/>
          <w:sz w:val="12"/>
          <w:szCs w:val="12"/>
          <w:u w:val="single" w:color="auto"/>
          <w:color w:val="auto"/>
        </w:rPr>
        <w:t>Certain Rights of Trustee</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Subject to the provisions of Section 701:</w:t>
      </w:r>
    </w:p>
    <w:p>
      <w:pPr>
        <w:spacing w:after="0" w:line="148" w:lineRule="exact"/>
        <w:rPr>
          <w:sz w:val="20"/>
          <w:szCs w:val="20"/>
          <w:color w:val="auto"/>
        </w:rPr>
      </w:pPr>
    </w:p>
    <w:p>
      <w:pPr>
        <w:ind w:left="420" w:right="260" w:firstLine="437"/>
        <w:spacing w:after="0" w:line="314" w:lineRule="auto"/>
        <w:tabs>
          <w:tab w:leader="none" w:pos="1126"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89" w:lineRule="exact"/>
        <w:rPr>
          <w:rFonts w:ascii="Arial" w:cs="Arial" w:eastAsia="Arial" w:hAnsi="Arial"/>
          <w:sz w:val="12"/>
          <w:szCs w:val="12"/>
          <w:color w:val="auto"/>
        </w:rPr>
      </w:pPr>
    </w:p>
    <w:p>
      <w:pPr>
        <w:ind w:left="420" w:right="360" w:firstLine="437"/>
        <w:spacing w:after="0" w:line="271" w:lineRule="auto"/>
        <w:tabs>
          <w:tab w:leader="none" w:pos="1126" w:val="left"/>
        </w:tabs>
        <w:numPr>
          <w:ilvl w:val="0"/>
          <w:numId w:val="58"/>
        </w:numPr>
        <w:rPr>
          <w:rFonts w:ascii="Arial" w:cs="Arial" w:eastAsia="Arial" w:hAnsi="Arial"/>
          <w:sz w:val="13"/>
          <w:szCs w:val="13"/>
          <w:color w:val="auto"/>
        </w:rPr>
      </w:pPr>
      <w:r>
        <w:rPr>
          <w:rFonts w:ascii="Arial" w:cs="Arial" w:eastAsia="Arial" w:hAnsi="Arial"/>
          <w:sz w:val="13"/>
          <w:szCs w:val="13"/>
          <w:color w:val="auto"/>
        </w:rPr>
        <w:t>any request or direction of the Issuer mentioned herein shall be sufficiently evidenced by an Issuer Request or Issuer Order, and any resolution of the Board of Directors shall be sufficiently evidenced by a Board Resolution;</w:t>
      </w:r>
    </w:p>
    <w:p>
      <w:pPr>
        <w:spacing w:after="0" w:line="112" w:lineRule="exact"/>
        <w:rPr>
          <w:rFonts w:ascii="Arial" w:cs="Arial" w:eastAsia="Arial" w:hAnsi="Arial"/>
          <w:sz w:val="13"/>
          <w:szCs w:val="13"/>
          <w:color w:val="auto"/>
        </w:rPr>
      </w:pPr>
    </w:p>
    <w:p>
      <w:pPr>
        <w:ind w:left="420" w:right="200" w:firstLine="437"/>
        <w:spacing w:after="0" w:line="271" w:lineRule="auto"/>
        <w:tabs>
          <w:tab w:leader="none" w:pos="1126" w:val="left"/>
        </w:tabs>
        <w:numPr>
          <w:ilvl w:val="0"/>
          <w:numId w:val="58"/>
        </w:numPr>
        <w:rPr>
          <w:rFonts w:ascii="Arial" w:cs="Arial" w:eastAsia="Arial" w:hAnsi="Arial"/>
          <w:sz w:val="13"/>
          <w:szCs w:val="13"/>
          <w:color w:val="auto"/>
        </w:rPr>
      </w:pPr>
      <w:r>
        <w:rPr>
          <w:rFonts w:ascii="Arial" w:cs="Arial" w:eastAsia="Arial" w:hAnsi="Arial"/>
          <w:sz w:val="13"/>
          <w:szCs w:val="13"/>
          <w:color w:val="auto"/>
        </w:rPr>
        <w:t>whenever in the administration of the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12" w:lineRule="exact"/>
        <w:rPr>
          <w:rFonts w:ascii="Arial" w:cs="Arial" w:eastAsia="Arial" w:hAnsi="Arial"/>
          <w:sz w:val="13"/>
          <w:szCs w:val="13"/>
          <w:color w:val="auto"/>
        </w:rPr>
      </w:pPr>
    </w:p>
    <w:p>
      <w:pPr>
        <w:ind w:left="420" w:right="320" w:firstLine="437"/>
        <w:spacing w:after="0" w:line="271" w:lineRule="auto"/>
        <w:tabs>
          <w:tab w:leader="none" w:pos="1126"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12" w:lineRule="exact"/>
        <w:rPr>
          <w:rFonts w:ascii="Arial" w:cs="Arial" w:eastAsia="Arial" w:hAnsi="Arial"/>
          <w:sz w:val="13"/>
          <w:szCs w:val="13"/>
          <w:color w:val="auto"/>
        </w:rPr>
      </w:pPr>
    </w:p>
    <w:p>
      <w:pPr>
        <w:jc w:val="both"/>
        <w:ind w:left="420" w:right="80" w:firstLine="437"/>
        <w:spacing w:after="0" w:line="364" w:lineRule="auto"/>
        <w:tabs>
          <w:tab w:leader="none" w:pos="1126"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w:t>
      </w:r>
    </w:p>
    <w:p>
      <w:pPr>
        <w:spacing w:after="0" w:line="66" w:lineRule="exact"/>
        <w:rPr>
          <w:rFonts w:ascii="Arial" w:cs="Arial" w:eastAsia="Arial" w:hAnsi="Arial"/>
          <w:sz w:val="11"/>
          <w:szCs w:val="11"/>
          <w:color w:val="auto"/>
        </w:rPr>
      </w:pPr>
    </w:p>
    <w:p>
      <w:pPr>
        <w:ind w:left="420" w:firstLine="437"/>
        <w:spacing w:after="0" w:line="290" w:lineRule="auto"/>
        <w:tabs>
          <w:tab w:leader="none" w:pos="1126"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103" w:lineRule="exact"/>
        <w:rPr>
          <w:rFonts w:ascii="Arial" w:cs="Arial" w:eastAsia="Arial" w:hAnsi="Arial"/>
          <w:sz w:val="12"/>
          <w:szCs w:val="12"/>
          <w:color w:val="auto"/>
        </w:rPr>
      </w:pPr>
    </w:p>
    <w:p>
      <w:pPr>
        <w:ind w:left="420" w:right="80" w:firstLine="437"/>
        <w:spacing w:after="0" w:line="271" w:lineRule="auto"/>
        <w:tabs>
          <w:tab w:leader="none" w:pos="1126"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Trustee shall not be liable for any action it takes or omits to take in good faith which it believes authorized or within its rights;</w:t>
      </w:r>
    </w:p>
    <w:p>
      <w:pPr>
        <w:spacing w:after="0" w:line="147" w:lineRule="exact"/>
        <w:rPr>
          <w:rFonts w:ascii="Arial" w:cs="Arial" w:eastAsia="Arial" w:hAnsi="Arial"/>
          <w:sz w:val="13"/>
          <w:szCs w:val="13"/>
          <w:color w:val="auto"/>
        </w:rPr>
      </w:pPr>
    </w:p>
    <w:p>
      <w:pPr>
        <w:ind w:left="1160" w:hanging="303"/>
        <w:spacing w:after="0"/>
        <w:tabs>
          <w:tab w:leader="none" w:pos="11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Trustee shall not incur any liability for not performing any act or fulfilling any duty, obligation or responsibility hereunder by reason of any occurrence beyond the control of the Trustee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40"/>
          </w:cols>
          <w:pgMar w:left="220" w:top="435" w:right="239" w:bottom="1440" w:gutter="0" w:footer="0" w:header="0"/>
        </w:sectPr>
      </w:pPr>
    </w:p>
    <w:bookmarkStart w:id="70" w:name="page71"/>
    <w:bookmarkEnd w:id="70"/>
    <w:p>
      <w:pPr>
        <w:ind w:left="420" w:right="260"/>
        <w:spacing w:after="0" w:line="271" w:lineRule="auto"/>
        <w:rPr>
          <w:sz w:val="20"/>
          <w:szCs w:val="20"/>
          <w:color w:val="auto"/>
        </w:rPr>
      </w:pPr>
      <w:r>
        <w:rPr>
          <w:rFonts w:ascii="Arial" w:cs="Arial" w:eastAsia="Arial" w:hAnsi="Arial"/>
          <w:sz w:val="13"/>
          <w:szCs w:val="13"/>
          <w:color w:val="auto"/>
        </w:rPr>
        <w:t>(including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13" w:lineRule="exact"/>
        <w:rPr>
          <w:sz w:val="20"/>
          <w:szCs w:val="20"/>
          <w:color w:val="auto"/>
        </w:rPr>
      </w:pPr>
    </w:p>
    <w:p>
      <w:pPr>
        <w:ind w:left="420" w:firstLine="437"/>
        <w:spacing w:after="0" w:line="254" w:lineRule="auto"/>
        <w:tabs>
          <w:tab w:leader="none" w:pos="1225"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Trustee shall be entitled to conclusively rely upon any order, judgment, certification, demand, notice, instrument or other writing delivered to it hereunder without being required to determine the authenticity or the correctness of any fact stated therein or the propriety or validity or the service thereof. The Trustee may act in conclusive reliance upon any instrument or signature believed by it to be genuine and may assume that any person purporting to give receipt or advice to make any statement or execute any document in connection with the provisions hereof has been duly authorized to do so; and</w:t>
      </w:r>
    </w:p>
    <w:p>
      <w:pPr>
        <w:spacing w:after="0" w:line="123" w:lineRule="exact"/>
        <w:rPr>
          <w:rFonts w:ascii="Arial" w:cs="Arial" w:eastAsia="Arial" w:hAnsi="Arial"/>
          <w:sz w:val="13"/>
          <w:szCs w:val="13"/>
          <w:color w:val="auto"/>
        </w:rPr>
      </w:pPr>
    </w:p>
    <w:p>
      <w:pPr>
        <w:ind w:left="420" w:right="600" w:firstLine="437"/>
        <w:spacing w:after="0" w:line="271" w:lineRule="auto"/>
        <w:tabs>
          <w:tab w:leader="none" w:pos="12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 no event shall the Trustee be responsible or liable for special, indirect, punitive or consequential loss or damage of any kind whatsoever (including, but not limited to, loss of profit) irrespective of whether such Trustee has been advised of the likelihood of such loss or damage and regardless of the form of action.</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704.</w:t>
      </w:r>
      <w:r>
        <w:rPr>
          <w:sz w:val="20"/>
          <w:szCs w:val="20"/>
          <w:color w:val="auto"/>
        </w:rPr>
        <w:tab/>
      </w:r>
      <w:r>
        <w:rPr>
          <w:rFonts w:ascii="Arial" w:cs="Arial" w:eastAsia="Arial" w:hAnsi="Arial"/>
          <w:sz w:val="11"/>
          <w:szCs w:val="11"/>
          <w:u w:val="single" w:color="auto"/>
          <w:color w:val="auto"/>
        </w:rPr>
        <w:t>Not Responsible for Recitals or Issuance of Notes</w:t>
      </w:r>
      <w:r>
        <w:rPr>
          <w:rFonts w:ascii="Arial" w:cs="Arial" w:eastAsia="Arial" w:hAnsi="Arial"/>
          <w:sz w:val="11"/>
          <w:szCs w:val="11"/>
          <w:color w:val="auto"/>
        </w:rPr>
        <w:t>.</w:t>
      </w:r>
    </w:p>
    <w:p>
      <w:pPr>
        <w:spacing w:after="0" w:line="157"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auto"/>
        </w:rPr>
        <w:t>The recitals contained herein and in the Notes, except the Trustee’s certificates of authentication, shall be taken as the statements of the Issuer and neither the Trustee nor any Authenticating Agent assumes any responsibility for their correctness. The Trustee makes no representations as to the validity or sufficiency of the Indenture or of the Notes. Neither the Trustee nor any Authenticating Agent shall be accountable for the use or application by the Issuer of Notes or the proceeds thereof.</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705.</w:t>
      </w:r>
      <w:r>
        <w:rPr>
          <w:sz w:val="20"/>
          <w:szCs w:val="20"/>
          <w:color w:val="auto"/>
        </w:rPr>
        <w:tab/>
      </w:r>
      <w:r>
        <w:rPr>
          <w:rFonts w:ascii="Arial" w:cs="Arial" w:eastAsia="Arial" w:hAnsi="Arial"/>
          <w:sz w:val="12"/>
          <w:szCs w:val="12"/>
          <w:u w:val="single" w:color="auto"/>
          <w:color w:val="auto"/>
        </w:rPr>
        <w:t>May Hold Notes</w:t>
      </w:r>
      <w:r>
        <w:rPr>
          <w:rFonts w:ascii="Arial" w:cs="Arial" w:eastAsia="Arial" w:hAnsi="Arial"/>
          <w:sz w:val="12"/>
          <w:szCs w:val="12"/>
          <w:color w:val="auto"/>
        </w:rPr>
        <w:t>.</w:t>
      </w:r>
    </w:p>
    <w:p>
      <w:pPr>
        <w:spacing w:after="0" w:line="157" w:lineRule="exact"/>
        <w:rPr>
          <w:sz w:val="20"/>
          <w:szCs w:val="20"/>
          <w:color w:val="auto"/>
        </w:rPr>
      </w:pPr>
    </w:p>
    <w:p>
      <w:pPr>
        <w:ind w:right="320" w:firstLine="432"/>
        <w:spacing w:after="0" w:line="314" w:lineRule="auto"/>
        <w:rPr>
          <w:sz w:val="20"/>
          <w:szCs w:val="20"/>
          <w:color w:val="auto"/>
        </w:rPr>
      </w:pPr>
      <w:r>
        <w:rPr>
          <w:rFonts w:ascii="Arial" w:cs="Arial" w:eastAsia="Arial" w:hAnsi="Arial"/>
          <w:sz w:val="12"/>
          <w:szCs w:val="12"/>
          <w:color w:val="auto"/>
        </w:rPr>
        <w:t>The Trustee, any Authenticating Agent, any Paying Agent, any Registrar or any other agent of the Issuer, in its individual or any other capacity, may become the owner or pledgee of Notes and, subject to Sections 708 and 713, may otherwise deal with the Issuer with the same rights it would have if it were not Trustee, Authenticating Agent, Paying Agent, Registrar or such other agent.</w:t>
      </w:r>
    </w:p>
    <w:p>
      <w:pPr>
        <w:spacing w:after="0" w:line="89"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706.</w:t>
      </w:r>
      <w:r>
        <w:rPr>
          <w:sz w:val="20"/>
          <w:szCs w:val="20"/>
          <w:color w:val="auto"/>
        </w:rPr>
        <w:tab/>
      </w:r>
      <w:r>
        <w:rPr>
          <w:rFonts w:ascii="Arial" w:cs="Arial" w:eastAsia="Arial" w:hAnsi="Arial"/>
          <w:sz w:val="12"/>
          <w:szCs w:val="12"/>
          <w:u w:val="single" w:color="auto"/>
          <w:color w:val="auto"/>
        </w:rPr>
        <w:t>Money Held in Trust</w:t>
      </w:r>
      <w:r>
        <w:rPr>
          <w:rFonts w:ascii="Arial" w:cs="Arial" w:eastAsia="Arial" w:hAnsi="Arial"/>
          <w:sz w:val="12"/>
          <w:szCs w:val="12"/>
          <w:color w:val="auto"/>
        </w:rPr>
        <w:t>.</w:t>
      </w:r>
    </w:p>
    <w:p>
      <w:pPr>
        <w:spacing w:after="0" w:line="157"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Money and U.S. Government Obligations held by the Trustee in trust hereunder need not be segregated from other funds except to the extent required by law. The Trustee shall be under no liability for interest on any money received by it hereunder except as otherwise agreed with the Issuer.</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707.</w:t>
      </w:r>
      <w:r>
        <w:rPr>
          <w:sz w:val="20"/>
          <w:szCs w:val="20"/>
          <w:color w:val="auto"/>
        </w:rPr>
        <w:tab/>
      </w:r>
      <w:r>
        <w:rPr>
          <w:rFonts w:ascii="Arial" w:cs="Arial" w:eastAsia="Arial" w:hAnsi="Arial"/>
          <w:sz w:val="11"/>
          <w:szCs w:val="11"/>
          <w:u w:val="single" w:color="auto"/>
          <w:color w:val="auto"/>
        </w:rPr>
        <w:t>Compensation and Reimbursement</w:t>
      </w:r>
      <w:r>
        <w:rPr>
          <w:rFonts w:ascii="Arial" w:cs="Arial" w:eastAsia="Arial" w:hAnsi="Arial"/>
          <w:sz w:val="11"/>
          <w:szCs w:val="11"/>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Issuer agrees:</w:t>
      </w:r>
    </w:p>
    <w:p>
      <w:pPr>
        <w:spacing w:after="0" w:line="148" w:lineRule="exact"/>
        <w:rPr>
          <w:sz w:val="20"/>
          <w:szCs w:val="20"/>
          <w:color w:val="auto"/>
        </w:rPr>
      </w:pPr>
    </w:p>
    <w:p>
      <w:pPr>
        <w:ind w:left="420" w:right="40" w:firstLine="437"/>
        <w:spacing w:after="0" w:line="271" w:lineRule="auto"/>
        <w:tabs>
          <w:tab w:leader="none" w:pos="1126" w:val="left"/>
        </w:tabs>
        <w:numPr>
          <w:ilvl w:val="0"/>
          <w:numId w:val="60"/>
        </w:numPr>
        <w:rPr>
          <w:rFonts w:ascii="Arial" w:cs="Arial" w:eastAsia="Arial" w:hAnsi="Arial"/>
          <w:sz w:val="13"/>
          <w:szCs w:val="13"/>
          <w:color w:val="auto"/>
        </w:rPr>
      </w:pPr>
      <w:r>
        <w:rPr>
          <w:rFonts w:ascii="Arial" w:cs="Arial" w:eastAsia="Arial" w:hAnsi="Arial"/>
          <w:sz w:val="13"/>
          <w:szCs w:val="13"/>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12" w:lineRule="exact"/>
        <w:rPr>
          <w:rFonts w:ascii="Arial" w:cs="Arial" w:eastAsia="Arial" w:hAnsi="Arial"/>
          <w:sz w:val="13"/>
          <w:szCs w:val="13"/>
          <w:color w:val="auto"/>
        </w:rPr>
      </w:pPr>
    </w:p>
    <w:p>
      <w:pPr>
        <w:ind w:left="420" w:right="280" w:firstLine="437"/>
        <w:spacing w:after="0" w:line="271" w:lineRule="auto"/>
        <w:tabs>
          <w:tab w:leader="none" w:pos="1126" w:val="left"/>
        </w:tabs>
        <w:numPr>
          <w:ilvl w:val="0"/>
          <w:numId w:val="60"/>
        </w:numPr>
        <w:rPr>
          <w:rFonts w:ascii="Arial" w:cs="Arial" w:eastAsia="Arial" w:hAnsi="Arial"/>
          <w:sz w:val="13"/>
          <w:szCs w:val="13"/>
          <w:color w:val="auto"/>
        </w:rPr>
      </w:pPr>
      <w:r>
        <w:rPr>
          <w:rFonts w:ascii="Arial" w:cs="Arial" w:eastAsia="Arial" w:hAnsi="Arial"/>
          <w:sz w:val="13"/>
          <w:szCs w:val="13"/>
          <w:color w:val="auto"/>
        </w:rPr>
        <w:t>except as otherwise expressly provided herein, to reimburse the Trustee upon its request for all expenses, disbursements and advances incurred or made by the Trustee in accordance with any provision of the Indenture (including the compensation and the expenses and disbursements of its agents and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60"/>
          </w:cols>
          <w:pgMar w:left="220" w:top="435" w:right="219" w:bottom="1440" w:gutter="0" w:footer="0" w:header="0"/>
        </w:sectPr>
      </w:pPr>
    </w:p>
    <w:bookmarkStart w:id="71" w:name="page72"/>
    <w:bookmarkEnd w:id="71"/>
    <w:p>
      <w:pPr>
        <w:ind w:left="420"/>
        <w:spacing w:after="0"/>
        <w:rPr>
          <w:sz w:val="20"/>
          <w:szCs w:val="20"/>
          <w:color w:val="auto"/>
        </w:rPr>
      </w:pPr>
      <w:r>
        <w:rPr>
          <w:rFonts w:ascii="Arial" w:cs="Arial" w:eastAsia="Arial" w:hAnsi="Arial"/>
          <w:sz w:val="13"/>
          <w:szCs w:val="13"/>
          <w:color w:val="auto"/>
        </w:rPr>
        <w:t>counsel), except any such expense, disbursement or advance as may be attributable to its gross negligence or willful misconduct; and</w:t>
      </w:r>
    </w:p>
    <w:p>
      <w:pPr>
        <w:spacing w:after="0" w:line="148" w:lineRule="exact"/>
        <w:rPr>
          <w:sz w:val="20"/>
          <w:szCs w:val="20"/>
          <w:color w:val="auto"/>
        </w:rPr>
      </w:pPr>
    </w:p>
    <w:p>
      <w:pPr>
        <w:ind w:left="420" w:firstLine="437"/>
        <w:spacing w:after="0" w:line="274" w:lineRule="auto"/>
        <w:tabs>
          <w:tab w:leader="none" w:pos="1126" w:val="left"/>
        </w:tabs>
        <w:numPr>
          <w:ilvl w:val="0"/>
          <w:numId w:val="61"/>
        </w:numPr>
        <w:rPr>
          <w:rFonts w:ascii="Arial" w:cs="Arial" w:eastAsia="Arial" w:hAnsi="Arial"/>
          <w:sz w:val="12"/>
          <w:szCs w:val="12"/>
          <w:color w:val="auto"/>
        </w:rPr>
      </w:pPr>
      <w:r>
        <w:rPr>
          <w:rFonts w:ascii="Arial" w:cs="Arial" w:eastAsia="Arial" w:hAnsi="Arial"/>
          <w:sz w:val="12"/>
          <w:szCs w:val="12"/>
          <w:color w:val="auto"/>
        </w:rPr>
        <w:t>to indemnify the Trustee for, and to hold it harmless against, any loss, liability or expense incurred without gross negligence or willful misconduct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When the Trustee incurs expenses or renders services after the occurrence of an Event of Default specified in paragraph (7) or (8) of Section 601 of the Indenture, such expenses and the compensation for such services are intended to constitute expenses of administration under any Insolvency or Liquidation Proceeding. For the purposes of this paragraph, “Insolvency or Liquidation Proceeding” means, with respect to any Person, (a) an insolvency or bankruptcy case or proceeding, or any receivership, liquidation, reorganization or similar case or proceeding in connection therewith, relative to such Person or its creditors, as such, or its assets, or (b) any liquidation, dissolution or other winding-up proceeding of such Person, whether voluntary or involuntary and whether or not involving insolvency or bankruptcy or (c) any assignment for the benefit of creditors or any other marshaling of assets and liabilities of such Person.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obligations of the Issuer under this Section 707 shall survive the satisfaction and discharge of this Indenture.</w:t>
      </w:r>
    </w:p>
    <w:p>
      <w:pPr>
        <w:spacing w:after="0" w:line="148" w:lineRule="exact"/>
        <w:rPr>
          <w:sz w:val="20"/>
          <w:szCs w:val="20"/>
          <w:color w:val="auto"/>
        </w:rPr>
      </w:pPr>
    </w:p>
    <w:p>
      <w:pPr>
        <w:ind w:right="40" w:firstLine="432"/>
        <w:spacing w:after="0" w:line="271" w:lineRule="auto"/>
        <w:rPr>
          <w:sz w:val="20"/>
          <w:szCs w:val="20"/>
          <w:color w:val="auto"/>
        </w:rPr>
      </w:pPr>
      <w:r>
        <w:rPr>
          <w:rFonts w:ascii="Arial" w:cs="Arial" w:eastAsia="Arial" w:hAnsi="Arial"/>
          <w:sz w:val="13"/>
          <w:szCs w:val="13"/>
          <w:color w:val="auto"/>
        </w:rPr>
        <w:t>To secure the Issuer’s payment obligations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708.</w:t>
      </w:r>
      <w:r>
        <w:rPr>
          <w:sz w:val="20"/>
          <w:szCs w:val="20"/>
          <w:color w:val="auto"/>
        </w:rPr>
        <w:tab/>
      </w:r>
      <w:r>
        <w:rPr>
          <w:rFonts w:ascii="Arial" w:cs="Arial" w:eastAsia="Arial" w:hAnsi="Arial"/>
          <w:sz w:val="12"/>
          <w:szCs w:val="12"/>
          <w:u w:val="single" w:color="auto"/>
          <w:color w:val="auto"/>
        </w:rPr>
        <w:t>Conflicting Interests</w:t>
      </w:r>
      <w:r>
        <w:rPr>
          <w:rFonts w:ascii="Arial" w:cs="Arial" w:eastAsia="Arial" w:hAnsi="Arial"/>
          <w:sz w:val="12"/>
          <w:szCs w:val="12"/>
          <w:color w:val="auto"/>
        </w:rPr>
        <w:t>.</w:t>
      </w:r>
    </w:p>
    <w:p>
      <w:pPr>
        <w:spacing w:after="0" w:line="157" w:lineRule="exact"/>
        <w:rPr>
          <w:sz w:val="20"/>
          <w:szCs w:val="20"/>
          <w:color w:val="auto"/>
        </w:rPr>
      </w:pPr>
    </w:p>
    <w:p>
      <w:pPr>
        <w:ind w:right="80" w:firstLine="432"/>
        <w:spacing w:after="0" w:line="258" w:lineRule="auto"/>
        <w:rPr>
          <w:sz w:val="20"/>
          <w:szCs w:val="20"/>
          <w:color w:val="auto"/>
        </w:rPr>
      </w:pPr>
      <w:r>
        <w:rPr>
          <w:rFonts w:ascii="Arial" w:cs="Arial" w:eastAsia="Arial" w:hAnsi="Arial"/>
          <w:sz w:val="13"/>
          <w:szCs w:val="13"/>
          <w:color w:val="auto"/>
        </w:rPr>
        <w:t>If the Trustee has or shall acquire a conflicting interest within the meaning of the Trust Indenture Act, the Trustee shall either eliminate such interest or, except as otherwise provided in Section 310(b) of the Trust Indenture Act, resign, to the extent and in the manner provided by, and subject to the provisions of, the Trust Indenture Act and the Indenture. To the extent permitted by the Trust Indenture Act, the Trustee shall not be deemed to have a conflicting interest by virtue of being a trustee under the Base Indenture with respect to Securities of more than one series.</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709.</w:t>
      </w:r>
      <w:r>
        <w:rPr>
          <w:sz w:val="20"/>
          <w:szCs w:val="20"/>
          <w:color w:val="auto"/>
        </w:rPr>
        <w:tab/>
      </w:r>
      <w:r>
        <w:rPr>
          <w:rFonts w:ascii="Arial" w:cs="Arial" w:eastAsia="Arial" w:hAnsi="Arial"/>
          <w:sz w:val="12"/>
          <w:szCs w:val="12"/>
          <w:u w:val="single" w:color="auto"/>
          <w:color w:val="auto"/>
        </w:rPr>
        <w:t>Corporate Trustee Required; Eligibility</w:t>
      </w:r>
      <w:r>
        <w:rPr>
          <w:rFonts w:ascii="Arial" w:cs="Arial" w:eastAsia="Arial" w:hAnsi="Arial"/>
          <w:sz w:val="12"/>
          <w:szCs w:val="12"/>
          <w:color w:val="auto"/>
        </w:rPr>
        <w:t>.</w:t>
      </w:r>
    </w:p>
    <w:p>
      <w:pPr>
        <w:spacing w:after="0" w:line="157" w:lineRule="exact"/>
        <w:rPr>
          <w:sz w:val="20"/>
          <w:szCs w:val="20"/>
          <w:color w:val="auto"/>
        </w:rPr>
      </w:pPr>
    </w:p>
    <w:p>
      <w:pPr>
        <w:ind w:right="120" w:firstLine="432"/>
        <w:spacing w:after="0" w:line="282" w:lineRule="auto"/>
        <w:rPr>
          <w:sz w:val="20"/>
          <w:szCs w:val="20"/>
          <w:color w:val="auto"/>
        </w:rPr>
      </w:pPr>
      <w:r>
        <w:rPr>
          <w:rFonts w:ascii="Arial" w:cs="Arial" w:eastAsia="Arial" w:hAnsi="Arial"/>
          <w:sz w:val="12"/>
          <w:szCs w:val="12"/>
          <w:color w:val="auto"/>
        </w:rPr>
        <w:t>There shall at all times be one (and only one) Trustee hereunder. Each Trustee shall be a Person that is eligible pursuant to the Trust Indenture Act to act as such, and has a combined capital and surplus of at least $50.0 million.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435" w:right="199" w:bottom="1440" w:gutter="0" w:footer="0" w:header="0"/>
        </w:sectPr>
      </w:pPr>
    </w:p>
    <w:bookmarkStart w:id="72" w:name="page73"/>
    <w:bookmarkEnd w:id="72"/>
    <w:p>
      <w:pPr>
        <w:spacing w:after="0"/>
        <w:tabs>
          <w:tab w:leader="none" w:pos="760" w:val="left"/>
        </w:tabs>
        <w:rPr>
          <w:sz w:val="20"/>
          <w:szCs w:val="20"/>
          <w:color w:val="auto"/>
        </w:rPr>
      </w:pPr>
      <w:r>
        <w:rPr>
          <w:rFonts w:ascii="Arial" w:cs="Arial" w:eastAsia="Arial" w:hAnsi="Arial"/>
          <w:sz w:val="13"/>
          <w:szCs w:val="13"/>
          <w:color w:val="auto"/>
        </w:rPr>
        <w:t>Section 710.</w:t>
      </w:r>
      <w:r>
        <w:rPr>
          <w:sz w:val="20"/>
          <w:szCs w:val="20"/>
          <w:color w:val="auto"/>
        </w:rPr>
        <w:tab/>
      </w:r>
      <w:r>
        <w:rPr>
          <w:rFonts w:ascii="Arial" w:cs="Arial" w:eastAsia="Arial" w:hAnsi="Arial"/>
          <w:sz w:val="12"/>
          <w:szCs w:val="12"/>
          <w:u w:val="single" w:color="auto"/>
          <w:color w:val="auto"/>
        </w:rPr>
        <w:t>Resignation and Removal; Appointment of Successor</w:t>
      </w:r>
      <w:r>
        <w:rPr>
          <w:rFonts w:ascii="Arial" w:cs="Arial" w:eastAsia="Arial" w:hAnsi="Arial"/>
          <w:sz w:val="12"/>
          <w:szCs w:val="12"/>
          <w:color w:val="auto"/>
        </w:rPr>
        <w:t>.</w:t>
      </w:r>
    </w:p>
    <w:p>
      <w:pPr>
        <w:spacing w:after="0" w:line="157" w:lineRule="exact"/>
        <w:rPr>
          <w:sz w:val="20"/>
          <w:szCs w:val="20"/>
          <w:color w:val="auto"/>
        </w:rPr>
      </w:pPr>
    </w:p>
    <w:p>
      <w:pPr>
        <w:ind w:right="120" w:firstLine="432"/>
        <w:spacing w:after="0" w:line="271" w:lineRule="auto"/>
        <w:rPr>
          <w:sz w:val="20"/>
          <w:szCs w:val="20"/>
          <w:color w:val="auto"/>
        </w:rPr>
      </w:pPr>
      <w:r>
        <w:rPr>
          <w:rFonts w:ascii="Arial" w:cs="Arial" w:eastAsia="Arial" w:hAnsi="Arial"/>
          <w:sz w:val="13"/>
          <w:szCs w:val="13"/>
          <w:color w:val="auto"/>
        </w:rPr>
        <w:t>No resignation or removal of the Trustee and no appointment of a successor Trustee pursuant to this Article shall become effective until the acceptance of appointment by the successor Trustee in accordance with the applicable requirements of Section 711.</w:t>
      </w:r>
    </w:p>
    <w:p>
      <w:pPr>
        <w:spacing w:after="0" w:line="95" w:lineRule="exact"/>
        <w:rPr>
          <w:sz w:val="20"/>
          <w:szCs w:val="20"/>
          <w:color w:val="auto"/>
        </w:rPr>
      </w:pPr>
    </w:p>
    <w:p>
      <w:pPr>
        <w:ind w:right="240" w:firstLine="432"/>
        <w:spacing w:after="0" w:line="314" w:lineRule="auto"/>
        <w:rPr>
          <w:sz w:val="20"/>
          <w:szCs w:val="20"/>
          <w:color w:val="auto"/>
        </w:rPr>
      </w:pPr>
      <w:r>
        <w:rPr>
          <w:rFonts w:ascii="Arial" w:cs="Arial" w:eastAsia="Arial" w:hAnsi="Arial"/>
          <w:sz w:val="12"/>
          <w:szCs w:val="12"/>
          <w:color w:val="auto"/>
        </w:rPr>
        <w:t>The Trustee may resign at any time by giving written notice thereof to the Issuer. If the instrument of acceptance by a successor Trustee required by Section 711 shall not have been delivered to the Trustee within 30 days after the giving of such notice of resignation, the resigning Trustee may petition any court of competent jurisdiction for the appointment of a successor Trustee.</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Trustee may be removed at any time by Act of the Holders of a majority in aggregate principal amount of the Outstanding Notes (voting as a single class), delivered to the Trustee and to the Issuer.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If at any time:</w:t>
      </w:r>
    </w:p>
    <w:p>
      <w:pPr>
        <w:spacing w:after="0" w:line="148" w:lineRule="exact"/>
        <w:rPr>
          <w:sz w:val="20"/>
          <w:szCs w:val="20"/>
          <w:color w:val="auto"/>
        </w:rPr>
      </w:pPr>
    </w:p>
    <w:p>
      <w:pPr>
        <w:ind w:left="1140" w:hanging="283"/>
        <w:spacing w:after="0"/>
        <w:tabs>
          <w:tab w:leader="none" w:pos="11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Trustee shall fail to comply with Section 708 after written request therefor by the Issuer or by any Holder who has been a bona fide Holder of a Note for at least six months;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Trustee shall cease to be eligible under Section 709 and shall fail to resign after written request therefor by the Issuer or by any such Holder; or</w:t>
      </w:r>
    </w:p>
    <w:p>
      <w:pPr>
        <w:spacing w:after="0" w:line="147" w:lineRule="exact"/>
        <w:rPr>
          <w:rFonts w:ascii="Arial" w:cs="Arial" w:eastAsia="Arial" w:hAnsi="Arial"/>
          <w:sz w:val="13"/>
          <w:szCs w:val="13"/>
          <w:color w:val="auto"/>
        </w:rPr>
      </w:pPr>
    </w:p>
    <w:p>
      <w:pPr>
        <w:ind w:left="420" w:right="60" w:firstLine="437"/>
        <w:spacing w:after="0" w:line="271" w:lineRule="auto"/>
        <w:tabs>
          <w:tab w:leader="none" w:pos="1126"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13" w:lineRule="exact"/>
        <w:rPr>
          <w:sz w:val="20"/>
          <w:szCs w:val="20"/>
          <w:color w:val="auto"/>
        </w:rPr>
      </w:pPr>
    </w:p>
    <w:p>
      <w:pPr>
        <w:ind w:right="60"/>
        <w:spacing w:after="0" w:line="314" w:lineRule="auto"/>
        <w:rPr>
          <w:sz w:val="20"/>
          <w:szCs w:val="20"/>
          <w:color w:val="auto"/>
        </w:rPr>
      </w:pPr>
      <w:r>
        <w:rPr>
          <w:rFonts w:ascii="Arial" w:cs="Arial" w:eastAsia="Arial" w:hAnsi="Arial"/>
          <w:sz w:val="12"/>
          <w:szCs w:val="12"/>
          <w:color w:val="auto"/>
        </w:rPr>
        <w:t>then, in any such case, (A) the Issuer by a resolution duly passed by its Board of Directors may remove the Trustee, or (B) subject to Section 614, any Holder who has been a bona fide Holder of a Note for at least six months may, on behalf of himself and all others similarly situated, petition any court of competent jurisdiction for the removal of the Trustee and the appointment of a successor Trustee or Trustees.</w:t>
      </w:r>
    </w:p>
    <w:p>
      <w:pPr>
        <w:spacing w:after="0" w:line="89" w:lineRule="exact"/>
        <w:rPr>
          <w:sz w:val="20"/>
          <w:szCs w:val="20"/>
          <w:color w:val="auto"/>
        </w:rPr>
      </w:pPr>
    </w:p>
    <w:p>
      <w:pPr>
        <w:ind w:firstLine="432"/>
        <w:spacing w:after="0" w:line="250" w:lineRule="auto"/>
        <w:rPr>
          <w:sz w:val="20"/>
          <w:szCs w:val="20"/>
          <w:color w:val="auto"/>
        </w:rPr>
      </w:pPr>
      <w:r>
        <w:rPr>
          <w:rFonts w:ascii="Arial" w:cs="Arial" w:eastAsia="Arial" w:hAnsi="Arial"/>
          <w:sz w:val="13"/>
          <w:szCs w:val="13"/>
          <w:color w:val="auto"/>
        </w:rPr>
        <w:t>If the Trustee shall resign, be removed or become incapable of acting, or if a vacancy shall occur in the office of Trustee for any cause, with respect to the Notes, the Issuer, by a resolution duly passed by its Board of Directors, shall promptly appoint a successor Trustee and shall comply with the applicable requirements of Section 711. If, within one year after such resignation, removal or incapability, or the occurrence of such vacancy, a successor Trustee with respect to the Notes shall be appointed by Act of the Holders of a majority in aggregate principal amount of the Outstanding Notes (voting as a single class) delivered to the Issuer and the retiring Trustee, the successor Trustee so appointed shall, forthwith upon its acceptance of such appointment in accordance with the applicable requirements of Section 711, become the successor Trustee and to that extent supersede the successor Trustee appointed by the Issuer. If no successor Trustee shall have been so appointed by the Issuer or the Holders and accepted appointment in the manner required by Section 711, any Holder who has been a bona fide Holder of a Note for at least six months may, on behalf of himself and all others similarly situated, petition any court of competent jurisdiction for the appointment of a successor Trustee.</w:t>
      </w:r>
    </w:p>
    <w:p>
      <w:pPr>
        <w:spacing w:after="0" w:line="108" w:lineRule="exact"/>
        <w:rPr>
          <w:sz w:val="20"/>
          <w:szCs w:val="20"/>
          <w:color w:val="auto"/>
        </w:rPr>
      </w:pPr>
    </w:p>
    <w:p>
      <w:pPr>
        <w:ind w:right="160" w:firstLine="432"/>
        <w:spacing w:after="0" w:line="271" w:lineRule="auto"/>
        <w:rPr>
          <w:sz w:val="20"/>
          <w:szCs w:val="20"/>
          <w:color w:val="auto"/>
        </w:rPr>
      </w:pPr>
      <w:r>
        <w:rPr>
          <w:rFonts w:ascii="Arial" w:cs="Arial" w:eastAsia="Arial" w:hAnsi="Arial"/>
          <w:sz w:val="13"/>
          <w:szCs w:val="13"/>
          <w:color w:val="auto"/>
        </w:rPr>
        <w:t>The Issuer shall give notice of each resignation and each removal of the Trustee and each appointment of a successor Trustee to all Holders of Notes in the manner provided in Section 206. Each notice shall include the name of the successor Trustee and the address of its Corporate Trust Office.</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40"/>
          </w:cols>
          <w:pgMar w:left="220" w:top="435" w:right="239" w:bottom="1440" w:gutter="0" w:footer="0" w:header="0"/>
        </w:sectPr>
      </w:pPr>
    </w:p>
    <w:bookmarkStart w:id="73" w:name="page74"/>
    <w:bookmarkEnd w:id="73"/>
    <w:p>
      <w:pPr>
        <w:spacing w:after="0"/>
        <w:tabs>
          <w:tab w:leader="none" w:pos="760" w:val="left"/>
        </w:tabs>
        <w:rPr>
          <w:sz w:val="20"/>
          <w:szCs w:val="20"/>
          <w:color w:val="auto"/>
        </w:rPr>
      </w:pPr>
      <w:r>
        <w:rPr>
          <w:rFonts w:ascii="Arial" w:cs="Arial" w:eastAsia="Arial" w:hAnsi="Arial"/>
          <w:sz w:val="13"/>
          <w:szCs w:val="13"/>
          <w:color w:val="auto"/>
        </w:rPr>
        <w:t>Section 711.</w:t>
      </w:r>
      <w:r>
        <w:rPr>
          <w:sz w:val="20"/>
          <w:szCs w:val="20"/>
          <w:color w:val="auto"/>
        </w:rPr>
        <w:tab/>
      </w:r>
      <w:r>
        <w:rPr>
          <w:rFonts w:ascii="Arial" w:cs="Arial" w:eastAsia="Arial" w:hAnsi="Arial"/>
          <w:sz w:val="11"/>
          <w:szCs w:val="11"/>
          <w:u w:val="single" w:color="auto"/>
          <w:color w:val="auto"/>
        </w:rPr>
        <w:t>Acceptance of Appointment by Successor</w:t>
      </w:r>
      <w:r>
        <w:rPr>
          <w:rFonts w:ascii="Arial" w:cs="Arial" w:eastAsia="Arial" w:hAnsi="Arial"/>
          <w:sz w:val="11"/>
          <w:szCs w:val="11"/>
          <w:color w:val="auto"/>
        </w:rPr>
        <w:t>.</w:t>
      </w:r>
    </w:p>
    <w:p>
      <w:pPr>
        <w:spacing w:after="0" w:line="157" w:lineRule="exact"/>
        <w:rPr>
          <w:sz w:val="20"/>
          <w:szCs w:val="20"/>
          <w:color w:val="auto"/>
        </w:rPr>
      </w:pPr>
    </w:p>
    <w:p>
      <w:pPr>
        <w:ind w:right="100" w:firstLine="432"/>
        <w:spacing w:after="0" w:line="315" w:lineRule="auto"/>
        <w:rPr>
          <w:sz w:val="20"/>
          <w:szCs w:val="20"/>
          <w:color w:val="auto"/>
        </w:rPr>
      </w:pPr>
      <w:r>
        <w:rPr>
          <w:rFonts w:ascii="Arial" w:cs="Arial" w:eastAsia="Arial" w:hAnsi="Arial"/>
          <w:sz w:val="11"/>
          <w:szCs w:val="11"/>
          <w:color w:val="auto"/>
        </w:rPr>
        <w:t>In case of the appointment hereunder of a successor Trustee,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75" w:lineRule="exact"/>
        <w:rPr>
          <w:sz w:val="20"/>
          <w:szCs w:val="20"/>
          <w:color w:val="auto"/>
        </w:rPr>
      </w:pPr>
    </w:p>
    <w:p>
      <w:pPr>
        <w:ind w:right="140" w:firstLine="432"/>
        <w:spacing w:after="0" w:line="271" w:lineRule="auto"/>
        <w:rPr>
          <w:sz w:val="20"/>
          <w:szCs w:val="20"/>
          <w:color w:val="auto"/>
        </w:rPr>
      </w:pPr>
      <w:r>
        <w:rPr>
          <w:rFonts w:ascii="Arial" w:cs="Arial" w:eastAsia="Arial" w:hAnsi="Arial"/>
          <w:sz w:val="13"/>
          <w:szCs w:val="13"/>
          <w:color w:val="auto"/>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 successor Trustee shall accept its appointment unless at the time of such acceptance such successor Trustee shall be qualified and eligible under this Article.</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712.</w:t>
      </w:r>
      <w:r>
        <w:rPr>
          <w:sz w:val="20"/>
          <w:szCs w:val="20"/>
          <w:color w:val="auto"/>
        </w:rPr>
        <w:tab/>
      </w:r>
      <w:r>
        <w:rPr>
          <w:rFonts w:ascii="Arial" w:cs="Arial" w:eastAsia="Arial" w:hAnsi="Arial"/>
          <w:sz w:val="11"/>
          <w:szCs w:val="11"/>
          <w:u w:val="single" w:color="auto"/>
          <w:color w:val="auto"/>
        </w:rPr>
        <w:t>Merger, Conversion, Consolidation or Succession to Business</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such corporation shall be otherwise qualified and eligible under this Article,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0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713.</w:t>
      </w:r>
      <w:r>
        <w:rPr>
          <w:sz w:val="20"/>
          <w:szCs w:val="20"/>
          <w:color w:val="auto"/>
        </w:rPr>
        <w:tab/>
      </w:r>
      <w:r>
        <w:rPr>
          <w:rFonts w:ascii="Arial" w:cs="Arial" w:eastAsia="Arial" w:hAnsi="Arial"/>
          <w:sz w:val="12"/>
          <w:szCs w:val="12"/>
          <w:u w:val="single" w:color="auto"/>
          <w:color w:val="auto"/>
        </w:rPr>
        <w:t>Preferential Collection of Claims Against Issuer</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If and when the Trustee shall be or become a creditor of the Issuer or any other obligor upon the Notes, the Trustee shall be subject to the provisions of the Trust Indenture Act regarding the collection of claims against the Issuer or any such other obligor.</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714.</w:t>
      </w:r>
      <w:r>
        <w:rPr>
          <w:sz w:val="20"/>
          <w:szCs w:val="20"/>
          <w:color w:val="auto"/>
        </w:rPr>
        <w:tab/>
      </w:r>
      <w:r>
        <w:rPr>
          <w:rFonts w:ascii="Arial" w:cs="Arial" w:eastAsia="Arial" w:hAnsi="Arial"/>
          <w:sz w:val="12"/>
          <w:szCs w:val="12"/>
          <w:u w:val="single" w:color="auto"/>
          <w:color w:val="auto"/>
        </w:rPr>
        <w:t>Appointment of Authenticating Agent</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51" w:lineRule="auto"/>
        <w:rPr>
          <w:sz w:val="20"/>
          <w:szCs w:val="20"/>
          <w:color w:val="auto"/>
        </w:rPr>
      </w:pPr>
      <w:r>
        <w:rPr>
          <w:rFonts w:ascii="Arial" w:cs="Arial" w:eastAsia="Arial" w:hAnsi="Arial"/>
          <w:sz w:val="13"/>
          <w:szCs w:val="13"/>
          <w:color w:val="auto"/>
        </w:rPr>
        <w:t>The Trustee may appoint an Authenticating Agent or Agents which shall be authorized to act on behalf of the Trustee to authenticate Notes issued upon original issue and upon exchange, registration of transfer or partial redemption thereof or pursuant to Section 406, and Notes so authenticated shall be entitled to the benefits of the Indenture and shall be valid and obligatory for all purposes as if authenticated by the Trustee hereunder. Wherever reference is made in this Supplemental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Authenticating Agent, having a combined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60"/>
          </w:cols>
          <w:pgMar w:left="220" w:top="435" w:right="219" w:bottom="1440" w:gutter="0" w:footer="0" w:header="0"/>
        </w:sectPr>
      </w:pPr>
    </w:p>
    <w:bookmarkStart w:id="74" w:name="page75"/>
    <w:bookmarkEnd w:id="74"/>
    <w:p>
      <w:pPr>
        <w:ind w:right="40"/>
        <w:spacing w:after="0" w:line="254" w:lineRule="auto"/>
        <w:rPr>
          <w:sz w:val="20"/>
          <w:szCs w:val="20"/>
          <w:color w:val="auto"/>
        </w:rPr>
      </w:pPr>
      <w:r>
        <w:rPr>
          <w:rFonts w:ascii="Arial" w:cs="Arial" w:eastAsia="Arial" w:hAnsi="Arial"/>
          <w:sz w:val="13"/>
          <w:szCs w:val="13"/>
          <w:color w:val="auto"/>
        </w:rPr>
        <w:t>capital and surplus of not less than $50.0 million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97" w:lineRule="exact"/>
        <w:rPr>
          <w:sz w:val="20"/>
          <w:szCs w:val="20"/>
          <w:color w:val="auto"/>
        </w:rPr>
      </w:pPr>
    </w:p>
    <w:p>
      <w:pPr>
        <w:ind w:right="180" w:firstLine="432"/>
        <w:spacing w:after="0" w:line="290" w:lineRule="auto"/>
        <w:rPr>
          <w:sz w:val="20"/>
          <w:szCs w:val="20"/>
          <w:color w:val="auto"/>
        </w:rPr>
      </w:pPr>
      <w:r>
        <w:rPr>
          <w:rFonts w:ascii="Arial" w:cs="Arial" w:eastAsia="Arial" w:hAnsi="Arial"/>
          <w:sz w:val="12"/>
          <w:szCs w:val="12"/>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76" w:lineRule="exact"/>
        <w:rPr>
          <w:sz w:val="20"/>
          <w:szCs w:val="20"/>
          <w:color w:val="auto"/>
        </w:rPr>
      </w:pPr>
    </w:p>
    <w:p>
      <w:pPr>
        <w:ind w:firstLine="432"/>
        <w:spacing w:after="0" w:line="251" w:lineRule="auto"/>
        <w:rPr>
          <w:sz w:val="20"/>
          <w:szCs w:val="20"/>
          <w:color w:val="auto"/>
        </w:rPr>
      </w:pPr>
      <w:r>
        <w:rPr>
          <w:rFonts w:ascii="Arial" w:cs="Arial" w:eastAsia="Arial" w:hAnsi="Arial"/>
          <w:sz w:val="13"/>
          <w:szCs w:val="13"/>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notice of such appointment in the manner provided in Section 206 to all Holders of Notes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98" w:lineRule="exact"/>
        <w:rPr>
          <w:sz w:val="20"/>
          <w:szCs w:val="20"/>
          <w:color w:val="auto"/>
        </w:rPr>
      </w:pPr>
    </w:p>
    <w:p>
      <w:pPr>
        <w:ind w:right="300" w:firstLine="432"/>
        <w:spacing w:after="0" w:line="271" w:lineRule="auto"/>
        <w:rPr>
          <w:sz w:val="20"/>
          <w:szCs w:val="20"/>
          <w:color w:val="auto"/>
        </w:rPr>
      </w:pPr>
      <w:r>
        <w:rPr>
          <w:rFonts w:ascii="Arial" w:cs="Arial" w:eastAsia="Arial" w:hAnsi="Arial"/>
          <w:sz w:val="13"/>
          <w:szCs w:val="13"/>
          <w:color w:val="auto"/>
        </w:rPr>
        <w:t>The Trustee agrees to pay to each Authenticating Agent from time to time reasonable compensation for its services under this Section, and the Trustee shall be entitled to be reimbursed for such payments, subject to the provisions of Section 707.</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an appointment is made pursuant to this Section, the Notes may have endorsed thereon, in addition to the Trustee’s certificate of authentication, an alternative certificate of authentication in the following</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This is one of the Notes designated therein referred to in the within-mentioned Indenture.</w:t>
      </w:r>
    </w:p>
    <w:p>
      <w:pPr>
        <w:spacing w:after="0" w:line="130"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DEUTSCHE BANK TRUST COMPANY AMERICAS,</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3"/>
          <w:szCs w:val="13"/>
          <w:color w:val="auto"/>
        </w:rPr>
        <w:t>As Trustee</w:t>
      </w:r>
    </w:p>
    <w:p>
      <w:pPr>
        <w:spacing w:after="0" w:line="210" w:lineRule="exact"/>
        <w:rPr>
          <w:sz w:val="20"/>
          <w:szCs w:val="20"/>
          <w:color w:val="auto"/>
        </w:rPr>
      </w:pPr>
    </w:p>
    <w:p>
      <w:pPr>
        <w:ind w:left="2580"/>
        <w:spacing w:after="0"/>
        <w:tabs>
          <w:tab w:leader="none" w:pos="28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________________________________</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3"/>
          <w:szCs w:val="13"/>
          <w:color w:val="auto"/>
        </w:rPr>
        <w:t>As Authenticating Agent</w:t>
      </w:r>
    </w:p>
    <w:p>
      <w:pPr>
        <w:spacing w:after="0" w:line="210" w:lineRule="exact"/>
        <w:rPr>
          <w:sz w:val="20"/>
          <w:szCs w:val="20"/>
          <w:color w:val="auto"/>
        </w:rPr>
      </w:pPr>
    </w:p>
    <w:p>
      <w:pPr>
        <w:ind w:left="2580"/>
        <w:spacing w:after="0"/>
        <w:tabs>
          <w:tab w:leader="none" w:pos="28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________________________________</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3"/>
          <w:szCs w:val="13"/>
          <w:color w:val="auto"/>
        </w:rPr>
        <w:t>Authorized Officer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EIGHT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HOLDERS’ LISTS AND REPORTS BY TRUSTEE AND ISSUER</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801.</w:t>
      </w:r>
      <w:r>
        <w:rPr>
          <w:sz w:val="20"/>
          <w:szCs w:val="20"/>
          <w:color w:val="auto"/>
        </w:rPr>
        <w:tab/>
      </w:r>
      <w:r>
        <w:rPr>
          <w:rFonts w:ascii="Arial" w:cs="Arial" w:eastAsia="Arial" w:hAnsi="Arial"/>
          <w:sz w:val="11"/>
          <w:szCs w:val="11"/>
          <w:u w:val="single" w:color="auto"/>
          <w:color w:val="auto"/>
        </w:rPr>
        <w:t>Issuer to Furnish Trustee Names and Addresses of Holders</w:t>
      </w:r>
      <w:r>
        <w:rPr>
          <w:rFonts w:ascii="Arial" w:cs="Arial" w:eastAsia="Arial" w:hAnsi="Arial"/>
          <w:sz w:val="11"/>
          <w:szCs w:val="11"/>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Issuer will furnish or cause to be furnished to the Trustee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435" w:right="199" w:bottom="1440" w:gutter="0" w:footer="0" w:header="0"/>
        </w:sectPr>
      </w:pPr>
    </w:p>
    <w:bookmarkStart w:id="75" w:name="page76"/>
    <w:bookmarkEnd w:id="75"/>
    <w:p>
      <w:pPr>
        <w:ind w:left="420" w:right="340" w:firstLine="437"/>
        <w:spacing w:after="0" w:line="271" w:lineRule="auto"/>
        <w:tabs>
          <w:tab w:leader="none" w:pos="1126" w:val="left"/>
        </w:tabs>
        <w:numPr>
          <w:ilvl w:val="0"/>
          <w:numId w:val="63"/>
        </w:numPr>
        <w:rPr>
          <w:rFonts w:ascii="Arial" w:cs="Arial" w:eastAsia="Arial" w:hAnsi="Arial"/>
          <w:sz w:val="13"/>
          <w:szCs w:val="13"/>
          <w:color w:val="auto"/>
        </w:rPr>
      </w:pPr>
      <w:r>
        <w:rPr>
          <w:rFonts w:ascii="Arial" w:cs="Arial" w:eastAsia="Arial" w:hAnsi="Arial"/>
          <w:sz w:val="13"/>
          <w:szCs w:val="13"/>
          <w:color w:val="auto"/>
        </w:rPr>
        <w:t>semi-annually, not later than each Interest Payment Date in each year, a list, in such form as the Trustee may reasonably require, of the names and addresses of the Holders of Notes as of the preceding Regular Record Date, and</w:t>
      </w:r>
    </w:p>
    <w:p>
      <w:pPr>
        <w:spacing w:after="0" w:line="112" w:lineRule="exact"/>
        <w:rPr>
          <w:rFonts w:ascii="Arial" w:cs="Arial" w:eastAsia="Arial" w:hAnsi="Arial"/>
          <w:sz w:val="13"/>
          <w:szCs w:val="13"/>
          <w:color w:val="auto"/>
        </w:rPr>
      </w:pPr>
    </w:p>
    <w:p>
      <w:pPr>
        <w:ind w:left="420" w:right="240" w:firstLine="437"/>
        <w:spacing w:after="0" w:line="271" w:lineRule="auto"/>
        <w:tabs>
          <w:tab w:leader="none" w:pos="1126" w:val="left"/>
        </w:tabs>
        <w:numPr>
          <w:ilvl w:val="0"/>
          <w:numId w:val="63"/>
        </w:numPr>
        <w:rPr>
          <w:rFonts w:ascii="Arial" w:cs="Arial" w:eastAsia="Arial" w:hAnsi="Arial"/>
          <w:sz w:val="13"/>
          <w:szCs w:val="13"/>
          <w:color w:val="auto"/>
        </w:rPr>
      </w:pPr>
      <w:r>
        <w:rPr>
          <w:rFonts w:ascii="Arial" w:cs="Arial" w:eastAsia="Arial" w:hAnsi="Arial"/>
          <w:sz w:val="13"/>
          <w:szCs w:val="13"/>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excluding from any such list names and addresses received by the Trustee in its capacity as Registrar.</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802.</w:t>
      </w:r>
      <w:r>
        <w:rPr>
          <w:sz w:val="20"/>
          <w:szCs w:val="20"/>
          <w:color w:val="auto"/>
        </w:rPr>
        <w:tab/>
      </w:r>
      <w:r>
        <w:rPr>
          <w:rFonts w:ascii="Arial" w:cs="Arial" w:eastAsia="Arial" w:hAnsi="Arial"/>
          <w:sz w:val="12"/>
          <w:szCs w:val="12"/>
          <w:u w:val="single" w:color="auto"/>
          <w:color w:val="auto"/>
        </w:rPr>
        <w:t>Preservation of Information; Communications to Holders</w:t>
      </w:r>
      <w:r>
        <w:rPr>
          <w:rFonts w:ascii="Arial" w:cs="Arial" w:eastAsia="Arial" w:hAnsi="Arial"/>
          <w:sz w:val="12"/>
          <w:szCs w:val="12"/>
          <w:color w:val="auto"/>
        </w:rPr>
        <w:t>.</w:t>
      </w:r>
    </w:p>
    <w:p>
      <w:pPr>
        <w:spacing w:after="0" w:line="157" w:lineRule="exact"/>
        <w:rPr>
          <w:sz w:val="20"/>
          <w:szCs w:val="20"/>
          <w:color w:val="auto"/>
        </w:rPr>
      </w:pPr>
    </w:p>
    <w:p>
      <w:pPr>
        <w:ind w:right="240" w:firstLine="432"/>
        <w:spacing w:after="0" w:line="314" w:lineRule="auto"/>
        <w:rPr>
          <w:sz w:val="20"/>
          <w:szCs w:val="20"/>
          <w:color w:val="auto"/>
        </w:rPr>
      </w:pPr>
      <w:r>
        <w:rPr>
          <w:rFonts w:ascii="Arial" w:cs="Arial" w:eastAsia="Arial" w:hAnsi="Arial"/>
          <w:sz w:val="12"/>
          <w:szCs w:val="12"/>
          <w:color w:val="auto"/>
        </w:rPr>
        <w:t>The Trustee shall preserve, in as current a form as is reasonably practicable, the names and addresses of Holders contained in the most recent list furnished to the Trustee as provided in Section 801 and the names and addresses of Holders received by the Trustee in its capacity as Registrar. The Trustee may destroy any list furnished to it as provided in Section 801 upon receipt of a new list so furnished.</w:t>
      </w:r>
    </w:p>
    <w:p>
      <w:pPr>
        <w:spacing w:after="0" w:line="89" w:lineRule="exact"/>
        <w:rPr>
          <w:sz w:val="20"/>
          <w:szCs w:val="20"/>
          <w:color w:val="auto"/>
        </w:rPr>
      </w:pPr>
    </w:p>
    <w:p>
      <w:pPr>
        <w:ind w:right="100" w:firstLine="432"/>
        <w:spacing w:after="0" w:line="271" w:lineRule="auto"/>
        <w:rPr>
          <w:sz w:val="20"/>
          <w:szCs w:val="20"/>
          <w:color w:val="auto"/>
        </w:rPr>
      </w:pPr>
      <w:r>
        <w:rPr>
          <w:rFonts w:ascii="Arial" w:cs="Arial" w:eastAsia="Arial" w:hAnsi="Arial"/>
          <w:sz w:val="13"/>
          <w:szCs w:val="13"/>
          <w:color w:val="auto"/>
        </w:rPr>
        <w:t>The rights of Holders to communicate with other Holders with respect to their rights under the Indenture or under the Notes, and the corresponding rights and privileges of the Trustee, shall be as provided by the Trust Indenture Act.</w:t>
      </w:r>
    </w:p>
    <w:p>
      <w:pPr>
        <w:spacing w:after="0" w:line="113"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Every Holder of Notes, by receiving and holding the same, agrees with the Issuer and the Trustee that neither the Issuer nor the Trustee nor any agent of any of them shall be held accountable by reason of any disclosure of information as to names and addresses of Holders made pursuant to the Trust Indenture Act.</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803.</w:t>
      </w:r>
      <w:r>
        <w:rPr>
          <w:sz w:val="20"/>
          <w:szCs w:val="20"/>
          <w:color w:val="auto"/>
        </w:rPr>
        <w:tab/>
      </w:r>
      <w:r>
        <w:rPr>
          <w:rFonts w:ascii="Arial" w:cs="Arial" w:eastAsia="Arial" w:hAnsi="Arial"/>
          <w:sz w:val="11"/>
          <w:szCs w:val="11"/>
          <w:u w:val="single" w:color="auto"/>
          <w:color w:val="auto"/>
        </w:rPr>
        <w:t>Reports by Trustee</w:t>
      </w:r>
      <w:r>
        <w:rPr>
          <w:rFonts w:ascii="Arial" w:cs="Arial" w:eastAsia="Arial" w:hAnsi="Arial"/>
          <w:sz w:val="11"/>
          <w:szCs w:val="11"/>
          <w:color w:val="auto"/>
        </w:rPr>
        <w:t>.</w:t>
      </w:r>
    </w:p>
    <w:p>
      <w:pPr>
        <w:spacing w:after="0" w:line="157" w:lineRule="exact"/>
        <w:rPr>
          <w:sz w:val="20"/>
          <w:szCs w:val="20"/>
          <w:color w:val="auto"/>
        </w:rPr>
      </w:pPr>
    </w:p>
    <w:p>
      <w:pPr>
        <w:ind w:right="260" w:firstLine="432"/>
        <w:spacing w:after="0" w:line="271" w:lineRule="auto"/>
        <w:rPr>
          <w:sz w:val="20"/>
          <w:szCs w:val="20"/>
          <w:color w:val="auto"/>
        </w:rPr>
      </w:pPr>
      <w:r>
        <w:rPr>
          <w:rFonts w:ascii="Arial" w:cs="Arial" w:eastAsia="Arial" w:hAnsi="Arial"/>
          <w:sz w:val="13"/>
          <w:szCs w:val="13"/>
          <w:color w:val="auto"/>
        </w:rPr>
        <w:t>The Trustee shall transmit to Holders such reports concerning the Trustee and its actions under the Indenture as may be required pursuant to the Trust Indenture Act at the times and in the manner provided pursuant thereto.</w:t>
      </w:r>
    </w:p>
    <w:p>
      <w:pPr>
        <w:spacing w:after="0" w:line="113"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A copy of each such report shall, at the time of such transmission to Holders, be filed by the Trustee with each stock exchange upon which the Notes are listed, with the SEC and with the Issuer. The Issuer will notify the Trustee when any Notes are listed on any stock exchange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804.</w:t>
      </w:r>
      <w:r>
        <w:rPr>
          <w:sz w:val="20"/>
          <w:szCs w:val="20"/>
          <w:color w:val="auto"/>
        </w:rPr>
        <w:tab/>
      </w:r>
      <w:r>
        <w:rPr>
          <w:rFonts w:ascii="Arial" w:cs="Arial" w:eastAsia="Arial" w:hAnsi="Arial"/>
          <w:sz w:val="11"/>
          <w:szCs w:val="11"/>
          <w:u w:val="single" w:color="auto"/>
          <w:color w:val="auto"/>
        </w:rPr>
        <w:t>Reports by Issuer</w:t>
      </w:r>
      <w:r>
        <w:rPr>
          <w:rFonts w:ascii="Arial" w:cs="Arial" w:eastAsia="Arial" w:hAnsi="Arial"/>
          <w:sz w:val="11"/>
          <w:szCs w:val="11"/>
          <w:color w:val="auto"/>
        </w:rPr>
        <w:t>.</w:t>
      </w:r>
    </w:p>
    <w:p>
      <w:pPr>
        <w:spacing w:after="0" w:line="157" w:lineRule="exact"/>
        <w:rPr>
          <w:sz w:val="20"/>
          <w:szCs w:val="20"/>
          <w:color w:val="auto"/>
        </w:rPr>
      </w:pPr>
    </w:p>
    <w:p>
      <w:pPr>
        <w:ind w:right="600" w:firstLine="424"/>
        <w:spacing w:after="0" w:line="314" w:lineRule="auto"/>
        <w:tabs>
          <w:tab w:leader="none" w:pos="699" w:val="left"/>
        </w:tabs>
        <w:numPr>
          <w:ilvl w:val="0"/>
          <w:numId w:val="64"/>
        </w:numPr>
        <w:rPr>
          <w:rFonts w:ascii="Arial" w:cs="Arial" w:eastAsia="Arial" w:hAnsi="Arial"/>
          <w:sz w:val="12"/>
          <w:szCs w:val="12"/>
          <w:color w:val="auto"/>
        </w:rPr>
      </w:pPr>
      <w:r>
        <w:rPr>
          <w:rFonts w:ascii="Arial" w:cs="Arial" w:eastAsia="Arial" w:hAnsi="Arial"/>
          <w:sz w:val="12"/>
          <w:szCs w:val="12"/>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89" w:lineRule="exact"/>
        <w:rPr>
          <w:rFonts w:ascii="Arial" w:cs="Arial" w:eastAsia="Arial" w:hAnsi="Arial"/>
          <w:sz w:val="12"/>
          <w:szCs w:val="12"/>
          <w:color w:val="auto"/>
        </w:rPr>
      </w:pPr>
    </w:p>
    <w:p>
      <w:pPr>
        <w:ind w:left="1140" w:hanging="283"/>
        <w:spacing w:after="0"/>
        <w:tabs>
          <w:tab w:leader="none" w:pos="1140" w:val="left"/>
        </w:tabs>
        <w:numPr>
          <w:ilvl w:val="1"/>
          <w:numId w:val="64"/>
        </w:numPr>
        <w:rPr>
          <w:rFonts w:ascii="Arial" w:cs="Arial" w:eastAsia="Arial" w:hAnsi="Arial"/>
          <w:sz w:val="13"/>
          <w:szCs w:val="13"/>
          <w:color w:val="auto"/>
        </w:rPr>
      </w:pPr>
      <w:r>
        <w:rPr>
          <w:rFonts w:ascii="Arial" w:cs="Arial" w:eastAsia="Arial" w:hAnsi="Arial"/>
          <w:sz w:val="13"/>
          <w:szCs w:val="13"/>
          <w:color w:val="auto"/>
        </w:rPr>
        <w:t>all quarterly and annual reports that would be required to be filed with the SEC on Forms 10-Q and 10-K if the Parent Guarantor were required to file such reports; and</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1"/>
          <w:numId w:val="64"/>
        </w:numPr>
        <w:rPr>
          <w:rFonts w:ascii="Arial" w:cs="Arial" w:eastAsia="Arial" w:hAnsi="Arial"/>
          <w:sz w:val="13"/>
          <w:szCs w:val="13"/>
          <w:color w:val="auto"/>
        </w:rPr>
      </w:pPr>
      <w:r>
        <w:rPr>
          <w:rFonts w:ascii="Arial" w:cs="Arial" w:eastAsia="Arial" w:hAnsi="Arial"/>
          <w:sz w:val="13"/>
          <w:szCs w:val="13"/>
          <w:color w:val="auto"/>
        </w:rPr>
        <w:t>all current reports that would be required to be filed with the SEC on Form 8-K if the Parent Guarantor were required to file such reports.</w:t>
      </w:r>
    </w:p>
    <w:p>
      <w:pPr>
        <w:spacing w:after="0" w:line="147" w:lineRule="exact"/>
        <w:rPr>
          <w:rFonts w:ascii="Arial" w:cs="Arial" w:eastAsia="Arial" w:hAnsi="Arial"/>
          <w:sz w:val="13"/>
          <w:szCs w:val="13"/>
          <w:color w:val="auto"/>
        </w:rPr>
      </w:pPr>
    </w:p>
    <w:p>
      <w:pPr>
        <w:ind w:left="700" w:hanging="276"/>
        <w:spacing w:after="0"/>
        <w:tabs>
          <w:tab w:leader="none" w:pos="7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If the Parent Guarantor has designated any of its Subsidiaries as Unrestricted Subsidiaries, and such Unrestricted Subsidiaries, individually or taken together, would constitute a Significant Subsidiary,</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then the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60"/>
          </w:cols>
          <w:pgMar w:left="220" w:top="435" w:right="219" w:bottom="1440" w:gutter="0" w:footer="0" w:header="0"/>
        </w:sectPr>
      </w:pPr>
    </w:p>
    <w:bookmarkStart w:id="76" w:name="page77"/>
    <w:bookmarkEnd w:id="76"/>
    <w:p>
      <w:pPr>
        <w:ind w:right="360"/>
        <w:spacing w:after="0" w:line="258" w:lineRule="auto"/>
        <w:rPr>
          <w:sz w:val="20"/>
          <w:szCs w:val="20"/>
          <w:color w:val="auto"/>
        </w:rPr>
      </w:pPr>
      <w:r>
        <w:rPr>
          <w:rFonts w:ascii="Arial" w:cs="Arial" w:eastAsia="Arial" w:hAnsi="Arial"/>
          <w:sz w:val="13"/>
          <w:szCs w:val="13"/>
          <w:color w:val="auto"/>
        </w:rPr>
        <w:t>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21" w:lineRule="exact"/>
        <w:rPr>
          <w:sz w:val="20"/>
          <w:szCs w:val="20"/>
          <w:color w:val="auto"/>
        </w:rPr>
      </w:pPr>
    </w:p>
    <w:p>
      <w:pPr>
        <w:ind w:right="100" w:firstLine="424"/>
        <w:spacing w:after="0" w:line="271" w:lineRule="auto"/>
        <w:tabs>
          <w:tab w:leader="none" w:pos="699" w:val="left"/>
        </w:tabs>
        <w:numPr>
          <w:ilvl w:val="0"/>
          <w:numId w:val="65"/>
        </w:numPr>
        <w:rPr>
          <w:rFonts w:ascii="Arial" w:cs="Arial" w:eastAsia="Arial" w:hAnsi="Arial"/>
          <w:sz w:val="13"/>
          <w:szCs w:val="13"/>
          <w:color w:val="auto"/>
        </w:rPr>
      </w:pPr>
      <w:r>
        <w:rPr>
          <w:rFonts w:ascii="Arial" w:cs="Arial" w:eastAsia="Arial" w:hAnsi="Arial"/>
          <w:sz w:val="13"/>
          <w:szCs w:val="13"/>
          <w:color w:val="auto"/>
        </w:rPr>
        <w:t>For so long as any Notes remain outstanding and constitute ‘‘restricted securities’’ under Rule 144, the Parent Guarantor will furnish to the holders of the Notes, and to securities analysts and prospective investors, upon their request, the information required to be delivered pursuant to Rule 144A(d)(4) under the Securities Act.</w:t>
      </w:r>
    </w:p>
    <w:p>
      <w:pPr>
        <w:spacing w:after="0" w:line="112" w:lineRule="exact"/>
        <w:rPr>
          <w:rFonts w:ascii="Arial" w:cs="Arial" w:eastAsia="Arial" w:hAnsi="Arial"/>
          <w:sz w:val="13"/>
          <w:szCs w:val="13"/>
          <w:color w:val="auto"/>
        </w:rPr>
      </w:pPr>
    </w:p>
    <w:p>
      <w:pPr>
        <w:ind w:right="20" w:firstLine="424"/>
        <w:spacing w:after="0" w:line="271" w:lineRule="auto"/>
        <w:tabs>
          <w:tab w:leader="none" w:pos="706" w:val="left"/>
        </w:tabs>
        <w:numPr>
          <w:ilvl w:val="0"/>
          <w:numId w:val="65"/>
        </w:numPr>
        <w:rPr>
          <w:rFonts w:ascii="Arial" w:cs="Arial" w:eastAsia="Arial" w:hAnsi="Arial"/>
          <w:sz w:val="13"/>
          <w:szCs w:val="13"/>
          <w:color w:val="auto"/>
        </w:rPr>
      </w:pPr>
      <w:r>
        <w:rPr>
          <w:rFonts w:ascii="Arial" w:cs="Arial" w:eastAsia="Arial" w:hAnsi="Arial"/>
          <w:sz w:val="13"/>
          <w:szCs w:val="13"/>
          <w:color w:val="auto"/>
        </w:rPr>
        <w:t>Delivery of reports, information and documents to the Trustee under this Section 804 is for informational purposes only and the Trustee’s receipt of the foregoing shall not constitute constructive notice of any information contained therein or determinable from information contained therein.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NINE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CONSOLIDATION, MERGER, CONVEYANCE, TRANSFER OR LEASE</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Section 901.</w:t>
      </w:r>
      <w:r>
        <w:rPr>
          <w:sz w:val="20"/>
          <w:szCs w:val="20"/>
          <w:color w:val="auto"/>
        </w:rPr>
        <w:tab/>
      </w:r>
      <w:r>
        <w:rPr>
          <w:rFonts w:ascii="Arial" w:cs="Arial" w:eastAsia="Arial" w:hAnsi="Arial"/>
          <w:sz w:val="11"/>
          <w:szCs w:val="11"/>
          <w:u w:val="single" w:color="auto"/>
          <w:color w:val="auto"/>
        </w:rPr>
        <w:t>Issuer and Guarantors May Consolidate, Etc., Only on Certain Terms</w:t>
      </w:r>
      <w:r>
        <w:rPr>
          <w:rFonts w:ascii="Arial" w:cs="Arial" w:eastAsia="Arial" w:hAnsi="Arial"/>
          <w:sz w:val="11"/>
          <w:szCs w:val="11"/>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Neither the Issuer nor any Guarantor shall consolidate or amalgamate with, or merge into, any other Person, or convey, transfer or lease its properties and assets as, or substantially as, an entirety to any Person</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unless:</w:t>
      </w:r>
    </w:p>
    <w:p>
      <w:pPr>
        <w:spacing w:after="0" w:line="147" w:lineRule="exact"/>
        <w:rPr>
          <w:sz w:val="20"/>
          <w:szCs w:val="20"/>
          <w:color w:val="auto"/>
        </w:rPr>
      </w:pPr>
    </w:p>
    <w:p>
      <w:pPr>
        <w:ind w:left="420" w:firstLine="437"/>
        <w:spacing w:after="0" w:line="307" w:lineRule="auto"/>
        <w:tabs>
          <w:tab w:leader="none" w:pos="1425" w:val="left"/>
        </w:tabs>
        <w:numPr>
          <w:ilvl w:val="0"/>
          <w:numId w:val="66"/>
        </w:numPr>
        <w:rPr>
          <w:rFonts w:ascii="Arial" w:cs="Arial" w:eastAsia="Arial" w:hAnsi="Arial"/>
          <w:sz w:val="11"/>
          <w:szCs w:val="11"/>
          <w:color w:val="auto"/>
        </w:rPr>
      </w:pPr>
      <w:r>
        <w:rPr>
          <w:rFonts w:ascii="Arial" w:cs="Arial" w:eastAsia="Arial" w:hAnsi="Arial"/>
          <w:sz w:val="12"/>
          <w:szCs w:val="12"/>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(a) in the case of a Successor Person to the Issuer, the due and punctual payment of the principal of and any premium and interest on all the Notes and the performance or observance of every covenant of the Indenture and any Registration Rights Agreement then in effect on the part of the Issuer to be performed or observed or (b) in the case of a Successor Person to such Guarantor, all of the obligations of such Guarantor under the Guarantee of such Guarantor and the performance or observance of every covenant of the Indenture and any Registration Rights Agreement then in effect on the part of such Guarantor to be performed or observed;</w:t>
      </w:r>
    </w:p>
    <w:p>
      <w:pPr>
        <w:spacing w:after="0" w:line="120" w:lineRule="exact"/>
        <w:rPr>
          <w:rFonts w:ascii="Arial" w:cs="Arial" w:eastAsia="Arial" w:hAnsi="Arial"/>
          <w:sz w:val="11"/>
          <w:szCs w:val="11"/>
          <w:color w:val="auto"/>
        </w:rPr>
      </w:pPr>
    </w:p>
    <w:p>
      <w:pPr>
        <w:ind w:left="1420" w:hanging="563"/>
        <w:spacing w:after="0"/>
        <w:tabs>
          <w:tab w:leader="none" w:pos="1420" w:val="left"/>
        </w:tabs>
        <w:numPr>
          <w:ilvl w:val="0"/>
          <w:numId w:val="66"/>
        </w:numPr>
        <w:rPr>
          <w:rFonts w:ascii="Arial" w:cs="Arial" w:eastAsia="Arial" w:hAnsi="Arial"/>
          <w:sz w:val="12"/>
          <w:szCs w:val="12"/>
          <w:color w:val="auto"/>
        </w:rPr>
      </w:pPr>
      <w:r>
        <w:rPr>
          <w:rFonts w:ascii="Arial" w:cs="Arial" w:eastAsia="Arial" w:hAnsi="Arial"/>
          <w:sz w:val="13"/>
          <w:szCs w:val="13"/>
          <w:color w:val="auto"/>
        </w:rPr>
        <w:t>immediately after giving effect to such transaction, no Event of Default and no Default shall have occurred and be continuing; and</w:t>
      </w:r>
    </w:p>
    <w:p>
      <w:pPr>
        <w:spacing w:after="0" w:line="174" w:lineRule="exact"/>
        <w:rPr>
          <w:rFonts w:ascii="Arial" w:cs="Arial" w:eastAsia="Arial" w:hAnsi="Arial"/>
          <w:sz w:val="12"/>
          <w:szCs w:val="12"/>
          <w:color w:val="auto"/>
        </w:rPr>
      </w:pPr>
    </w:p>
    <w:p>
      <w:pPr>
        <w:jc w:val="both"/>
        <w:ind w:left="420" w:right="120" w:firstLine="437"/>
        <w:spacing w:after="0" w:line="287" w:lineRule="auto"/>
        <w:tabs>
          <w:tab w:leader="none" w:pos="1425" w:val="left"/>
        </w:tabs>
        <w:numPr>
          <w:ilvl w:val="0"/>
          <w:numId w:val="66"/>
        </w:numPr>
        <w:rPr>
          <w:rFonts w:ascii="Arial" w:cs="Arial" w:eastAsia="Arial" w:hAnsi="Arial"/>
          <w:sz w:val="12"/>
          <w:szCs w:val="12"/>
          <w:color w:val="auto"/>
        </w:rPr>
      </w:pPr>
      <w:r>
        <w:rPr>
          <w:rFonts w:ascii="Arial" w:cs="Arial" w:eastAsia="Arial" w:hAnsi="Arial"/>
          <w:sz w:val="13"/>
          <w:szCs w:val="13"/>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However, clause (1) of this Section 901 shall not apply in circumstances under which Section 1504 provides for the release of the Guarantee of such Guarantor.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60"/>
          </w:cols>
          <w:pgMar w:left="220" w:top="435" w:right="219" w:bottom="1440" w:gutter="0" w:footer="0" w:header="0"/>
        </w:sectPr>
      </w:pPr>
    </w:p>
    <w:bookmarkStart w:id="77" w:name="page78"/>
    <w:bookmarkEnd w:id="77"/>
    <w:p>
      <w:pPr>
        <w:spacing w:after="0"/>
        <w:tabs>
          <w:tab w:leader="none" w:pos="760" w:val="left"/>
        </w:tabs>
        <w:rPr>
          <w:sz w:val="20"/>
          <w:szCs w:val="20"/>
          <w:color w:val="auto"/>
        </w:rPr>
      </w:pPr>
      <w:r>
        <w:rPr>
          <w:rFonts w:ascii="Arial" w:cs="Arial" w:eastAsia="Arial" w:hAnsi="Arial"/>
          <w:sz w:val="13"/>
          <w:szCs w:val="13"/>
          <w:color w:val="auto"/>
        </w:rPr>
        <w:t>Section 902.</w:t>
      </w:r>
      <w:r>
        <w:rPr>
          <w:sz w:val="20"/>
          <w:szCs w:val="20"/>
          <w:color w:val="auto"/>
        </w:rPr>
        <w:tab/>
      </w:r>
      <w:r>
        <w:rPr>
          <w:rFonts w:ascii="Arial" w:cs="Arial" w:eastAsia="Arial" w:hAnsi="Arial"/>
          <w:sz w:val="11"/>
          <w:szCs w:val="11"/>
          <w:u w:val="single" w:color="auto"/>
          <w:color w:val="auto"/>
        </w:rPr>
        <w:t>Successor Substituted</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Section 901,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liquidated and dissolve.</w:t>
      </w:r>
    </w:p>
    <w:p>
      <w:pPr>
        <w:spacing w:after="0" w:line="121"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ARTICLE TEN</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SUPPLEMENTAL INDENTURES</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1001.</w:t>
      </w:r>
      <w:r>
        <w:rPr>
          <w:sz w:val="20"/>
          <w:szCs w:val="20"/>
          <w:color w:val="auto"/>
        </w:rPr>
        <w:tab/>
      </w:r>
      <w:r>
        <w:rPr>
          <w:rFonts w:ascii="Arial" w:cs="Arial" w:eastAsia="Arial" w:hAnsi="Arial"/>
          <w:sz w:val="11"/>
          <w:szCs w:val="11"/>
          <w:u w:val="single" w:color="auto"/>
          <w:color w:val="auto"/>
        </w:rPr>
        <w:t>Supplemental Indentures Without Consent of Holders</w:t>
      </w:r>
      <w:r>
        <w:rPr>
          <w:rFonts w:ascii="Arial" w:cs="Arial" w:eastAsia="Arial" w:hAnsi="Arial"/>
          <w:sz w:val="11"/>
          <w:szCs w:val="11"/>
          <w:color w:val="auto"/>
        </w:rPr>
        <w:t>.</w:t>
      </w:r>
    </w:p>
    <w:p>
      <w:pPr>
        <w:spacing w:after="0" w:line="157"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Without the consent of any Holders, the Issuer, the Guarantors and the Trustee, at any time and from time to time, may enter into one or more indentures supplemental hereto in order to amend or supplement the Indenture, the Guarantees or the Notes for any of the following purposes:</w:t>
      </w:r>
    </w:p>
    <w:p>
      <w:pPr>
        <w:spacing w:after="0" w:line="122" w:lineRule="exact"/>
        <w:rPr>
          <w:sz w:val="20"/>
          <w:szCs w:val="20"/>
          <w:color w:val="auto"/>
        </w:rPr>
      </w:pPr>
    </w:p>
    <w:p>
      <w:pPr>
        <w:ind w:left="1420" w:hanging="563"/>
        <w:spacing w:after="0"/>
        <w:tabs>
          <w:tab w:leader="none" w:pos="1420" w:val="left"/>
        </w:tabs>
        <w:numPr>
          <w:ilvl w:val="0"/>
          <w:numId w:val="67"/>
        </w:numPr>
        <w:rPr>
          <w:rFonts w:ascii="Arial" w:cs="Arial" w:eastAsia="Arial" w:hAnsi="Arial"/>
          <w:sz w:val="12"/>
          <w:szCs w:val="12"/>
          <w:color w:val="auto"/>
        </w:rPr>
      </w:pPr>
      <w:r>
        <w:rPr>
          <w:rFonts w:ascii="Arial" w:cs="Arial" w:eastAsia="Arial" w:hAnsi="Arial"/>
          <w:sz w:val="13"/>
          <w:szCs w:val="13"/>
          <w:color w:val="auto"/>
        </w:rPr>
        <w:t>to cure any ambiguity, defect or inconsistency;</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67"/>
        </w:numPr>
        <w:rPr>
          <w:rFonts w:ascii="Arial" w:cs="Arial" w:eastAsia="Arial" w:hAnsi="Arial"/>
          <w:sz w:val="12"/>
          <w:szCs w:val="12"/>
          <w:color w:val="auto"/>
        </w:rPr>
      </w:pPr>
      <w:r>
        <w:rPr>
          <w:rFonts w:ascii="Arial" w:cs="Arial" w:eastAsia="Arial" w:hAnsi="Arial"/>
          <w:sz w:val="13"/>
          <w:szCs w:val="13"/>
          <w:color w:val="auto"/>
        </w:rPr>
        <w:t>to provide for uncertificated Notes in addition to or in place of certificated Notes;</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67"/>
        </w:numPr>
        <w:rPr>
          <w:rFonts w:ascii="Arial" w:cs="Arial" w:eastAsia="Arial" w:hAnsi="Arial"/>
          <w:sz w:val="11"/>
          <w:szCs w:val="11"/>
          <w:color w:val="auto"/>
        </w:rPr>
      </w:pPr>
      <w:r>
        <w:rPr>
          <w:rFonts w:ascii="Arial" w:cs="Arial" w:eastAsia="Arial" w:hAnsi="Arial"/>
          <w:sz w:val="12"/>
          <w:szCs w:val="12"/>
          <w:color w:val="auto"/>
        </w:rPr>
        <w:t>to provide for the assumption of the Issuer’s or a Guarantor’s obligations to the Holders in the case of a consolidation, amalgamation, merger or other transaction in compliance with Article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Nine;</w:t>
      </w:r>
    </w:p>
    <w:p>
      <w:pPr>
        <w:spacing w:after="0" w:line="175" w:lineRule="exact"/>
        <w:rPr>
          <w:sz w:val="20"/>
          <w:szCs w:val="20"/>
          <w:color w:val="auto"/>
        </w:rPr>
      </w:pPr>
    </w:p>
    <w:p>
      <w:pPr>
        <w:ind w:left="420" w:right="120" w:firstLine="437"/>
        <w:spacing w:after="0" w:line="300" w:lineRule="auto"/>
        <w:tabs>
          <w:tab w:leader="none" w:pos="1425" w:val="left"/>
        </w:tabs>
        <w:numPr>
          <w:ilvl w:val="0"/>
          <w:numId w:val="68"/>
        </w:numPr>
        <w:rPr>
          <w:rFonts w:ascii="Arial" w:cs="Arial" w:eastAsia="Arial" w:hAnsi="Arial"/>
          <w:sz w:val="12"/>
          <w:szCs w:val="12"/>
          <w:color w:val="auto"/>
        </w:rPr>
      </w:pPr>
      <w:r>
        <w:rPr>
          <w:rFonts w:ascii="Arial" w:cs="Arial" w:eastAsia="Arial" w:hAnsi="Arial"/>
          <w:sz w:val="13"/>
          <w:szCs w:val="13"/>
          <w:color w:val="auto"/>
        </w:rPr>
        <w:t>to add any Guarantor or to acknowledge the release of any Guarantor from any of its obligations under its Guarantee and the other provisions of the Indenture (to the extent in accordance with the Indenture);</w:t>
      </w:r>
    </w:p>
    <w:p>
      <w:pPr>
        <w:spacing w:after="0" w:line="121" w:lineRule="exact"/>
        <w:rPr>
          <w:rFonts w:ascii="Arial" w:cs="Arial" w:eastAsia="Arial" w:hAnsi="Arial"/>
          <w:sz w:val="12"/>
          <w:szCs w:val="12"/>
          <w:color w:val="auto"/>
        </w:rPr>
      </w:pPr>
    </w:p>
    <w:p>
      <w:pPr>
        <w:ind w:left="1420" w:hanging="563"/>
        <w:spacing w:after="0"/>
        <w:tabs>
          <w:tab w:leader="none" w:pos="1420" w:val="left"/>
        </w:tabs>
        <w:numPr>
          <w:ilvl w:val="0"/>
          <w:numId w:val="68"/>
        </w:numPr>
        <w:rPr>
          <w:rFonts w:ascii="Arial" w:cs="Arial" w:eastAsia="Arial" w:hAnsi="Arial"/>
          <w:sz w:val="12"/>
          <w:szCs w:val="12"/>
          <w:color w:val="auto"/>
        </w:rPr>
      </w:pPr>
      <w:r>
        <w:rPr>
          <w:rFonts w:ascii="Arial" w:cs="Arial" w:eastAsia="Arial" w:hAnsi="Arial"/>
          <w:sz w:val="13"/>
          <w:szCs w:val="13"/>
          <w:color w:val="auto"/>
        </w:rPr>
        <w:t>to make any change that would provide any additional rights or benefits to the Holders or that does not materially adversely affect the rights of any Holder;</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68"/>
        </w:numPr>
        <w:rPr>
          <w:rFonts w:ascii="Arial" w:cs="Arial" w:eastAsia="Arial" w:hAnsi="Arial"/>
          <w:sz w:val="12"/>
          <w:szCs w:val="12"/>
          <w:color w:val="auto"/>
        </w:rPr>
      </w:pPr>
      <w:r>
        <w:rPr>
          <w:rFonts w:ascii="Arial" w:cs="Arial" w:eastAsia="Arial" w:hAnsi="Arial"/>
          <w:sz w:val="13"/>
          <w:szCs w:val="13"/>
          <w:color w:val="auto"/>
        </w:rPr>
        <w:t>to effect or maintain the qualification of the Indenture under the Trust Indenture Act;</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68"/>
        </w:numPr>
        <w:rPr>
          <w:rFonts w:ascii="Arial" w:cs="Arial" w:eastAsia="Arial" w:hAnsi="Arial"/>
          <w:sz w:val="12"/>
          <w:szCs w:val="12"/>
          <w:color w:val="auto"/>
        </w:rPr>
      </w:pPr>
      <w:r>
        <w:rPr>
          <w:rFonts w:ascii="Arial" w:cs="Arial" w:eastAsia="Arial" w:hAnsi="Arial"/>
          <w:sz w:val="13"/>
          <w:szCs w:val="13"/>
          <w:color w:val="auto"/>
        </w:rPr>
        <w:t>to secure the Notes or any Guarantees or any other obligation under the Indenture;</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68"/>
        </w:numPr>
        <w:rPr>
          <w:rFonts w:ascii="Arial" w:cs="Arial" w:eastAsia="Arial" w:hAnsi="Arial"/>
          <w:sz w:val="12"/>
          <w:szCs w:val="12"/>
          <w:color w:val="auto"/>
        </w:rPr>
      </w:pPr>
      <w:r>
        <w:rPr>
          <w:rFonts w:ascii="Arial" w:cs="Arial" w:eastAsia="Arial" w:hAnsi="Arial"/>
          <w:sz w:val="13"/>
          <w:szCs w:val="13"/>
          <w:color w:val="auto"/>
        </w:rPr>
        <w:t>to evidence and provide for the acceptance of appointment by a successor trustee;</w:t>
      </w:r>
    </w:p>
    <w:p>
      <w:pPr>
        <w:spacing w:after="0" w:line="174" w:lineRule="exact"/>
        <w:rPr>
          <w:rFonts w:ascii="Arial" w:cs="Arial" w:eastAsia="Arial" w:hAnsi="Arial"/>
          <w:sz w:val="12"/>
          <w:szCs w:val="12"/>
          <w:color w:val="auto"/>
        </w:rPr>
      </w:pPr>
    </w:p>
    <w:p>
      <w:pPr>
        <w:ind w:left="420" w:right="600" w:firstLine="437"/>
        <w:spacing w:after="0" w:line="300" w:lineRule="auto"/>
        <w:tabs>
          <w:tab w:leader="none" w:pos="1425" w:val="left"/>
        </w:tabs>
        <w:numPr>
          <w:ilvl w:val="0"/>
          <w:numId w:val="68"/>
        </w:numPr>
        <w:rPr>
          <w:rFonts w:ascii="Arial" w:cs="Arial" w:eastAsia="Arial" w:hAnsi="Arial"/>
          <w:sz w:val="12"/>
          <w:szCs w:val="12"/>
          <w:color w:val="auto"/>
        </w:rPr>
      </w:pPr>
      <w:r>
        <w:rPr>
          <w:rFonts w:ascii="Arial" w:cs="Arial" w:eastAsia="Arial" w:hAnsi="Arial"/>
          <w:sz w:val="13"/>
          <w:szCs w:val="13"/>
          <w:color w:val="auto"/>
        </w:rPr>
        <w:t>to conform the text of the Indenture or the Notes to any provision of the “Description of Notes” contained in the Offering Memorandum, to the extent that such provision in such “Description of Notes” was intended to be a substantially verbatim recitation of a provision of the Indenture, the Guarantees or the Notes; or</w:t>
      </w:r>
    </w:p>
    <w:p>
      <w:pPr>
        <w:spacing w:after="0" w:line="121" w:lineRule="exact"/>
        <w:rPr>
          <w:rFonts w:ascii="Arial" w:cs="Arial" w:eastAsia="Arial" w:hAnsi="Arial"/>
          <w:sz w:val="12"/>
          <w:szCs w:val="12"/>
          <w:color w:val="auto"/>
        </w:rPr>
      </w:pPr>
    </w:p>
    <w:p>
      <w:pPr>
        <w:ind w:left="1480" w:hanging="623"/>
        <w:spacing w:after="0"/>
        <w:tabs>
          <w:tab w:leader="none" w:pos="1480" w:val="left"/>
        </w:tabs>
        <w:numPr>
          <w:ilvl w:val="0"/>
          <w:numId w:val="68"/>
        </w:numPr>
        <w:rPr>
          <w:rFonts w:ascii="Arial" w:cs="Arial" w:eastAsia="Arial" w:hAnsi="Arial"/>
          <w:sz w:val="12"/>
          <w:szCs w:val="12"/>
          <w:color w:val="auto"/>
        </w:rPr>
      </w:pPr>
      <w:r>
        <w:rPr>
          <w:rFonts w:ascii="Arial" w:cs="Arial" w:eastAsia="Arial" w:hAnsi="Arial"/>
          <w:sz w:val="13"/>
          <w:szCs w:val="13"/>
          <w:color w:val="auto"/>
        </w:rPr>
        <w:t>to provide for the issuance of Additional Notes in accordance with the Indenture.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380"/>
          </w:cols>
          <w:pgMar w:left="220" w:top="435" w:right="299" w:bottom="1440" w:gutter="0" w:footer="0" w:header="0"/>
        </w:sectPr>
      </w:pPr>
    </w:p>
    <w:bookmarkStart w:id="78" w:name="page79"/>
    <w:bookmarkEnd w:id="78"/>
    <w:p>
      <w:pPr>
        <w:ind w:right="160" w:firstLine="432"/>
        <w:spacing w:after="0" w:line="271" w:lineRule="auto"/>
        <w:rPr>
          <w:sz w:val="20"/>
          <w:szCs w:val="20"/>
          <w:color w:val="auto"/>
        </w:rPr>
      </w:pPr>
      <w:r>
        <w:rPr>
          <w:rFonts w:ascii="Arial" w:cs="Arial" w:eastAsia="Arial" w:hAnsi="Arial"/>
          <w:sz w:val="13"/>
          <w:szCs w:val="13"/>
          <w:color w:val="auto"/>
        </w:rPr>
        <w:t>The Trustee is hereby authorized to join with the Issuer and the Guarantors in the execution of any such supplemental indenture, to make any further appropriate agreements and stipulations which may be therein contained and to accept the conveyance, transfer, assignment, mortgage or pledge of any property thereunder.</w:t>
      </w:r>
    </w:p>
    <w:p>
      <w:pPr>
        <w:spacing w:after="0" w:line="113" w:lineRule="exact"/>
        <w:rPr>
          <w:sz w:val="20"/>
          <w:szCs w:val="20"/>
          <w:color w:val="auto"/>
        </w:rPr>
      </w:pPr>
    </w:p>
    <w:p>
      <w:pPr>
        <w:ind w:right="160" w:firstLine="432"/>
        <w:spacing w:after="0" w:line="271" w:lineRule="auto"/>
        <w:rPr>
          <w:sz w:val="20"/>
          <w:szCs w:val="20"/>
          <w:color w:val="auto"/>
        </w:rPr>
      </w:pPr>
      <w:r>
        <w:rPr>
          <w:rFonts w:ascii="Arial" w:cs="Arial" w:eastAsia="Arial" w:hAnsi="Arial"/>
          <w:sz w:val="13"/>
          <w:szCs w:val="13"/>
          <w:color w:val="auto"/>
        </w:rPr>
        <w:t>Any supplemental indenture authorized by the provisions of this Section 1001 may be executed by the Issuer, the Guarantors and the Trustee without the consent of the Holders, notwithstanding any of the provisions of Section 1002.</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1002.</w:t>
      </w:r>
      <w:r>
        <w:rPr>
          <w:sz w:val="20"/>
          <w:szCs w:val="20"/>
          <w:color w:val="auto"/>
        </w:rPr>
        <w:tab/>
      </w:r>
      <w:r>
        <w:rPr>
          <w:rFonts w:ascii="Arial" w:cs="Arial" w:eastAsia="Arial" w:hAnsi="Arial"/>
          <w:sz w:val="11"/>
          <w:szCs w:val="11"/>
          <w:u w:val="single" w:color="auto"/>
          <w:color w:val="auto"/>
        </w:rPr>
        <w:t>Supplemental Indentures With Consent of Holders</w:t>
      </w:r>
      <w:r>
        <w:rPr>
          <w:rFonts w:ascii="Arial" w:cs="Arial" w:eastAsia="Arial" w:hAnsi="Arial"/>
          <w:sz w:val="11"/>
          <w:szCs w:val="11"/>
          <w:color w:val="auto"/>
        </w:rPr>
        <w:t>.</w:t>
      </w:r>
    </w:p>
    <w:p>
      <w:pPr>
        <w:spacing w:after="0" w:line="157" w:lineRule="exact"/>
        <w:rPr>
          <w:sz w:val="20"/>
          <w:szCs w:val="20"/>
          <w:color w:val="auto"/>
        </w:rPr>
      </w:pPr>
    </w:p>
    <w:p>
      <w:pPr>
        <w:ind w:right="40" w:firstLine="432"/>
        <w:spacing w:after="0" w:line="282" w:lineRule="auto"/>
        <w:rPr>
          <w:sz w:val="20"/>
          <w:szCs w:val="20"/>
          <w:color w:val="auto"/>
        </w:rPr>
      </w:pPr>
      <w:r>
        <w:rPr>
          <w:rFonts w:ascii="Arial" w:cs="Arial" w:eastAsia="Arial" w:hAnsi="Arial"/>
          <w:sz w:val="12"/>
          <w:szCs w:val="12"/>
          <w:color w:val="auto"/>
        </w:rPr>
        <w:t>With the consent of the Holders of a majority in aggregate principal amount of the Outstanding Notes affected thereby, including, without limitation, consents obtained in connection with a purchase of, or tender offer or exchange offer for, the Notes, the Issuer, the Guarantors and the Trustee may amend or supplement the Indenture, the Notes or any Guarantees or, subject to Section 613, waive any existing Default or Event of Default or compliance with any provision of the Indenture (which may include consents obtained in connection with a purchase of, or tender offer or exchange offer for, the Notes). However, without the consent of each Holder affected thereby, no such amendment, supplement or waiver may (with respect to any Note held by a non-consenting Holder):</w:t>
      </w:r>
    </w:p>
    <w:p>
      <w:pPr>
        <w:spacing w:after="0" w:line="117" w:lineRule="exact"/>
        <w:rPr>
          <w:sz w:val="20"/>
          <w:szCs w:val="20"/>
          <w:color w:val="auto"/>
        </w:rPr>
      </w:pPr>
    </w:p>
    <w:p>
      <w:pPr>
        <w:ind w:left="1420" w:hanging="563"/>
        <w:spacing w:after="0"/>
        <w:tabs>
          <w:tab w:leader="none" w:pos="1420" w:val="left"/>
        </w:tabs>
        <w:numPr>
          <w:ilvl w:val="0"/>
          <w:numId w:val="69"/>
        </w:numPr>
        <w:rPr>
          <w:rFonts w:ascii="Arial" w:cs="Arial" w:eastAsia="Arial" w:hAnsi="Arial"/>
          <w:sz w:val="12"/>
          <w:szCs w:val="12"/>
          <w:color w:val="auto"/>
        </w:rPr>
      </w:pPr>
      <w:r>
        <w:rPr>
          <w:rFonts w:ascii="Arial" w:cs="Arial" w:eastAsia="Arial" w:hAnsi="Arial"/>
          <w:sz w:val="13"/>
          <w:szCs w:val="13"/>
          <w:color w:val="auto"/>
        </w:rPr>
        <w:t>reduce, or change the maturity of, the principal of any Note;</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69"/>
        </w:numPr>
        <w:rPr>
          <w:rFonts w:ascii="Arial" w:cs="Arial" w:eastAsia="Arial" w:hAnsi="Arial"/>
          <w:sz w:val="12"/>
          <w:szCs w:val="12"/>
          <w:color w:val="auto"/>
        </w:rPr>
      </w:pPr>
      <w:r>
        <w:rPr>
          <w:rFonts w:ascii="Arial" w:cs="Arial" w:eastAsia="Arial" w:hAnsi="Arial"/>
          <w:sz w:val="13"/>
          <w:szCs w:val="13"/>
          <w:color w:val="auto"/>
        </w:rPr>
        <w:t>reduce the rate of or extend the time for payment of interest on any Note;</w:t>
      </w:r>
    </w:p>
    <w:p>
      <w:pPr>
        <w:spacing w:after="0" w:line="174" w:lineRule="exact"/>
        <w:rPr>
          <w:rFonts w:ascii="Arial" w:cs="Arial" w:eastAsia="Arial" w:hAnsi="Arial"/>
          <w:sz w:val="12"/>
          <w:szCs w:val="12"/>
          <w:color w:val="auto"/>
        </w:rPr>
      </w:pPr>
    </w:p>
    <w:p>
      <w:pPr>
        <w:ind w:left="420" w:firstLine="437"/>
        <w:spacing w:after="0" w:line="287" w:lineRule="auto"/>
        <w:tabs>
          <w:tab w:leader="none" w:pos="1425" w:val="left"/>
        </w:tabs>
        <w:numPr>
          <w:ilvl w:val="0"/>
          <w:numId w:val="69"/>
        </w:numPr>
        <w:rPr>
          <w:rFonts w:ascii="Arial" w:cs="Arial" w:eastAsia="Arial" w:hAnsi="Arial"/>
          <w:sz w:val="12"/>
          <w:szCs w:val="12"/>
          <w:color w:val="auto"/>
        </w:rPr>
      </w:pPr>
      <w:r>
        <w:rPr>
          <w:rFonts w:ascii="Arial" w:cs="Arial" w:eastAsia="Arial" w:hAnsi="Arial"/>
          <w:sz w:val="13"/>
          <w:szCs w:val="13"/>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solely for the avoidance of doubt, and without any other implication, any purchase or repurchase of Notes (including pursuant to Section 1107) shall not be deemed a redemption of the Notes;</w:t>
      </w:r>
    </w:p>
    <w:p>
      <w:pPr>
        <w:spacing w:after="0" w:line="130" w:lineRule="exact"/>
        <w:rPr>
          <w:rFonts w:ascii="Arial" w:cs="Arial" w:eastAsia="Arial" w:hAnsi="Arial"/>
          <w:sz w:val="12"/>
          <w:szCs w:val="12"/>
          <w:color w:val="auto"/>
        </w:rPr>
      </w:pPr>
    </w:p>
    <w:p>
      <w:pPr>
        <w:ind w:left="1420" w:hanging="563"/>
        <w:spacing w:after="0"/>
        <w:tabs>
          <w:tab w:leader="none" w:pos="1420" w:val="left"/>
        </w:tabs>
        <w:numPr>
          <w:ilvl w:val="0"/>
          <w:numId w:val="69"/>
        </w:numPr>
        <w:rPr>
          <w:rFonts w:ascii="Arial" w:cs="Arial" w:eastAsia="Arial" w:hAnsi="Arial"/>
          <w:sz w:val="12"/>
          <w:szCs w:val="12"/>
          <w:color w:val="auto"/>
        </w:rPr>
      </w:pPr>
      <w:r>
        <w:rPr>
          <w:rFonts w:ascii="Arial" w:cs="Arial" w:eastAsia="Arial" w:hAnsi="Arial"/>
          <w:sz w:val="13"/>
          <w:szCs w:val="13"/>
          <w:color w:val="auto"/>
        </w:rPr>
        <w:t>make any Note payable in money or currency other than that stated in the Notes;</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69"/>
        </w:numPr>
        <w:rPr>
          <w:rFonts w:ascii="Arial" w:cs="Arial" w:eastAsia="Arial" w:hAnsi="Arial"/>
          <w:sz w:val="12"/>
          <w:szCs w:val="12"/>
          <w:color w:val="auto"/>
        </w:rPr>
      </w:pPr>
      <w:r>
        <w:rPr>
          <w:rFonts w:ascii="Arial" w:cs="Arial" w:eastAsia="Arial" w:hAnsi="Arial"/>
          <w:sz w:val="13"/>
          <w:szCs w:val="13"/>
          <w:color w:val="auto"/>
        </w:rPr>
        <w:t>modify or change any provision of the Indenture or the related definitions to affect the ranking of the Notes or any Guarantee in a manner that adversely affects the Holders;</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69"/>
        </w:numPr>
        <w:rPr>
          <w:rFonts w:ascii="Arial" w:cs="Arial" w:eastAsia="Arial" w:hAnsi="Arial"/>
          <w:sz w:val="12"/>
          <w:szCs w:val="12"/>
          <w:color w:val="auto"/>
        </w:rPr>
      </w:pPr>
      <w:r>
        <w:rPr>
          <w:rFonts w:ascii="Arial" w:cs="Arial" w:eastAsia="Arial" w:hAnsi="Arial"/>
          <w:sz w:val="13"/>
          <w:szCs w:val="13"/>
          <w:color w:val="auto"/>
        </w:rPr>
        <w:t>reduce the percentage of Holders necessary to consent to an amendment, supplement or waiver to the Indenture, the Guarantees or the Notes;</w:t>
      </w:r>
    </w:p>
    <w:p>
      <w:pPr>
        <w:spacing w:after="0" w:line="174" w:lineRule="exact"/>
        <w:rPr>
          <w:rFonts w:ascii="Arial" w:cs="Arial" w:eastAsia="Arial" w:hAnsi="Arial"/>
          <w:sz w:val="12"/>
          <w:szCs w:val="12"/>
          <w:color w:val="auto"/>
        </w:rPr>
      </w:pPr>
    </w:p>
    <w:p>
      <w:pPr>
        <w:ind w:left="420" w:right="340" w:firstLine="437"/>
        <w:spacing w:after="0" w:line="300" w:lineRule="auto"/>
        <w:tabs>
          <w:tab w:leader="none" w:pos="1425" w:val="left"/>
        </w:tabs>
        <w:numPr>
          <w:ilvl w:val="0"/>
          <w:numId w:val="69"/>
        </w:numPr>
        <w:rPr>
          <w:rFonts w:ascii="Arial" w:cs="Arial" w:eastAsia="Arial" w:hAnsi="Arial"/>
          <w:sz w:val="12"/>
          <w:szCs w:val="12"/>
          <w:color w:val="auto"/>
        </w:rPr>
      </w:pPr>
      <w:r>
        <w:rPr>
          <w:rFonts w:ascii="Arial" w:cs="Arial" w:eastAsia="Arial" w:hAnsi="Arial"/>
          <w:sz w:val="13"/>
          <w:szCs w:val="13"/>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21" w:lineRule="exact"/>
        <w:rPr>
          <w:rFonts w:ascii="Arial" w:cs="Arial" w:eastAsia="Arial" w:hAnsi="Arial"/>
          <w:sz w:val="12"/>
          <w:szCs w:val="12"/>
          <w:color w:val="auto"/>
        </w:rPr>
      </w:pPr>
    </w:p>
    <w:p>
      <w:pPr>
        <w:ind w:left="420" w:right="160" w:firstLine="437"/>
        <w:spacing w:after="0" w:line="300" w:lineRule="auto"/>
        <w:tabs>
          <w:tab w:leader="none" w:pos="1425" w:val="left"/>
        </w:tabs>
        <w:numPr>
          <w:ilvl w:val="0"/>
          <w:numId w:val="69"/>
        </w:numPr>
        <w:rPr>
          <w:rFonts w:ascii="Arial" w:cs="Arial" w:eastAsia="Arial" w:hAnsi="Arial"/>
          <w:sz w:val="12"/>
          <w:szCs w:val="12"/>
          <w:color w:val="auto"/>
        </w:rPr>
      </w:pPr>
      <w:r>
        <w:rPr>
          <w:rFonts w:ascii="Arial" w:cs="Arial" w:eastAsia="Arial" w:hAnsi="Arial"/>
          <w:sz w:val="13"/>
          <w:szCs w:val="13"/>
          <w:color w:val="auto"/>
        </w:rPr>
        <w:t>impair the rights of Holders to receive payments of principal of or interest or premium, if any, on the Notes on or after the due date therefor or to institute suit for the enforcement of any payment on the Notes;</w:t>
      </w:r>
    </w:p>
    <w:p>
      <w:pPr>
        <w:spacing w:after="0" w:line="121" w:lineRule="exact"/>
        <w:rPr>
          <w:rFonts w:ascii="Arial" w:cs="Arial" w:eastAsia="Arial" w:hAnsi="Arial"/>
          <w:sz w:val="12"/>
          <w:szCs w:val="12"/>
          <w:color w:val="auto"/>
        </w:rPr>
      </w:pPr>
    </w:p>
    <w:p>
      <w:pPr>
        <w:ind w:left="1420" w:hanging="563"/>
        <w:spacing w:after="0"/>
        <w:tabs>
          <w:tab w:leader="none" w:pos="1420" w:val="left"/>
        </w:tabs>
        <w:numPr>
          <w:ilvl w:val="0"/>
          <w:numId w:val="69"/>
        </w:numPr>
        <w:rPr>
          <w:rFonts w:ascii="Arial" w:cs="Arial" w:eastAsia="Arial" w:hAnsi="Arial"/>
          <w:sz w:val="12"/>
          <w:szCs w:val="12"/>
          <w:color w:val="auto"/>
        </w:rPr>
      </w:pPr>
      <w:r>
        <w:rPr>
          <w:rFonts w:ascii="Arial" w:cs="Arial" w:eastAsia="Arial" w:hAnsi="Arial"/>
          <w:sz w:val="13"/>
          <w:szCs w:val="13"/>
          <w:color w:val="auto"/>
        </w:rPr>
        <w:t>release any Guarantor from any of its obligations under its Guarantee or the Indenture, except as permitted by the Indenture; or</w:t>
      </w:r>
    </w:p>
    <w:p>
      <w:pPr>
        <w:spacing w:after="0" w:line="174" w:lineRule="exact"/>
        <w:rPr>
          <w:rFonts w:ascii="Arial" w:cs="Arial" w:eastAsia="Arial" w:hAnsi="Arial"/>
          <w:sz w:val="12"/>
          <w:szCs w:val="12"/>
          <w:color w:val="auto"/>
        </w:rPr>
      </w:pPr>
    </w:p>
    <w:p>
      <w:pPr>
        <w:ind w:left="1480" w:hanging="623"/>
        <w:spacing w:after="0"/>
        <w:tabs>
          <w:tab w:leader="none" w:pos="1480" w:val="left"/>
        </w:tabs>
        <w:numPr>
          <w:ilvl w:val="0"/>
          <w:numId w:val="69"/>
        </w:numPr>
        <w:rPr>
          <w:rFonts w:ascii="Arial" w:cs="Arial" w:eastAsia="Arial" w:hAnsi="Arial"/>
          <w:sz w:val="12"/>
          <w:szCs w:val="12"/>
          <w:color w:val="auto"/>
        </w:rPr>
      </w:pPr>
      <w:r>
        <w:rPr>
          <w:rFonts w:ascii="Arial" w:cs="Arial" w:eastAsia="Arial" w:hAnsi="Arial"/>
          <w:sz w:val="13"/>
          <w:szCs w:val="13"/>
          <w:color w:val="auto"/>
        </w:rPr>
        <w:t>make any change in these amendment, supplement and waiver provisions.</w:t>
      </w: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340"/>
          </w:cols>
          <w:pgMar w:left="220" w:top="435" w:right="339" w:bottom="1440" w:gutter="0" w:footer="0" w:header="0"/>
        </w:sectPr>
      </w:pPr>
    </w:p>
    <w:bookmarkStart w:id="79" w:name="page80"/>
    <w:bookmarkEnd w:id="79"/>
    <w:p>
      <w:pPr>
        <w:ind w:right="380" w:firstLine="432"/>
        <w:spacing w:after="0" w:line="271" w:lineRule="auto"/>
        <w:rPr>
          <w:sz w:val="20"/>
          <w:szCs w:val="20"/>
          <w:color w:val="auto"/>
        </w:rPr>
      </w:pPr>
      <w:r>
        <w:rPr>
          <w:rFonts w:ascii="Arial" w:cs="Arial" w:eastAsia="Arial" w:hAnsi="Arial"/>
          <w:sz w:val="13"/>
          <w:szCs w:val="13"/>
          <w:color w:val="auto"/>
        </w:rPr>
        <w:t>It shall not be necessary for any Act of Holders under this Section to approve the particular form of any proposed supplemental indenture or waiver, but it shall be sufficient if such Act shall approve the substance thereof.</w:t>
      </w:r>
    </w:p>
    <w:p>
      <w:pPr>
        <w:spacing w:after="0" w:line="113" w:lineRule="exact"/>
        <w:rPr>
          <w:sz w:val="20"/>
          <w:szCs w:val="20"/>
          <w:color w:val="auto"/>
        </w:rPr>
      </w:pPr>
    </w:p>
    <w:p>
      <w:pPr>
        <w:ind w:right="20" w:firstLine="432"/>
        <w:spacing w:after="0" w:line="271" w:lineRule="auto"/>
        <w:rPr>
          <w:sz w:val="20"/>
          <w:szCs w:val="20"/>
          <w:color w:val="auto"/>
        </w:rPr>
      </w:pPr>
      <w:r>
        <w:rPr>
          <w:rFonts w:ascii="Arial" w:cs="Arial" w:eastAsia="Arial" w:hAnsi="Arial"/>
          <w:sz w:val="13"/>
          <w:szCs w:val="13"/>
          <w:color w:val="auto"/>
        </w:rPr>
        <w:t>After an amendment or supplement under this Section 1002 becomes effective, the Issuer shall send to the Holders a notice briefly describing such amendment or supplement. However, the failure to give such notice to all such Holders, or any defect in the notice, will not impair or affect the validity of the amendment or supplement.</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1003.</w:t>
      </w:r>
      <w:r>
        <w:rPr>
          <w:sz w:val="20"/>
          <w:szCs w:val="20"/>
          <w:color w:val="auto"/>
        </w:rPr>
        <w:tab/>
      </w:r>
      <w:r>
        <w:rPr>
          <w:rFonts w:ascii="Arial" w:cs="Arial" w:eastAsia="Arial" w:hAnsi="Arial"/>
          <w:sz w:val="11"/>
          <w:szCs w:val="11"/>
          <w:u w:val="single" w:color="auto"/>
          <w:color w:val="auto"/>
        </w:rPr>
        <w:t>Execution of Supplemental Indentures</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90" w:lineRule="auto"/>
        <w:rPr>
          <w:sz w:val="20"/>
          <w:szCs w:val="20"/>
          <w:color w:val="auto"/>
        </w:rPr>
      </w:pPr>
      <w:r>
        <w:rPr>
          <w:rFonts w:ascii="Arial" w:cs="Arial" w:eastAsia="Arial" w:hAnsi="Arial"/>
          <w:sz w:val="12"/>
          <w:szCs w:val="12"/>
          <w:color w:val="auto"/>
        </w:rPr>
        <w:t>In executing, or accepting the additional trusts created by, any supplemental indenture permitted by this Article or the modifications thereby of the trusts created by the Indenture, the Trustee shall be entitled to receive, and shall be fully protected in relying upon, an Officer’s Certificate and Opinion of Counsel stating that the execution of such supplemental indenture is authorized or permitted by the Indenture. The Trustee may, but shall not be obligated to, enter into any such supplemental indenture which affects the Trustee’s own rights, duties or immunities under the Indenture or otherwise.</w:t>
      </w:r>
    </w:p>
    <w:p>
      <w:pPr>
        <w:spacing w:after="0" w:line="103"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1004.</w:t>
      </w:r>
      <w:r>
        <w:rPr>
          <w:sz w:val="20"/>
          <w:szCs w:val="20"/>
          <w:color w:val="auto"/>
        </w:rPr>
        <w:tab/>
      </w:r>
      <w:r>
        <w:rPr>
          <w:rFonts w:ascii="Arial" w:cs="Arial" w:eastAsia="Arial" w:hAnsi="Arial"/>
          <w:sz w:val="11"/>
          <w:szCs w:val="11"/>
          <w:u w:val="single" w:color="auto"/>
          <w:color w:val="auto"/>
        </w:rPr>
        <w:t>Effect of Supplemental Indentures</w:t>
      </w:r>
      <w:r>
        <w:rPr>
          <w:rFonts w:ascii="Arial" w:cs="Arial" w:eastAsia="Arial" w:hAnsi="Arial"/>
          <w:sz w:val="11"/>
          <w:szCs w:val="11"/>
          <w:color w:val="auto"/>
        </w:rPr>
        <w:t>.</w:t>
      </w:r>
    </w:p>
    <w:p>
      <w:pPr>
        <w:spacing w:after="0" w:line="157" w:lineRule="exact"/>
        <w:rPr>
          <w:sz w:val="20"/>
          <w:szCs w:val="20"/>
          <w:color w:val="auto"/>
        </w:rPr>
      </w:pPr>
    </w:p>
    <w:p>
      <w:pPr>
        <w:ind w:right="460" w:firstLine="432"/>
        <w:spacing w:after="0" w:line="271" w:lineRule="auto"/>
        <w:rPr>
          <w:sz w:val="20"/>
          <w:szCs w:val="20"/>
          <w:color w:val="auto"/>
        </w:rPr>
      </w:pPr>
      <w:r>
        <w:rPr>
          <w:rFonts w:ascii="Arial" w:cs="Arial" w:eastAsia="Arial" w:hAnsi="Arial"/>
          <w:sz w:val="13"/>
          <w:szCs w:val="13"/>
          <w:color w:val="auto"/>
        </w:rPr>
        <w:t>Upon the execution of any supplemental indenture under this Article, the Indenture shall be modified in accordance therewith, and such supplemental indenture shall form a part of the Indenture for all purposes; and every Holder of Notes theretofore or thereafter authenticated and delivered hereunder shall be bound thereby.</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1005.</w:t>
      </w:r>
      <w:r>
        <w:rPr>
          <w:sz w:val="20"/>
          <w:szCs w:val="20"/>
          <w:color w:val="auto"/>
        </w:rPr>
        <w:tab/>
      </w:r>
      <w:r>
        <w:rPr>
          <w:rFonts w:ascii="Arial" w:cs="Arial" w:eastAsia="Arial" w:hAnsi="Arial"/>
          <w:sz w:val="12"/>
          <w:szCs w:val="12"/>
          <w:u w:val="single" w:color="auto"/>
          <w:color w:val="auto"/>
        </w:rPr>
        <w:t>Conformity with Trust Indenture Act</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Every supplemental indenture executed pursuant to this Article shall conform to the requirements of the Trust Indenture Act.</w:t>
      </w:r>
    </w:p>
    <w:p>
      <w:pPr>
        <w:spacing w:after="0" w:line="148"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1006.</w:t>
      </w:r>
      <w:r>
        <w:rPr>
          <w:sz w:val="20"/>
          <w:szCs w:val="20"/>
          <w:color w:val="auto"/>
        </w:rPr>
        <w:tab/>
      </w:r>
      <w:r>
        <w:rPr>
          <w:rFonts w:ascii="Arial" w:cs="Arial" w:eastAsia="Arial" w:hAnsi="Arial"/>
          <w:sz w:val="11"/>
          <w:szCs w:val="11"/>
          <w:u w:val="single" w:color="auto"/>
          <w:color w:val="auto"/>
        </w:rPr>
        <w:t>Reference in Notes to Supplemental Indentures</w:t>
      </w:r>
      <w:r>
        <w:rPr>
          <w:rFonts w:ascii="Arial" w:cs="Arial" w:eastAsia="Arial" w:hAnsi="Arial"/>
          <w:sz w:val="11"/>
          <w:szCs w:val="11"/>
          <w:color w:val="auto"/>
        </w:rPr>
        <w:t>.</w:t>
      </w:r>
    </w:p>
    <w:p>
      <w:pPr>
        <w:spacing w:after="0" w:line="157" w:lineRule="exact"/>
        <w:rPr>
          <w:sz w:val="20"/>
          <w:szCs w:val="20"/>
          <w:color w:val="auto"/>
        </w:rPr>
      </w:pPr>
    </w:p>
    <w:p>
      <w:pPr>
        <w:jc w:val="both"/>
        <w:ind w:right="100" w:firstLine="432"/>
        <w:spacing w:after="0" w:line="258" w:lineRule="auto"/>
        <w:rPr>
          <w:sz w:val="20"/>
          <w:szCs w:val="20"/>
          <w:color w:val="auto"/>
        </w:rPr>
      </w:pPr>
      <w:r>
        <w:rPr>
          <w:rFonts w:ascii="Arial" w:cs="Arial" w:eastAsia="Arial" w:hAnsi="Arial"/>
          <w:sz w:val="13"/>
          <w:szCs w:val="13"/>
          <w:color w:val="auto"/>
        </w:rPr>
        <w:t>Notes authenticated and delivered after the execution of any supplemental indenture pursuant to this Article may, and shall if so required by the Trustee, bear a notation in form approved by the Trustee as to any matter provided for in such supplemental indenture. If the Issuer shall so determine, new Notes so modified as to conform, in the opinion of the Trustee and the Issuer, to any such supplemental indenture may be prepared and executed by the Issuer and such new Notes may be authenticated and delivered by the Trustee in exchange for Outstanding Notes.</w:t>
      </w:r>
    </w:p>
    <w:p>
      <w:pPr>
        <w:spacing w:after="0" w:line="117"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ARTICLE ELEVEN</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COVENANTS</w:t>
      </w:r>
    </w:p>
    <w:p>
      <w:pPr>
        <w:spacing w:after="0" w:line="147"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1101.</w:t>
      </w:r>
      <w:r>
        <w:rPr>
          <w:sz w:val="20"/>
          <w:szCs w:val="20"/>
          <w:color w:val="auto"/>
        </w:rPr>
        <w:tab/>
      </w:r>
      <w:r>
        <w:rPr>
          <w:rFonts w:ascii="Arial" w:cs="Arial" w:eastAsia="Arial" w:hAnsi="Arial"/>
          <w:sz w:val="12"/>
          <w:szCs w:val="12"/>
          <w:u w:val="single" w:color="auto"/>
          <w:color w:val="auto"/>
        </w:rPr>
        <w:t>Payment of Principal, Premium and Interest</w:t>
      </w:r>
      <w:r>
        <w:rPr>
          <w:rFonts w:ascii="Arial" w:cs="Arial" w:eastAsia="Arial" w:hAnsi="Arial"/>
          <w:sz w:val="12"/>
          <w:szCs w:val="12"/>
          <w:color w:val="auto"/>
        </w:rPr>
        <w:t>.</w:t>
      </w:r>
    </w:p>
    <w:p>
      <w:pPr>
        <w:spacing w:after="0" w:line="157" w:lineRule="exact"/>
        <w:rPr>
          <w:sz w:val="20"/>
          <w:szCs w:val="20"/>
          <w:color w:val="auto"/>
        </w:rPr>
      </w:pPr>
    </w:p>
    <w:p>
      <w:pPr>
        <w:ind w:right="40" w:firstLine="432"/>
        <w:spacing w:after="0" w:line="254" w:lineRule="auto"/>
        <w:rPr>
          <w:sz w:val="20"/>
          <w:szCs w:val="20"/>
          <w:color w:val="auto"/>
        </w:rPr>
      </w:pPr>
      <w:r>
        <w:rPr>
          <w:rFonts w:ascii="Arial" w:cs="Arial" w:eastAsia="Arial" w:hAnsi="Arial"/>
          <w:sz w:val="13"/>
          <w:szCs w:val="13"/>
          <w:color w:val="auto"/>
        </w:rPr>
        <w:t>The Issuer covenants and agrees for the benefit of the Holders of the Notes that it will duly and punctually pay the principal of and any premium and interest on the Notes, including any Additional Interest, in accordance with the terms of the Notes, the Indenture and any applicable Registration Rights Agreement. Principal, premium, if any, and interest will be considered paid on the date due if a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40"/>
          </w:cols>
          <w:pgMar w:left="220" w:top="435" w:right="239" w:bottom="1440" w:gutter="0" w:footer="0" w:header="0"/>
        </w:sectPr>
      </w:pPr>
    </w:p>
    <w:bookmarkStart w:id="80" w:name="page81"/>
    <w:bookmarkEnd w:id="80"/>
    <w:p>
      <w:pPr>
        <w:jc w:val="both"/>
        <w:ind w:firstLine="432"/>
        <w:spacing w:after="0" w:line="258" w:lineRule="auto"/>
        <w:rPr>
          <w:sz w:val="20"/>
          <w:szCs w:val="20"/>
          <w:color w:val="auto"/>
        </w:rPr>
      </w:pPr>
      <w:r>
        <w:rPr>
          <w:rFonts w:ascii="Arial" w:cs="Arial" w:eastAsia="Arial" w:hAnsi="Arial"/>
          <w:sz w:val="13"/>
          <w:szCs w:val="13"/>
          <w:color w:val="auto"/>
        </w:rPr>
        <w:t>The Issuer will pay interest (including post-petition interest in any proceeding under any applicable Federal or State bankruptcy, insolvency, reorganization or similar law) on overdue principal and premium, if any, at the interest rate specified in the Notes to the extent lawful; and it will pay interest (including post-petition interest in any proceeding under any applicable Federal or State bankruptcy, insolvency, reorganization or similar law) on overdue installments of interest (without regard to any applicable grace period) at the same rate to the extent lawful.</w:t>
      </w:r>
    </w:p>
    <w:p>
      <w:pPr>
        <w:spacing w:after="0" w:line="121" w:lineRule="exact"/>
        <w:rPr>
          <w:sz w:val="20"/>
          <w:szCs w:val="20"/>
          <w:color w:val="auto"/>
        </w:rPr>
      </w:pPr>
    </w:p>
    <w:p>
      <w:pPr>
        <w:ind w:firstLine="432"/>
        <w:spacing w:after="0" w:line="258" w:lineRule="auto"/>
        <w:rPr>
          <w:sz w:val="20"/>
          <w:szCs w:val="20"/>
          <w:color w:val="auto"/>
        </w:rPr>
      </w:pPr>
      <w:r>
        <w:rPr>
          <w:rFonts w:ascii="Arial" w:cs="Arial" w:eastAsia="Arial" w:hAnsi="Arial"/>
          <w:sz w:val="13"/>
          <w:szCs w:val="13"/>
          <w:color w:val="auto"/>
        </w:rPr>
        <w:t>The Issuer shall notify the Trustee in writing of the amounts and payment dates of any Additional Interest that may become payable under any Registration Rights Agreement. The Trustee shall not at any time be under any duty or responsibility to any Holder of Notes to determine any Additional Interest, or with respect to the nature, extent or calculation of the amount of Additional Interest owed, or with respect to the method employed in such calculation of Additional Interest.</w:t>
      </w:r>
    </w:p>
    <w:p>
      <w:pPr>
        <w:spacing w:after="0" w:line="121"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1102.</w:t>
      </w:r>
      <w:r>
        <w:rPr>
          <w:sz w:val="20"/>
          <w:szCs w:val="20"/>
          <w:color w:val="auto"/>
        </w:rPr>
        <w:tab/>
      </w:r>
      <w:r>
        <w:rPr>
          <w:rFonts w:ascii="Arial" w:cs="Arial" w:eastAsia="Arial" w:hAnsi="Arial"/>
          <w:sz w:val="12"/>
          <w:szCs w:val="12"/>
          <w:u w:val="single" w:color="auto"/>
          <w:color w:val="auto"/>
        </w:rPr>
        <w:t>Maintenance of Office or Agency</w:t>
      </w:r>
      <w:r>
        <w:rPr>
          <w:rFonts w:ascii="Arial" w:cs="Arial" w:eastAsia="Arial" w:hAnsi="Arial"/>
          <w:sz w:val="12"/>
          <w:szCs w:val="12"/>
          <w:color w:val="auto"/>
        </w:rPr>
        <w:t>.</w:t>
      </w:r>
    </w:p>
    <w:p>
      <w:pPr>
        <w:spacing w:after="0" w:line="157" w:lineRule="exact"/>
        <w:rPr>
          <w:sz w:val="20"/>
          <w:szCs w:val="20"/>
          <w:color w:val="auto"/>
        </w:rPr>
      </w:pPr>
    </w:p>
    <w:p>
      <w:pPr>
        <w:ind w:right="60" w:firstLine="432"/>
        <w:spacing w:after="0" w:line="275" w:lineRule="auto"/>
        <w:rPr>
          <w:sz w:val="20"/>
          <w:szCs w:val="20"/>
          <w:color w:val="auto"/>
        </w:rPr>
      </w:pPr>
      <w:r>
        <w:rPr>
          <w:rFonts w:ascii="Arial" w:cs="Arial" w:eastAsia="Arial" w:hAnsi="Arial"/>
          <w:sz w:val="12"/>
          <w:szCs w:val="12"/>
          <w:color w:val="auto"/>
        </w:rPr>
        <w:t>The Issuer will maintain, in the City and State of New York and in any other Place of Payment, an office or agency where Notes may be presented or surrendered for payment, and it will maintain an office or agency in the continental United States where Notes may be surrendered for registration of transfer or exchange and where notices and demands to or upon the Issuer in respect of the Notes 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 The Issuer hereby irrevocably designates as a Place of Payment for the Notes the City and State of New York, and initially appoints Deutsche Bank Trust Company Americas at its Corporate Trust Office as the Issuer’s office or agency in such city where the Notes may be presented or surrendered for payment.</w:t>
      </w:r>
    </w:p>
    <w:p>
      <w:pPr>
        <w:spacing w:after="0" w:line="114" w:lineRule="exact"/>
        <w:rPr>
          <w:sz w:val="20"/>
          <w:szCs w:val="20"/>
          <w:color w:val="auto"/>
        </w:rPr>
      </w:pPr>
    </w:p>
    <w:p>
      <w:pPr>
        <w:ind w:right="20" w:firstLine="432"/>
        <w:spacing w:after="0" w:line="254" w:lineRule="auto"/>
        <w:rPr>
          <w:sz w:val="20"/>
          <w:szCs w:val="20"/>
          <w:color w:val="auto"/>
        </w:rPr>
      </w:pPr>
      <w:r>
        <w:rPr>
          <w:rFonts w:ascii="Arial" w:cs="Arial" w:eastAsia="Arial" w:hAnsi="Arial"/>
          <w:sz w:val="13"/>
          <w:szCs w:val="13"/>
          <w:color w:val="auto"/>
        </w:rPr>
        <w:t xml:space="preserve">The Issuer or any Subsidiary may act as Registrar or Paying Agent. The Issuer may also from time to time designate one or more other offices or agencies where the Notes may be presented or surrendered for any or all such purposes and may from time to time rescind such designations, in each case without notice to the Holders;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Issuer will maintain a Paying Agent and Registrar in the City and State of New York so long as any Notes are Outstanding. The Issuer will give prompt written notice to the Trustee of any such designation or rescission and of any change in the location of any such other office or agency.</w:t>
      </w:r>
    </w:p>
    <w:p>
      <w:pPr>
        <w:spacing w:after="0" w:line="124"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1103.</w:t>
      </w:r>
      <w:r>
        <w:rPr>
          <w:sz w:val="20"/>
          <w:szCs w:val="20"/>
          <w:color w:val="auto"/>
        </w:rPr>
        <w:tab/>
      </w:r>
      <w:r>
        <w:rPr>
          <w:rFonts w:ascii="Arial" w:cs="Arial" w:eastAsia="Arial" w:hAnsi="Arial"/>
          <w:sz w:val="12"/>
          <w:szCs w:val="12"/>
          <w:u w:val="single" w:color="auto"/>
          <w:color w:val="auto"/>
        </w:rPr>
        <w:t>Money for Notes Payments to Be Held in Trust</w:t>
      </w:r>
      <w:r>
        <w:rPr>
          <w:rFonts w:ascii="Arial" w:cs="Arial" w:eastAsia="Arial" w:hAnsi="Arial"/>
          <w:sz w:val="12"/>
          <w:szCs w:val="12"/>
          <w:color w:val="auto"/>
        </w:rPr>
        <w:t>.</w:t>
      </w:r>
    </w:p>
    <w:p>
      <w:pPr>
        <w:spacing w:after="0" w:line="157" w:lineRule="exact"/>
        <w:rPr>
          <w:sz w:val="20"/>
          <w:szCs w:val="20"/>
          <w:color w:val="auto"/>
        </w:rPr>
      </w:pPr>
    </w:p>
    <w:p>
      <w:pPr>
        <w:ind w:right="20" w:firstLine="432"/>
        <w:spacing w:after="0" w:line="258" w:lineRule="auto"/>
        <w:rPr>
          <w:sz w:val="20"/>
          <w:szCs w:val="20"/>
          <w:color w:val="auto"/>
        </w:rPr>
      </w:pPr>
      <w:r>
        <w:rPr>
          <w:rFonts w:ascii="Arial" w:cs="Arial" w:eastAsia="Arial" w:hAnsi="Arial"/>
          <w:sz w:val="13"/>
          <w:szCs w:val="13"/>
          <w:color w:val="auto"/>
        </w:rPr>
        <w:t>If the Issuer or any Subsidiary shall at any time act as its own Paying Agent, it will, before 11:00 a.m., New York City time, on each due date of the principal of or any premium or interest on any of the Notes,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21" w:lineRule="exact"/>
        <w:rPr>
          <w:sz w:val="20"/>
          <w:szCs w:val="20"/>
          <w:color w:val="auto"/>
        </w:rPr>
      </w:pPr>
    </w:p>
    <w:p>
      <w:pPr>
        <w:ind w:right="60" w:firstLine="432"/>
        <w:spacing w:after="0" w:line="258" w:lineRule="auto"/>
        <w:rPr>
          <w:sz w:val="20"/>
          <w:szCs w:val="20"/>
          <w:color w:val="auto"/>
        </w:rPr>
      </w:pPr>
      <w:r>
        <w:rPr>
          <w:rFonts w:ascii="Arial" w:cs="Arial" w:eastAsia="Arial" w:hAnsi="Arial"/>
          <w:sz w:val="13"/>
          <w:szCs w:val="13"/>
          <w:color w:val="auto"/>
        </w:rPr>
        <w:t>Whenever the Issuer shall have one or more Paying Agents for the Notes, it will, prior to 11:00 a.m., New York City time, on each due date of the principal of or any premium or interest on the Notes, deposit with a Paying Agent a sum sufficient to pay such amount, such sum to be held as provided by the Trust Indenture Act, and (unless such Paying Agent is the Trustee) the Issuer will promptly notify the Trustee of its action or failure so to act.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20"/>
          </w:cols>
          <w:pgMar w:left="220" w:top="435" w:right="259" w:bottom="1440" w:gutter="0" w:footer="0" w:header="0"/>
        </w:sectPr>
      </w:pPr>
    </w:p>
    <w:bookmarkStart w:id="81" w:name="page82"/>
    <w:bookmarkEnd w:id="81"/>
    <w:p>
      <w:pPr>
        <w:ind w:right="120" w:firstLine="432"/>
        <w:spacing w:after="0" w:line="290" w:lineRule="auto"/>
        <w:rPr>
          <w:sz w:val="20"/>
          <w:szCs w:val="20"/>
          <w:color w:val="auto"/>
        </w:rPr>
      </w:pPr>
      <w:r>
        <w:rPr>
          <w:rFonts w:ascii="Arial" w:cs="Arial" w:eastAsia="Arial" w:hAnsi="Arial"/>
          <w:sz w:val="12"/>
          <w:szCs w:val="12"/>
          <w:color w:val="auto"/>
        </w:rPr>
        <w:t>The Issuer will cause each Paying Agent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Issuer or any other obligor upon the Notes in the making of any payment in respect of the Notes, upon the written request of the Trustee, forthwith pay to the Trustee all sums held in trust by such Paying Agent for payment in respect of the Notes.</w:t>
      </w:r>
    </w:p>
    <w:p>
      <w:pPr>
        <w:spacing w:after="0" w:line="103"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The Issuer may at any time, for the purpose of obtaining the satisfaction and discharge of the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21" w:lineRule="exact"/>
        <w:rPr>
          <w:sz w:val="20"/>
          <w:szCs w:val="20"/>
          <w:color w:val="auto"/>
        </w:rPr>
      </w:pPr>
    </w:p>
    <w:p>
      <w:pPr>
        <w:ind w:firstLine="432"/>
        <w:spacing w:after="0" w:line="250" w:lineRule="auto"/>
        <w:rPr>
          <w:sz w:val="20"/>
          <w:szCs w:val="20"/>
          <w:color w:val="auto"/>
        </w:rPr>
      </w:pPr>
      <w:r>
        <w:rPr>
          <w:rFonts w:ascii="Arial" w:cs="Arial" w:eastAsia="Arial" w:hAnsi="Arial"/>
          <w:sz w:val="13"/>
          <w:szCs w:val="13"/>
          <w:color w:val="auto"/>
        </w:rPr>
        <w:t xml:space="preserve">Any money deposited with the Trustee or any Paying Agent, or then held by the Issuer or a Subsidiary, in trust for the payment of the principal of or any premium or interest on the Notes and remaining unclaimed for two years after such principal, premium or interest has become due and payable shall be paid to the Issuer on Issuer Request, or (if then held by the Issuer) shall be discharged from such trust; and the Holder of such Notes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there are then Outstanding any Notes not in global form, the Trustee or such Paying Agent, before being required to make any such repayment, may at the expense of the Issuer cause to be published once, in a newspaper published in the English language, customarily published on each Business Day and of general circulation in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1104.</w:t>
      </w:r>
      <w:r>
        <w:rPr>
          <w:sz w:val="20"/>
          <w:szCs w:val="20"/>
          <w:color w:val="auto"/>
        </w:rPr>
        <w:tab/>
      </w:r>
      <w:r>
        <w:rPr>
          <w:rFonts w:ascii="Arial" w:cs="Arial" w:eastAsia="Arial" w:hAnsi="Arial"/>
          <w:sz w:val="12"/>
          <w:szCs w:val="12"/>
          <w:u w:val="single" w:color="auto"/>
          <w:color w:val="auto"/>
        </w:rPr>
        <w:t>Annual Compliance Certificate; Statement by Officers as to Default</w:t>
      </w:r>
      <w:r>
        <w:rPr>
          <w:rFonts w:ascii="Arial" w:cs="Arial" w:eastAsia="Arial" w:hAnsi="Arial"/>
          <w:sz w:val="12"/>
          <w:szCs w:val="12"/>
          <w:color w:val="auto"/>
        </w:rPr>
        <w:t>.</w:t>
      </w:r>
    </w:p>
    <w:p>
      <w:pPr>
        <w:spacing w:after="0" w:line="157" w:lineRule="exact"/>
        <w:rPr>
          <w:sz w:val="20"/>
          <w:szCs w:val="20"/>
          <w:color w:val="auto"/>
        </w:rPr>
      </w:pPr>
    </w:p>
    <w:p>
      <w:pPr>
        <w:ind w:right="140" w:firstLine="424"/>
        <w:spacing w:after="0" w:line="252" w:lineRule="auto"/>
        <w:tabs>
          <w:tab w:leader="none" w:pos="69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Issuer shall deliver to the Trustee within 120 days after the end of each fiscal year of the Issuer ending after the Issue Date an Officer’s Certificate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If they do, the certificate shall describe such Default or Event of Default, its status and what action the Issuer is taking or proposes to take with respect thereto.</w:t>
      </w:r>
    </w:p>
    <w:p>
      <w:pPr>
        <w:spacing w:after="0" w:line="124" w:lineRule="exact"/>
        <w:rPr>
          <w:rFonts w:ascii="Arial" w:cs="Arial" w:eastAsia="Arial" w:hAnsi="Arial"/>
          <w:sz w:val="13"/>
          <w:szCs w:val="13"/>
          <w:color w:val="auto"/>
        </w:rPr>
      </w:pPr>
    </w:p>
    <w:p>
      <w:pPr>
        <w:ind w:right="240" w:firstLine="424"/>
        <w:spacing w:after="0" w:line="271" w:lineRule="auto"/>
        <w:tabs>
          <w:tab w:leader="none" w:pos="706"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Issuer shall, so long as any Note is Outstanding, deliver to the Trustee within 30 days after the occurrence of a Default, written notice (which need not be an Officer’s Certificate) specifying such Default, and what action the Issuer is taking or proposes to take with respect thereto.</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1105.</w:t>
      </w:r>
      <w:r>
        <w:rPr>
          <w:sz w:val="20"/>
          <w:szCs w:val="20"/>
          <w:color w:val="auto"/>
        </w:rPr>
        <w:tab/>
      </w:r>
      <w:r>
        <w:rPr>
          <w:rFonts w:ascii="Arial" w:cs="Arial" w:eastAsia="Arial" w:hAnsi="Arial"/>
          <w:sz w:val="12"/>
          <w:szCs w:val="12"/>
          <w:u w:val="single" w:color="auto"/>
          <w:color w:val="auto"/>
        </w:rPr>
        <w:t>Existence</w:t>
      </w:r>
      <w:r>
        <w:rPr>
          <w:rFonts w:ascii="Arial" w:cs="Arial" w:eastAsia="Arial" w:hAnsi="Arial"/>
          <w:sz w:val="12"/>
          <w:szCs w:val="12"/>
          <w:color w:val="auto"/>
        </w:rPr>
        <w:t>.</w:t>
      </w:r>
    </w:p>
    <w:p>
      <w:pPr>
        <w:spacing w:after="0" w:line="157" w:lineRule="exact"/>
        <w:rPr>
          <w:sz w:val="20"/>
          <w:szCs w:val="20"/>
          <w:color w:val="auto"/>
        </w:rPr>
      </w:pPr>
    </w:p>
    <w:p>
      <w:pPr>
        <w:ind w:right="200" w:firstLine="432"/>
        <w:spacing w:after="0" w:line="271" w:lineRule="auto"/>
        <w:rPr>
          <w:sz w:val="20"/>
          <w:szCs w:val="20"/>
          <w:color w:val="auto"/>
        </w:rPr>
      </w:pPr>
      <w:r>
        <w:rPr>
          <w:rFonts w:ascii="Arial" w:cs="Arial" w:eastAsia="Arial" w:hAnsi="Arial"/>
          <w:sz w:val="13"/>
          <w:szCs w:val="13"/>
          <w:color w:val="auto"/>
        </w:rPr>
        <w:t xml:space="preserve">Subject to Article Nine, the Issuer and each Guarantor will do or cause to be done all things necessary to preserve and keep in full force and effect its existence, rights (charter and statutory) and franchises;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the Issuer and, if applicable, the Guarantors shall not be required to preserve any such right or</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20"/>
          </w:cols>
          <w:pgMar w:left="220" w:top="435" w:right="259" w:bottom="1440" w:gutter="0" w:footer="0" w:header="0"/>
        </w:sectPr>
      </w:pPr>
    </w:p>
    <w:bookmarkStart w:id="82" w:name="page83"/>
    <w:bookmarkEnd w:id="82"/>
    <w:p>
      <w:pPr>
        <w:spacing w:after="0"/>
        <w:rPr>
          <w:sz w:val="20"/>
          <w:szCs w:val="20"/>
          <w:color w:val="auto"/>
        </w:rPr>
      </w:pPr>
      <w:r>
        <w:rPr>
          <w:rFonts w:ascii="Arial" w:cs="Arial" w:eastAsia="Arial" w:hAnsi="Arial"/>
          <w:sz w:val="13"/>
          <w:szCs w:val="13"/>
          <w:color w:val="auto"/>
        </w:rPr>
        <w:t>franchise if the Board of Directors shall determine that the preservation thereof is no longer desirable in the conduct of the business of the Issuer or such Guarantor, as the case may be.</w:t>
      </w:r>
    </w:p>
    <w:p>
      <w:pPr>
        <w:spacing w:after="0" w:line="14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1106.</w:t>
      </w:r>
      <w:r>
        <w:rPr>
          <w:sz w:val="20"/>
          <w:szCs w:val="20"/>
          <w:color w:val="auto"/>
        </w:rPr>
        <w:tab/>
      </w:r>
      <w:r>
        <w:rPr>
          <w:rFonts w:ascii="Arial" w:cs="Arial" w:eastAsia="Arial" w:hAnsi="Arial"/>
          <w:sz w:val="12"/>
          <w:szCs w:val="12"/>
          <w:u w:val="single" w:color="auto"/>
          <w:color w:val="auto"/>
        </w:rPr>
        <w:t>Limitation on Designation of Unrestricted Subsidiaries</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Board of Directors of the Parent Guarantor may designate any Subsidiary (including any newly formed or newly acquired Subsidiary or a Person becoming a Subsidiary through merger or consolidation or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Investment therein) of the Parent Guarantor as an “Unrestricted Subsidiary” under the Indenture (a “Designation”) only if:</w:t>
      </w:r>
    </w:p>
    <w:p>
      <w:pPr>
        <w:spacing w:after="0" w:line="138" w:lineRule="exact"/>
        <w:rPr>
          <w:sz w:val="20"/>
          <w:szCs w:val="20"/>
          <w:color w:val="auto"/>
        </w:rPr>
      </w:pPr>
    </w:p>
    <w:p>
      <w:pPr>
        <w:ind w:left="1140" w:hanging="283"/>
        <w:spacing w:after="0"/>
        <w:tabs>
          <w:tab w:leader="none" w:pos="11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no Default shall have occurred and be continuing at the time of or after giving effect to such Designation; and</w:t>
      </w:r>
    </w:p>
    <w:p>
      <w:pPr>
        <w:spacing w:after="0" w:line="147" w:lineRule="exact"/>
        <w:rPr>
          <w:rFonts w:ascii="Arial" w:cs="Arial" w:eastAsia="Arial" w:hAnsi="Arial"/>
          <w:sz w:val="13"/>
          <w:szCs w:val="13"/>
          <w:color w:val="auto"/>
        </w:rPr>
      </w:pPr>
    </w:p>
    <w:p>
      <w:pPr>
        <w:ind w:left="420" w:right="300" w:firstLine="437"/>
        <w:spacing w:after="0" w:line="271" w:lineRule="auto"/>
        <w:tabs>
          <w:tab w:leader="none" w:pos="1126"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Parent Guarantor would be permitted to make, at the time of such Designation, (a) a Permitted Investment or (b) an Investment pursuant to Section 1109, in either case, in an amount (the “Designation Amount”) equal to the Fair Market Value of the Parent Guarantor’s proportionate interest in such Subsidiary on such date.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 Subsidiary shall be Designated as an “Unrestricted Subsidiary” unless:</w:t>
      </w:r>
    </w:p>
    <w:p>
      <w:pPr>
        <w:spacing w:after="0" w:line="148" w:lineRule="exact"/>
        <w:rPr>
          <w:sz w:val="20"/>
          <w:szCs w:val="20"/>
          <w:color w:val="auto"/>
        </w:rPr>
      </w:pPr>
    </w:p>
    <w:p>
      <w:pPr>
        <w:jc w:val="both"/>
        <w:ind w:left="420" w:right="100" w:firstLine="437"/>
        <w:spacing w:after="0" w:line="254" w:lineRule="auto"/>
        <w:tabs>
          <w:tab w:leader="none" w:pos="1126" w:val="left"/>
        </w:tabs>
        <w:numPr>
          <w:ilvl w:val="0"/>
          <w:numId w:val="72"/>
        </w:numPr>
        <w:rPr>
          <w:rFonts w:ascii="Arial" w:cs="Arial" w:eastAsia="Arial" w:hAnsi="Arial"/>
          <w:sz w:val="13"/>
          <w:szCs w:val="13"/>
          <w:color w:val="auto"/>
        </w:rPr>
      </w:pPr>
      <w:r>
        <w:rPr>
          <w:rFonts w:ascii="Arial" w:cs="Arial" w:eastAsia="Arial" w:hAnsi="Arial"/>
          <w:sz w:val="13"/>
          <w:szCs w:val="13"/>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Section 1108;</w:t>
      </w:r>
    </w:p>
    <w:p>
      <w:pPr>
        <w:spacing w:after="0" w:line="123" w:lineRule="exact"/>
        <w:rPr>
          <w:rFonts w:ascii="Arial" w:cs="Arial" w:eastAsia="Arial" w:hAnsi="Arial"/>
          <w:sz w:val="13"/>
          <w:szCs w:val="13"/>
          <w:color w:val="auto"/>
        </w:rPr>
      </w:pPr>
    </w:p>
    <w:p>
      <w:pPr>
        <w:ind w:left="420" w:right="280" w:firstLine="437"/>
        <w:spacing w:after="0" w:line="290" w:lineRule="auto"/>
        <w:tabs>
          <w:tab w:leader="none" w:pos="1126" w:val="left"/>
        </w:tabs>
        <w:numPr>
          <w:ilvl w:val="0"/>
          <w:numId w:val="72"/>
        </w:numPr>
        <w:rPr>
          <w:rFonts w:ascii="Arial" w:cs="Arial" w:eastAsia="Arial" w:hAnsi="Arial"/>
          <w:sz w:val="12"/>
          <w:szCs w:val="12"/>
          <w:color w:val="auto"/>
        </w:rPr>
      </w:pPr>
      <w:r>
        <w:rPr>
          <w:rFonts w:ascii="Arial" w:cs="Arial" w:eastAsia="Arial" w:hAnsi="Arial"/>
          <w:sz w:val="12"/>
          <w:szCs w:val="12"/>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103" w:lineRule="exact"/>
        <w:rPr>
          <w:rFonts w:ascii="Arial" w:cs="Arial" w:eastAsia="Arial" w:hAnsi="Arial"/>
          <w:sz w:val="12"/>
          <w:szCs w:val="12"/>
          <w:color w:val="auto"/>
        </w:rPr>
      </w:pPr>
    </w:p>
    <w:p>
      <w:pPr>
        <w:ind w:left="420" w:right="120" w:firstLine="437"/>
        <w:spacing w:after="0" w:line="282" w:lineRule="auto"/>
        <w:tabs>
          <w:tab w:leader="none" w:pos="1126" w:val="left"/>
        </w:tabs>
        <w:numPr>
          <w:ilvl w:val="0"/>
          <w:numId w:val="72"/>
        </w:numPr>
        <w:rPr>
          <w:rFonts w:ascii="Arial" w:cs="Arial" w:eastAsia="Arial" w:hAnsi="Arial"/>
          <w:sz w:val="12"/>
          <w:szCs w:val="12"/>
          <w:color w:val="auto"/>
        </w:rPr>
      </w:pPr>
      <w:r>
        <w:rPr>
          <w:rFonts w:ascii="Arial" w:cs="Arial" w:eastAsia="Arial" w:hAnsi="Arial"/>
          <w:sz w:val="12"/>
          <w:szCs w:val="12"/>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08" w:lineRule="exact"/>
        <w:rPr>
          <w:sz w:val="20"/>
          <w:szCs w:val="20"/>
          <w:color w:val="auto"/>
        </w:rPr>
      </w:pPr>
    </w:p>
    <w:p>
      <w:pPr>
        <w:ind w:right="20" w:firstLine="432"/>
        <w:spacing w:after="0" w:line="258" w:lineRule="auto"/>
        <w:rPr>
          <w:sz w:val="20"/>
          <w:szCs w:val="20"/>
          <w:color w:val="auto"/>
        </w:rPr>
      </w:pPr>
      <w:r>
        <w:rPr>
          <w:rFonts w:ascii="Arial" w:cs="Arial" w:eastAsia="Arial" w:hAnsi="Arial"/>
          <w:sz w:val="13"/>
          <w:szCs w:val="13"/>
          <w:color w:val="auto"/>
        </w:rPr>
        <w:t>Any such Designation by the Board of Directors of the Parent Guarantor shall be evidenced to the Trustee by filing with the Trustee a Board Resolution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40"/>
          </w:cols>
          <w:pgMar w:left="220" w:top="435" w:right="239" w:bottom="1440" w:gutter="0" w:footer="0" w:header="0"/>
        </w:sectPr>
      </w:pPr>
    </w:p>
    <w:bookmarkStart w:id="83" w:name="page84"/>
    <w:bookmarkEnd w:id="83"/>
    <w:p>
      <w:pPr>
        <w:spacing w:after="0" w:line="314" w:lineRule="auto"/>
        <w:rPr>
          <w:sz w:val="20"/>
          <w:szCs w:val="20"/>
          <w:color w:val="auto"/>
        </w:rPr>
      </w:pPr>
      <w:r>
        <w:rPr>
          <w:rFonts w:ascii="Arial" w:cs="Arial" w:eastAsia="Arial" w:hAnsi="Arial"/>
          <w:sz w:val="12"/>
          <w:szCs w:val="12"/>
          <w:color w:val="auto"/>
        </w:rPr>
        <w:t>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Section 1108 or the Lien is not permitted under Section 1110, the Parent Guarantor shall be in default of the applicable covenant.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Board of Directors of the Parent Guarantor may redesignate an Unrestricted Subsidiary as a Restricted Subsidiary (a “Redesignation”) only if:</w:t>
      </w:r>
    </w:p>
    <w:p>
      <w:pPr>
        <w:spacing w:after="0" w:line="148" w:lineRule="exact"/>
        <w:rPr>
          <w:sz w:val="20"/>
          <w:szCs w:val="20"/>
          <w:color w:val="auto"/>
        </w:rPr>
      </w:pPr>
    </w:p>
    <w:p>
      <w:pPr>
        <w:ind w:left="1140" w:hanging="283"/>
        <w:spacing w:after="0"/>
        <w:tabs>
          <w:tab w:leader="none" w:pos="11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no Default shall have occurred and be continuing at the time of and after giving effect to such Redesignation; and</w:t>
      </w:r>
    </w:p>
    <w:p>
      <w:pPr>
        <w:spacing w:after="0" w:line="147" w:lineRule="exact"/>
        <w:rPr>
          <w:rFonts w:ascii="Arial" w:cs="Arial" w:eastAsia="Arial" w:hAnsi="Arial"/>
          <w:sz w:val="13"/>
          <w:szCs w:val="13"/>
          <w:color w:val="auto"/>
        </w:rPr>
      </w:pPr>
    </w:p>
    <w:p>
      <w:pPr>
        <w:ind w:left="420" w:right="20" w:firstLine="437"/>
        <w:spacing w:after="0" w:line="271" w:lineRule="auto"/>
        <w:tabs>
          <w:tab w:leader="none" w:pos="1126" w:val="left"/>
        </w:tabs>
        <w:numPr>
          <w:ilvl w:val="0"/>
          <w:numId w:val="73"/>
        </w:numPr>
        <w:rPr>
          <w:rFonts w:ascii="Arial" w:cs="Arial" w:eastAsia="Arial" w:hAnsi="Arial"/>
          <w:sz w:val="13"/>
          <w:szCs w:val="13"/>
          <w:color w:val="auto"/>
        </w:rPr>
      </w:pPr>
      <w:r>
        <w:rPr>
          <w:rFonts w:ascii="Arial" w:cs="Arial" w:eastAsia="Arial" w:hAnsi="Arial"/>
          <w:sz w:val="13"/>
          <w:szCs w:val="13"/>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13"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Any such Redesignation shall be evidenced to the Trustee by filing with the Trustee a Board Resolution of the Parent Guarantor giving effect to such designation and an Officer’s Certificate certifying that such Redesignation complies with the foregoing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1107. </w:t>
      </w:r>
      <w:r>
        <w:rPr>
          <w:rFonts w:ascii="Arial" w:cs="Arial" w:eastAsia="Arial" w:hAnsi="Arial"/>
          <w:sz w:val="13"/>
          <w:szCs w:val="13"/>
          <w:u w:val="single" w:color="auto"/>
          <w:color w:val="auto"/>
        </w:rPr>
        <w:t>Purchase of Notes Upon a Change of Control</w:t>
      </w:r>
      <w:r>
        <w:rPr>
          <w:rFonts w:ascii="Arial" w:cs="Arial" w:eastAsia="Arial" w:hAnsi="Arial"/>
          <w:sz w:val="13"/>
          <w:szCs w:val="13"/>
          <w:color w:val="auto"/>
        </w:rPr>
        <w:t>.</w:t>
      </w:r>
    </w:p>
    <w:p>
      <w:pPr>
        <w:spacing w:after="0" w:line="157" w:lineRule="exact"/>
        <w:rPr>
          <w:sz w:val="20"/>
          <w:szCs w:val="20"/>
          <w:color w:val="auto"/>
        </w:rPr>
      </w:pPr>
    </w:p>
    <w:p>
      <w:pPr>
        <w:ind w:right="20" w:firstLine="432"/>
        <w:spacing w:after="0" w:line="290" w:lineRule="auto"/>
        <w:rPr>
          <w:sz w:val="20"/>
          <w:szCs w:val="20"/>
          <w:color w:val="auto"/>
        </w:rPr>
      </w:pPr>
      <w:r>
        <w:rPr>
          <w:rFonts w:ascii="Arial" w:cs="Arial" w:eastAsia="Arial" w:hAnsi="Arial"/>
          <w:sz w:val="12"/>
          <w:szCs w:val="12"/>
          <w:color w:val="auto"/>
        </w:rPr>
        <w:t>Upon the occurrence of a Change of Control Triggering Event, unless the Issuer has previously or concurrently exercised its right to redeem all of the Notes under Section 1203, each Holder of Notes will have the right, except as provided below, to require that the Issuer purchase all or any part (equal to $2,000 or an integral multiple of $1,000 in excess thereof) of that Holder’s Notes for a cash price equal to 101.0% of the aggregate principal amount of the Notes to be purchased, plus accrued and unpaid interest, if any, thereon to the date of purchase (the “Change of Control Payment”).</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Not later than 30 days following any Change of Control Triggering Event, the Issuer will deliver, or cause to be delivered, to the Holders, with a copy to the Trustee, a notice:</w:t>
      </w:r>
    </w:p>
    <w:p>
      <w:pPr>
        <w:spacing w:after="0" w:line="148" w:lineRule="exact"/>
        <w:rPr>
          <w:sz w:val="20"/>
          <w:szCs w:val="20"/>
          <w:color w:val="auto"/>
        </w:rPr>
      </w:pPr>
    </w:p>
    <w:p>
      <w:pPr>
        <w:ind w:left="1140" w:hanging="283"/>
        <w:spacing w:after="0"/>
        <w:tabs>
          <w:tab w:leader="none" w:pos="11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describing the transaction or transactions that constitute the Change of Control Triggering Event;</w:t>
      </w:r>
    </w:p>
    <w:p>
      <w:pPr>
        <w:spacing w:after="0" w:line="147" w:lineRule="exact"/>
        <w:rPr>
          <w:rFonts w:ascii="Arial" w:cs="Arial" w:eastAsia="Arial" w:hAnsi="Arial"/>
          <w:sz w:val="13"/>
          <w:szCs w:val="13"/>
          <w:color w:val="auto"/>
        </w:rPr>
      </w:pPr>
    </w:p>
    <w:p>
      <w:pPr>
        <w:ind w:left="420" w:right="100" w:firstLine="437"/>
        <w:spacing w:after="0" w:line="290" w:lineRule="auto"/>
        <w:tabs>
          <w:tab w:leader="none" w:pos="1126" w:val="left"/>
        </w:tabs>
        <w:numPr>
          <w:ilvl w:val="0"/>
          <w:numId w:val="74"/>
        </w:numPr>
        <w:rPr>
          <w:rFonts w:ascii="Arial" w:cs="Arial" w:eastAsia="Arial" w:hAnsi="Arial"/>
          <w:sz w:val="12"/>
          <w:szCs w:val="12"/>
          <w:color w:val="auto"/>
        </w:rPr>
      </w:pPr>
      <w:r>
        <w:rPr>
          <w:rFonts w:ascii="Arial" w:cs="Arial" w:eastAsia="Arial" w:hAnsi="Arial"/>
          <w:sz w:val="12"/>
          <w:szCs w:val="12"/>
          <w:color w:val="auto"/>
        </w:rPr>
        <w:t>offering to purchase, pursuant to the procedures required by the Indenture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City time, on the second Business Day preceding the Change of Control Payment Date; and</w:t>
      </w:r>
    </w:p>
    <w:p>
      <w:pPr>
        <w:spacing w:after="0" w:line="103" w:lineRule="exact"/>
        <w:rPr>
          <w:rFonts w:ascii="Arial" w:cs="Arial" w:eastAsia="Arial" w:hAnsi="Arial"/>
          <w:sz w:val="12"/>
          <w:szCs w:val="12"/>
          <w:color w:val="auto"/>
        </w:rPr>
      </w:pPr>
    </w:p>
    <w:p>
      <w:pPr>
        <w:ind w:left="1140" w:hanging="283"/>
        <w:spacing w:after="0"/>
        <w:tabs>
          <w:tab w:leader="none" w:pos="11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describing the procedures, as determined by the Issuer, consistent with the Indenture, that Holders must follow to accept the Change of Control Offer.</w:t>
      </w:r>
    </w:p>
    <w:p>
      <w:pPr>
        <w:spacing w:after="0" w:line="148" w:lineRule="exact"/>
        <w:rPr>
          <w:sz w:val="20"/>
          <w:szCs w:val="20"/>
          <w:color w:val="auto"/>
        </w:rPr>
      </w:pPr>
    </w:p>
    <w:p>
      <w:pPr>
        <w:ind w:right="80" w:firstLine="432"/>
        <w:spacing w:after="0" w:line="271" w:lineRule="auto"/>
        <w:rPr>
          <w:sz w:val="20"/>
          <w:szCs w:val="20"/>
          <w:color w:val="auto"/>
        </w:rPr>
      </w:pPr>
      <w:r>
        <w:rPr>
          <w:rFonts w:ascii="Arial" w:cs="Arial" w:eastAsia="Arial" w:hAnsi="Arial"/>
          <w:sz w:val="13"/>
          <w:szCs w:val="13"/>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On the Change of Control Payment Date, the Issuer will, to the extent lawful:</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60"/>
          </w:cols>
          <w:pgMar w:left="220" w:top="435" w:right="219" w:bottom="1440" w:gutter="0" w:footer="0" w:header="0"/>
        </w:sectPr>
      </w:pPr>
    </w:p>
    <w:bookmarkStart w:id="84" w:name="page85"/>
    <w:bookmarkEnd w:id="84"/>
    <w:p>
      <w:pPr>
        <w:ind w:left="1140" w:hanging="283"/>
        <w:spacing w:after="0"/>
        <w:tabs>
          <w:tab w:leader="none" w:pos="11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accept for payment all Notes or portions of Notes (of $2,000 or integral multiples of $1,000 in excess thereof) properly tendered pursuant to the Change of Control Offer; and</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deliver or cause to be delivered to the Trustee the Notes so accepted together with an Officer’s Certificate stating the aggregate principal amount of Notes or portions of Notes being purchased by</w:t>
      </w:r>
    </w:p>
    <w:p>
      <w:pPr>
        <w:spacing w:after="0" w:line="25"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the Issuer.</w:t>
      </w:r>
    </w:p>
    <w:p>
      <w:pPr>
        <w:spacing w:after="0" w:line="138" w:lineRule="exact"/>
        <w:rPr>
          <w:sz w:val="20"/>
          <w:szCs w:val="20"/>
          <w:color w:val="auto"/>
        </w:rPr>
      </w:pPr>
    </w:p>
    <w:p>
      <w:pPr>
        <w:ind w:firstLine="432"/>
        <w:spacing w:after="0" w:line="258" w:lineRule="auto"/>
        <w:rPr>
          <w:sz w:val="20"/>
          <w:szCs w:val="20"/>
          <w:color w:val="auto"/>
        </w:rPr>
      </w:pPr>
      <w:r>
        <w:rPr>
          <w:rFonts w:ascii="Arial" w:cs="Arial" w:eastAsia="Arial" w:hAnsi="Arial"/>
          <w:sz w:val="13"/>
          <w:szCs w:val="13"/>
          <w:color w:val="auto"/>
        </w:rPr>
        <w:t xml:space="preserve">The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each such new Note will be in a principal amount of $2,000 or integral multiples of $1,000 in excess thereof.</w:t>
      </w:r>
    </w:p>
    <w:p>
      <w:pPr>
        <w:spacing w:after="0" w:line="121" w:lineRule="exact"/>
        <w:rPr>
          <w:sz w:val="20"/>
          <w:szCs w:val="20"/>
          <w:color w:val="auto"/>
        </w:rPr>
      </w:pPr>
    </w:p>
    <w:p>
      <w:pPr>
        <w:ind w:right="320" w:firstLine="432"/>
        <w:spacing w:after="0" w:line="271" w:lineRule="auto"/>
        <w:rPr>
          <w:sz w:val="20"/>
          <w:szCs w:val="20"/>
          <w:color w:val="auto"/>
        </w:rPr>
      </w:pPr>
      <w:r>
        <w:rPr>
          <w:rFonts w:ascii="Arial" w:cs="Arial" w:eastAsia="Arial" w:hAnsi="Arial"/>
          <w:sz w:val="13"/>
          <w:szCs w:val="13"/>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13" w:lineRule="exact"/>
        <w:rPr>
          <w:sz w:val="20"/>
          <w:szCs w:val="20"/>
          <w:color w:val="auto"/>
        </w:rPr>
      </w:pPr>
    </w:p>
    <w:p>
      <w:pPr>
        <w:ind w:right="100" w:firstLine="432"/>
        <w:spacing w:after="0" w:line="271" w:lineRule="auto"/>
        <w:rPr>
          <w:sz w:val="20"/>
          <w:szCs w:val="20"/>
          <w:color w:val="auto"/>
        </w:rPr>
      </w:pPr>
      <w:r>
        <w:rPr>
          <w:rFonts w:ascii="Arial" w:cs="Arial" w:eastAsia="Arial" w:hAnsi="Arial"/>
          <w:sz w:val="13"/>
          <w:szCs w:val="13"/>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13" w:lineRule="exact"/>
        <w:rPr>
          <w:sz w:val="20"/>
          <w:szCs w:val="20"/>
          <w:color w:val="auto"/>
        </w:rPr>
      </w:pPr>
    </w:p>
    <w:p>
      <w:pPr>
        <w:ind w:right="20" w:firstLine="432"/>
        <w:spacing w:after="0" w:line="290" w:lineRule="auto"/>
        <w:rPr>
          <w:sz w:val="20"/>
          <w:szCs w:val="20"/>
          <w:color w:val="auto"/>
        </w:rPr>
      </w:pPr>
      <w:r>
        <w:rPr>
          <w:rFonts w:ascii="Arial" w:cs="Arial" w:eastAsia="Arial" w:hAnsi="Arial"/>
          <w:sz w:val="12"/>
          <w:szCs w:val="12"/>
          <w:color w:val="auto"/>
        </w:rPr>
        <w:t>The Issuer will not be required to make a Change of Control Offer upon a Change of Control Triggering Event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under Section 1203, unless and until there is a default in the payment of the applicable Redemption Price.</w:t>
      </w:r>
    </w:p>
    <w:p>
      <w:pPr>
        <w:spacing w:after="0" w:line="103" w:lineRule="exact"/>
        <w:rPr>
          <w:sz w:val="20"/>
          <w:szCs w:val="20"/>
          <w:color w:val="auto"/>
        </w:rPr>
      </w:pPr>
    </w:p>
    <w:p>
      <w:pPr>
        <w:ind w:firstLine="432"/>
        <w:spacing w:after="0" w:line="282" w:lineRule="auto"/>
        <w:rPr>
          <w:sz w:val="20"/>
          <w:szCs w:val="20"/>
          <w:color w:val="auto"/>
        </w:rPr>
      </w:pPr>
      <w:r>
        <w:rPr>
          <w:rFonts w:ascii="Arial" w:cs="Arial" w:eastAsia="Arial" w:hAnsi="Arial"/>
          <w:sz w:val="12"/>
          <w:szCs w:val="12"/>
          <w:color w:val="auto"/>
        </w:rPr>
        <w:t>If Holders of not less than 95.0%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30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08" w:lineRule="exact"/>
        <w:rPr>
          <w:sz w:val="20"/>
          <w:szCs w:val="20"/>
          <w:color w:val="auto"/>
        </w:rPr>
      </w:pPr>
    </w:p>
    <w:p>
      <w:pPr>
        <w:jc w:val="both"/>
        <w:ind w:right="140" w:firstLine="432"/>
        <w:spacing w:after="0" w:line="290" w:lineRule="auto"/>
        <w:rPr>
          <w:sz w:val="20"/>
          <w:szCs w:val="20"/>
          <w:color w:val="auto"/>
        </w:rPr>
      </w:pPr>
      <w:r>
        <w:rPr>
          <w:rFonts w:ascii="Arial" w:cs="Arial" w:eastAsia="Arial" w:hAnsi="Arial"/>
          <w:sz w:val="12"/>
          <w:szCs w:val="12"/>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Section 1107, the Issuer shall comply with the applicable securities laws and regulations and will not be deemed to have breached its obligations under this Section 1107 by virtue of such compliance.</w:t>
      </w:r>
    </w:p>
    <w:p>
      <w:pPr>
        <w:spacing w:after="0" w:line="103" w:lineRule="exact"/>
        <w:rPr>
          <w:sz w:val="20"/>
          <w:szCs w:val="20"/>
          <w:color w:val="auto"/>
        </w:rPr>
      </w:pPr>
    </w:p>
    <w:p>
      <w:pPr>
        <w:jc w:val="both"/>
        <w:ind w:right="140" w:firstLine="432"/>
        <w:spacing w:after="0" w:line="271" w:lineRule="auto"/>
        <w:rPr>
          <w:sz w:val="20"/>
          <w:szCs w:val="20"/>
          <w:color w:val="auto"/>
        </w:rPr>
      </w:pPr>
      <w:r>
        <w:rPr>
          <w:rFonts w:ascii="Arial" w:cs="Arial" w:eastAsia="Arial" w:hAnsi="Arial"/>
          <w:sz w:val="13"/>
          <w:szCs w:val="13"/>
          <w:color w:val="auto"/>
        </w:rPr>
        <w:t>Notwithstanding anything to the contrary contained herein,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60"/>
          </w:cols>
          <w:pgMar w:left="220" w:top="435" w:right="219" w:bottom="1440" w:gutter="0" w:footer="0" w:header="0"/>
        </w:sectPr>
      </w:pPr>
    </w:p>
    <w:bookmarkStart w:id="85" w:name="page86"/>
    <w:bookmarkEnd w:id="85"/>
    <w:p>
      <w:pPr>
        <w:spacing w:after="0"/>
        <w:tabs>
          <w:tab w:leader="none" w:pos="820" w:val="left"/>
        </w:tabs>
        <w:rPr>
          <w:sz w:val="20"/>
          <w:szCs w:val="20"/>
          <w:color w:val="auto"/>
        </w:rPr>
      </w:pPr>
      <w:r>
        <w:rPr>
          <w:rFonts w:ascii="Arial" w:cs="Arial" w:eastAsia="Arial" w:hAnsi="Arial"/>
          <w:sz w:val="13"/>
          <w:szCs w:val="13"/>
          <w:color w:val="auto"/>
        </w:rPr>
        <w:t>Section 1108.</w:t>
      </w:r>
      <w:r>
        <w:rPr>
          <w:sz w:val="20"/>
          <w:szCs w:val="20"/>
          <w:color w:val="auto"/>
        </w:rPr>
        <w:tab/>
      </w:r>
      <w:r>
        <w:rPr>
          <w:rFonts w:ascii="Arial" w:cs="Arial" w:eastAsia="Arial" w:hAnsi="Arial"/>
          <w:sz w:val="12"/>
          <w:szCs w:val="12"/>
          <w:u w:val="single" w:color="auto"/>
          <w:color w:val="auto"/>
        </w:rPr>
        <w:t>Limitation on Additional Indebtedness</w:t>
      </w:r>
      <w:r>
        <w:rPr>
          <w:rFonts w:ascii="Arial" w:cs="Arial" w:eastAsia="Arial" w:hAnsi="Arial"/>
          <w:sz w:val="12"/>
          <w:szCs w:val="12"/>
          <w:color w:val="auto"/>
        </w:rPr>
        <w:t>.</w:t>
      </w:r>
    </w:p>
    <w:p>
      <w:pPr>
        <w:spacing w:after="0" w:line="157" w:lineRule="exact"/>
        <w:rPr>
          <w:sz w:val="20"/>
          <w:szCs w:val="20"/>
          <w:color w:val="auto"/>
        </w:rPr>
      </w:pPr>
    </w:p>
    <w:p>
      <w:pPr>
        <w:ind w:right="160" w:firstLine="432"/>
        <w:spacing w:after="0" w:line="258" w:lineRule="auto"/>
        <w:rPr>
          <w:sz w:val="20"/>
          <w:szCs w:val="20"/>
          <w:color w:val="auto"/>
        </w:rPr>
      </w:pPr>
      <w:r>
        <w:rPr>
          <w:rFonts w:ascii="Arial" w:cs="Arial" w:eastAsia="Arial" w:hAnsi="Arial"/>
          <w:sz w:val="13"/>
          <w:szCs w:val="13"/>
          <w:color w:val="auto"/>
        </w:rPr>
        <w:t xml:space="preserve">The Parent Guarantor will not, and will not permit any Restricted Subsidiary to, directly or indirectly, incur any Indebtedness (including Acquired Indebtedness);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Notwithstanding the above, each of the following incurrences of Indebtedness shall be permitted (the “Permitted Indebtedness”):</w:t>
      </w:r>
    </w:p>
    <w:p>
      <w:pPr>
        <w:spacing w:after="0" w:line="148" w:lineRule="exact"/>
        <w:rPr>
          <w:sz w:val="20"/>
          <w:szCs w:val="20"/>
          <w:color w:val="auto"/>
        </w:rPr>
      </w:pPr>
    </w:p>
    <w:p>
      <w:pPr>
        <w:ind w:left="420" w:firstLine="437"/>
        <w:spacing w:after="0" w:line="300" w:lineRule="auto"/>
        <w:tabs>
          <w:tab w:leader="none" w:pos="1126" w:val="left"/>
        </w:tabs>
        <w:numPr>
          <w:ilvl w:val="1"/>
          <w:numId w:val="76"/>
        </w:numPr>
        <w:rPr>
          <w:rFonts w:ascii="Arial" w:cs="Arial" w:eastAsia="Arial" w:hAnsi="Arial"/>
          <w:sz w:val="11"/>
          <w:szCs w:val="11"/>
          <w:color w:val="auto"/>
        </w:rPr>
      </w:pPr>
      <w:r>
        <w:rPr>
          <w:rFonts w:ascii="Arial" w:cs="Arial" w:eastAsia="Arial" w:hAnsi="Arial"/>
          <w:sz w:val="11"/>
          <w:szCs w:val="11"/>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the greater of</w:t>
      </w:r>
    </w:p>
    <w:p>
      <w:pPr>
        <w:ind w:left="580" w:hanging="156"/>
        <w:spacing w:after="0"/>
        <w:tabs>
          <w:tab w:leader="none" w:pos="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$2,000.0 million or (ii)17.5% of the Parent Guarantor’s Consolidated Tangible Assets determined at the time of incurrence;</w:t>
      </w:r>
    </w:p>
    <w:p>
      <w:pPr>
        <w:spacing w:after="0" w:line="137" w:lineRule="exact"/>
        <w:rPr>
          <w:rFonts w:ascii="Arial" w:cs="Arial" w:eastAsia="Arial" w:hAnsi="Arial"/>
          <w:sz w:val="13"/>
          <w:szCs w:val="13"/>
          <w:color w:val="auto"/>
        </w:rPr>
      </w:pPr>
    </w:p>
    <w:p>
      <w:pPr>
        <w:ind w:left="1140" w:hanging="283"/>
        <w:spacing w:after="0"/>
        <w:tabs>
          <w:tab w:leader="none" w:pos="1140" w:val="left"/>
        </w:tabs>
        <w:numPr>
          <w:ilvl w:val="1"/>
          <w:numId w:val="77"/>
        </w:numPr>
        <w:rPr>
          <w:rFonts w:ascii="Arial" w:cs="Arial" w:eastAsia="Arial" w:hAnsi="Arial"/>
          <w:sz w:val="13"/>
          <w:szCs w:val="13"/>
          <w:color w:val="auto"/>
        </w:rPr>
      </w:pPr>
      <w:r>
        <w:rPr>
          <w:rFonts w:ascii="Arial" w:cs="Arial" w:eastAsia="Arial" w:hAnsi="Arial"/>
          <w:sz w:val="13"/>
          <w:szCs w:val="13"/>
          <w:color w:val="auto"/>
        </w:rPr>
        <w:t>Indebtedness under (a) the Notes issued on the Issue Date, (b) the Guarantees of the Notes, (c) any Exchange Notes and (d) the Guarantees of any Exchange Notes;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1"/>
          <w:numId w:val="77"/>
        </w:numPr>
        <w:rPr>
          <w:rFonts w:ascii="Arial" w:cs="Arial" w:eastAsia="Arial" w:hAnsi="Arial"/>
          <w:sz w:val="12"/>
          <w:szCs w:val="12"/>
          <w:color w:val="auto"/>
        </w:rPr>
      </w:pPr>
      <w:r>
        <w:rPr>
          <w:rFonts w:ascii="Arial" w:cs="Arial" w:eastAsia="Arial" w:hAnsi="Arial"/>
          <w:sz w:val="12"/>
          <w:szCs w:val="12"/>
          <w:color w:val="auto"/>
        </w:rPr>
        <w:t>Indebtedness of the Parent Guarantor and its Restricted Subsidiaries to the extent outstanding on the Issue Date (other than Indebtedness referred to in clauses (1), (2) and (6) of this paragraph);</w:t>
      </w:r>
    </w:p>
    <w:p>
      <w:pPr>
        <w:spacing w:after="0" w:line="159" w:lineRule="exact"/>
        <w:rPr>
          <w:rFonts w:ascii="Arial" w:cs="Arial" w:eastAsia="Arial" w:hAnsi="Arial"/>
          <w:sz w:val="12"/>
          <w:szCs w:val="12"/>
          <w:color w:val="auto"/>
        </w:rPr>
      </w:pPr>
    </w:p>
    <w:p>
      <w:pPr>
        <w:jc w:val="both"/>
        <w:ind w:left="420" w:right="20" w:firstLine="437"/>
        <w:spacing w:after="0" w:line="258" w:lineRule="auto"/>
        <w:tabs>
          <w:tab w:leader="none" w:pos="1126" w:val="left"/>
        </w:tabs>
        <w:numPr>
          <w:ilvl w:val="1"/>
          <w:numId w:val="77"/>
        </w:numPr>
        <w:rPr>
          <w:rFonts w:ascii="Arial" w:cs="Arial" w:eastAsia="Arial" w:hAnsi="Arial"/>
          <w:sz w:val="13"/>
          <w:szCs w:val="13"/>
          <w:color w:val="auto"/>
        </w:rPr>
      </w:pPr>
      <w:r>
        <w:rPr>
          <w:rFonts w:ascii="Arial" w:cs="Arial" w:eastAsia="Arial" w:hAnsi="Arial"/>
          <w:sz w:val="13"/>
          <w:szCs w:val="13"/>
          <w:color w:val="auto"/>
        </w:rPr>
        <w:t xml:space="preserve">(a) guarantees by the Issuer or any Guarantor of Indebtedness permitted to be incurred in accordance with the provisions of the Indenture;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121" w:lineRule="exact"/>
        <w:rPr>
          <w:rFonts w:ascii="Arial" w:cs="Arial" w:eastAsia="Arial" w:hAnsi="Arial"/>
          <w:sz w:val="13"/>
          <w:szCs w:val="13"/>
          <w:color w:val="auto"/>
        </w:rPr>
      </w:pPr>
    </w:p>
    <w:p>
      <w:pPr>
        <w:ind w:left="1140" w:hanging="283"/>
        <w:spacing w:after="0"/>
        <w:tabs>
          <w:tab w:leader="none" w:pos="1140" w:val="left"/>
        </w:tabs>
        <w:numPr>
          <w:ilvl w:val="1"/>
          <w:numId w:val="77"/>
        </w:numPr>
        <w:rPr>
          <w:rFonts w:ascii="Arial" w:cs="Arial" w:eastAsia="Arial" w:hAnsi="Arial"/>
          <w:sz w:val="13"/>
          <w:szCs w:val="13"/>
          <w:color w:val="auto"/>
        </w:rPr>
      </w:pPr>
      <w:r>
        <w:rPr>
          <w:rFonts w:ascii="Arial" w:cs="Arial" w:eastAsia="Arial" w:hAnsi="Arial"/>
          <w:sz w:val="13"/>
          <w:szCs w:val="13"/>
          <w:color w:val="auto"/>
        </w:rPr>
        <w:t>Indebtedness under Hedging Obligations entered into for bona fide hedging purposes of the Parent Guarantor or any Restricted Subsidiary and not for the purpose of speculation;</w:t>
      </w:r>
    </w:p>
    <w:p>
      <w:pPr>
        <w:spacing w:after="0" w:line="147" w:lineRule="exact"/>
        <w:rPr>
          <w:rFonts w:ascii="Arial" w:cs="Arial" w:eastAsia="Arial" w:hAnsi="Arial"/>
          <w:sz w:val="13"/>
          <w:szCs w:val="13"/>
          <w:color w:val="auto"/>
        </w:rPr>
      </w:pPr>
    </w:p>
    <w:p>
      <w:pPr>
        <w:jc w:val="both"/>
        <w:ind w:left="420" w:right="20" w:firstLine="437"/>
        <w:spacing w:after="0" w:line="254" w:lineRule="auto"/>
        <w:tabs>
          <w:tab w:leader="none" w:pos="1126" w:val="left"/>
        </w:tabs>
        <w:numPr>
          <w:ilvl w:val="1"/>
          <w:numId w:val="77"/>
        </w:numPr>
        <w:rPr>
          <w:rFonts w:ascii="Arial" w:cs="Arial" w:eastAsia="Arial" w:hAnsi="Arial"/>
          <w:sz w:val="13"/>
          <w:szCs w:val="13"/>
          <w:color w:val="auto"/>
        </w:rPr>
      </w:pPr>
      <w:r>
        <w:rPr>
          <w:rFonts w:ascii="Arial" w:cs="Arial" w:eastAsia="Arial" w:hAnsi="Arial"/>
          <w:sz w:val="13"/>
          <w:szCs w:val="13"/>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123" w:lineRule="exact"/>
        <w:rPr>
          <w:rFonts w:ascii="Arial" w:cs="Arial" w:eastAsia="Arial" w:hAnsi="Arial"/>
          <w:sz w:val="13"/>
          <w:szCs w:val="13"/>
          <w:color w:val="auto"/>
        </w:rPr>
      </w:pPr>
    </w:p>
    <w:p>
      <w:pPr>
        <w:jc w:val="both"/>
        <w:ind w:left="420" w:right="400" w:firstLine="437"/>
        <w:spacing w:after="0" w:line="258" w:lineRule="auto"/>
        <w:tabs>
          <w:tab w:leader="none" w:pos="1126" w:val="left"/>
        </w:tabs>
        <w:numPr>
          <w:ilvl w:val="1"/>
          <w:numId w:val="77"/>
        </w:numPr>
        <w:rPr>
          <w:rFonts w:ascii="Arial" w:cs="Arial" w:eastAsia="Arial" w:hAnsi="Arial"/>
          <w:sz w:val="13"/>
          <w:szCs w:val="13"/>
          <w:color w:val="auto"/>
        </w:rPr>
      </w:pPr>
      <w:r>
        <w:rPr>
          <w:rFonts w:ascii="Arial" w:cs="Arial" w:eastAsia="Arial" w:hAnsi="Arial"/>
          <w:sz w:val="13"/>
          <w:szCs w:val="13"/>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80"/>
          </w:cols>
          <w:pgMar w:left="220" w:top="435" w:right="199" w:bottom="1440" w:gutter="0" w:footer="0" w:header="0"/>
        </w:sectPr>
      </w:pPr>
    </w:p>
    <w:bookmarkStart w:id="86" w:name="page87"/>
    <w:bookmarkEnd w:id="86"/>
    <w:p>
      <w:pPr>
        <w:ind w:right="140"/>
        <w:spacing w:after="0" w:line="258" w:lineRule="auto"/>
        <w:rPr>
          <w:sz w:val="20"/>
          <w:szCs w:val="20"/>
          <w:color w:val="auto"/>
        </w:rPr>
      </w:pPr>
      <w:r>
        <w:rPr>
          <w:rFonts w:ascii="Arial" w:cs="Arial" w:eastAsia="Arial" w:hAnsi="Arial"/>
          <w:sz w:val="13"/>
          <w:szCs w:val="13"/>
          <w:color w:val="auto"/>
        </w:rPr>
        <w:t>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121" w:lineRule="exact"/>
        <w:rPr>
          <w:sz w:val="20"/>
          <w:szCs w:val="20"/>
          <w:color w:val="auto"/>
        </w:rPr>
      </w:pPr>
    </w:p>
    <w:p>
      <w:pPr>
        <w:ind w:right="100" w:firstLine="437"/>
        <w:spacing w:after="0" w:line="364" w:lineRule="auto"/>
        <w:tabs>
          <w:tab w:leader="none" w:pos="706" w:val="left"/>
        </w:tabs>
        <w:numPr>
          <w:ilvl w:val="0"/>
          <w:numId w:val="78"/>
        </w:numPr>
        <w:rPr>
          <w:rFonts w:ascii="Arial" w:cs="Arial" w:eastAsia="Arial" w:hAnsi="Arial"/>
          <w:sz w:val="11"/>
          <w:szCs w:val="11"/>
          <w:color w:val="auto"/>
        </w:rPr>
      </w:pPr>
      <w:r>
        <w:rPr>
          <w:rFonts w:ascii="Arial" w:cs="Arial" w:eastAsia="Arial" w:hAnsi="Arial"/>
          <w:sz w:val="11"/>
          <w:szCs w:val="11"/>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$500.0 million or (b) 5.0% of the Parent Guarantor’s Consolidated Tangible Assets determined at the time of incurrence;</w:t>
      </w:r>
    </w:p>
    <w:p>
      <w:pPr>
        <w:spacing w:after="0" w:line="66" w:lineRule="exact"/>
        <w:rPr>
          <w:rFonts w:ascii="Arial" w:cs="Arial" w:eastAsia="Arial" w:hAnsi="Arial"/>
          <w:sz w:val="11"/>
          <w:szCs w:val="11"/>
          <w:color w:val="auto"/>
        </w:rPr>
      </w:pPr>
    </w:p>
    <w:p>
      <w:pPr>
        <w:ind w:right="580" w:firstLine="437"/>
        <w:spacing w:after="0" w:line="271" w:lineRule="auto"/>
        <w:tabs>
          <w:tab w:leader="none" w:pos="706"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112" w:lineRule="exact"/>
        <w:rPr>
          <w:rFonts w:ascii="Arial" w:cs="Arial" w:eastAsia="Arial" w:hAnsi="Arial"/>
          <w:sz w:val="13"/>
          <w:szCs w:val="13"/>
          <w:color w:val="auto"/>
        </w:rPr>
      </w:pPr>
    </w:p>
    <w:p>
      <w:pPr>
        <w:ind w:left="780" w:hanging="343"/>
        <w:spacing w:after="0"/>
        <w:tabs>
          <w:tab w:leader="none" w:pos="7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Indebtedness of the Parent Guarantor or any Restricted Subsidiary arising in connection with endorsement of instruments for deposit in the ordinary course of business;</w:t>
      </w:r>
    </w:p>
    <w:p>
      <w:pPr>
        <w:spacing w:after="0" w:line="147" w:lineRule="exact"/>
        <w:rPr>
          <w:rFonts w:ascii="Arial" w:cs="Arial" w:eastAsia="Arial" w:hAnsi="Arial"/>
          <w:sz w:val="13"/>
          <w:szCs w:val="13"/>
          <w:color w:val="auto"/>
        </w:rPr>
      </w:pPr>
    </w:p>
    <w:p>
      <w:pPr>
        <w:ind w:right="180" w:firstLine="437"/>
        <w:spacing w:after="0" w:line="271" w:lineRule="auto"/>
        <w:tabs>
          <w:tab w:leader="none" w:pos="767"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Refinancing Indebtedness with respect to Indebtedness incurred pursuant to the Coverage Ratio Exception or with respect to Indebtedness incurred pursuant to clause (2), (3) or (8) above, this clause (11), or clause (13) or (15) below;</w:t>
      </w:r>
    </w:p>
    <w:p>
      <w:pPr>
        <w:spacing w:after="0" w:line="112" w:lineRule="exact"/>
        <w:rPr>
          <w:rFonts w:ascii="Arial" w:cs="Arial" w:eastAsia="Arial" w:hAnsi="Arial"/>
          <w:sz w:val="13"/>
          <w:szCs w:val="13"/>
          <w:color w:val="auto"/>
        </w:rPr>
      </w:pPr>
    </w:p>
    <w:p>
      <w:pPr>
        <w:ind w:firstLine="437"/>
        <w:spacing w:after="0" w:line="258" w:lineRule="auto"/>
        <w:tabs>
          <w:tab w:leader="none" w:pos="772"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21" w:lineRule="exact"/>
        <w:rPr>
          <w:rFonts w:ascii="Arial" w:cs="Arial" w:eastAsia="Arial" w:hAnsi="Arial"/>
          <w:sz w:val="13"/>
          <w:szCs w:val="13"/>
          <w:color w:val="auto"/>
        </w:rPr>
      </w:pPr>
    </w:p>
    <w:p>
      <w:pPr>
        <w:ind w:right="220" w:firstLine="437"/>
        <w:spacing w:after="0" w:line="258" w:lineRule="auto"/>
        <w:tabs>
          <w:tab w:leader="none" w:pos="772" w:val="left"/>
        </w:tabs>
        <w:numPr>
          <w:ilvl w:val="0"/>
          <w:numId w:val="78"/>
        </w:numPr>
        <w:rPr>
          <w:rFonts w:ascii="Arial" w:cs="Arial" w:eastAsia="Arial" w:hAnsi="Arial"/>
          <w:sz w:val="13"/>
          <w:szCs w:val="13"/>
          <w:color w:val="auto"/>
        </w:rPr>
      </w:pPr>
      <w:r>
        <w:rPr>
          <w:rFonts w:ascii="Arial" w:cs="Arial" w:eastAsia="Arial" w:hAnsi="Arial"/>
          <w:sz w:val="13"/>
          <w:szCs w:val="13"/>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$600.0 million or (b) 6.0% of the Parent Guarantor’s Consolidated Tangible Assets determined at the time of incurrence;</w:t>
      </w:r>
    </w:p>
    <w:p>
      <w:pPr>
        <w:spacing w:after="0" w:line="121" w:lineRule="exact"/>
        <w:rPr>
          <w:rFonts w:ascii="Arial" w:cs="Arial" w:eastAsia="Arial" w:hAnsi="Arial"/>
          <w:sz w:val="13"/>
          <w:szCs w:val="13"/>
          <w:color w:val="auto"/>
        </w:rPr>
      </w:pPr>
    </w:p>
    <w:p>
      <w:pPr>
        <w:ind w:left="780" w:hanging="343"/>
        <w:spacing w:after="0"/>
        <w:tabs>
          <w:tab w:leader="none" w:pos="7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Indebtedness in respect of Specified Cash Management Agreements entered into in the ordinary course of business;</w:t>
      </w:r>
    </w:p>
    <w:p>
      <w:pPr>
        <w:spacing w:after="0" w:line="147" w:lineRule="exact"/>
        <w:rPr>
          <w:rFonts w:ascii="Arial" w:cs="Arial" w:eastAsia="Arial" w:hAnsi="Arial"/>
          <w:sz w:val="13"/>
          <w:szCs w:val="13"/>
          <w:color w:val="auto"/>
        </w:rPr>
      </w:pPr>
    </w:p>
    <w:p>
      <w:pPr>
        <w:ind w:right="540" w:firstLine="437"/>
        <w:spacing w:after="0" w:line="271" w:lineRule="auto"/>
        <w:tabs>
          <w:tab w:leader="none" w:pos="772"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Indebtedness incurred in connection with a Permitted Factoring Transaction that is not recourse to the Parent Guarantor or any Restricted Subsidiary (except for Standard Securitization Undertakings); and</w:t>
      </w:r>
    </w:p>
    <w:p>
      <w:pPr>
        <w:spacing w:after="0" w:line="112" w:lineRule="exact"/>
        <w:rPr>
          <w:rFonts w:ascii="Arial" w:cs="Arial" w:eastAsia="Arial" w:hAnsi="Arial"/>
          <w:sz w:val="13"/>
          <w:szCs w:val="13"/>
          <w:color w:val="auto"/>
        </w:rPr>
      </w:pPr>
    </w:p>
    <w:p>
      <w:pPr>
        <w:ind w:firstLine="437"/>
        <w:spacing w:after="0" w:line="258" w:lineRule="auto"/>
        <w:tabs>
          <w:tab w:leader="none" w:pos="772"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at the time such Person or its assets are acquired by the Parent Guarantor or a Restricted Subsidiary, or merged or</w:t>
      </w:r>
    </w:p>
    <w:p>
      <w:pPr>
        <w:spacing w:after="0" w:line="28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040"/>
          </w:cols>
          <w:pgMar w:left="640" w:top="435" w:right="219" w:bottom="1440" w:gutter="0" w:footer="0" w:header="0"/>
        </w:sectPr>
      </w:pPr>
    </w:p>
    <w:bookmarkStart w:id="87" w:name="page88"/>
    <w:bookmarkEnd w:id="87"/>
    <w:p>
      <w:pPr>
        <w:ind w:left="420" w:right="260"/>
        <w:spacing w:after="0" w:line="290" w:lineRule="auto"/>
        <w:rPr>
          <w:sz w:val="20"/>
          <w:szCs w:val="20"/>
          <w:color w:val="auto"/>
        </w:rPr>
      </w:pPr>
      <w:r>
        <w:rPr>
          <w:rFonts w:ascii="Arial" w:cs="Arial" w:eastAsia="Arial" w:hAnsi="Arial"/>
          <w:sz w:val="12"/>
          <w:szCs w:val="12"/>
          <w:color w:val="auto"/>
        </w:rPr>
        <w:t>consolidated with the Parent Guarantor or any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03" w:lineRule="exact"/>
        <w:rPr>
          <w:sz w:val="20"/>
          <w:szCs w:val="20"/>
          <w:color w:val="auto"/>
        </w:rPr>
      </w:pPr>
    </w:p>
    <w:p>
      <w:pPr>
        <w:ind w:right="20" w:firstLine="432"/>
        <w:spacing w:after="0" w:line="274" w:lineRule="auto"/>
        <w:rPr>
          <w:sz w:val="20"/>
          <w:szCs w:val="20"/>
          <w:color w:val="auto"/>
        </w:rPr>
      </w:pPr>
      <w:r>
        <w:rPr>
          <w:rFonts w:ascii="Arial" w:cs="Arial" w:eastAsia="Arial" w:hAnsi="Arial"/>
          <w:sz w:val="12"/>
          <w:szCs w:val="12"/>
          <w:color w:val="auto"/>
        </w:rPr>
        <w:t>For purposes of determining compliance with this Section 1108,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13" w:lineRule="exact"/>
        <w:rPr>
          <w:sz w:val="20"/>
          <w:szCs w:val="20"/>
          <w:color w:val="auto"/>
        </w:rPr>
      </w:pPr>
    </w:p>
    <w:p>
      <w:pPr>
        <w:ind w:firstLine="432"/>
        <w:spacing w:after="0" w:line="314" w:lineRule="auto"/>
        <w:rPr>
          <w:sz w:val="20"/>
          <w:szCs w:val="20"/>
          <w:color w:val="auto"/>
        </w:rPr>
      </w:pPr>
      <w:r>
        <w:rPr>
          <w:rFonts w:ascii="Arial" w:cs="Arial" w:eastAsia="Arial" w:hAnsi="Arial"/>
          <w:sz w:val="12"/>
          <w:szCs w:val="12"/>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Section 1108; </w:t>
      </w:r>
      <w:r>
        <w:rPr>
          <w:rFonts w:ascii="Arial" w:cs="Arial" w:eastAsia="Arial" w:hAnsi="Arial"/>
          <w:sz w:val="12"/>
          <w:szCs w:val="12"/>
          <w:i w:val="1"/>
          <w:iCs w:val="1"/>
          <w:color w:val="auto"/>
        </w:rPr>
        <w:t>provided</w:t>
      </w:r>
      <w:r>
        <w:rPr>
          <w:rFonts w:ascii="Arial" w:cs="Arial" w:eastAsia="Arial" w:hAnsi="Arial"/>
          <w:sz w:val="12"/>
          <w:szCs w:val="12"/>
          <w:color w:val="auto"/>
        </w:rPr>
        <w:t>, in each such case, that the amount thereof is included in Consolidated Interest Expense of the Parent Guarantor as accrued.</w:t>
      </w:r>
    </w:p>
    <w:p>
      <w:pPr>
        <w:spacing w:after="0" w:line="89" w:lineRule="exact"/>
        <w:rPr>
          <w:sz w:val="20"/>
          <w:szCs w:val="20"/>
          <w:color w:val="auto"/>
        </w:rPr>
      </w:pPr>
    </w:p>
    <w:p>
      <w:pPr>
        <w:ind w:right="60" w:firstLine="432"/>
        <w:spacing w:after="0" w:line="274" w:lineRule="auto"/>
        <w:rPr>
          <w:sz w:val="20"/>
          <w:szCs w:val="20"/>
          <w:color w:val="auto"/>
        </w:rPr>
      </w:pPr>
      <w:r>
        <w:rPr>
          <w:rFonts w:ascii="Arial" w:cs="Arial" w:eastAsia="Arial" w:hAnsi="Arial"/>
          <w:sz w:val="12"/>
          <w:szCs w:val="12"/>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13" w:lineRule="exact"/>
        <w:rPr>
          <w:sz w:val="20"/>
          <w:szCs w:val="20"/>
          <w:color w:val="auto"/>
        </w:rPr>
      </w:pPr>
    </w:p>
    <w:p>
      <w:pPr>
        <w:ind w:right="580" w:firstLine="432"/>
        <w:spacing w:after="0" w:line="271" w:lineRule="auto"/>
        <w:rPr>
          <w:sz w:val="20"/>
          <w:szCs w:val="20"/>
          <w:color w:val="auto"/>
        </w:rPr>
      </w:pPr>
      <w:r>
        <w:rPr>
          <w:rFonts w:ascii="Arial" w:cs="Arial" w:eastAsia="Arial" w:hAnsi="Arial"/>
          <w:sz w:val="13"/>
          <w:szCs w:val="13"/>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1108, the Issuer shall be in Default of this covenant).</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1109.</w:t>
      </w:r>
      <w:r>
        <w:rPr>
          <w:sz w:val="20"/>
          <w:szCs w:val="20"/>
          <w:color w:val="auto"/>
        </w:rPr>
        <w:tab/>
      </w:r>
      <w:r>
        <w:rPr>
          <w:rFonts w:ascii="Arial" w:cs="Arial" w:eastAsia="Arial" w:hAnsi="Arial"/>
          <w:sz w:val="12"/>
          <w:szCs w:val="12"/>
          <w:u w:val="single" w:color="auto"/>
          <w:color w:val="auto"/>
        </w:rPr>
        <w:t>Limitation on Restricted Payments</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Parent Guarantor will not, and will not permit any Restricted Subsidiary to, directly or indirectly, make any Restricted Payment if at the time of such Restricted Payment:</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60"/>
          </w:cols>
          <w:pgMar w:left="220" w:top="435" w:right="219" w:bottom="1440" w:gutter="0" w:footer="0" w:header="0"/>
        </w:sectPr>
      </w:pPr>
    </w:p>
    <w:bookmarkStart w:id="88" w:name="page89"/>
    <w:bookmarkEnd w:id="88"/>
    <w:p>
      <w:pPr>
        <w:ind w:left="720" w:hanging="283"/>
        <w:spacing w:after="0"/>
        <w:tabs>
          <w:tab w:leader="none" w:pos="7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 Default shall have occurred and be continuing or shall occur as a consequence thereof;</w:t>
      </w:r>
    </w:p>
    <w:p>
      <w:pPr>
        <w:spacing w:after="0" w:line="147" w:lineRule="exact"/>
        <w:rPr>
          <w:rFonts w:ascii="Arial" w:cs="Arial" w:eastAsia="Arial" w:hAnsi="Arial"/>
          <w:sz w:val="13"/>
          <w:szCs w:val="13"/>
          <w:color w:val="auto"/>
        </w:rPr>
      </w:pPr>
    </w:p>
    <w:p>
      <w:pPr>
        <w:ind w:left="720" w:hanging="283"/>
        <w:spacing w:after="0"/>
        <w:tabs>
          <w:tab w:leader="none" w:pos="7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the Parent Guarantor is not able to incur at least $1.00 of additional Indebtedness pursuant to the Coverage Ratio Exception; or</w:t>
      </w:r>
    </w:p>
    <w:p>
      <w:pPr>
        <w:spacing w:after="0" w:line="147" w:lineRule="exact"/>
        <w:rPr>
          <w:rFonts w:ascii="Arial" w:cs="Arial" w:eastAsia="Arial" w:hAnsi="Arial"/>
          <w:sz w:val="13"/>
          <w:szCs w:val="13"/>
          <w:color w:val="auto"/>
        </w:rPr>
      </w:pPr>
    </w:p>
    <w:p>
      <w:pPr>
        <w:ind w:left="720" w:hanging="283"/>
        <w:spacing w:after="0"/>
        <w:tabs>
          <w:tab w:leader="none" w:pos="720" w:val="left"/>
        </w:tabs>
        <w:numPr>
          <w:ilvl w:val="1"/>
          <w:numId w:val="79"/>
        </w:numPr>
        <w:rPr>
          <w:rFonts w:ascii="Arial" w:cs="Arial" w:eastAsia="Arial" w:hAnsi="Arial"/>
          <w:sz w:val="11"/>
          <w:szCs w:val="11"/>
          <w:color w:val="auto"/>
        </w:rPr>
      </w:pPr>
      <w:r>
        <w:rPr>
          <w:rFonts w:ascii="Arial" w:cs="Arial" w:eastAsia="Arial" w:hAnsi="Arial"/>
          <w:sz w:val="11"/>
          <w:szCs w:val="11"/>
          <w:color w:val="auto"/>
        </w:rPr>
        <w:t>the amount of such Restricted Payment, when added to the aggregate amount of all other Restricted Payments made after the Issue Date (other than Restricted Payments made pursuant to clauses</w:t>
      </w:r>
    </w:p>
    <w:p>
      <w:pPr>
        <w:spacing w:after="0" w:line="36" w:lineRule="exact"/>
        <w:rPr>
          <w:rFonts w:ascii="Arial" w:cs="Arial" w:eastAsia="Arial" w:hAnsi="Arial"/>
          <w:sz w:val="11"/>
          <w:szCs w:val="11"/>
          <w:color w:val="auto"/>
        </w:rPr>
      </w:pPr>
    </w:p>
    <w:p>
      <w:pPr>
        <w:ind w:left="200" w:hanging="196"/>
        <w:spacing w:after="0"/>
        <w:tabs>
          <w:tab w:leader="none" w:pos="2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through (11) of the next paragraph), exceeds the sum (the “Restricted Payments Basket”) of (without duplication):</w:t>
      </w:r>
    </w:p>
    <w:p>
      <w:pPr>
        <w:spacing w:after="0" w:line="137" w:lineRule="exact"/>
        <w:rPr>
          <w:rFonts w:ascii="Arial" w:cs="Arial" w:eastAsia="Arial" w:hAnsi="Arial"/>
          <w:sz w:val="13"/>
          <w:szCs w:val="13"/>
          <w:color w:val="auto"/>
        </w:rPr>
      </w:pPr>
    </w:p>
    <w:p>
      <w:pPr>
        <w:ind w:left="440" w:firstLine="429"/>
        <w:spacing w:after="0" w:line="258" w:lineRule="auto"/>
        <w:tabs>
          <w:tab w:leader="none" w:pos="1139" w:val="left"/>
        </w:tabs>
        <w:numPr>
          <w:ilvl w:val="2"/>
          <w:numId w:val="80"/>
        </w:numPr>
        <w:rPr>
          <w:rFonts w:ascii="Arial" w:cs="Arial" w:eastAsia="Arial" w:hAnsi="Arial"/>
          <w:sz w:val="13"/>
          <w:szCs w:val="13"/>
          <w:color w:val="auto"/>
        </w:rPr>
      </w:pPr>
      <w:r>
        <w:rPr>
          <w:rFonts w:ascii="Arial" w:cs="Arial" w:eastAsia="Arial" w:hAnsi="Arial"/>
          <w:sz w:val="13"/>
          <w:szCs w:val="13"/>
          <w:color w:val="auto"/>
        </w:rPr>
        <w:t>50.0% of Consolidated Net Income of the Parent Guarantor and the Restricted Subsidiaries for the period (taken as one accounting period) commencing on January 1, 2017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21" w:lineRule="exact"/>
        <w:rPr>
          <w:rFonts w:ascii="Arial" w:cs="Arial" w:eastAsia="Arial" w:hAnsi="Arial"/>
          <w:sz w:val="13"/>
          <w:szCs w:val="13"/>
          <w:color w:val="auto"/>
        </w:rPr>
      </w:pPr>
    </w:p>
    <w:p>
      <w:pPr>
        <w:ind w:left="440" w:right="20" w:firstLine="429"/>
        <w:spacing w:after="0" w:line="305" w:lineRule="auto"/>
        <w:tabs>
          <w:tab w:leader="none" w:pos="1146" w:val="left"/>
        </w:tabs>
        <w:numPr>
          <w:ilvl w:val="2"/>
          <w:numId w:val="80"/>
        </w:numPr>
        <w:rPr>
          <w:rFonts w:ascii="Arial" w:cs="Arial" w:eastAsia="Arial" w:hAnsi="Arial"/>
          <w:sz w:val="11"/>
          <w:szCs w:val="11"/>
          <w:color w:val="auto"/>
        </w:rPr>
      </w:pPr>
      <w:r>
        <w:rPr>
          <w:rFonts w:ascii="Arial" w:cs="Arial" w:eastAsia="Arial" w:hAnsi="Arial"/>
          <w:sz w:val="11"/>
          <w:szCs w:val="11"/>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the Prior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98" w:lineRule="exact"/>
        <w:rPr>
          <w:rFonts w:ascii="Arial" w:cs="Arial" w:eastAsia="Arial" w:hAnsi="Arial"/>
          <w:sz w:val="11"/>
          <w:szCs w:val="11"/>
          <w:color w:val="auto"/>
        </w:rPr>
      </w:pPr>
    </w:p>
    <w:p>
      <w:pPr>
        <w:jc w:val="both"/>
        <w:ind w:left="440" w:right="100" w:firstLine="429"/>
        <w:spacing w:after="0" w:line="258" w:lineRule="auto"/>
        <w:tabs>
          <w:tab w:leader="none" w:pos="1172" w:val="left"/>
        </w:tabs>
        <w:numPr>
          <w:ilvl w:val="2"/>
          <w:numId w:val="80"/>
        </w:numPr>
        <w:rPr>
          <w:rFonts w:ascii="Arial" w:cs="Arial" w:eastAsia="Arial" w:hAnsi="Arial"/>
          <w:sz w:val="13"/>
          <w:szCs w:val="13"/>
          <w:color w:val="auto"/>
        </w:rPr>
      </w:pPr>
      <w:r>
        <w:rPr>
          <w:rFonts w:ascii="Arial" w:cs="Arial" w:eastAsia="Arial" w:hAnsi="Arial"/>
          <w:sz w:val="13"/>
          <w:szCs w:val="13"/>
          <w:color w:val="auto"/>
        </w:rPr>
        <w:t>in the case of the disposition or repayment of or return on any Investment that was treated as a Restricted Payment after the Prior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21" w:lineRule="exact"/>
        <w:rPr>
          <w:rFonts w:ascii="Arial" w:cs="Arial" w:eastAsia="Arial" w:hAnsi="Arial"/>
          <w:sz w:val="13"/>
          <w:szCs w:val="13"/>
          <w:color w:val="auto"/>
        </w:rPr>
      </w:pPr>
    </w:p>
    <w:p>
      <w:pPr>
        <w:ind w:left="1140" w:hanging="271"/>
        <w:spacing w:after="0"/>
        <w:tabs>
          <w:tab w:leader="none" w:pos="1140" w:val="left"/>
        </w:tabs>
        <w:numPr>
          <w:ilvl w:val="2"/>
          <w:numId w:val="80"/>
        </w:numPr>
        <w:rPr>
          <w:rFonts w:ascii="Arial" w:cs="Arial" w:eastAsia="Arial" w:hAnsi="Arial"/>
          <w:sz w:val="11"/>
          <w:szCs w:val="11"/>
          <w:color w:val="auto"/>
        </w:rPr>
      </w:pPr>
      <w:r>
        <w:rPr>
          <w:rFonts w:ascii="Arial" w:cs="Arial" w:eastAsia="Arial" w:hAnsi="Arial"/>
          <w:sz w:val="11"/>
          <w:szCs w:val="11"/>
          <w:color w:val="auto"/>
        </w:rPr>
        <w:t>upon a Redesignation of an Unrestricted Subsidiary as a Restricted Subsidiary, an amount (to the extent not included in the computation of Consolidated Net Income) equal to the lesser of</w:t>
      </w:r>
    </w:p>
    <w:p>
      <w:pPr>
        <w:spacing w:after="0" w:line="36" w:lineRule="exact"/>
        <w:rPr>
          <w:rFonts w:ascii="Arial" w:cs="Arial" w:eastAsia="Arial" w:hAnsi="Arial"/>
          <w:sz w:val="11"/>
          <w:szCs w:val="11"/>
          <w:color w:val="auto"/>
        </w:rPr>
      </w:pPr>
    </w:p>
    <w:p>
      <w:pPr>
        <w:ind w:left="440" w:right="460"/>
        <w:spacing w:after="0" w:line="297" w:lineRule="auto"/>
        <w:rPr>
          <w:rFonts w:ascii="Arial" w:cs="Arial" w:eastAsia="Arial" w:hAnsi="Arial"/>
          <w:sz w:val="11"/>
          <w:szCs w:val="11"/>
          <w:color w:val="auto"/>
        </w:rPr>
      </w:pPr>
      <w:r>
        <w:rPr>
          <w:rFonts w:ascii="Arial" w:cs="Arial" w:eastAsia="Arial" w:hAnsi="Arial"/>
          <w:sz w:val="12"/>
          <w:szCs w:val="12"/>
          <w:color w:val="auto"/>
        </w:rPr>
        <w:t>(i)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Notwithstanding the foregoing, the provisions set forth in the immediately preceding paragraph will not prohibit:</w:t>
      </w:r>
    </w:p>
    <w:p>
      <w:pPr>
        <w:spacing w:after="0" w:line="312"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040"/>
          </w:cols>
          <w:pgMar w:left="640" w:top="435" w:right="219" w:bottom="1440" w:gutter="0" w:footer="0" w:header="0"/>
        </w:sectPr>
      </w:pPr>
    </w:p>
    <w:bookmarkStart w:id="89" w:name="page90"/>
    <w:bookmarkEnd w:id="89"/>
    <w:p>
      <w:pPr>
        <w:ind w:right="20" w:firstLine="437"/>
        <w:spacing w:after="0" w:line="271" w:lineRule="auto"/>
        <w:tabs>
          <w:tab w:leader="none" w:pos="706"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112" w:lineRule="exact"/>
        <w:rPr>
          <w:rFonts w:ascii="Arial" w:cs="Arial" w:eastAsia="Arial" w:hAnsi="Arial"/>
          <w:sz w:val="13"/>
          <w:szCs w:val="13"/>
          <w:color w:val="auto"/>
        </w:rPr>
      </w:pPr>
    </w:p>
    <w:p>
      <w:pPr>
        <w:ind w:left="720" w:hanging="283"/>
        <w:spacing w:after="0"/>
        <w:tabs>
          <w:tab w:leader="none" w:pos="7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any Restricted Payment made in exchange for, or out of the proceeds of, the substantially concurrent issuance and sale of Qualified Equity Interests;</w:t>
      </w:r>
    </w:p>
    <w:p>
      <w:pPr>
        <w:spacing w:after="0" w:line="147" w:lineRule="exact"/>
        <w:rPr>
          <w:rFonts w:ascii="Arial" w:cs="Arial" w:eastAsia="Arial" w:hAnsi="Arial"/>
          <w:sz w:val="13"/>
          <w:szCs w:val="13"/>
          <w:color w:val="auto"/>
        </w:rPr>
      </w:pPr>
    </w:p>
    <w:p>
      <w:pPr>
        <w:ind w:firstLine="437"/>
        <w:spacing w:after="0" w:line="314" w:lineRule="auto"/>
        <w:tabs>
          <w:tab w:leader="none" w:pos="706"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Section 1108 and the other terms of the Indenture;</w:t>
      </w:r>
    </w:p>
    <w:p>
      <w:pPr>
        <w:spacing w:after="0" w:line="89" w:lineRule="exact"/>
        <w:rPr>
          <w:rFonts w:ascii="Arial" w:cs="Arial" w:eastAsia="Arial" w:hAnsi="Arial"/>
          <w:sz w:val="12"/>
          <w:szCs w:val="12"/>
          <w:color w:val="auto"/>
        </w:rPr>
      </w:pPr>
    </w:p>
    <w:p>
      <w:pPr>
        <w:ind w:firstLine="437"/>
        <w:spacing w:after="0" w:line="254" w:lineRule="auto"/>
        <w:tabs>
          <w:tab w:leader="none" w:pos="706"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Section 1107;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prior to or simultaneously with such purchase, repurchase, redemption, defeasance or other acquisition or retirement, the Issuer has made the Change of Control Offer as provided in Section 1107 and has completed the repurchase or redemption of all Notes validly tendered for payment in connection with such Change of Control Offer;</w:t>
      </w:r>
    </w:p>
    <w:p>
      <w:pPr>
        <w:spacing w:after="0" w:line="123" w:lineRule="exact"/>
        <w:rPr>
          <w:rFonts w:ascii="Arial" w:cs="Arial" w:eastAsia="Arial" w:hAnsi="Arial"/>
          <w:sz w:val="13"/>
          <w:szCs w:val="13"/>
          <w:color w:val="auto"/>
        </w:rPr>
      </w:pPr>
    </w:p>
    <w:p>
      <w:pPr>
        <w:ind w:firstLine="437"/>
        <w:spacing w:after="0" w:line="293" w:lineRule="auto"/>
        <w:tabs>
          <w:tab w:leader="none" w:pos="706" w:val="left"/>
        </w:tabs>
        <w:numPr>
          <w:ilvl w:val="0"/>
          <w:numId w:val="81"/>
        </w:numPr>
        <w:rPr>
          <w:rFonts w:ascii="Arial" w:cs="Arial" w:eastAsia="Arial" w:hAnsi="Arial"/>
          <w:sz w:val="11"/>
          <w:szCs w:val="11"/>
          <w:color w:val="auto"/>
        </w:rPr>
      </w:pPr>
      <w:r>
        <w:rPr>
          <w:rFonts w:ascii="Arial" w:cs="Arial" w:eastAsia="Arial" w:hAnsi="Arial"/>
          <w:sz w:val="11"/>
          <w:szCs w:val="11"/>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1"/>
          <w:szCs w:val="11"/>
          <w:i w:val="1"/>
          <w:iCs w:val="1"/>
          <w:color w:val="auto"/>
        </w:rPr>
        <w:t>provided</w:t>
      </w:r>
      <w:r>
        <w:rPr>
          <w:rFonts w:ascii="Arial" w:cs="Arial" w:eastAsia="Arial" w:hAnsi="Arial"/>
          <w:sz w:val="11"/>
          <w:szCs w:val="11"/>
          <w:color w:val="auto"/>
        </w:rPr>
        <w:t>, in any case, that the aggregate cash consideration paid for all such redemptions, repurchases or other acquisitions or retirements shall not exceed (A) $50.0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 Payments pursuant to this clause</w:t>
      </w:r>
    </w:p>
    <w:p>
      <w:pPr>
        <w:spacing w:after="0" w:line="255" w:lineRule="auto"/>
        <w:rPr>
          <w:rFonts w:ascii="Arial" w:cs="Arial" w:eastAsia="Arial" w:hAnsi="Arial"/>
          <w:sz w:val="11"/>
          <w:szCs w:val="11"/>
          <w:color w:val="auto"/>
        </w:rPr>
      </w:pPr>
      <w:r>
        <w:rPr>
          <w:rFonts w:ascii="Arial" w:cs="Arial" w:eastAsia="Arial" w:hAnsi="Arial"/>
          <w:sz w:val="13"/>
          <w:szCs w:val="13"/>
          <w:color w:val="auto"/>
        </w:rPr>
        <w:t xml:space="preserve">(5); and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122" w:lineRule="exact"/>
        <w:rPr>
          <w:rFonts w:ascii="Arial" w:cs="Arial" w:eastAsia="Arial" w:hAnsi="Arial"/>
          <w:sz w:val="11"/>
          <w:szCs w:val="11"/>
          <w:color w:val="auto"/>
        </w:rPr>
      </w:pPr>
    </w:p>
    <w:p>
      <w:pPr>
        <w:ind w:right="280" w:firstLine="437"/>
        <w:spacing w:after="0" w:line="258" w:lineRule="auto"/>
        <w:tabs>
          <w:tab w:leader="none" w:pos="706" w:val="left"/>
        </w:tabs>
        <w:numPr>
          <w:ilvl w:val="0"/>
          <w:numId w:val="81"/>
        </w:numPr>
        <w:rPr>
          <w:rFonts w:ascii="Arial" w:cs="Arial" w:eastAsia="Arial" w:hAnsi="Arial"/>
          <w:sz w:val="13"/>
          <w:szCs w:val="13"/>
          <w:color w:val="auto"/>
        </w:rPr>
      </w:pPr>
      <w:r>
        <w:rPr>
          <w:rFonts w:ascii="Arial" w:cs="Arial" w:eastAsia="Arial" w:hAnsi="Arial"/>
          <w:sz w:val="13"/>
          <w:szCs w:val="13"/>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w:t>
      </w:r>
    </w:p>
    <w:p>
      <w:pPr>
        <w:spacing w:after="0" w:line="28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040"/>
          </w:cols>
          <w:pgMar w:left="640" w:top="435" w:right="219" w:bottom="1440" w:gutter="0" w:footer="0" w:header="0"/>
        </w:sectPr>
      </w:pPr>
    </w:p>
    <w:bookmarkStart w:id="90" w:name="page91"/>
    <w:bookmarkEnd w:id="90"/>
    <w:p>
      <w:pPr>
        <w:ind w:left="420" w:right="500"/>
        <w:spacing w:after="0" w:line="271" w:lineRule="auto"/>
        <w:rPr>
          <w:sz w:val="20"/>
          <w:szCs w:val="20"/>
          <w:color w:val="auto"/>
        </w:rPr>
      </w:pPr>
      <w:r>
        <w:rPr>
          <w:rFonts w:ascii="Arial" w:cs="Arial" w:eastAsia="Arial" w:hAnsi="Arial"/>
          <w:sz w:val="13"/>
          <w:szCs w:val="13"/>
          <w:color w:val="auto"/>
        </w:rPr>
        <w:t>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113" w:lineRule="exact"/>
        <w:rPr>
          <w:sz w:val="20"/>
          <w:szCs w:val="20"/>
          <w:color w:val="auto"/>
        </w:rPr>
      </w:pPr>
    </w:p>
    <w:p>
      <w:pPr>
        <w:ind w:left="420" w:right="80" w:firstLine="437"/>
        <w:spacing w:after="0" w:line="271" w:lineRule="auto"/>
        <w:tabs>
          <w:tab w:leader="none" w:pos="1126" w:val="left"/>
        </w:tabs>
        <w:numPr>
          <w:ilvl w:val="0"/>
          <w:numId w:val="82"/>
        </w:numPr>
        <w:rPr>
          <w:rFonts w:ascii="Arial" w:cs="Arial" w:eastAsia="Arial" w:hAnsi="Arial"/>
          <w:sz w:val="13"/>
          <w:szCs w:val="13"/>
          <w:color w:val="auto"/>
        </w:rPr>
      </w:pPr>
      <w:r>
        <w:rPr>
          <w:rFonts w:ascii="Arial" w:cs="Arial" w:eastAsia="Arial" w:hAnsi="Arial"/>
          <w:sz w:val="13"/>
          <w:szCs w:val="13"/>
          <w:color w:val="auto"/>
        </w:rPr>
        <w:t>dividends or distributions on Disqualified Equity Interests of the Parent Guarantor or on any Preferred Stock of any Restricted Subsidiary, in each case issued in compliance with Section 1108 to the extent such dividends or distributions are included in the definition of Consolidated Interest Expense;</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payment of cash in lieu of fractional Equity Interests;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payments or distributions to dissenting stockholders pursuant to applicable law in connection with a merger, consolidation or amalgamation that complies with the provisions of Section 901;</w:t>
      </w:r>
    </w:p>
    <w:p>
      <w:pPr>
        <w:spacing w:after="0" w:line="159" w:lineRule="exact"/>
        <w:rPr>
          <w:rFonts w:ascii="Arial" w:cs="Arial" w:eastAsia="Arial" w:hAnsi="Arial"/>
          <w:sz w:val="12"/>
          <w:szCs w:val="12"/>
          <w:color w:val="auto"/>
        </w:rPr>
      </w:pPr>
    </w:p>
    <w:p>
      <w:pPr>
        <w:ind w:left="1200" w:hanging="343"/>
        <w:spacing w:after="0"/>
        <w:tabs>
          <w:tab w:leader="none" w:pos="1200" w:val="left"/>
        </w:tabs>
        <w:numPr>
          <w:ilvl w:val="0"/>
          <w:numId w:val="82"/>
        </w:numPr>
        <w:rPr>
          <w:rFonts w:ascii="Arial" w:cs="Arial" w:eastAsia="Arial" w:hAnsi="Arial"/>
          <w:sz w:val="12"/>
          <w:szCs w:val="12"/>
          <w:color w:val="auto"/>
        </w:rPr>
      </w:pPr>
      <w:r>
        <w:rPr>
          <w:rFonts w:ascii="Arial" w:cs="Arial" w:eastAsia="Arial" w:hAnsi="Arial"/>
          <w:sz w:val="12"/>
          <w:szCs w:val="12"/>
          <w:color w:val="auto"/>
        </w:rPr>
        <w:t>purchases of receivables pursuant to a Receivables Repurchase Obligation in connection with a Permitted Factoring Transaction and the payment or distribution of fees related thereto;</w:t>
      </w:r>
    </w:p>
    <w:p>
      <w:pPr>
        <w:spacing w:after="0" w:line="159" w:lineRule="exact"/>
        <w:rPr>
          <w:rFonts w:ascii="Arial" w:cs="Arial" w:eastAsia="Arial" w:hAnsi="Arial"/>
          <w:sz w:val="12"/>
          <w:szCs w:val="12"/>
          <w:color w:val="auto"/>
        </w:rPr>
      </w:pPr>
    </w:p>
    <w:p>
      <w:pPr>
        <w:ind w:left="420" w:right="300" w:firstLine="437"/>
        <w:spacing w:after="0" w:line="271" w:lineRule="auto"/>
        <w:tabs>
          <w:tab w:leader="none" w:pos="1187" w:val="left"/>
        </w:tabs>
        <w:numPr>
          <w:ilvl w:val="0"/>
          <w:numId w:val="82"/>
        </w:numPr>
        <w:rPr>
          <w:rFonts w:ascii="Arial" w:cs="Arial" w:eastAsia="Arial" w:hAnsi="Arial"/>
          <w:sz w:val="13"/>
          <w:szCs w:val="13"/>
          <w:color w:val="auto"/>
        </w:rPr>
      </w:pPr>
      <w:r>
        <w:rPr>
          <w:rFonts w:ascii="Arial" w:cs="Arial" w:eastAsia="Arial" w:hAnsi="Arial"/>
          <w:sz w:val="13"/>
          <w:szCs w:val="13"/>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12" w:lineRule="exact"/>
        <w:rPr>
          <w:rFonts w:ascii="Arial" w:cs="Arial" w:eastAsia="Arial" w:hAnsi="Arial"/>
          <w:sz w:val="13"/>
          <w:szCs w:val="13"/>
          <w:color w:val="auto"/>
        </w:rPr>
      </w:pPr>
    </w:p>
    <w:p>
      <w:pPr>
        <w:ind w:left="1200" w:hanging="343"/>
        <w:spacing w:after="0"/>
        <w:tabs>
          <w:tab w:leader="none" w:pos="12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so long as no Default or Event of Default has occurred and is continuing, a Qualified Spin Transaction;</w:t>
      </w:r>
    </w:p>
    <w:p>
      <w:pPr>
        <w:spacing w:after="0" w:line="147" w:lineRule="exact"/>
        <w:rPr>
          <w:rFonts w:ascii="Arial" w:cs="Arial" w:eastAsia="Arial" w:hAnsi="Arial"/>
          <w:sz w:val="13"/>
          <w:szCs w:val="13"/>
          <w:color w:val="auto"/>
        </w:rPr>
      </w:pPr>
    </w:p>
    <w:p>
      <w:pPr>
        <w:ind w:left="420" w:right="420" w:firstLine="437"/>
        <w:spacing w:after="0" w:line="271" w:lineRule="auto"/>
        <w:tabs>
          <w:tab w:leader="none" w:pos="1225" w:val="left"/>
        </w:tabs>
        <w:numPr>
          <w:ilvl w:val="0"/>
          <w:numId w:val="82"/>
        </w:numPr>
        <w:rPr>
          <w:rFonts w:ascii="Arial" w:cs="Arial" w:eastAsia="Arial" w:hAnsi="Arial"/>
          <w:sz w:val="13"/>
          <w:szCs w:val="13"/>
          <w:color w:val="auto"/>
        </w:rPr>
      </w:pPr>
      <w:r>
        <w:rPr>
          <w:rFonts w:ascii="Arial" w:cs="Arial" w:eastAsia="Arial" w:hAnsi="Arial"/>
          <w:sz w:val="13"/>
          <w:szCs w:val="13"/>
          <w:color w:val="auto"/>
        </w:rPr>
        <w:t>payment of other Restricted Payments from time to time in an aggregate amount since the Issue Date not to exceed the greater of (i) $100.0 million or (ii) 2.0% of the Parent Guarantor’s Consolidated Tangible Assets determined at the time made; or</w:t>
      </w:r>
    </w:p>
    <w:p>
      <w:pPr>
        <w:spacing w:after="0" w:line="112" w:lineRule="exact"/>
        <w:rPr>
          <w:rFonts w:ascii="Arial" w:cs="Arial" w:eastAsia="Arial" w:hAnsi="Arial"/>
          <w:sz w:val="13"/>
          <w:szCs w:val="13"/>
          <w:color w:val="auto"/>
        </w:rPr>
      </w:pPr>
    </w:p>
    <w:p>
      <w:pPr>
        <w:ind w:left="420" w:right="520" w:firstLine="437"/>
        <w:spacing w:after="0" w:line="271" w:lineRule="auto"/>
        <w:tabs>
          <w:tab w:leader="none" w:pos="1192" w:val="left"/>
        </w:tabs>
        <w:numPr>
          <w:ilvl w:val="0"/>
          <w:numId w:val="82"/>
        </w:numPr>
        <w:rPr>
          <w:rFonts w:ascii="Arial" w:cs="Arial" w:eastAsia="Arial" w:hAnsi="Arial"/>
          <w:sz w:val="13"/>
          <w:szCs w:val="13"/>
          <w:color w:val="auto"/>
        </w:rPr>
      </w:pPr>
      <w:r>
        <w:rPr>
          <w:rFonts w:ascii="Arial" w:cs="Arial" w:eastAsia="Arial" w:hAnsi="Arial"/>
          <w:sz w:val="13"/>
          <w:szCs w:val="13"/>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 issuance and sale of Qualified Equity Interests used to make a payment pursuant to clauses (2) or (5)(B) above shall increase the Restricted Payments Basket to the extent of such payment.</w:t>
      </w:r>
    </w:p>
    <w:p>
      <w:pPr>
        <w:spacing w:after="0" w:line="159" w:lineRule="exact"/>
        <w:rPr>
          <w:sz w:val="20"/>
          <w:szCs w:val="20"/>
          <w:color w:val="auto"/>
        </w:rPr>
      </w:pPr>
    </w:p>
    <w:p>
      <w:pPr>
        <w:ind w:firstLine="432"/>
        <w:spacing w:after="0" w:line="254" w:lineRule="auto"/>
        <w:rPr>
          <w:sz w:val="20"/>
          <w:szCs w:val="20"/>
          <w:color w:val="auto"/>
        </w:rPr>
      </w:pPr>
      <w:r>
        <w:rPr>
          <w:rFonts w:ascii="Arial" w:cs="Arial" w:eastAsia="Arial" w:hAnsi="Arial"/>
          <w:sz w:val="13"/>
          <w:szCs w:val="13"/>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24"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1110.</w:t>
      </w:r>
      <w:r>
        <w:rPr>
          <w:sz w:val="20"/>
          <w:szCs w:val="20"/>
          <w:color w:val="auto"/>
        </w:rPr>
        <w:tab/>
      </w:r>
      <w:r>
        <w:rPr>
          <w:rFonts w:ascii="Arial" w:cs="Arial" w:eastAsia="Arial" w:hAnsi="Arial"/>
          <w:sz w:val="12"/>
          <w:szCs w:val="12"/>
          <w:u w:val="single" w:color="auto"/>
          <w:color w:val="auto"/>
        </w:rPr>
        <w:t>Limitation on Liens</w:t>
      </w:r>
      <w:r>
        <w:rPr>
          <w:rFonts w:ascii="Arial" w:cs="Arial" w:eastAsia="Arial" w:hAnsi="Arial"/>
          <w:sz w:val="12"/>
          <w:szCs w:val="12"/>
          <w:color w:val="auto"/>
        </w:rPr>
        <w:t>.</w:t>
      </w:r>
    </w:p>
    <w:p>
      <w:pPr>
        <w:spacing w:after="0" w:line="157" w:lineRule="exact"/>
        <w:rPr>
          <w:sz w:val="20"/>
          <w:szCs w:val="20"/>
          <w:color w:val="auto"/>
        </w:rPr>
      </w:pPr>
    </w:p>
    <w:p>
      <w:pPr>
        <w:ind w:right="380" w:firstLine="432"/>
        <w:spacing w:after="0" w:line="271" w:lineRule="auto"/>
        <w:rPr>
          <w:sz w:val="20"/>
          <w:szCs w:val="20"/>
          <w:color w:val="auto"/>
        </w:rPr>
      </w:pPr>
      <w:r>
        <w:rPr>
          <w:rFonts w:ascii="Arial" w:cs="Arial" w:eastAsia="Arial" w:hAnsi="Arial"/>
          <w:sz w:val="13"/>
          <w:szCs w:val="13"/>
          <w:color w:val="auto"/>
        </w:rPr>
        <w:t>The Parent Guarantor will not, nor will it permit any Restricted Subsidiary to, create, assume, incur or suffer to exist any Lien upon any property, whether owned or leased on the Issue Date or thereafter acquired, to secure any Debt of the Parent Guarantor or any other Person (other than the Notes or Debt that is non-recourse to</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440"/>
          </w:cols>
          <w:pgMar w:left="220" w:top="435" w:right="239" w:bottom="1440" w:gutter="0" w:footer="0" w:header="0"/>
        </w:sectPr>
      </w:pPr>
    </w:p>
    <w:bookmarkStart w:id="91" w:name="page92"/>
    <w:bookmarkEnd w:id="91"/>
    <w:p>
      <w:pPr>
        <w:spacing w:after="0"/>
        <w:rPr>
          <w:sz w:val="20"/>
          <w:szCs w:val="20"/>
          <w:color w:val="auto"/>
        </w:rPr>
      </w:pPr>
      <w:r>
        <w:rPr>
          <w:rFonts w:ascii="Arial" w:cs="Arial" w:eastAsia="Arial" w:hAnsi="Arial"/>
          <w:sz w:val="12"/>
          <w:szCs w:val="12"/>
          <w:color w:val="auto"/>
        </w:rPr>
        <w:t>the Parent Guarantor and any of its Restricted Subsidiaries), without in any such case making effective provision whereby all of the Notes then Outstanding shall be secured equally and ratably with, or prior to, such</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Debt so long as such Debt shall be so secured. This restriction shall not apply to:</w:t>
      </w:r>
    </w:p>
    <w:p>
      <w:pPr>
        <w:spacing w:after="0" w:line="138" w:lineRule="exact"/>
        <w:rPr>
          <w:sz w:val="20"/>
          <w:szCs w:val="20"/>
          <w:color w:val="auto"/>
        </w:rPr>
      </w:pPr>
    </w:p>
    <w:p>
      <w:pPr>
        <w:ind w:left="420" w:right="140" w:firstLine="437"/>
        <w:spacing w:after="0" w:line="271" w:lineRule="auto"/>
        <w:tabs>
          <w:tab w:leader="none" w:pos="1126" w:val="left"/>
        </w:tabs>
        <w:numPr>
          <w:ilvl w:val="0"/>
          <w:numId w:val="83"/>
        </w:numPr>
        <w:rPr>
          <w:rFonts w:ascii="Arial" w:cs="Arial" w:eastAsia="Arial" w:hAnsi="Arial"/>
          <w:sz w:val="13"/>
          <w:szCs w:val="13"/>
          <w:color w:val="auto"/>
        </w:rPr>
      </w:pPr>
      <w:r>
        <w:rPr>
          <w:rFonts w:ascii="Arial" w:cs="Arial" w:eastAsia="Arial" w:hAnsi="Arial"/>
          <w:sz w:val="13"/>
          <w:szCs w:val="13"/>
          <w:color w:val="auto"/>
        </w:rPr>
        <w:t>Liens (i) existing on the Issue Date, (ii) provided for under the terms of agreements existing on such date securing Debt existing on such date or (iii) under the terms of a Credit Facility securing Indebtedness incurred pursuant to clause (1) of the definition of Permitted Indebtedness;</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Liens on current assets to secure current liabilities;</w:t>
      </w:r>
    </w:p>
    <w:p>
      <w:pPr>
        <w:spacing w:after="0" w:line="147" w:lineRule="exact"/>
        <w:rPr>
          <w:rFonts w:ascii="Arial" w:cs="Arial" w:eastAsia="Arial" w:hAnsi="Arial"/>
          <w:sz w:val="13"/>
          <w:szCs w:val="13"/>
          <w:color w:val="auto"/>
        </w:rPr>
      </w:pPr>
    </w:p>
    <w:p>
      <w:pPr>
        <w:ind w:left="420" w:right="40" w:firstLine="437"/>
        <w:spacing w:after="0" w:line="275" w:lineRule="auto"/>
        <w:tabs>
          <w:tab w:leader="none" w:pos="1126" w:val="left"/>
        </w:tabs>
        <w:numPr>
          <w:ilvl w:val="0"/>
          <w:numId w:val="83"/>
        </w:numPr>
        <w:rPr>
          <w:rFonts w:ascii="Arial" w:cs="Arial" w:eastAsia="Arial" w:hAnsi="Arial"/>
          <w:sz w:val="12"/>
          <w:szCs w:val="12"/>
          <w:color w:val="auto"/>
        </w:rPr>
      </w:pPr>
      <w:r>
        <w:rPr>
          <w:rFonts w:ascii="Arial" w:cs="Arial" w:eastAsia="Arial" w:hAnsi="Arial"/>
          <w:sz w:val="12"/>
          <w:szCs w:val="12"/>
          <w:color w:val="auto"/>
        </w:rPr>
        <w:t xml:space="preserve">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(3) whether or not such Lien is created within such one year period;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114" w:lineRule="exact"/>
        <w:rPr>
          <w:rFonts w:ascii="Arial" w:cs="Arial" w:eastAsia="Arial" w:hAnsi="Arial"/>
          <w:sz w:val="12"/>
          <w:szCs w:val="12"/>
          <w:color w:val="auto"/>
        </w:rPr>
      </w:pPr>
    </w:p>
    <w:p>
      <w:pPr>
        <w:jc w:val="both"/>
        <w:ind w:left="420" w:right="60" w:firstLine="437"/>
        <w:spacing w:after="0" w:line="258" w:lineRule="auto"/>
        <w:tabs>
          <w:tab w:leader="none" w:pos="1126" w:val="left"/>
        </w:tabs>
        <w:numPr>
          <w:ilvl w:val="0"/>
          <w:numId w:val="83"/>
        </w:numPr>
        <w:rPr>
          <w:rFonts w:ascii="Arial" w:cs="Arial" w:eastAsia="Arial" w:hAnsi="Arial"/>
          <w:sz w:val="13"/>
          <w:szCs w:val="13"/>
          <w:color w:val="auto"/>
        </w:rPr>
      </w:pPr>
      <w:r>
        <w:rPr>
          <w:rFonts w:ascii="Arial" w:cs="Arial" w:eastAsia="Arial" w:hAnsi="Arial"/>
          <w:sz w:val="13"/>
          <w:szCs w:val="13"/>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121" w:lineRule="exact"/>
        <w:rPr>
          <w:rFonts w:ascii="Arial" w:cs="Arial" w:eastAsia="Arial" w:hAnsi="Arial"/>
          <w:sz w:val="13"/>
          <w:szCs w:val="13"/>
          <w:color w:val="auto"/>
        </w:rPr>
      </w:pPr>
    </w:p>
    <w:p>
      <w:pPr>
        <w:ind w:left="1140" w:hanging="283"/>
        <w:spacing w:after="0"/>
        <w:tabs>
          <w:tab w:leader="none" w:pos="11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Liens in favor of the Parent Guarantor or any Restricted Subsidiary;</w:t>
      </w:r>
    </w:p>
    <w:p>
      <w:pPr>
        <w:spacing w:after="0" w:line="147" w:lineRule="exact"/>
        <w:rPr>
          <w:rFonts w:ascii="Arial" w:cs="Arial" w:eastAsia="Arial" w:hAnsi="Arial"/>
          <w:sz w:val="13"/>
          <w:szCs w:val="13"/>
          <w:color w:val="auto"/>
        </w:rPr>
      </w:pPr>
    </w:p>
    <w:p>
      <w:pPr>
        <w:ind w:left="420" w:firstLine="437"/>
        <w:spacing w:after="0" w:line="282" w:lineRule="auto"/>
        <w:tabs>
          <w:tab w:leader="none" w:pos="1126" w:val="left"/>
        </w:tabs>
        <w:numPr>
          <w:ilvl w:val="0"/>
          <w:numId w:val="83"/>
        </w:numPr>
        <w:rPr>
          <w:rFonts w:ascii="Arial" w:cs="Arial" w:eastAsia="Arial" w:hAnsi="Arial"/>
          <w:sz w:val="12"/>
          <w:szCs w:val="12"/>
          <w:color w:val="auto"/>
        </w:rPr>
      </w:pPr>
      <w:r>
        <w:rPr>
          <w:rFonts w:ascii="Arial" w:cs="Arial" w:eastAsia="Arial" w:hAnsi="Arial"/>
          <w:sz w:val="12"/>
          <w:szCs w:val="12"/>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Debt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108" w:lineRule="exact"/>
        <w:rPr>
          <w:rFonts w:ascii="Arial" w:cs="Arial" w:eastAsia="Arial" w:hAnsi="Arial"/>
          <w:sz w:val="12"/>
          <w:szCs w:val="12"/>
          <w:color w:val="auto"/>
        </w:rPr>
      </w:pPr>
    </w:p>
    <w:p>
      <w:pPr>
        <w:ind w:left="1140" w:hanging="283"/>
        <w:spacing w:after="0"/>
        <w:tabs>
          <w:tab w:leader="none" w:pos="11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Permitted Liens; and</w:t>
      </w:r>
    </w:p>
    <w:p>
      <w:pPr>
        <w:spacing w:after="0" w:line="147" w:lineRule="exact"/>
        <w:rPr>
          <w:rFonts w:ascii="Arial" w:cs="Arial" w:eastAsia="Arial" w:hAnsi="Arial"/>
          <w:sz w:val="13"/>
          <w:szCs w:val="13"/>
          <w:color w:val="auto"/>
        </w:rPr>
      </w:pPr>
    </w:p>
    <w:p>
      <w:pPr>
        <w:ind w:left="420" w:right="200" w:firstLine="437"/>
        <w:spacing w:after="0" w:line="258" w:lineRule="auto"/>
        <w:tabs>
          <w:tab w:leader="none" w:pos="1126"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any extension, renewal, or replacement (or successive extensions, renewals or replacements), in whole or in part, of any Lien referred to in any of the foregoing clauses (1), (2), (3), (4), (5), (6) and (7) to the extent such extension, renewal or replacement (or successive extensions, renewals or replacements) involves a Lien described in the foregoing clauses;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principal amount of Debt secured thereby shall not exceed the principal amount of Debt so secured at the time 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60"/>
          </w:cols>
          <w:pgMar w:left="220" w:top="435" w:right="219" w:bottom="1440" w:gutter="0" w:footer="0" w:header="0"/>
        </w:sectPr>
      </w:pPr>
    </w:p>
    <w:bookmarkStart w:id="92" w:name="page93"/>
    <w:bookmarkEnd w:id="92"/>
    <w:p>
      <w:pPr>
        <w:ind w:left="420" w:right="60"/>
        <w:spacing w:after="0" w:line="271" w:lineRule="auto"/>
        <w:rPr>
          <w:sz w:val="20"/>
          <w:szCs w:val="20"/>
          <w:color w:val="auto"/>
        </w:rPr>
      </w:pPr>
      <w:r>
        <w:rPr>
          <w:rFonts w:ascii="Arial" w:cs="Arial" w:eastAsia="Arial" w:hAnsi="Arial"/>
          <w:sz w:val="13"/>
          <w:szCs w:val="13"/>
          <w:color w:val="auto"/>
        </w:rPr>
        <w:t>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13"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Notwithstanding the foregoing provisions of this Section 1110, the Parent Guarantor and any Restricted Subsidiary may issue, assume or guarantee secured Debt, which would otherwise be subject to the foregoing restrictions, in an aggregate amount which, together with all other such secured Debt and together with the aggregate amount of Attributable Indebtedness of the Parent Guarantor and its Restricted Subsidiaries deemed to be outstanding in respect of all Sale-Leaseback Transactions (excluding any such Sale-Leaseback Transactions the proceeds of which have been applied in accordance with clauses (a), (b) or (c) in the first paragraph of Section 1112) does not exceed 15% of Consolidated Net Worth, as shown on a consolidated balance sheet, as of a date not more than 150 days prior to the proposed transaction, prepared by the Parent Guarantor in accordance with GAAP.</w:t>
      </w:r>
    </w:p>
    <w:p>
      <w:pPr>
        <w:spacing w:after="0" w:line="125"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1111.</w:t>
      </w:r>
      <w:r>
        <w:rPr>
          <w:sz w:val="20"/>
          <w:szCs w:val="20"/>
          <w:color w:val="auto"/>
        </w:rPr>
        <w:tab/>
      </w:r>
      <w:r>
        <w:rPr>
          <w:rFonts w:ascii="Arial" w:cs="Arial" w:eastAsia="Arial" w:hAnsi="Arial"/>
          <w:sz w:val="12"/>
          <w:szCs w:val="12"/>
          <w:u w:val="single" w:color="auto"/>
          <w:color w:val="auto"/>
        </w:rPr>
        <w:t>Limitation on Dividends and Other Restrictions Affecting Restricted Subsidiaries</w:t>
      </w:r>
      <w:r>
        <w:rPr>
          <w:rFonts w:ascii="Arial" w:cs="Arial" w:eastAsia="Arial" w:hAnsi="Arial"/>
          <w:sz w:val="12"/>
          <w:szCs w:val="12"/>
          <w:color w:val="auto"/>
        </w:rPr>
        <w:t>.</w:t>
      </w:r>
    </w:p>
    <w:p>
      <w:pPr>
        <w:spacing w:after="0" w:line="157" w:lineRule="exact"/>
        <w:rPr>
          <w:sz w:val="20"/>
          <w:szCs w:val="20"/>
          <w:color w:val="auto"/>
        </w:rPr>
      </w:pPr>
    </w:p>
    <w:p>
      <w:pPr>
        <w:ind w:right="180" w:firstLine="432"/>
        <w:spacing w:after="0" w:line="271" w:lineRule="auto"/>
        <w:rPr>
          <w:sz w:val="20"/>
          <w:szCs w:val="20"/>
          <w:color w:val="auto"/>
        </w:rPr>
      </w:pPr>
      <w:r>
        <w:rPr>
          <w:rFonts w:ascii="Arial" w:cs="Arial" w:eastAsia="Arial" w:hAnsi="Arial"/>
          <w:sz w:val="13"/>
          <w:szCs w:val="13"/>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113" w:lineRule="exact"/>
        <w:rPr>
          <w:sz w:val="20"/>
          <w:szCs w:val="20"/>
          <w:color w:val="auto"/>
        </w:rPr>
      </w:pPr>
    </w:p>
    <w:p>
      <w:pPr>
        <w:ind w:left="420" w:right="220" w:firstLine="437"/>
        <w:spacing w:after="0" w:line="258" w:lineRule="auto"/>
        <w:tabs>
          <w:tab w:leader="none" w:pos="1119" w:val="left"/>
        </w:tabs>
        <w:numPr>
          <w:ilvl w:val="0"/>
          <w:numId w:val="84"/>
        </w:numPr>
        <w:rPr>
          <w:rFonts w:ascii="Arial" w:cs="Arial" w:eastAsia="Arial" w:hAnsi="Arial"/>
          <w:sz w:val="13"/>
          <w:szCs w:val="13"/>
          <w:color w:val="auto"/>
        </w:rPr>
      </w:pPr>
      <w:r>
        <w:rPr>
          <w:rFonts w:ascii="Arial" w:cs="Arial" w:eastAsia="Arial" w:hAnsi="Arial"/>
          <w:sz w:val="13"/>
          <w:szCs w:val="13"/>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21" w:lineRule="exact"/>
        <w:rPr>
          <w:rFonts w:ascii="Arial" w:cs="Arial" w:eastAsia="Arial" w:hAnsi="Arial"/>
          <w:sz w:val="13"/>
          <w:szCs w:val="13"/>
          <w:color w:val="auto"/>
        </w:rPr>
      </w:pPr>
    </w:p>
    <w:p>
      <w:pPr>
        <w:ind w:left="420" w:right="80" w:firstLine="437"/>
        <w:spacing w:after="0" w:line="258" w:lineRule="auto"/>
        <w:tabs>
          <w:tab w:leader="none" w:pos="1126" w:val="left"/>
        </w:tabs>
        <w:numPr>
          <w:ilvl w:val="0"/>
          <w:numId w:val="84"/>
        </w:numPr>
        <w:rPr>
          <w:rFonts w:ascii="Arial" w:cs="Arial" w:eastAsia="Arial" w:hAnsi="Arial"/>
          <w:sz w:val="13"/>
          <w:szCs w:val="13"/>
          <w:color w:val="auto"/>
        </w:rPr>
      </w:pPr>
      <w:r>
        <w:rPr>
          <w:rFonts w:ascii="Arial" w:cs="Arial" w:eastAsia="Arial" w:hAnsi="Arial"/>
          <w:sz w:val="13"/>
          <w:szCs w:val="13"/>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121" w:lineRule="exact"/>
        <w:rPr>
          <w:rFonts w:ascii="Arial" w:cs="Arial" w:eastAsia="Arial" w:hAnsi="Arial"/>
          <w:sz w:val="13"/>
          <w:szCs w:val="13"/>
          <w:color w:val="auto"/>
        </w:rPr>
      </w:pPr>
    </w:p>
    <w:p>
      <w:pPr>
        <w:ind w:left="420" w:right="40" w:firstLine="437"/>
        <w:spacing w:after="0" w:line="271" w:lineRule="auto"/>
        <w:tabs>
          <w:tab w:leader="none" w:pos="111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transfer any of its property or assets to the Parent Guarantor or any other Restricted Subsidiary (it being understood that such transfers shall not include any type of transfer described in clause (a) or (b) above);</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except for, in each case:</w:t>
      </w:r>
    </w:p>
    <w:p>
      <w:pPr>
        <w:spacing w:after="0" w:line="148" w:lineRule="exact"/>
        <w:rPr>
          <w:sz w:val="20"/>
          <w:szCs w:val="20"/>
          <w:color w:val="auto"/>
        </w:rPr>
      </w:pPr>
    </w:p>
    <w:p>
      <w:pPr>
        <w:ind w:left="1140" w:hanging="283"/>
        <w:spacing w:after="0"/>
        <w:tabs>
          <w:tab w:leader="none" w:pos="11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encumbrances or restrictions existing under agreements existing on the Issue Date (including, without limitation, the Credit Agreement and the Term Loan Agreement) as in effect on that date;</w:t>
      </w:r>
    </w:p>
    <w:p>
      <w:pPr>
        <w:spacing w:after="0" w:line="159" w:lineRule="exact"/>
        <w:rPr>
          <w:rFonts w:ascii="Arial" w:cs="Arial" w:eastAsia="Arial" w:hAnsi="Arial"/>
          <w:sz w:val="12"/>
          <w:szCs w:val="12"/>
          <w:color w:val="auto"/>
        </w:rPr>
      </w:pPr>
    </w:p>
    <w:p>
      <w:pPr>
        <w:ind w:left="1140" w:hanging="283"/>
        <w:spacing w:after="0"/>
        <w:tabs>
          <w:tab w:leader="none" w:pos="11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encumbrances or restrictions existing under the Indenture, the Notes and the Guarantees;</w:t>
      </w:r>
    </w:p>
    <w:p>
      <w:pPr>
        <w:spacing w:after="0" w:line="147" w:lineRule="exact"/>
        <w:rPr>
          <w:rFonts w:ascii="Arial" w:cs="Arial" w:eastAsia="Arial" w:hAnsi="Arial"/>
          <w:sz w:val="13"/>
          <w:szCs w:val="13"/>
          <w:color w:val="auto"/>
        </w:rPr>
      </w:pPr>
    </w:p>
    <w:p>
      <w:pPr>
        <w:ind w:left="420" w:right="220" w:firstLine="437"/>
        <w:spacing w:after="0" w:line="271" w:lineRule="auto"/>
        <w:tabs>
          <w:tab w:leader="none" w:pos="1126" w:val="left"/>
        </w:tabs>
        <w:numPr>
          <w:ilvl w:val="0"/>
          <w:numId w:val="85"/>
        </w:numPr>
        <w:rPr>
          <w:rFonts w:ascii="Arial" w:cs="Arial" w:eastAsia="Arial" w:hAnsi="Arial"/>
          <w:sz w:val="13"/>
          <w:szCs w:val="13"/>
          <w:color w:val="auto"/>
        </w:rPr>
      </w:pPr>
      <w:r>
        <w:rPr>
          <w:rFonts w:ascii="Arial" w:cs="Arial" w:eastAsia="Arial" w:hAnsi="Arial"/>
          <w:sz w:val="13"/>
          <w:szCs w:val="13"/>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40"/>
          </w:cols>
          <w:pgMar w:left="220" w:top="435" w:right="239" w:bottom="1440" w:gutter="0" w:footer="0" w:header="0"/>
        </w:sectPr>
      </w:pPr>
    </w:p>
    <w:bookmarkStart w:id="93" w:name="page94"/>
    <w:bookmarkEnd w:id="93"/>
    <w:p>
      <w:pPr>
        <w:ind w:right="100" w:firstLine="437"/>
        <w:spacing w:after="0" w:line="258" w:lineRule="auto"/>
        <w:tabs>
          <w:tab w:leader="none" w:pos="706"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21" w:lineRule="exact"/>
        <w:rPr>
          <w:rFonts w:ascii="Arial" w:cs="Arial" w:eastAsia="Arial" w:hAnsi="Arial"/>
          <w:sz w:val="13"/>
          <w:szCs w:val="13"/>
          <w:color w:val="auto"/>
        </w:rPr>
      </w:pPr>
    </w:p>
    <w:p>
      <w:pPr>
        <w:ind w:right="120" w:firstLine="437"/>
        <w:spacing w:after="0" w:line="254" w:lineRule="auto"/>
        <w:tabs>
          <w:tab w:leader="none" w:pos="706" w:val="left"/>
        </w:tabs>
        <w:numPr>
          <w:ilvl w:val="0"/>
          <w:numId w:val="86"/>
        </w:numPr>
        <w:rPr>
          <w:rFonts w:ascii="Arial" w:cs="Arial" w:eastAsia="Arial" w:hAnsi="Arial"/>
          <w:sz w:val="13"/>
          <w:szCs w:val="13"/>
          <w:color w:val="auto"/>
        </w:rPr>
      </w:pPr>
      <w:r>
        <w:rPr>
          <w:rFonts w:ascii="Arial" w:cs="Arial" w:eastAsia="Arial" w:hAnsi="Arial"/>
          <w:sz w:val="13"/>
          <w:szCs w:val="13"/>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amendments, restatements, modifications, renewals, increases, supplements, refunding, replacements or refinancing are, in the good faith judgment of the Parent Guarantor, not materially</w:t>
      </w:r>
      <w:r>
        <w:rPr>
          <w:rFonts w:ascii="Arial" w:cs="Arial" w:eastAsia="Arial" w:hAnsi="Arial"/>
          <w:sz w:val="13"/>
          <w:szCs w:val="13"/>
          <w:i w:val="1"/>
          <w:iCs w:val="1"/>
          <w:color w:val="auto"/>
        </w:rPr>
        <w:t xml:space="preserve"> </w:t>
      </w:r>
      <w:r>
        <w:rPr>
          <w:rFonts w:ascii="Arial" w:cs="Arial" w:eastAsia="Arial" w:hAnsi="Arial"/>
          <w:sz w:val="13"/>
          <w:szCs w:val="13"/>
          <w:color w:val="auto"/>
        </w:rPr>
        <w:t>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123" w:lineRule="exact"/>
        <w:rPr>
          <w:rFonts w:ascii="Arial" w:cs="Arial" w:eastAsia="Arial" w:hAnsi="Arial"/>
          <w:sz w:val="13"/>
          <w:szCs w:val="13"/>
          <w:color w:val="auto"/>
        </w:rPr>
      </w:pPr>
    </w:p>
    <w:p>
      <w:pPr>
        <w:ind w:left="720" w:hanging="283"/>
        <w:spacing w:after="0"/>
        <w:tabs>
          <w:tab w:leader="none" w:pos="7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encumbrances or restrictions existing under or by reason of applicable law, regulation or order;</w:t>
      </w:r>
    </w:p>
    <w:p>
      <w:pPr>
        <w:spacing w:after="0" w:line="147" w:lineRule="exact"/>
        <w:rPr>
          <w:rFonts w:ascii="Arial" w:cs="Arial" w:eastAsia="Arial" w:hAnsi="Arial"/>
          <w:sz w:val="13"/>
          <w:szCs w:val="13"/>
          <w:color w:val="auto"/>
        </w:rPr>
      </w:pPr>
    </w:p>
    <w:p>
      <w:pPr>
        <w:ind w:left="720" w:hanging="283"/>
        <w:spacing w:after="0"/>
        <w:tabs>
          <w:tab w:leader="none" w:pos="7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customary restrictions or limitations in leases, licenses or other agreements restricting the assignment thereof or the assignment of the property that is the subject of such agreement;</w:t>
      </w:r>
    </w:p>
    <w:p>
      <w:pPr>
        <w:spacing w:after="0" w:line="159" w:lineRule="exact"/>
        <w:rPr>
          <w:rFonts w:ascii="Arial" w:cs="Arial" w:eastAsia="Arial" w:hAnsi="Arial"/>
          <w:sz w:val="12"/>
          <w:szCs w:val="12"/>
          <w:color w:val="auto"/>
        </w:rPr>
      </w:pPr>
    </w:p>
    <w:p>
      <w:pPr>
        <w:ind w:left="720" w:hanging="283"/>
        <w:spacing w:after="0"/>
        <w:tabs>
          <w:tab w:leader="none" w:pos="7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 the case of clause (c) above, Liens permitted to be incurred under Section 1110 that limit the right of the debtor to dispose of the assets securing such Indebtedness;</w:t>
      </w:r>
    </w:p>
    <w:p>
      <w:pPr>
        <w:spacing w:after="0" w:line="147" w:lineRule="exact"/>
        <w:rPr>
          <w:rFonts w:ascii="Arial" w:cs="Arial" w:eastAsia="Arial" w:hAnsi="Arial"/>
          <w:sz w:val="13"/>
          <w:szCs w:val="13"/>
          <w:color w:val="auto"/>
        </w:rPr>
      </w:pPr>
    </w:p>
    <w:p>
      <w:pPr>
        <w:ind w:left="720" w:hanging="283"/>
        <w:spacing w:after="0"/>
        <w:tabs>
          <w:tab w:leader="none" w:pos="7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restrictions imposed under any agreement to sell Equity Interests or assets to any Person pending the closing of such sale;</w:t>
      </w:r>
    </w:p>
    <w:p>
      <w:pPr>
        <w:spacing w:after="0" w:line="147" w:lineRule="exact"/>
        <w:rPr>
          <w:rFonts w:ascii="Arial" w:cs="Arial" w:eastAsia="Arial" w:hAnsi="Arial"/>
          <w:sz w:val="13"/>
          <w:szCs w:val="13"/>
          <w:color w:val="auto"/>
        </w:rPr>
      </w:pPr>
    </w:p>
    <w:p>
      <w:pPr>
        <w:ind w:right="200" w:firstLine="437"/>
        <w:spacing w:after="0" w:line="252" w:lineRule="auto"/>
        <w:tabs>
          <w:tab w:leader="none" w:pos="772"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24" w:lineRule="exact"/>
        <w:rPr>
          <w:rFonts w:ascii="Arial" w:cs="Arial" w:eastAsia="Arial" w:hAnsi="Arial"/>
          <w:sz w:val="13"/>
          <w:szCs w:val="13"/>
          <w:color w:val="auto"/>
        </w:rPr>
      </w:pPr>
    </w:p>
    <w:p>
      <w:pPr>
        <w:ind w:firstLine="437"/>
        <w:spacing w:after="0" w:line="271" w:lineRule="auto"/>
        <w:tabs>
          <w:tab w:leader="none" w:pos="767" w:val="left"/>
        </w:tabs>
        <w:numPr>
          <w:ilvl w:val="0"/>
          <w:numId w:val="86"/>
        </w:numPr>
        <w:rPr>
          <w:rFonts w:ascii="Arial" w:cs="Arial" w:eastAsia="Arial" w:hAnsi="Arial"/>
          <w:sz w:val="13"/>
          <w:szCs w:val="13"/>
          <w:color w:val="auto"/>
        </w:rPr>
      </w:pPr>
      <w:r>
        <w:rPr>
          <w:rFonts w:ascii="Arial" w:cs="Arial" w:eastAsia="Arial" w:hAnsi="Arial"/>
          <w:sz w:val="13"/>
          <w:szCs w:val="13"/>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112" w:lineRule="exact"/>
        <w:rPr>
          <w:rFonts w:ascii="Arial" w:cs="Arial" w:eastAsia="Arial" w:hAnsi="Arial"/>
          <w:sz w:val="13"/>
          <w:szCs w:val="13"/>
          <w:color w:val="auto"/>
        </w:rPr>
      </w:pPr>
    </w:p>
    <w:p>
      <w:pPr>
        <w:ind w:right="20" w:firstLine="437"/>
        <w:spacing w:after="0" w:line="271" w:lineRule="auto"/>
        <w:tabs>
          <w:tab w:leader="none" w:pos="772" w:val="left"/>
        </w:tabs>
        <w:numPr>
          <w:ilvl w:val="0"/>
          <w:numId w:val="86"/>
        </w:numPr>
        <w:rPr>
          <w:rFonts w:ascii="Arial" w:cs="Arial" w:eastAsia="Arial" w:hAnsi="Arial"/>
          <w:sz w:val="13"/>
          <w:szCs w:val="13"/>
          <w:color w:val="auto"/>
        </w:rPr>
      </w:pPr>
      <w:r>
        <w:rPr>
          <w:rFonts w:ascii="Arial" w:cs="Arial" w:eastAsia="Arial" w:hAnsi="Arial"/>
          <w:sz w:val="13"/>
          <w:szCs w:val="13"/>
          <w:color w:val="auto"/>
        </w:rPr>
        <w:t>Purchase Money Indebtedness and any Refinancing Indebtedness in respect thereof incurred in compliance with Section 1108 that imposes restrictions of the nature described in clause (c) above on the assets acquired;</w:t>
      </w:r>
    </w:p>
    <w:p>
      <w:pPr>
        <w:spacing w:after="0" w:line="112" w:lineRule="exact"/>
        <w:rPr>
          <w:rFonts w:ascii="Arial" w:cs="Arial" w:eastAsia="Arial" w:hAnsi="Arial"/>
          <w:sz w:val="13"/>
          <w:szCs w:val="13"/>
          <w:color w:val="auto"/>
        </w:rPr>
      </w:pPr>
    </w:p>
    <w:p>
      <w:pPr>
        <w:ind w:left="780" w:hanging="343"/>
        <w:spacing w:after="0"/>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restrictions on cash or other deposits or net worth imposed by customers, suppliers or landlords under contracts entered into in the ordinary course of business;</w:t>
      </w:r>
    </w:p>
    <w:p>
      <w:pPr>
        <w:spacing w:after="0" w:line="312"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020"/>
          </w:cols>
          <w:pgMar w:left="640" w:top="435" w:right="239" w:bottom="1440" w:gutter="0" w:footer="0" w:header="0"/>
        </w:sectPr>
      </w:pPr>
    </w:p>
    <w:bookmarkStart w:id="94" w:name="page95"/>
    <w:bookmarkEnd w:id="94"/>
    <w:p>
      <w:pPr>
        <w:ind w:left="420" w:right="60" w:firstLine="437"/>
        <w:spacing w:after="0" w:line="290" w:lineRule="auto"/>
        <w:tabs>
          <w:tab w:leader="none" w:pos="1192" w:val="left"/>
        </w:tabs>
        <w:numPr>
          <w:ilvl w:val="0"/>
          <w:numId w:val="87"/>
        </w:numPr>
        <w:rPr>
          <w:rFonts w:ascii="Arial" w:cs="Arial" w:eastAsia="Arial" w:hAnsi="Arial"/>
          <w:sz w:val="12"/>
          <w:szCs w:val="12"/>
          <w:color w:val="auto"/>
        </w:rPr>
      </w:pPr>
      <w:r>
        <w:rPr>
          <w:rFonts w:ascii="Arial" w:cs="Arial" w:eastAsia="Arial" w:hAnsi="Arial"/>
          <w:sz w:val="12"/>
          <w:szCs w:val="12"/>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103" w:lineRule="exact"/>
        <w:rPr>
          <w:rFonts w:ascii="Arial" w:cs="Arial" w:eastAsia="Arial" w:hAnsi="Arial"/>
          <w:sz w:val="12"/>
          <w:szCs w:val="12"/>
          <w:color w:val="auto"/>
        </w:rPr>
      </w:pPr>
    </w:p>
    <w:p>
      <w:pPr>
        <w:ind w:left="420" w:right="20" w:firstLine="437"/>
        <w:spacing w:after="0" w:line="254" w:lineRule="auto"/>
        <w:tabs>
          <w:tab w:leader="none" w:pos="1192" w:val="left"/>
        </w:tabs>
        <w:numPr>
          <w:ilvl w:val="0"/>
          <w:numId w:val="87"/>
        </w:numPr>
        <w:rPr>
          <w:rFonts w:ascii="Arial" w:cs="Arial" w:eastAsia="Arial" w:hAnsi="Arial"/>
          <w:sz w:val="13"/>
          <w:szCs w:val="13"/>
          <w:color w:val="auto"/>
        </w:rPr>
      </w:pPr>
      <w:r>
        <w:rPr>
          <w:rFonts w:ascii="Arial" w:cs="Arial" w:eastAsia="Arial" w:hAnsi="Arial"/>
          <w:sz w:val="13"/>
          <w:szCs w:val="13"/>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123" w:lineRule="exact"/>
        <w:rPr>
          <w:rFonts w:ascii="Arial" w:cs="Arial" w:eastAsia="Arial" w:hAnsi="Arial"/>
          <w:sz w:val="13"/>
          <w:szCs w:val="13"/>
          <w:color w:val="auto"/>
        </w:rPr>
      </w:pPr>
    </w:p>
    <w:p>
      <w:pPr>
        <w:ind w:left="1200" w:hanging="343"/>
        <w:spacing w:after="0"/>
        <w:tabs>
          <w:tab w:leader="none" w:pos="12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provisions limiting the distribution or dividend of assets or any portion of the Equity Interests of SpinCo in connection with a Qualified Spin Transaction;</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any Permitted Investment or Restricted Payments which are made in accordance with Section 1109;</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restrictions contained in Standard Securitization Undertakings; and</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supermajority voting requirements existing under corporate charters, by-laws, stockholders agreements and similar documents and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1112. </w:t>
      </w:r>
      <w:r>
        <w:rPr>
          <w:rFonts w:ascii="Arial" w:cs="Arial" w:eastAsia="Arial" w:hAnsi="Arial"/>
          <w:sz w:val="13"/>
          <w:szCs w:val="13"/>
          <w:u w:val="single" w:color="auto"/>
          <w:color w:val="auto"/>
        </w:rPr>
        <w:t>Limitation on Sale-Leaseback Transactions</w:t>
      </w:r>
      <w:r>
        <w:rPr>
          <w:rFonts w:ascii="Arial" w:cs="Arial" w:eastAsia="Arial" w:hAnsi="Arial"/>
          <w:sz w:val="13"/>
          <w:szCs w:val="13"/>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Parent Guarantor shall not, and shall not permit any Restricted Subsidiary to, enter into any Sale-Leaseback Transaction with any Person (other than the Parent Guarantor or a Restricted Subsidiary) unless:</w:t>
      </w:r>
    </w:p>
    <w:p>
      <w:pPr>
        <w:spacing w:after="0" w:line="171" w:lineRule="exact"/>
        <w:rPr>
          <w:sz w:val="20"/>
          <w:szCs w:val="20"/>
          <w:color w:val="auto"/>
        </w:rPr>
      </w:pPr>
    </w:p>
    <w:p>
      <w:pPr>
        <w:ind w:left="420" w:right="60" w:firstLine="437"/>
        <w:spacing w:after="0" w:line="258" w:lineRule="auto"/>
        <w:tabs>
          <w:tab w:leader="none" w:pos="1119" w:val="left"/>
        </w:tabs>
        <w:numPr>
          <w:ilvl w:val="0"/>
          <w:numId w:val="88"/>
        </w:numPr>
        <w:rPr>
          <w:rFonts w:ascii="Arial" w:cs="Arial" w:eastAsia="Arial" w:hAnsi="Arial"/>
          <w:sz w:val="13"/>
          <w:szCs w:val="13"/>
          <w:color w:val="auto"/>
        </w:rPr>
      </w:pPr>
      <w:r>
        <w:rPr>
          <w:rFonts w:ascii="Arial" w:cs="Arial" w:eastAsia="Arial" w:hAnsi="Arial"/>
          <w:sz w:val="13"/>
          <w:szCs w:val="13"/>
          <w:color w:val="auto"/>
        </w:rPr>
        <w:t>at the time of entering into such Sale-Leaseback Transaction, the Parent Guarantor or such Restricted Subsidiary would be entitled to incur Debt, in a principal amount equal to the Attributable Indebtedness with respect to such Sale-Leaseback Transaction, secured by a Lien on the property subject to such Sale-Leaseback Transaction, pursuant to Section 1110 without equally and ratably securing the Notes pursuant to such covenant;</w:t>
      </w:r>
    </w:p>
    <w:p>
      <w:pPr>
        <w:spacing w:after="0" w:line="121" w:lineRule="exact"/>
        <w:rPr>
          <w:rFonts w:ascii="Arial" w:cs="Arial" w:eastAsia="Arial" w:hAnsi="Arial"/>
          <w:sz w:val="13"/>
          <w:szCs w:val="13"/>
          <w:color w:val="auto"/>
        </w:rPr>
      </w:pPr>
    </w:p>
    <w:p>
      <w:pPr>
        <w:ind w:left="420" w:right="60" w:firstLine="437"/>
        <w:spacing w:after="0" w:line="282" w:lineRule="auto"/>
        <w:tabs>
          <w:tab w:leader="none" w:pos="1126" w:val="left"/>
        </w:tabs>
        <w:numPr>
          <w:ilvl w:val="0"/>
          <w:numId w:val="88"/>
        </w:numPr>
        <w:rPr>
          <w:rFonts w:ascii="Arial" w:cs="Arial" w:eastAsia="Arial" w:hAnsi="Arial"/>
          <w:sz w:val="12"/>
          <w:szCs w:val="12"/>
          <w:color w:val="auto"/>
        </w:rPr>
      </w:pPr>
      <w:r>
        <w:rPr>
          <w:rFonts w:ascii="Arial" w:cs="Arial" w:eastAsia="Arial" w:hAnsi="Arial"/>
          <w:sz w:val="12"/>
          <w:szCs w:val="12"/>
          <w:color w:val="auto"/>
        </w:rPr>
        <w:t>after the Issue Date and within a period commencing six months prior to the consummation of such Sale-Leaseback Transaction and ending six months after the consummation thereof, the Parent Guarantor or such Restricted Subsidiary shall have expended for property used or to be used in the ordinary course of business of the Parent Guarantor or such Restricted Subsidiary (including amounts expended for additions, expansions, alterations, repairs and improvements thereto) an amount equal to all or a portion of the net proceeds of such Sale-Leaseback Transaction, and the Parent Guarantor shall have elected to designate such amount as a credit against such Sale-Leaseback Transaction (with any such amount not being so designated to be applied as set forth in clause (c) below); or</w:t>
      </w:r>
    </w:p>
    <w:p>
      <w:pPr>
        <w:spacing w:after="0" w:line="108" w:lineRule="exact"/>
        <w:rPr>
          <w:rFonts w:ascii="Arial" w:cs="Arial" w:eastAsia="Arial" w:hAnsi="Arial"/>
          <w:sz w:val="12"/>
          <w:szCs w:val="12"/>
          <w:color w:val="auto"/>
        </w:rPr>
      </w:pPr>
    </w:p>
    <w:p>
      <w:pPr>
        <w:ind w:left="1120" w:hanging="263"/>
        <w:spacing w:after="0"/>
        <w:tabs>
          <w:tab w:leader="none" w:pos="11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during the 12-month period after the effective date of such Sale-Leaseback Transaction, the Parent Guarantor shall have applied to the voluntary defeasance or retirement of Notes or any Pari</w:t>
      </w:r>
    </w:p>
    <w:p>
      <w:pPr>
        <w:spacing w:after="0" w:line="25"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Passu</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60"/>
          </w:cols>
          <w:pgMar w:left="220" w:top="435" w:right="219" w:bottom="1440" w:gutter="0" w:footer="0" w:header="0"/>
        </w:sectPr>
      </w:pPr>
    </w:p>
    <w:bookmarkStart w:id="95" w:name="page96"/>
    <w:bookmarkEnd w:id="95"/>
    <w:p>
      <w:pPr>
        <w:jc w:val="both"/>
        <w:ind w:left="420" w:right="20"/>
        <w:spacing w:after="0" w:line="282" w:lineRule="auto"/>
        <w:rPr>
          <w:sz w:val="20"/>
          <w:szCs w:val="20"/>
          <w:color w:val="auto"/>
        </w:rPr>
      </w:pPr>
      <w:r>
        <w:rPr>
          <w:rFonts w:ascii="Arial" w:cs="Arial" w:eastAsia="Arial" w:hAnsi="Arial"/>
          <w:sz w:val="12"/>
          <w:szCs w:val="12"/>
          <w:color w:val="auto"/>
        </w:rPr>
        <w:t>Indebtedness of the Parent Guarantor an amount equal to the net proceeds of the sale or transfer of the real or personal property leased in such Sale-Leaseback Transaction, which amount shall not be less than the fair value of such property at the time of entering into such Sale-Leaseback Transaction (adjusted to reflect the remaining term of the lease and any amount expended by the Parent Guarantor as set forth in clause (b) above), less an amount equal to the principal amount of Notes and Pari Passu Indebtedness voluntarily defeased or retired by the Parent Guarantor within such 12-month period and not designated as a credit against any other Sale-Leaseback Transaction entered into by the Parent Guarantor or any Restricted Subsidiary during such period.</w:t>
      </w:r>
    </w:p>
    <w:p>
      <w:pPr>
        <w:spacing w:after="0" w:line="10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1113.</w:t>
      </w:r>
      <w:r>
        <w:rPr>
          <w:sz w:val="20"/>
          <w:szCs w:val="20"/>
          <w:color w:val="auto"/>
        </w:rPr>
        <w:tab/>
      </w:r>
      <w:r>
        <w:rPr>
          <w:rFonts w:ascii="Arial" w:cs="Arial" w:eastAsia="Arial" w:hAnsi="Arial"/>
          <w:sz w:val="12"/>
          <w:szCs w:val="12"/>
          <w:u w:val="single" w:color="auto"/>
          <w:color w:val="auto"/>
        </w:rPr>
        <w:t>Limitation on Affiliate Transactions</w:t>
      </w:r>
      <w:r>
        <w:rPr>
          <w:rFonts w:ascii="Arial" w:cs="Arial" w:eastAsia="Arial" w:hAnsi="Arial"/>
          <w:sz w:val="12"/>
          <w:szCs w:val="12"/>
          <w:color w:val="auto"/>
        </w:rPr>
        <w:t>.</w:t>
      </w:r>
    </w:p>
    <w:p>
      <w:pPr>
        <w:spacing w:after="0" w:line="157" w:lineRule="exact"/>
        <w:rPr>
          <w:sz w:val="20"/>
          <w:szCs w:val="20"/>
          <w:color w:val="auto"/>
        </w:rPr>
      </w:pPr>
    </w:p>
    <w:p>
      <w:pPr>
        <w:ind w:firstLine="432"/>
        <w:spacing w:after="0" w:line="258" w:lineRule="auto"/>
        <w:rPr>
          <w:sz w:val="20"/>
          <w:szCs w:val="20"/>
          <w:color w:val="auto"/>
        </w:rPr>
      </w:pPr>
      <w:r>
        <w:rPr>
          <w:rFonts w:ascii="Arial" w:cs="Arial" w:eastAsia="Arial" w:hAnsi="Arial"/>
          <w:sz w:val="13"/>
          <w:szCs w:val="13"/>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$50.0 million (an “Affiliate Transaction”), unless:</w:t>
      </w:r>
    </w:p>
    <w:p>
      <w:pPr>
        <w:spacing w:after="0" w:line="121" w:lineRule="exact"/>
        <w:rPr>
          <w:sz w:val="20"/>
          <w:szCs w:val="20"/>
          <w:color w:val="auto"/>
        </w:rPr>
      </w:pPr>
    </w:p>
    <w:p>
      <w:pPr>
        <w:ind w:right="240" w:firstLine="424"/>
        <w:spacing w:after="0" w:line="290" w:lineRule="auto"/>
        <w:tabs>
          <w:tab w:leader="none" w:pos="706"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103" w:lineRule="exact"/>
        <w:rPr>
          <w:rFonts w:ascii="Arial" w:cs="Arial" w:eastAsia="Arial" w:hAnsi="Arial"/>
          <w:sz w:val="12"/>
          <w:szCs w:val="12"/>
          <w:color w:val="auto"/>
        </w:rPr>
      </w:pPr>
    </w:p>
    <w:p>
      <w:pPr>
        <w:ind w:right="560" w:firstLine="424"/>
        <w:spacing w:after="0" w:line="314" w:lineRule="auto"/>
        <w:tabs>
          <w:tab w:leader="none" w:pos="706"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Parent Guarantor delivers to the Trustee, with respect to any Affiliate Transaction involving aggregate value in excess of $100.0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foregoing restrictions shall not apply to:</w:t>
      </w:r>
    </w:p>
    <w:p>
      <w:pPr>
        <w:spacing w:after="0" w:line="148" w:lineRule="exact"/>
        <w:rPr>
          <w:sz w:val="20"/>
          <w:szCs w:val="20"/>
          <w:color w:val="auto"/>
        </w:rPr>
      </w:pPr>
    </w:p>
    <w:p>
      <w:pPr>
        <w:ind w:left="1140" w:hanging="283"/>
        <w:spacing w:after="0"/>
        <w:tabs>
          <w:tab w:leader="none" w:pos="11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transactions to the extent between or among (a) the Parent Guarantor and one or more Restricted Subsidiaries or (b) Restricted Subsidiaries;</w:t>
      </w:r>
    </w:p>
    <w:p>
      <w:pPr>
        <w:spacing w:after="0" w:line="147" w:lineRule="exact"/>
        <w:rPr>
          <w:rFonts w:ascii="Arial" w:cs="Arial" w:eastAsia="Arial" w:hAnsi="Arial"/>
          <w:sz w:val="13"/>
          <w:szCs w:val="13"/>
          <w:color w:val="auto"/>
        </w:rPr>
      </w:pPr>
    </w:p>
    <w:p>
      <w:pPr>
        <w:ind w:left="420" w:firstLine="437"/>
        <w:spacing w:after="0" w:line="258" w:lineRule="auto"/>
        <w:tabs>
          <w:tab w:leader="none" w:pos="1126" w:val="left"/>
        </w:tabs>
        <w:numPr>
          <w:ilvl w:val="0"/>
          <w:numId w:val="90"/>
        </w:numPr>
        <w:rPr>
          <w:rFonts w:ascii="Arial" w:cs="Arial" w:eastAsia="Arial" w:hAnsi="Arial"/>
          <w:sz w:val="13"/>
          <w:szCs w:val="13"/>
          <w:color w:val="auto"/>
        </w:rPr>
      </w:pPr>
      <w:r>
        <w:rPr>
          <w:rFonts w:ascii="Arial" w:cs="Arial" w:eastAsia="Arial" w:hAnsi="Arial"/>
          <w:sz w:val="13"/>
          <w:szCs w:val="13"/>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21" w:lineRule="exact"/>
        <w:rPr>
          <w:rFonts w:ascii="Arial" w:cs="Arial" w:eastAsia="Arial" w:hAnsi="Arial"/>
          <w:sz w:val="13"/>
          <w:szCs w:val="13"/>
          <w:color w:val="auto"/>
        </w:rPr>
      </w:pPr>
    </w:p>
    <w:p>
      <w:pPr>
        <w:ind w:left="1140" w:hanging="283"/>
        <w:spacing w:after="0"/>
        <w:tabs>
          <w:tab w:leader="none" w:pos="11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Permitted Investments (other than those made under clause (1) of such definition) or Restricted Payments which are made in accordance with Section 1109;</w:t>
      </w:r>
    </w:p>
    <w:p>
      <w:pPr>
        <w:spacing w:after="0" w:line="147" w:lineRule="exact"/>
        <w:rPr>
          <w:rFonts w:ascii="Arial" w:cs="Arial" w:eastAsia="Arial" w:hAnsi="Arial"/>
          <w:sz w:val="13"/>
          <w:szCs w:val="13"/>
          <w:color w:val="auto"/>
        </w:rPr>
      </w:pPr>
    </w:p>
    <w:p>
      <w:pPr>
        <w:ind w:left="420" w:right="360" w:firstLine="437"/>
        <w:spacing w:after="0" w:line="271" w:lineRule="auto"/>
        <w:tabs>
          <w:tab w:leader="none" w:pos="1126" w:val="left"/>
        </w:tabs>
        <w:numPr>
          <w:ilvl w:val="0"/>
          <w:numId w:val="90"/>
        </w:numPr>
        <w:rPr>
          <w:rFonts w:ascii="Arial" w:cs="Arial" w:eastAsia="Arial" w:hAnsi="Arial"/>
          <w:sz w:val="13"/>
          <w:szCs w:val="13"/>
          <w:color w:val="auto"/>
        </w:rPr>
      </w:pPr>
      <w:r>
        <w:rPr>
          <w:rFonts w:ascii="Arial" w:cs="Arial" w:eastAsia="Arial" w:hAnsi="Arial"/>
          <w:sz w:val="13"/>
          <w:szCs w:val="13"/>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40"/>
          </w:cols>
          <w:pgMar w:left="220" w:top="435" w:right="239" w:bottom="1440" w:gutter="0" w:footer="0" w:header="0"/>
        </w:sectPr>
      </w:pPr>
    </w:p>
    <w:bookmarkStart w:id="96" w:name="page97"/>
    <w:bookmarkEnd w:id="96"/>
    <w:p>
      <w:pPr>
        <w:ind w:left="420" w:firstLine="437"/>
        <w:spacing w:after="0" w:line="271" w:lineRule="auto"/>
        <w:tabs>
          <w:tab w:leader="none" w:pos="1126" w:val="left"/>
        </w:tabs>
        <w:numPr>
          <w:ilvl w:val="0"/>
          <w:numId w:val="91"/>
        </w:numPr>
        <w:rPr>
          <w:rFonts w:ascii="Arial" w:cs="Arial" w:eastAsia="Arial" w:hAnsi="Arial"/>
          <w:sz w:val="13"/>
          <w:szCs w:val="13"/>
          <w:color w:val="auto"/>
        </w:rPr>
      </w:pPr>
      <w:r>
        <w:rPr>
          <w:rFonts w:ascii="Arial" w:cs="Arial" w:eastAsia="Arial" w:hAnsi="Arial"/>
          <w:sz w:val="13"/>
          <w:szCs w:val="13"/>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12" w:lineRule="exact"/>
        <w:rPr>
          <w:rFonts w:ascii="Arial" w:cs="Arial" w:eastAsia="Arial" w:hAnsi="Arial"/>
          <w:sz w:val="13"/>
          <w:szCs w:val="13"/>
          <w:color w:val="auto"/>
        </w:rPr>
      </w:pPr>
    </w:p>
    <w:p>
      <w:pPr>
        <w:ind w:left="420" w:right="80" w:firstLine="437"/>
        <w:spacing w:after="0" w:line="254" w:lineRule="auto"/>
        <w:tabs>
          <w:tab w:leader="none" w:pos="1126" w:val="left"/>
        </w:tabs>
        <w:numPr>
          <w:ilvl w:val="0"/>
          <w:numId w:val="91"/>
        </w:numPr>
        <w:rPr>
          <w:rFonts w:ascii="Arial" w:cs="Arial" w:eastAsia="Arial" w:hAnsi="Arial"/>
          <w:sz w:val="13"/>
          <w:szCs w:val="13"/>
          <w:color w:val="auto"/>
        </w:rPr>
      </w:pPr>
      <w:r>
        <w:rPr>
          <w:rFonts w:ascii="Arial" w:cs="Arial" w:eastAsia="Arial" w:hAnsi="Arial"/>
          <w:sz w:val="13"/>
          <w:szCs w:val="13"/>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23" w:lineRule="exact"/>
        <w:rPr>
          <w:rFonts w:ascii="Arial" w:cs="Arial" w:eastAsia="Arial" w:hAnsi="Arial"/>
          <w:sz w:val="13"/>
          <w:szCs w:val="13"/>
          <w:color w:val="auto"/>
        </w:rPr>
      </w:pPr>
    </w:p>
    <w:p>
      <w:pPr>
        <w:ind w:left="420" w:right="400" w:firstLine="437"/>
        <w:spacing w:after="0" w:line="271" w:lineRule="auto"/>
        <w:tabs>
          <w:tab w:leader="none" w:pos="1126"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any pledge of the Equity Interests of Unrestricted Subsidiaries;</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any transaction effected as part of a Permitted Factoring Transaction;</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any transaction where the only consideration paid by the Parent Guarantor or the relevant Restricted Subsidiary is Qualified Equity Interests of the Parent Guarantor;</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agreements and transactions entered into or effected in connection with a Qualified Spin Transaction;</w:t>
      </w:r>
    </w:p>
    <w:p>
      <w:pPr>
        <w:spacing w:after="0" w:line="147" w:lineRule="exact"/>
        <w:rPr>
          <w:rFonts w:ascii="Arial" w:cs="Arial" w:eastAsia="Arial" w:hAnsi="Arial"/>
          <w:sz w:val="13"/>
          <w:szCs w:val="13"/>
          <w:color w:val="auto"/>
        </w:rPr>
      </w:pPr>
    </w:p>
    <w:p>
      <w:pPr>
        <w:ind w:left="1200" w:hanging="343"/>
        <w:spacing w:after="0"/>
        <w:tabs>
          <w:tab w:leader="none" w:pos="12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non-exclusive licenses of patents, copyrights, trademarks, trade secrets and other intellectual property;</w:t>
      </w:r>
    </w:p>
    <w:p>
      <w:pPr>
        <w:spacing w:after="0" w:line="147" w:lineRule="exact"/>
        <w:rPr>
          <w:rFonts w:ascii="Arial" w:cs="Arial" w:eastAsia="Arial" w:hAnsi="Arial"/>
          <w:sz w:val="13"/>
          <w:szCs w:val="13"/>
          <w:color w:val="auto"/>
        </w:rPr>
      </w:pPr>
    </w:p>
    <w:p>
      <w:pPr>
        <w:ind w:left="420" w:right="40" w:firstLine="437"/>
        <w:spacing w:after="0" w:line="258" w:lineRule="auto"/>
        <w:tabs>
          <w:tab w:leader="none" w:pos="1192" w:val="left"/>
        </w:tabs>
        <w:numPr>
          <w:ilvl w:val="0"/>
          <w:numId w:val="91"/>
        </w:numPr>
        <w:rPr>
          <w:rFonts w:ascii="Arial" w:cs="Arial" w:eastAsia="Arial" w:hAnsi="Arial"/>
          <w:sz w:val="13"/>
          <w:szCs w:val="13"/>
          <w:color w:val="auto"/>
        </w:rPr>
      </w:pPr>
      <w:r>
        <w:rPr>
          <w:rFonts w:ascii="Arial" w:cs="Arial" w:eastAsia="Arial" w:hAnsi="Arial"/>
          <w:sz w:val="13"/>
          <w:szCs w:val="13"/>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director shall abstain from voting as a director of the Parent Guarantor on any matter involving such other Person; and</w:t>
      </w:r>
    </w:p>
    <w:p>
      <w:pPr>
        <w:spacing w:after="0" w:line="121" w:lineRule="exact"/>
        <w:rPr>
          <w:rFonts w:ascii="Arial" w:cs="Arial" w:eastAsia="Arial" w:hAnsi="Arial"/>
          <w:sz w:val="13"/>
          <w:szCs w:val="13"/>
          <w:color w:val="auto"/>
        </w:rPr>
      </w:pPr>
    </w:p>
    <w:p>
      <w:pPr>
        <w:ind w:left="1200" w:hanging="343"/>
        <w:spacing w:after="0"/>
        <w:tabs>
          <w:tab w:leader="none" w:pos="12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agreements and transactions entered into or effected in connection with the payment of Related Taxes.</w:t>
      </w:r>
    </w:p>
    <w:p>
      <w:pPr>
        <w:spacing w:after="0" w:line="14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Section 1114.</w:t>
      </w:r>
      <w:r>
        <w:rPr>
          <w:sz w:val="20"/>
          <w:szCs w:val="20"/>
          <w:color w:val="auto"/>
        </w:rPr>
        <w:tab/>
      </w:r>
      <w:r>
        <w:rPr>
          <w:rFonts w:ascii="Arial" w:cs="Arial" w:eastAsia="Arial" w:hAnsi="Arial"/>
          <w:sz w:val="11"/>
          <w:szCs w:val="11"/>
          <w:u w:val="single" w:color="auto"/>
          <w:color w:val="auto"/>
        </w:rPr>
        <w:t>Additional Guarantees</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82" w:lineRule="auto"/>
        <w:rPr>
          <w:sz w:val="20"/>
          <w:szCs w:val="20"/>
          <w:color w:val="auto"/>
        </w:rPr>
      </w:pPr>
      <w:r>
        <w:rPr>
          <w:rFonts w:ascii="Arial" w:cs="Arial" w:eastAsia="Arial" w:hAnsi="Arial"/>
          <w:sz w:val="12"/>
          <w:szCs w:val="12"/>
          <w:color w:val="auto"/>
        </w:rPr>
        <w:t>If, after the Issue Date, any Restricted Subsidiary of the Parent Guarantor, other than the Issuer or a Guarantor, shall guarantee or otherwise incur any Debt (excluding any Debt under a Credit Facility incurred pursuant to clause (1) of the definition of Permitted Indebtedness) in an aggregate principal amount in excess of 15.0% of the Consolidated Tangible Assets of the Parent Guarantor, then the Parent Guarantor shall, within thirty (30) days thereof, cause such Restricted Subsidiary to execute and deliver to the Trustee a supplemental indenture substantially in the form of Annex E pursuant to which such Restricted Subsidiary shall become a Guarantor with respect to the Notes, upon the terms and subject to the release provisions and other limitations in Article Fifteen.</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400"/>
          </w:cols>
          <w:pgMar w:left="220" w:top="435" w:right="279" w:bottom="1440" w:gutter="0" w:footer="0" w:header="0"/>
        </w:sectPr>
      </w:pPr>
    </w:p>
    <w:bookmarkStart w:id="97" w:name="page98"/>
    <w:bookmarkEnd w:id="97"/>
    <w:p>
      <w:pPr>
        <w:spacing w:after="0"/>
        <w:tabs>
          <w:tab w:leader="none" w:pos="820" w:val="left"/>
        </w:tabs>
        <w:rPr>
          <w:sz w:val="20"/>
          <w:szCs w:val="20"/>
          <w:color w:val="auto"/>
        </w:rPr>
      </w:pPr>
      <w:r>
        <w:rPr>
          <w:rFonts w:ascii="Arial" w:cs="Arial" w:eastAsia="Arial" w:hAnsi="Arial"/>
          <w:sz w:val="13"/>
          <w:szCs w:val="13"/>
          <w:color w:val="auto"/>
        </w:rPr>
        <w:t>Section 1115.</w:t>
      </w:r>
      <w:r>
        <w:rPr>
          <w:sz w:val="20"/>
          <w:szCs w:val="20"/>
          <w:color w:val="auto"/>
        </w:rPr>
        <w:tab/>
      </w:r>
      <w:r>
        <w:rPr>
          <w:rFonts w:ascii="Arial" w:cs="Arial" w:eastAsia="Arial" w:hAnsi="Arial"/>
          <w:sz w:val="12"/>
          <w:szCs w:val="12"/>
          <w:u w:val="single" w:color="auto"/>
          <w:color w:val="auto"/>
        </w:rPr>
        <w:t>Covenant Termination</w:t>
      </w:r>
      <w:r>
        <w:rPr>
          <w:rFonts w:ascii="Arial" w:cs="Arial" w:eastAsia="Arial" w:hAnsi="Arial"/>
          <w:sz w:val="12"/>
          <w:szCs w:val="12"/>
          <w:color w:val="auto"/>
        </w:rPr>
        <w:t>.</w:t>
      </w:r>
    </w:p>
    <w:p>
      <w:pPr>
        <w:spacing w:after="0" w:line="157" w:lineRule="exact"/>
        <w:rPr>
          <w:sz w:val="20"/>
          <w:szCs w:val="20"/>
          <w:color w:val="auto"/>
        </w:rPr>
      </w:pPr>
    </w:p>
    <w:p>
      <w:pPr>
        <w:ind w:right="120" w:firstLine="432"/>
        <w:spacing w:after="0" w:line="314" w:lineRule="auto"/>
        <w:rPr>
          <w:sz w:val="20"/>
          <w:szCs w:val="20"/>
          <w:color w:val="auto"/>
        </w:rPr>
      </w:pPr>
      <w:r>
        <w:rPr>
          <w:rFonts w:ascii="Arial" w:cs="Arial" w:eastAsia="Arial" w:hAnsi="Arial"/>
          <w:sz w:val="12"/>
          <w:szCs w:val="12"/>
          <w:color w:val="auto"/>
        </w:rPr>
        <w:t>Following the first date that the Notes have an Investment Grade Rating and no Default or Event of Default has occurred and is then continuing, then upon delivery by the Issuer to the Trustee of an Officer’s Certificate to the foregoing effect, the Parent Guarantor and its Restricted Subsidiaries will no longer be subject to the provisions of Sections 1106, 1108, 1109, 1111 and 1113.</w:t>
      </w:r>
    </w:p>
    <w:p>
      <w:pPr>
        <w:spacing w:after="0" w:line="89" w:lineRule="exact"/>
        <w:rPr>
          <w:sz w:val="20"/>
          <w:szCs w:val="20"/>
          <w:color w:val="auto"/>
        </w:rPr>
      </w:pPr>
    </w:p>
    <w:p>
      <w:pPr>
        <w:ind w:right="520" w:firstLine="432"/>
        <w:spacing w:after="0" w:line="271" w:lineRule="auto"/>
        <w:rPr>
          <w:sz w:val="20"/>
          <w:szCs w:val="20"/>
          <w:color w:val="auto"/>
        </w:rPr>
      </w:pPr>
      <w:r>
        <w:rPr>
          <w:rFonts w:ascii="Arial" w:cs="Arial" w:eastAsia="Arial" w:hAnsi="Arial"/>
          <w:sz w:val="13"/>
          <w:szCs w:val="13"/>
          <w:color w:val="auto"/>
        </w:rPr>
        <w:t>After the foregoing covenants have been terminated, the Issuer may not designate any of its Subsidiaries as Unrestricted Subsidiaries pursuant to the second sentence of the definition of “Unrestricted Subsidiary.”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TWELVE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REDEMPTION OF NOTES</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1201.</w:t>
      </w:r>
      <w:r>
        <w:rPr>
          <w:sz w:val="20"/>
          <w:szCs w:val="20"/>
          <w:color w:val="auto"/>
        </w:rPr>
        <w:tab/>
      </w:r>
      <w:r>
        <w:rPr>
          <w:rFonts w:ascii="Arial" w:cs="Arial" w:eastAsia="Arial" w:hAnsi="Arial"/>
          <w:sz w:val="12"/>
          <w:szCs w:val="12"/>
          <w:u w:val="single" w:color="auto"/>
          <w:color w:val="auto"/>
        </w:rPr>
        <w:t>Applicability of Article</w:t>
      </w:r>
      <w:r>
        <w:rPr>
          <w:rFonts w:ascii="Arial" w:cs="Arial" w:eastAsia="Arial" w:hAnsi="Arial"/>
          <w:sz w:val="12"/>
          <w:szCs w:val="12"/>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Notes shall be redeemable at the election of the Issuer in accordance with their terms and in accordance with this Article.</w:t>
      </w:r>
    </w:p>
    <w:p>
      <w:pPr>
        <w:spacing w:after="0" w:line="148"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1202.</w:t>
      </w:r>
      <w:r>
        <w:rPr>
          <w:sz w:val="20"/>
          <w:szCs w:val="20"/>
          <w:color w:val="auto"/>
        </w:rPr>
        <w:tab/>
      </w:r>
      <w:r>
        <w:rPr>
          <w:rFonts w:ascii="Arial" w:cs="Arial" w:eastAsia="Arial" w:hAnsi="Arial"/>
          <w:sz w:val="11"/>
          <w:szCs w:val="11"/>
          <w:u w:val="single" w:color="auto"/>
          <w:color w:val="auto"/>
        </w:rPr>
        <w:t>Election to Redeem; Notice to Trustee</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54" w:lineRule="auto"/>
        <w:rPr>
          <w:sz w:val="20"/>
          <w:szCs w:val="20"/>
          <w:color w:val="auto"/>
        </w:rPr>
      </w:pPr>
      <w:r>
        <w:rPr>
          <w:rFonts w:ascii="Arial" w:cs="Arial" w:eastAsia="Arial" w:hAnsi="Arial"/>
          <w:sz w:val="13"/>
          <w:szCs w:val="13"/>
          <w:color w:val="auto"/>
        </w:rPr>
        <w:t>In case of any redemption of less than all Notes, the Issuer shall, at least 5 Business Days prior to the last date a notice of redemption may be provided to Holders under Section 1205 (unless a shorter notice shall be satisfactory to the Trustee), notify the Trustee of such Redemption Date and of the principal amount of Notes to be redeemed. In the case of any redemption of Notes prior to the expiration of any restriction on such redemption provided in the terms of such Notes or elsewhere in the Indenture, the Issuer shall furnish the Trustee, prior to giving notice of such redemption, with an Officer’s Certificate evidencing compliance with such restriction.</w:t>
      </w:r>
    </w:p>
    <w:p>
      <w:pPr>
        <w:spacing w:after="0" w:line="124"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1203.</w:t>
      </w:r>
      <w:r>
        <w:rPr>
          <w:sz w:val="20"/>
          <w:szCs w:val="20"/>
          <w:color w:val="auto"/>
        </w:rPr>
        <w:tab/>
      </w:r>
      <w:r>
        <w:rPr>
          <w:rFonts w:ascii="Arial" w:cs="Arial" w:eastAsia="Arial" w:hAnsi="Arial"/>
          <w:sz w:val="11"/>
          <w:szCs w:val="11"/>
          <w:u w:val="single" w:color="auto"/>
          <w:color w:val="auto"/>
        </w:rPr>
        <w:t>Optional Redemption</w:t>
      </w:r>
      <w:r>
        <w:rPr>
          <w:rFonts w:ascii="Arial" w:cs="Arial" w:eastAsia="Arial" w:hAnsi="Arial"/>
          <w:sz w:val="11"/>
          <w:szCs w:val="11"/>
          <w:color w:val="auto"/>
        </w:rPr>
        <w:t>.</w:t>
      </w:r>
    </w:p>
    <w:p>
      <w:pPr>
        <w:spacing w:after="0" w:line="157" w:lineRule="exact"/>
        <w:rPr>
          <w:sz w:val="20"/>
          <w:szCs w:val="20"/>
          <w:color w:val="auto"/>
        </w:rPr>
      </w:pPr>
    </w:p>
    <w:p>
      <w:pPr>
        <w:ind w:right="20" w:firstLine="424"/>
        <w:spacing w:after="0" w:line="258" w:lineRule="auto"/>
        <w:tabs>
          <w:tab w:leader="none" w:pos="704" w:val="left"/>
        </w:tabs>
        <w:numPr>
          <w:ilvl w:val="0"/>
          <w:numId w:val="92"/>
        </w:numPr>
        <w:rPr>
          <w:rFonts w:ascii="Arial" w:cs="Arial" w:eastAsia="Arial" w:hAnsi="Arial"/>
          <w:sz w:val="13"/>
          <w:szCs w:val="13"/>
          <w:color w:val="auto"/>
        </w:rPr>
      </w:pPr>
      <w:r>
        <w:rPr>
          <w:rFonts w:ascii="Arial" w:cs="Arial" w:eastAsia="Arial" w:hAnsi="Arial"/>
          <w:sz w:val="13"/>
          <w:szCs w:val="13"/>
          <w:color w:val="auto"/>
        </w:rPr>
        <w:t>At any time on or after December 1, 2024 (the “Par Call Date”), the Notes will be redeemable, at the Issuer’s option, at any time in whole, or from time to time in part, at a Redemption Price equal to 100% of the principal amount of the Notes to be redeemed, plus accrued and unpaid interest thereon, if any, to the Redemption Date (subject to the right of Holders on the relevant record date to receive interest due on the relevant Interest Payment Date).</w:t>
      </w:r>
    </w:p>
    <w:p>
      <w:pPr>
        <w:spacing w:after="0" w:line="130" w:lineRule="exact"/>
        <w:rPr>
          <w:rFonts w:ascii="Arial" w:cs="Arial" w:eastAsia="Arial" w:hAnsi="Arial"/>
          <w:sz w:val="13"/>
          <w:szCs w:val="13"/>
          <w:color w:val="auto"/>
        </w:rPr>
      </w:pPr>
    </w:p>
    <w:p>
      <w:pPr>
        <w:ind w:firstLine="424"/>
        <w:spacing w:after="0" w:line="275" w:lineRule="auto"/>
        <w:tabs>
          <w:tab w:leader="none" w:pos="711" w:val="left"/>
        </w:tabs>
        <w:numPr>
          <w:ilvl w:val="0"/>
          <w:numId w:val="92"/>
        </w:numPr>
        <w:rPr>
          <w:rFonts w:ascii="Arial" w:cs="Arial" w:eastAsia="Arial" w:hAnsi="Arial"/>
          <w:sz w:val="12"/>
          <w:szCs w:val="12"/>
          <w:color w:val="auto"/>
        </w:rPr>
      </w:pPr>
      <w:r>
        <w:rPr>
          <w:rFonts w:ascii="Arial" w:cs="Arial" w:eastAsia="Arial" w:hAnsi="Arial"/>
          <w:sz w:val="12"/>
          <w:szCs w:val="12"/>
          <w:color w:val="auto"/>
        </w:rPr>
        <w:t>At any time prior to the Par Call Date, the Notes will be redeemable, at the Issuer’s option, at any time in whole, or from time to time in part, at a Redemption Price equal to the greater of: (1) 100% of the principal amount of the Notes to be redeemed; or (2) the sum of the present values of the remaining scheduled payments of principal and interest (at the rate in effect on the date of calculation of the Redemption Price) on the Notes to be redeemed (exclusive of interest accrued to, but not including, the Redemption Date) that would have been due if the Notes had matured on the Par Call Date, discounted to the Redemption Date on a semi-annual basis (assuming a 360-day year consisting of twelve 30-day months) at the applicable Treasury Yield plus 50 basis points (the “Make-Whole Price”); plus accrued and unpaid interest to, but not including, the Redemption Date (subject to the right of Holders on the relevant record date to receive interest due on the relevant Interest Payment Date). The actual Redemption Price payable pursuant to this Section 1203(b) will be calculated and certified to the Trustee and the Issuer by the Independent Investment Banker. For purposes of determining such optional Redemption Price, the following definitions are applicable: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40"/>
          </w:cols>
          <w:pgMar w:left="220" w:top="435" w:right="239" w:bottom="1440" w:gutter="0" w:footer="0" w:header="0"/>
        </w:sectPr>
      </w:pPr>
    </w:p>
    <w:bookmarkStart w:id="98" w:name="page99"/>
    <w:bookmarkEnd w:id="98"/>
    <w:p>
      <w:pPr>
        <w:ind w:right="26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Treasury Yield</w:t>
      </w:r>
      <w:r>
        <w:rPr>
          <w:rFonts w:ascii="Arial" w:cs="Arial" w:eastAsia="Arial" w:hAnsi="Arial"/>
          <w:sz w:val="13"/>
          <w:szCs w:val="13"/>
          <w:color w:val="auto"/>
        </w:rPr>
        <w:t>” means, with respect to any Redemption Date,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Comparable Treasury Issue</w:t>
      </w:r>
      <w:r>
        <w:rPr>
          <w:rFonts w:ascii="Arial" w:cs="Arial" w:eastAsia="Arial" w:hAnsi="Arial"/>
          <w:sz w:val="13"/>
          <w:szCs w:val="13"/>
          <w:color w:val="auto"/>
        </w:rPr>
        <w:t xml:space="preserve">” means the United States Treasury security selected by the Independent Investment Banker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 to be redeemed;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no maturity is within three months before or after the Par Call Date,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25" w:lineRule="exact"/>
        <w:rPr>
          <w:sz w:val="20"/>
          <w:szCs w:val="20"/>
          <w:color w:val="auto"/>
        </w:rPr>
      </w:pPr>
    </w:p>
    <w:p>
      <w:pPr>
        <w:jc w:val="both"/>
        <w:ind w:right="6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Independent Investment Banker</w:t>
      </w:r>
      <w:r>
        <w:rPr>
          <w:rFonts w:ascii="Arial" w:cs="Arial" w:eastAsia="Arial" w:hAnsi="Arial"/>
          <w:sz w:val="13"/>
          <w:szCs w:val="13"/>
          <w:color w:val="auto"/>
        </w:rPr>
        <w:t>” means Deutsche Bank Securities Inc. and its successors or, if such firm is not willing and able to select the applicable Comparable Treasury Issue, an independent investment banking institution of national standing appointed by the Issuer.</w:t>
      </w:r>
    </w:p>
    <w:p>
      <w:pPr>
        <w:spacing w:after="0" w:line="113" w:lineRule="exact"/>
        <w:rPr>
          <w:sz w:val="20"/>
          <w:szCs w:val="20"/>
          <w:color w:val="auto"/>
        </w:rPr>
      </w:pPr>
    </w:p>
    <w:p>
      <w:pPr>
        <w:ind w:right="380" w:firstLine="432"/>
        <w:spacing w:after="0" w:line="31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Comparable Treasury Price</w:t>
      </w:r>
      <w:r>
        <w:rPr>
          <w:rFonts w:ascii="Arial" w:cs="Arial" w:eastAsia="Arial" w:hAnsi="Arial"/>
          <w:sz w:val="12"/>
          <w:szCs w:val="12"/>
          <w:color w:val="auto"/>
        </w:rPr>
        <w:t>”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89" w:lineRule="exact"/>
        <w:rPr>
          <w:sz w:val="20"/>
          <w:szCs w:val="20"/>
          <w:color w:val="auto"/>
        </w:rPr>
      </w:pPr>
    </w:p>
    <w:p>
      <w:pPr>
        <w:jc w:val="both"/>
        <w:ind w:right="60" w:firstLine="432"/>
        <w:spacing w:after="0" w:line="31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Reference Treasury Dealer</w:t>
      </w:r>
      <w:r>
        <w:rPr>
          <w:rFonts w:ascii="Arial" w:cs="Arial" w:eastAsia="Arial" w:hAnsi="Arial"/>
          <w:sz w:val="12"/>
          <w:szCs w:val="12"/>
          <w:color w:val="auto"/>
        </w:rPr>
        <w:t>” means Deutsche Bank Securities Inc. so long as it is a primary U.S. Government securities dealer in the United States (a “</w:t>
      </w:r>
      <w:r>
        <w:rPr>
          <w:rFonts w:ascii="Arial" w:cs="Arial" w:eastAsia="Arial" w:hAnsi="Arial"/>
          <w:sz w:val="12"/>
          <w:szCs w:val="12"/>
          <w:i w:val="1"/>
          <w:iCs w:val="1"/>
          <w:color w:val="auto"/>
        </w:rPr>
        <w:t>Primary Treasury Dealer</w:t>
      </w:r>
      <w:r>
        <w:rPr>
          <w:rFonts w:ascii="Arial" w:cs="Arial" w:eastAsia="Arial" w:hAnsi="Arial"/>
          <w:sz w:val="12"/>
          <w:szCs w:val="12"/>
          <w:color w:val="auto"/>
        </w:rPr>
        <w:t>”) at the relevant time and, if it is not then a Primary Treasury Dealer, then a Primary Treasury Dealer selected by it, and its successors, plus at least three other Primary Treasury Dealers selected by the Issuer.</w:t>
      </w:r>
    </w:p>
    <w:p>
      <w:pPr>
        <w:spacing w:after="0" w:line="89" w:lineRule="exact"/>
        <w:rPr>
          <w:sz w:val="20"/>
          <w:szCs w:val="20"/>
          <w:color w:val="auto"/>
        </w:rPr>
      </w:pPr>
    </w:p>
    <w:p>
      <w:pPr>
        <w:jc w:val="both"/>
        <w:ind w:right="80"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Reference Treasury Dealer Quotations</w:t>
      </w:r>
      <w:r>
        <w:rPr>
          <w:rFonts w:ascii="Arial" w:cs="Arial" w:eastAsia="Arial" w:hAnsi="Arial"/>
          <w:sz w:val="13"/>
          <w:szCs w:val="13"/>
          <w:color w:val="auto"/>
        </w:rPr>
        <w:t>” means, with respect to each Reference Treasury Dealer and any Redemption Date for the Notes, an average, as determined by the Independent Investment Banker, of the bid and asked prices for the Comparable Treasury Issue (expressed in each case as a percentage of its principal amount) quoted in writing to the Independent Investment Banker by such Reference Treasury Dealer at 5:00 p.m., New York City time, on the third business day preceding such Redemption Date.</w:t>
      </w:r>
    </w:p>
    <w:p>
      <w:pPr>
        <w:spacing w:after="0" w:line="121" w:lineRule="exact"/>
        <w:rPr>
          <w:sz w:val="20"/>
          <w:szCs w:val="20"/>
          <w:color w:val="auto"/>
        </w:rPr>
      </w:pPr>
    </w:p>
    <w:p>
      <w:pPr>
        <w:ind w:left="700" w:hanging="276"/>
        <w:spacing w:after="0"/>
        <w:tabs>
          <w:tab w:leader="none" w:pos="7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Notes may be redeemed, as a whole, following certain Change of Control Offers pursuant to Section 1107, at the Redemption Price and subject to the conditions set forth in such Section.</w:t>
      </w:r>
    </w:p>
    <w:p>
      <w:pPr>
        <w:spacing w:after="0" w:line="168" w:lineRule="exact"/>
        <w:rPr>
          <w:rFonts w:ascii="Arial" w:cs="Arial" w:eastAsia="Arial" w:hAnsi="Arial"/>
          <w:sz w:val="12"/>
          <w:szCs w:val="12"/>
          <w:color w:val="auto"/>
        </w:rPr>
      </w:pPr>
    </w:p>
    <w:p>
      <w:pPr>
        <w:jc w:val="both"/>
        <w:ind w:right="20" w:firstLine="424"/>
        <w:spacing w:after="0" w:line="258" w:lineRule="auto"/>
        <w:tabs>
          <w:tab w:leader="none" w:pos="718" w:val="left"/>
        </w:tabs>
        <w:numPr>
          <w:ilvl w:val="0"/>
          <w:numId w:val="93"/>
        </w:numPr>
        <w:rPr>
          <w:rFonts w:ascii="Arial" w:cs="Arial" w:eastAsia="Arial" w:hAnsi="Arial"/>
          <w:sz w:val="13"/>
          <w:szCs w:val="13"/>
          <w:color w:val="auto"/>
        </w:rPr>
      </w:pPr>
      <w:r>
        <w:rPr>
          <w:rFonts w:ascii="Arial" w:cs="Arial" w:eastAsia="Arial" w:hAnsi="Arial"/>
          <w:sz w:val="13"/>
          <w:szCs w:val="13"/>
          <w:color w:val="auto"/>
        </w:rPr>
        <w:t>If a Redemption Date is after a record date and on or before the next Interest Payment Date, then (i) the Holder of a Note at the close of business on such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30" w:lineRule="exact"/>
        <w:rPr>
          <w:rFonts w:ascii="Arial" w:cs="Arial" w:eastAsia="Arial" w:hAnsi="Arial"/>
          <w:sz w:val="13"/>
          <w:szCs w:val="13"/>
          <w:color w:val="auto"/>
        </w:rPr>
      </w:pPr>
    </w:p>
    <w:p>
      <w:pPr>
        <w:ind w:right="60" w:firstLine="424"/>
        <w:spacing w:after="0" w:line="271" w:lineRule="auto"/>
        <w:tabs>
          <w:tab w:leader="none" w:pos="711" w:val="left"/>
        </w:tabs>
        <w:numPr>
          <w:ilvl w:val="0"/>
          <w:numId w:val="93"/>
        </w:numPr>
        <w:rPr>
          <w:rFonts w:ascii="Arial" w:cs="Arial" w:eastAsia="Arial" w:hAnsi="Arial"/>
          <w:sz w:val="13"/>
          <w:szCs w:val="13"/>
          <w:color w:val="auto"/>
        </w:rPr>
      </w:pPr>
      <w:r>
        <w:rPr>
          <w:rFonts w:ascii="Arial" w:cs="Arial" w:eastAsia="Arial" w:hAnsi="Arial"/>
          <w:sz w:val="13"/>
          <w:szCs w:val="13"/>
          <w:color w:val="auto"/>
        </w:rPr>
        <w:t>Notes called for redemption must be delivered to the Paying Agent (in the case of certificated Notes) or the Depositary’s procedures must be complied with (in the case of Global Notes) for the Holder of those Notes to be entitled to receive the Redemption Price.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60"/>
          </w:cols>
          <w:pgMar w:left="220" w:top="435" w:right="219" w:bottom="1440" w:gutter="0" w:footer="0" w:header="0"/>
        </w:sectPr>
      </w:pPr>
    </w:p>
    <w:bookmarkStart w:id="99" w:name="page100"/>
    <w:bookmarkEnd w:id="99"/>
    <w:p>
      <w:pPr>
        <w:ind w:right="20" w:firstLine="424"/>
        <w:spacing w:after="0" w:line="271" w:lineRule="auto"/>
        <w:tabs>
          <w:tab w:leader="none" w:pos="696" w:val="left"/>
        </w:tabs>
        <w:numPr>
          <w:ilvl w:val="0"/>
          <w:numId w:val="94"/>
        </w:numPr>
        <w:rPr>
          <w:rFonts w:ascii="Arial" w:cs="Arial" w:eastAsia="Arial" w:hAnsi="Arial"/>
          <w:sz w:val="13"/>
          <w:szCs w:val="13"/>
          <w:color w:val="auto"/>
        </w:rPr>
      </w:pPr>
      <w:r>
        <w:rPr>
          <w:rFonts w:ascii="Arial" w:cs="Arial" w:eastAsia="Arial" w:hAnsi="Arial"/>
          <w:sz w:val="13"/>
          <w:szCs w:val="13"/>
          <w:color w:val="auto"/>
        </w:rPr>
        <w:t>Notwithstanding anything to the contrary in this Section 1203,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1204.</w:t>
      </w:r>
      <w:r>
        <w:rPr>
          <w:sz w:val="20"/>
          <w:szCs w:val="20"/>
          <w:color w:val="auto"/>
        </w:rPr>
        <w:tab/>
      </w:r>
      <w:r>
        <w:rPr>
          <w:rFonts w:ascii="Arial" w:cs="Arial" w:eastAsia="Arial" w:hAnsi="Arial"/>
          <w:sz w:val="11"/>
          <w:szCs w:val="11"/>
          <w:u w:val="single" w:color="auto"/>
          <w:color w:val="auto"/>
        </w:rPr>
        <w:t>Selection by Trustee of Notes to Be Redeemed</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54" w:lineRule="auto"/>
        <w:rPr>
          <w:sz w:val="20"/>
          <w:szCs w:val="20"/>
          <w:color w:val="auto"/>
        </w:rPr>
      </w:pPr>
      <w:r>
        <w:rPr>
          <w:rFonts w:ascii="Arial" w:cs="Arial" w:eastAsia="Arial" w:hAnsi="Arial"/>
          <w:sz w:val="13"/>
          <w:szCs w:val="13"/>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Depositary may require);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no Notes of a principal amount of $2,000 in original principal amount or less shall be redeemed in part.</w:t>
      </w:r>
    </w:p>
    <w:p>
      <w:pPr>
        <w:spacing w:after="0" w:line="124" w:lineRule="exact"/>
        <w:rPr>
          <w:sz w:val="20"/>
          <w:szCs w:val="20"/>
          <w:color w:val="auto"/>
        </w:rPr>
      </w:pPr>
    </w:p>
    <w:p>
      <w:pPr>
        <w:ind w:right="140" w:firstLine="432"/>
        <w:spacing w:after="0" w:line="271" w:lineRule="auto"/>
        <w:rPr>
          <w:sz w:val="20"/>
          <w:szCs w:val="20"/>
          <w:color w:val="auto"/>
        </w:rPr>
      </w:pPr>
      <w:r>
        <w:rPr>
          <w:rFonts w:ascii="Arial" w:cs="Arial" w:eastAsia="Arial" w:hAnsi="Arial"/>
          <w:sz w:val="13"/>
          <w:szCs w:val="13"/>
          <w:color w:val="auto"/>
        </w:rPr>
        <w:t>For all purposes of the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1205.</w:t>
      </w:r>
      <w:r>
        <w:rPr>
          <w:sz w:val="20"/>
          <w:szCs w:val="20"/>
          <w:color w:val="auto"/>
        </w:rPr>
        <w:tab/>
      </w:r>
      <w:r>
        <w:rPr>
          <w:rFonts w:ascii="Arial" w:cs="Arial" w:eastAsia="Arial" w:hAnsi="Arial"/>
          <w:sz w:val="12"/>
          <w:szCs w:val="12"/>
          <w:u w:val="single" w:color="auto"/>
          <w:color w:val="auto"/>
        </w:rPr>
        <w:t>Notice of Redemption</w:t>
      </w:r>
      <w:r>
        <w:rPr>
          <w:rFonts w:ascii="Arial" w:cs="Arial" w:eastAsia="Arial" w:hAnsi="Arial"/>
          <w:sz w:val="12"/>
          <w:szCs w:val="12"/>
          <w:color w:val="auto"/>
        </w:rPr>
        <w:t>.</w:t>
      </w:r>
    </w:p>
    <w:p>
      <w:pPr>
        <w:spacing w:after="0" w:line="157"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2"/>
          <w:szCs w:val="12"/>
          <w:color w:val="auto"/>
        </w:rPr>
        <w:t>Notice of redemption shall be given by first-class mail, postage prepaid, mailed (or, in the case of any notice to the Holder of a Global Note, sent electronically in accordance with the Depositary’s procedures) not less than 30 nor more than 60 days prior to the Redemption Date, to each Holder of Notes to be redeemed, at its address appearing in the Security Register, except that redemption notices may be sent more than 60 days prior to a Redemption Date if the notice is issued in connection with a Legal Defeasance or Covenant Defeasance of the Notes or a satisfaction and discharge of the Indenture pursuant to Article Five.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All notices of redemption shall state:</w:t>
      </w:r>
    </w:p>
    <w:p>
      <w:pPr>
        <w:spacing w:after="0" w:line="157" w:lineRule="exact"/>
        <w:rPr>
          <w:sz w:val="20"/>
          <w:szCs w:val="20"/>
          <w:color w:val="auto"/>
        </w:rPr>
      </w:pPr>
    </w:p>
    <w:p>
      <w:pPr>
        <w:ind w:left="1420" w:hanging="563"/>
        <w:spacing w:after="0"/>
        <w:tabs>
          <w:tab w:leader="none" w:pos="1420" w:val="left"/>
        </w:tabs>
        <w:numPr>
          <w:ilvl w:val="0"/>
          <w:numId w:val="95"/>
        </w:numPr>
        <w:rPr>
          <w:rFonts w:ascii="Arial" w:cs="Arial" w:eastAsia="Arial" w:hAnsi="Arial"/>
          <w:sz w:val="12"/>
          <w:szCs w:val="12"/>
          <w:color w:val="auto"/>
        </w:rPr>
      </w:pPr>
      <w:r>
        <w:rPr>
          <w:rFonts w:ascii="Arial" w:cs="Arial" w:eastAsia="Arial" w:hAnsi="Arial"/>
          <w:sz w:val="13"/>
          <w:szCs w:val="13"/>
          <w:color w:val="auto"/>
        </w:rPr>
        <w:t>the Redemption Date,</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95"/>
        </w:numPr>
        <w:rPr>
          <w:rFonts w:ascii="Arial" w:cs="Arial" w:eastAsia="Arial" w:hAnsi="Arial"/>
          <w:sz w:val="12"/>
          <w:szCs w:val="12"/>
          <w:color w:val="auto"/>
        </w:rPr>
      </w:pPr>
      <w:r>
        <w:rPr>
          <w:rFonts w:ascii="Arial" w:cs="Arial" w:eastAsia="Arial" w:hAnsi="Arial"/>
          <w:sz w:val="13"/>
          <w:szCs w:val="13"/>
          <w:color w:val="auto"/>
        </w:rPr>
        <w:t>the Redemption Price, if then determined and otherwise the manner of calculation thereof,</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95"/>
        </w:numPr>
        <w:rPr>
          <w:rFonts w:ascii="Arial" w:cs="Arial" w:eastAsia="Arial" w:hAnsi="Arial"/>
          <w:sz w:val="11"/>
          <w:szCs w:val="11"/>
          <w:color w:val="auto"/>
        </w:rPr>
      </w:pPr>
      <w:r>
        <w:rPr>
          <w:rFonts w:ascii="Arial" w:cs="Arial" w:eastAsia="Arial" w:hAnsi="Arial"/>
          <w:sz w:val="12"/>
          <w:szCs w:val="12"/>
          <w:color w:val="auto"/>
        </w:rPr>
        <w:t>if less than all the Outstanding Notes are to be redeemed, the identification (and, in the case of partial redemption of any such Notes, the principal amounts) of the particular Notes to be</w:t>
      </w:r>
    </w:p>
    <w:p>
      <w:pPr>
        <w:spacing w:after="0" w:line="33"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3"/>
          <w:szCs w:val="13"/>
          <w:color w:val="auto"/>
        </w:rPr>
        <w:t>redeemed,</w:t>
      </w:r>
    </w:p>
    <w:p>
      <w:pPr>
        <w:spacing w:after="0" w:line="174" w:lineRule="exact"/>
        <w:rPr>
          <w:rFonts w:ascii="Arial" w:cs="Arial" w:eastAsia="Arial" w:hAnsi="Arial"/>
          <w:sz w:val="11"/>
          <w:szCs w:val="11"/>
          <w:color w:val="auto"/>
        </w:rPr>
      </w:pPr>
    </w:p>
    <w:p>
      <w:pPr>
        <w:ind w:left="1420" w:hanging="563"/>
        <w:spacing w:after="0"/>
        <w:tabs>
          <w:tab w:leader="none" w:pos="1420" w:val="left"/>
        </w:tabs>
        <w:numPr>
          <w:ilvl w:val="0"/>
          <w:numId w:val="95"/>
        </w:numPr>
        <w:rPr>
          <w:rFonts w:ascii="Arial" w:cs="Arial" w:eastAsia="Arial" w:hAnsi="Arial"/>
          <w:sz w:val="11"/>
          <w:szCs w:val="11"/>
          <w:color w:val="auto"/>
        </w:rPr>
      </w:pPr>
      <w:r>
        <w:rPr>
          <w:rFonts w:ascii="Arial" w:cs="Arial" w:eastAsia="Arial" w:hAnsi="Arial"/>
          <w:sz w:val="12"/>
          <w:szCs w:val="12"/>
          <w:color w:val="auto"/>
        </w:rPr>
        <w:t>that on the Redemption Date the Redemption Price will become due and payable upon each such Note be redeemed and that interest thereon will cease to accrue on and after said date,</w:t>
      </w:r>
    </w:p>
    <w:p>
      <w:pPr>
        <w:spacing w:after="0" w:line="186" w:lineRule="exact"/>
        <w:rPr>
          <w:rFonts w:ascii="Arial" w:cs="Arial" w:eastAsia="Arial" w:hAnsi="Arial"/>
          <w:sz w:val="11"/>
          <w:szCs w:val="11"/>
          <w:color w:val="auto"/>
        </w:rPr>
      </w:pPr>
    </w:p>
    <w:p>
      <w:pPr>
        <w:ind w:left="1420" w:hanging="563"/>
        <w:spacing w:after="0"/>
        <w:tabs>
          <w:tab w:leader="none" w:pos="1420" w:val="left"/>
        </w:tabs>
        <w:numPr>
          <w:ilvl w:val="0"/>
          <w:numId w:val="95"/>
        </w:numPr>
        <w:rPr>
          <w:rFonts w:ascii="Arial" w:cs="Arial" w:eastAsia="Arial" w:hAnsi="Arial"/>
          <w:sz w:val="12"/>
          <w:szCs w:val="12"/>
          <w:color w:val="auto"/>
        </w:rPr>
      </w:pPr>
      <w:r>
        <w:rPr>
          <w:rFonts w:ascii="Arial" w:cs="Arial" w:eastAsia="Arial" w:hAnsi="Arial"/>
          <w:sz w:val="13"/>
          <w:szCs w:val="13"/>
          <w:color w:val="auto"/>
        </w:rPr>
        <w:t>the place or places where each such Note is to be surrendered for payment of the Redemption Price,</w:t>
      </w:r>
    </w:p>
    <w:p>
      <w:pPr>
        <w:spacing w:after="0" w:line="174" w:lineRule="exact"/>
        <w:rPr>
          <w:rFonts w:ascii="Arial" w:cs="Arial" w:eastAsia="Arial" w:hAnsi="Arial"/>
          <w:sz w:val="12"/>
          <w:szCs w:val="12"/>
          <w:color w:val="auto"/>
        </w:rPr>
      </w:pPr>
    </w:p>
    <w:p>
      <w:pPr>
        <w:ind w:left="1420" w:hanging="563"/>
        <w:spacing w:after="0"/>
        <w:tabs>
          <w:tab w:leader="none" w:pos="1420" w:val="left"/>
        </w:tabs>
        <w:numPr>
          <w:ilvl w:val="0"/>
          <w:numId w:val="95"/>
        </w:numPr>
        <w:rPr>
          <w:rFonts w:ascii="Arial" w:cs="Arial" w:eastAsia="Arial" w:hAnsi="Arial"/>
          <w:sz w:val="12"/>
          <w:szCs w:val="12"/>
          <w:color w:val="auto"/>
        </w:rPr>
      </w:pPr>
      <w:r>
        <w:rPr>
          <w:rFonts w:ascii="Arial" w:cs="Arial" w:eastAsia="Arial" w:hAnsi="Arial"/>
          <w:sz w:val="13"/>
          <w:szCs w:val="13"/>
          <w:color w:val="auto"/>
        </w:rPr>
        <w:t>the CUSIP/ISIN numbers of the Notes; and</w:t>
      </w:r>
    </w:p>
    <w:p>
      <w:pPr>
        <w:spacing w:after="0" w:line="174" w:lineRule="exact"/>
        <w:rPr>
          <w:rFonts w:ascii="Arial" w:cs="Arial" w:eastAsia="Arial" w:hAnsi="Arial"/>
          <w:sz w:val="12"/>
          <w:szCs w:val="12"/>
          <w:color w:val="auto"/>
        </w:rPr>
      </w:pPr>
    </w:p>
    <w:p>
      <w:pPr>
        <w:ind w:left="1480" w:hanging="623"/>
        <w:spacing w:after="0"/>
        <w:tabs>
          <w:tab w:leader="none" w:pos="1480" w:val="left"/>
        </w:tabs>
        <w:numPr>
          <w:ilvl w:val="0"/>
          <w:numId w:val="95"/>
        </w:numPr>
        <w:rPr>
          <w:rFonts w:ascii="Arial" w:cs="Arial" w:eastAsia="Arial" w:hAnsi="Arial"/>
          <w:sz w:val="12"/>
          <w:szCs w:val="12"/>
          <w:color w:val="auto"/>
        </w:rPr>
      </w:pPr>
      <w:r>
        <w:rPr>
          <w:rFonts w:ascii="Arial" w:cs="Arial" w:eastAsia="Arial" w:hAnsi="Arial"/>
          <w:sz w:val="13"/>
          <w:szCs w:val="13"/>
          <w:color w:val="auto"/>
        </w:rPr>
        <w:t>any conditions precedent for the redemption or notice of redemption.</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440"/>
          </w:cols>
          <w:pgMar w:left="220" w:top="588" w:right="239" w:bottom="1440" w:gutter="0" w:footer="0" w:header="0"/>
        </w:sectPr>
      </w:pPr>
    </w:p>
    <w:bookmarkStart w:id="100" w:name="page101"/>
    <w:bookmarkEnd w:id="100"/>
    <w:p>
      <w:pPr>
        <w:ind w:right="420" w:firstLine="432"/>
        <w:spacing w:after="0" w:line="271" w:lineRule="auto"/>
        <w:rPr>
          <w:sz w:val="20"/>
          <w:szCs w:val="20"/>
          <w:color w:val="auto"/>
        </w:rPr>
      </w:pPr>
      <w:r>
        <w:rPr>
          <w:rFonts w:ascii="Arial" w:cs="Arial" w:eastAsia="Arial" w:hAnsi="Arial"/>
          <w:sz w:val="13"/>
          <w:szCs w:val="13"/>
          <w:color w:val="auto"/>
        </w:rPr>
        <w:t>Notice of redemption of Notes to be redeemed at the election of the Issuer shall be given by the Issuer or, at the Issuer’s request, by the Trustee in the name and at the expense of the Issuer and shall be irrevocable. Any redemption or notice of redemption may, at the Issuer’s discretion, be subject to one or more conditions precedent specified in the notice of redemption.</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1206.</w:t>
      </w:r>
      <w:r>
        <w:rPr>
          <w:sz w:val="20"/>
          <w:szCs w:val="20"/>
          <w:color w:val="auto"/>
        </w:rPr>
        <w:tab/>
      </w:r>
      <w:r>
        <w:rPr>
          <w:rFonts w:ascii="Arial" w:cs="Arial" w:eastAsia="Arial" w:hAnsi="Arial"/>
          <w:sz w:val="11"/>
          <w:szCs w:val="11"/>
          <w:u w:val="single" w:color="auto"/>
          <w:color w:val="auto"/>
        </w:rPr>
        <w:t>Deposit of Redemption Price</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58" w:lineRule="auto"/>
        <w:rPr>
          <w:sz w:val="20"/>
          <w:szCs w:val="20"/>
          <w:color w:val="auto"/>
        </w:rPr>
      </w:pPr>
      <w:r>
        <w:rPr>
          <w:rFonts w:ascii="Arial" w:cs="Arial" w:eastAsia="Arial" w:hAnsi="Arial"/>
          <w:sz w:val="13"/>
          <w:szCs w:val="13"/>
          <w:color w:val="auto"/>
        </w:rPr>
        <w:t>Prior to 11:00 a.m., New York City time, on any Redemption Date, the Issuer shall deposit with the Trustee or with a Paying Agent (or, if the Issuer or a Subsidiary is acting as its own Paying Agent, segregate and hold in trust as provided in Section 1103) an amount of money sufficient to pay the Redemption Price of, and (except if the Redemption Date shall be an Interest Payment Date) accrued interest on, all the Notes which are to be redeemed on that date.</w:t>
      </w:r>
    </w:p>
    <w:p>
      <w:pPr>
        <w:spacing w:after="0" w:line="121"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1207.</w:t>
      </w:r>
      <w:r>
        <w:rPr>
          <w:sz w:val="20"/>
          <w:szCs w:val="20"/>
          <w:color w:val="auto"/>
        </w:rPr>
        <w:tab/>
      </w:r>
      <w:r>
        <w:rPr>
          <w:rFonts w:ascii="Arial" w:cs="Arial" w:eastAsia="Arial" w:hAnsi="Arial"/>
          <w:sz w:val="11"/>
          <w:szCs w:val="11"/>
          <w:u w:val="single" w:color="auto"/>
          <w:color w:val="auto"/>
        </w:rPr>
        <w:t>Notes Payable on Redemption Date</w:t>
      </w:r>
      <w:r>
        <w:rPr>
          <w:rFonts w:ascii="Arial" w:cs="Arial" w:eastAsia="Arial" w:hAnsi="Arial"/>
          <w:sz w:val="11"/>
          <w:szCs w:val="11"/>
          <w:color w:val="auto"/>
        </w:rPr>
        <w:t>.</w:t>
      </w:r>
    </w:p>
    <w:p>
      <w:pPr>
        <w:spacing w:after="0" w:line="15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2"/>
          <w:szCs w:val="12"/>
          <w:color w:val="auto"/>
        </w:rPr>
        <w:t>Notice of redemption having been given as aforesaid, the Notes so to be redeemed shall, on the Redemption Date, become due and payable at the Redemption Price therein specified, and from and after such date (unless the Issuer shall default in the payment of the Redemption Price and accrued interest) such Notes shall cease to bear interest. Upon surrender of any such Notes for redemption in accordance with said notice, such Notes shall be paid by the Issuer at the Redemption Price, together with accrued interest to the Redemption Date, except as provided in Section 1203(d).</w:t>
      </w:r>
    </w:p>
    <w:p>
      <w:pPr>
        <w:spacing w:after="0" w:line="103" w:lineRule="exact"/>
        <w:rPr>
          <w:sz w:val="20"/>
          <w:szCs w:val="20"/>
          <w:color w:val="auto"/>
        </w:rPr>
      </w:pPr>
    </w:p>
    <w:p>
      <w:pPr>
        <w:ind w:right="260" w:firstLine="432"/>
        <w:spacing w:after="0" w:line="271" w:lineRule="auto"/>
        <w:rPr>
          <w:sz w:val="20"/>
          <w:szCs w:val="20"/>
          <w:color w:val="auto"/>
        </w:rPr>
      </w:pPr>
      <w:r>
        <w:rPr>
          <w:rFonts w:ascii="Arial" w:cs="Arial" w:eastAsia="Arial" w:hAnsi="Arial"/>
          <w:sz w:val="13"/>
          <w:szCs w:val="13"/>
          <w:color w:val="auto"/>
        </w:rPr>
        <w:t>If any Note called for redemption shall not be so paid upon surrender thereof for redemption, the principal and any premium shall, until paid, bear interest from the Redemption Date at the rate prescribed therefor in the Note.</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1208.</w:t>
      </w:r>
      <w:r>
        <w:rPr>
          <w:sz w:val="20"/>
          <w:szCs w:val="20"/>
          <w:color w:val="auto"/>
        </w:rPr>
        <w:tab/>
      </w:r>
      <w:r>
        <w:rPr>
          <w:rFonts w:ascii="Arial" w:cs="Arial" w:eastAsia="Arial" w:hAnsi="Arial"/>
          <w:sz w:val="11"/>
          <w:szCs w:val="11"/>
          <w:u w:val="single" w:color="auto"/>
          <w:color w:val="auto"/>
        </w:rPr>
        <w:t>Notes Redeemed in Part</w:t>
      </w:r>
      <w:r>
        <w:rPr>
          <w:rFonts w:ascii="Arial" w:cs="Arial" w:eastAsia="Arial" w:hAnsi="Arial"/>
          <w:sz w:val="11"/>
          <w:szCs w:val="11"/>
          <w:color w:val="auto"/>
        </w:rPr>
        <w:t>.</w:t>
      </w:r>
    </w:p>
    <w:p>
      <w:pPr>
        <w:spacing w:after="0" w:line="15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Any Note which is to be redeemed only in part shall be surrendered at a Place of Payment therefor (with, if the Issuer or the Trustee so requires, due endorsement by, or a written instrument of transfer in form satisfactory to the Issuer and the Trustee duly executed by, the Holder thereof or its attorney duly authorized in writing), and the Issuer shall execute and the Trustee shall authenticate and deliver to the Holder of such Note without service charge, a new Note or Notes of like tenor, and of any authorized denomination as requested by such Holder, in aggregate principal amount equal to and in exchange for the unredeemed portion of the principal of the Note so surrendered.</w:t>
      </w:r>
    </w:p>
    <w:p>
      <w:pPr>
        <w:spacing w:after="0" w:line="120"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ARTICLE THIRTEEN</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SINKING FUND; OTHER ACQUISITIONS OF NOTES</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1301.</w:t>
      </w:r>
      <w:r>
        <w:rPr>
          <w:sz w:val="20"/>
          <w:szCs w:val="20"/>
          <w:color w:val="auto"/>
        </w:rPr>
        <w:tab/>
      </w:r>
      <w:r>
        <w:rPr>
          <w:rFonts w:ascii="Arial" w:cs="Arial" w:eastAsia="Arial" w:hAnsi="Arial"/>
          <w:sz w:val="11"/>
          <w:szCs w:val="11"/>
          <w:u w:val="single" w:color="auto"/>
          <w:color w:val="auto"/>
        </w:rPr>
        <w:t>Mandatory Redemption, Etc</w:t>
      </w:r>
      <w:r>
        <w:rPr>
          <w:rFonts w:ascii="Arial" w:cs="Arial" w:eastAsia="Arial" w:hAnsi="Arial"/>
          <w:sz w:val="11"/>
          <w:szCs w:val="11"/>
          <w:color w:val="auto"/>
        </w:rPr>
        <w: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Issuer will not be required to make mandatory redemption or sinking fund payments with respect to the Notes. The Issuer may purchase Notes in the market from time to time in its discretion.</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Issuer may acquire Notes by means other than a redemption, whether pursuant to a tender offer, open market purchase, negotiated transaction or otherwise, in accordance with applicable securities laws.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400"/>
          </w:cols>
          <w:pgMar w:left="220" w:top="435" w:right="279" w:bottom="1440" w:gutter="0" w:footer="0" w:header="0"/>
        </w:sectPr>
      </w:pPr>
    </w:p>
    <w:bookmarkStart w:id="101" w:name="page102"/>
    <w:bookmarkEnd w:id="101"/>
    <w:p>
      <w:pPr>
        <w:jc w:val="center"/>
        <w:ind w:left="440"/>
        <w:spacing w:after="0"/>
        <w:rPr>
          <w:sz w:val="20"/>
          <w:szCs w:val="20"/>
          <w:color w:val="auto"/>
        </w:rPr>
      </w:pPr>
      <w:r>
        <w:rPr>
          <w:rFonts w:ascii="Arial" w:cs="Arial" w:eastAsia="Arial" w:hAnsi="Arial"/>
          <w:sz w:val="13"/>
          <w:szCs w:val="13"/>
          <w:b w:val="1"/>
          <w:bCs w:val="1"/>
          <w:color w:val="auto"/>
        </w:rPr>
        <w:t>ARTICLE FOURTEEN</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LEGAL DEFEASANCE AND COVENANT DEFEASANCE</w:t>
      </w:r>
    </w:p>
    <w:p>
      <w:pPr>
        <w:spacing w:after="0" w:line="147"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3"/>
          <w:szCs w:val="13"/>
          <w:color w:val="auto"/>
        </w:rPr>
        <w:t>Section 1401.</w:t>
      </w:r>
      <w:r>
        <w:rPr>
          <w:sz w:val="20"/>
          <w:szCs w:val="20"/>
          <w:color w:val="auto"/>
        </w:rPr>
        <w:tab/>
      </w:r>
      <w:r>
        <w:rPr>
          <w:rFonts w:ascii="Arial" w:cs="Arial" w:eastAsia="Arial" w:hAnsi="Arial"/>
          <w:sz w:val="11"/>
          <w:szCs w:val="11"/>
          <w:u w:val="single" w:color="auto"/>
          <w:color w:val="auto"/>
        </w:rPr>
        <w:t>Issuer’s Option to Effect Legal Defeasance or Covenant Defeasance</w:t>
      </w:r>
      <w:r>
        <w:rPr>
          <w:rFonts w:ascii="Arial" w:cs="Arial" w:eastAsia="Arial" w:hAnsi="Arial"/>
          <w:sz w:val="11"/>
          <w:szCs w:val="11"/>
          <w:color w:val="auto"/>
        </w:rPr>
        <w:t>.</w:t>
      </w:r>
    </w:p>
    <w:p>
      <w:pPr>
        <w:spacing w:after="0" w:line="157" w:lineRule="exact"/>
        <w:rPr>
          <w:sz w:val="20"/>
          <w:szCs w:val="20"/>
          <w:color w:val="auto"/>
        </w:rPr>
      </w:pPr>
    </w:p>
    <w:p>
      <w:pPr>
        <w:ind w:left="8" w:right="440" w:firstLine="432"/>
        <w:spacing w:after="0" w:line="271" w:lineRule="auto"/>
        <w:rPr>
          <w:sz w:val="20"/>
          <w:szCs w:val="20"/>
          <w:color w:val="auto"/>
        </w:rPr>
      </w:pPr>
      <w:r>
        <w:rPr>
          <w:rFonts w:ascii="Arial" w:cs="Arial" w:eastAsia="Arial" w:hAnsi="Arial"/>
          <w:sz w:val="13"/>
          <w:szCs w:val="13"/>
          <w:color w:val="auto"/>
        </w:rPr>
        <w:t>The Issuer may elect, at its option at any time, to have Section 1402 or Section 1403 applied to the Notes, upon compliance with the conditions set forth below in this Article. Any such election shall be evidenced in or pursuant to a Board Resolution delivered to the Trustee.</w:t>
      </w:r>
    </w:p>
    <w:p>
      <w:pPr>
        <w:spacing w:after="0" w:line="113"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3"/>
          <w:szCs w:val="13"/>
          <w:color w:val="auto"/>
        </w:rPr>
        <w:t>Section 1402.</w:t>
      </w:r>
      <w:r>
        <w:rPr>
          <w:sz w:val="20"/>
          <w:szCs w:val="20"/>
          <w:color w:val="auto"/>
        </w:rPr>
        <w:tab/>
      </w:r>
      <w:r>
        <w:rPr>
          <w:rFonts w:ascii="Arial" w:cs="Arial" w:eastAsia="Arial" w:hAnsi="Arial"/>
          <w:sz w:val="11"/>
          <w:szCs w:val="11"/>
          <w:u w:val="single" w:color="auto"/>
          <w:color w:val="auto"/>
        </w:rPr>
        <w:t>Defeasance and Discharge</w:t>
      </w:r>
      <w:r>
        <w:rPr>
          <w:rFonts w:ascii="Arial" w:cs="Arial" w:eastAsia="Arial" w:hAnsi="Arial"/>
          <w:sz w:val="11"/>
          <w:szCs w:val="11"/>
          <w:color w:val="auto"/>
        </w:rPr>
        <w:t>.</w:t>
      </w:r>
    </w:p>
    <w:p>
      <w:pPr>
        <w:spacing w:after="0" w:line="157" w:lineRule="exact"/>
        <w:rPr>
          <w:sz w:val="20"/>
          <w:szCs w:val="20"/>
          <w:color w:val="auto"/>
        </w:rPr>
      </w:pPr>
    </w:p>
    <w:p>
      <w:pPr>
        <w:ind w:left="8" w:firstLine="432"/>
        <w:spacing w:after="0" w:line="299" w:lineRule="auto"/>
        <w:rPr>
          <w:sz w:val="20"/>
          <w:szCs w:val="20"/>
          <w:color w:val="auto"/>
        </w:rPr>
      </w:pPr>
      <w:r>
        <w:rPr>
          <w:rFonts w:ascii="Arial" w:cs="Arial" w:eastAsia="Arial" w:hAnsi="Arial"/>
          <w:sz w:val="11"/>
          <w:szCs w:val="11"/>
          <w:color w:val="auto"/>
        </w:rPr>
        <w:t>Upon the Issuer’s exercise of its option to have this Section applied to the Notes, the Issuer and the Guarantors shall be deemed to have been discharged from their respective obligations hereunder as provided in this Section on and after the date the conditions set forth in Section 1404 are satisfied (hereinafter called “Legal Defeasance”). For this purpose, such Legal Defeasance means that the Issuer and the Guarantors shall be deemed to have paid and discharged the entire indebtedness represented by the Notes and the Guarantees and to have satisfied all their other respective obligations under the Indenture (and the Trustee, upon Issuer Request and at the expense of the Issuer, shall execute proper instruments acknowledging the same), and the Indenture shall cease to be of further effect as to all Outstanding Notes and all Guarantees, except as to the following, which shall survive until otherwise terminated or discharged hereunder: (1) the rights of Holders of the Notes to receive, solely from the trust fund described in Section 1404 and as more fully set forth in such Section, payments in respect of the principal of, and interest and premium, if any, on, the Notes when payments are due, (2) the Issuer’s obligations under Sections 404, 405, 406, 1102, 1103 and 1104(a) and its obligations under Section 314(a) of the Trust Indenture Act, (3) the rights, powers, trusts, duties and immunities of the Trustee hereunder and the obligations of the Issuer and the Guarantors in connection therewith and (4) this Article. If the Issuer exercises its defeasance option pursuant to this Section 1402, the payment of the defeased Notes may not be accelerated pursuant to Section 602 because of an Event of Default. Subject to compliance with this Article, the Issuer may exercise its option (if any) to have this Section applied to the Notes notwithstanding the prior exercise of its option (if any) to have Section 1403 applied to the Notes.</w:t>
      </w:r>
    </w:p>
    <w:p>
      <w:pPr>
        <w:spacing w:after="0" w:line="104"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3"/>
          <w:szCs w:val="13"/>
          <w:color w:val="auto"/>
        </w:rPr>
        <w:t>Section 1403.</w:t>
      </w:r>
      <w:r>
        <w:rPr>
          <w:sz w:val="20"/>
          <w:szCs w:val="20"/>
          <w:color w:val="auto"/>
        </w:rPr>
        <w:tab/>
      </w:r>
      <w:r>
        <w:rPr>
          <w:rFonts w:ascii="Arial" w:cs="Arial" w:eastAsia="Arial" w:hAnsi="Arial"/>
          <w:sz w:val="11"/>
          <w:szCs w:val="11"/>
          <w:u w:val="single" w:color="auto"/>
          <w:color w:val="auto"/>
        </w:rPr>
        <w:t>Covenant Defeasance</w:t>
      </w:r>
      <w:r>
        <w:rPr>
          <w:rFonts w:ascii="Arial" w:cs="Arial" w:eastAsia="Arial" w:hAnsi="Arial"/>
          <w:sz w:val="11"/>
          <w:szCs w:val="11"/>
          <w:color w:val="auto"/>
        </w:rPr>
        <w:t>.</w:t>
      </w:r>
    </w:p>
    <w:p>
      <w:pPr>
        <w:spacing w:after="0" w:line="15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Upon the Issuer’s exercise of its option to have this Section applied to the Notes, (1) the Issuer shall be released from its obligations under Section 901(3), Section 1106, Sections 1107 through 1115, inclusive;</w:t>
      </w:r>
    </w:p>
    <w:p>
      <w:pPr>
        <w:spacing w:after="0" w:line="25" w:lineRule="exact"/>
        <w:rPr>
          <w:sz w:val="20"/>
          <w:szCs w:val="20"/>
          <w:color w:val="auto"/>
        </w:rPr>
      </w:pPr>
    </w:p>
    <w:p>
      <w:pPr>
        <w:ind w:left="8" w:hanging="8"/>
        <w:spacing w:after="0" w:line="247" w:lineRule="auto"/>
        <w:tabs>
          <w:tab w:leader="none" w:pos="195"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occurrence of any event specified in Sections 601(3) (with respect only to the obligation under Section 901(3)), 601(4), 601(5), 601(6), 601(7) (with respect only to Significant Subsidiaries other than the Issuer) or 601(8) (with respect only to Significant Subsidiaries other than the Issuer), 601(9) and 601(10) shall be deemed not to be or to result in a Default or an Event of Default, and (3) the Guarantees shall be automatically released, in each case as provided in this Section on and after the date the conditions set forth in Section 1404 are satisfied (hereinafter called “Covenant Defeasance”). For this purpose, such Covenant Defeasance means that the Issuer may omit to comply with and shall have no liability in respect of any term, condition or limitation set forth in any such specified Section, whether directly or indirectly by reason of any reference elsewhere herein to any such Section or Article or by reason of any reference in any such Section or Article to any other provision herein or in any other document, and any such omission will not constitute a Default or an Event of Default.</w:t>
      </w:r>
    </w:p>
    <w:p>
      <w:pPr>
        <w:spacing w:after="0" w:line="13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3"/>
          <w:szCs w:val="13"/>
          <w:color w:val="auto"/>
        </w:rPr>
        <w:t>Section 1404.</w:t>
      </w:r>
      <w:r>
        <w:rPr>
          <w:sz w:val="20"/>
          <w:szCs w:val="20"/>
          <w:color w:val="auto"/>
        </w:rPr>
        <w:tab/>
      </w:r>
      <w:r>
        <w:rPr>
          <w:rFonts w:ascii="Arial" w:cs="Arial" w:eastAsia="Arial" w:hAnsi="Arial"/>
          <w:sz w:val="11"/>
          <w:szCs w:val="11"/>
          <w:u w:val="single" w:color="auto"/>
          <w:color w:val="auto"/>
        </w:rPr>
        <w:t>Conditions to Legal Defeasance or Covenant Defeasance</w:t>
      </w:r>
      <w:r>
        <w:rPr>
          <w:rFonts w:ascii="Arial" w:cs="Arial" w:eastAsia="Arial" w:hAnsi="Arial"/>
          <w:sz w:val="11"/>
          <w:szCs w:val="11"/>
          <w:color w:val="auto"/>
        </w:rPr>
        <w:t>.</w:t>
      </w:r>
    </w:p>
    <w:p>
      <w:pPr>
        <w:spacing w:after="0" w:line="157"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The following shall be the conditions to the application of Section 1402 or 1403:</w:t>
      </w:r>
    </w:p>
    <w:p>
      <w:pPr>
        <w:spacing w:after="0" w:line="1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468"/>
          </w:cols>
          <w:pgMar w:left="212" w:top="431" w:right="219" w:bottom="1440" w:gutter="0" w:footer="0" w:header="0"/>
        </w:sectPr>
      </w:pPr>
    </w:p>
    <w:bookmarkStart w:id="102" w:name="page103"/>
    <w:bookmarkEnd w:id="102"/>
    <w:p>
      <w:pPr>
        <w:ind w:right="40" w:firstLine="437"/>
        <w:spacing w:after="0" w:line="283" w:lineRule="auto"/>
        <w:tabs>
          <w:tab w:leader="none" w:pos="1005" w:val="left"/>
        </w:tabs>
        <w:numPr>
          <w:ilvl w:val="0"/>
          <w:numId w:val="97"/>
        </w:numPr>
        <w:rPr>
          <w:rFonts w:ascii="Arial" w:cs="Arial" w:eastAsia="Arial" w:hAnsi="Arial"/>
          <w:sz w:val="12"/>
          <w:szCs w:val="12"/>
          <w:color w:val="auto"/>
        </w:rPr>
      </w:pPr>
      <w:r>
        <w:rPr>
          <w:rFonts w:ascii="Arial" w:cs="Arial" w:eastAsia="Arial" w:hAnsi="Arial"/>
          <w:sz w:val="13"/>
          <w:szCs w:val="13"/>
          <w:color w:val="auto"/>
        </w:rPr>
        <w:t>the Issuer must irrevocably deposit with the Trustee, as trust funds, in trust solely for the benefit of the Holders,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32" w:lineRule="exact"/>
        <w:rPr>
          <w:rFonts w:ascii="Arial" w:cs="Arial" w:eastAsia="Arial" w:hAnsi="Arial"/>
          <w:sz w:val="12"/>
          <w:szCs w:val="12"/>
          <w:color w:val="auto"/>
        </w:rPr>
      </w:pPr>
    </w:p>
    <w:p>
      <w:pPr>
        <w:ind w:left="1000" w:hanging="563"/>
        <w:spacing w:after="0"/>
        <w:tabs>
          <w:tab w:leader="none" w:pos="1000" w:val="left"/>
        </w:tabs>
        <w:numPr>
          <w:ilvl w:val="0"/>
          <w:numId w:val="97"/>
        </w:numPr>
        <w:rPr>
          <w:rFonts w:ascii="Arial" w:cs="Arial" w:eastAsia="Arial" w:hAnsi="Arial"/>
          <w:sz w:val="12"/>
          <w:szCs w:val="12"/>
          <w:color w:val="auto"/>
        </w:rPr>
      </w:pPr>
      <w:r>
        <w:rPr>
          <w:rFonts w:ascii="Arial" w:cs="Arial" w:eastAsia="Arial" w:hAnsi="Arial"/>
          <w:sz w:val="13"/>
          <w:szCs w:val="13"/>
          <w:color w:val="auto"/>
        </w:rPr>
        <w:t>in the case of Legal Defeasance, the Issuer shall have delivered to the Trustee an Opinion of Counsel in the United States confirming that:</w:t>
      </w:r>
    </w:p>
    <w:p>
      <w:pPr>
        <w:spacing w:after="0" w:line="165" w:lineRule="exact"/>
        <w:rPr>
          <w:rFonts w:ascii="Arial" w:cs="Arial" w:eastAsia="Arial" w:hAnsi="Arial"/>
          <w:sz w:val="12"/>
          <w:szCs w:val="12"/>
          <w:color w:val="auto"/>
        </w:rPr>
      </w:pPr>
    </w:p>
    <w:p>
      <w:pPr>
        <w:ind w:left="1140" w:hanging="271"/>
        <w:spacing w:after="0"/>
        <w:tabs>
          <w:tab w:leader="none" w:pos="1140" w:val="left"/>
        </w:tabs>
        <w:numPr>
          <w:ilvl w:val="1"/>
          <w:numId w:val="97"/>
        </w:numPr>
        <w:rPr>
          <w:rFonts w:ascii="Arial" w:cs="Arial" w:eastAsia="Arial" w:hAnsi="Arial"/>
          <w:sz w:val="13"/>
          <w:szCs w:val="13"/>
          <w:color w:val="auto"/>
        </w:rPr>
      </w:pPr>
      <w:r>
        <w:rPr>
          <w:rFonts w:ascii="Arial" w:cs="Arial" w:eastAsia="Arial" w:hAnsi="Arial"/>
          <w:sz w:val="13"/>
          <w:szCs w:val="13"/>
          <w:color w:val="auto"/>
        </w:rPr>
        <w:t>the Issuer has received from, or there has been published by the Internal Revenue Service, a ruling, or</w:t>
      </w:r>
    </w:p>
    <w:p>
      <w:pPr>
        <w:spacing w:after="0" w:line="147" w:lineRule="exact"/>
        <w:rPr>
          <w:rFonts w:ascii="Arial" w:cs="Arial" w:eastAsia="Arial" w:hAnsi="Arial"/>
          <w:sz w:val="13"/>
          <w:szCs w:val="13"/>
          <w:color w:val="auto"/>
        </w:rPr>
      </w:pPr>
    </w:p>
    <w:p>
      <w:pPr>
        <w:ind w:left="1140" w:hanging="271"/>
        <w:spacing w:after="0"/>
        <w:tabs>
          <w:tab w:leader="none" w:pos="1140" w:val="left"/>
        </w:tabs>
        <w:numPr>
          <w:ilvl w:val="1"/>
          <w:numId w:val="97"/>
        </w:numPr>
        <w:rPr>
          <w:rFonts w:ascii="Arial" w:cs="Arial" w:eastAsia="Arial" w:hAnsi="Arial"/>
          <w:sz w:val="13"/>
          <w:szCs w:val="13"/>
          <w:color w:val="auto"/>
        </w:rPr>
      </w:pPr>
      <w:r>
        <w:rPr>
          <w:rFonts w:ascii="Arial" w:cs="Arial" w:eastAsia="Arial" w:hAnsi="Arial"/>
          <w:sz w:val="13"/>
          <w:szCs w:val="13"/>
          <w:color w:val="auto"/>
        </w:rPr>
        <w:t>since the date of the Indenture, there has been a change in the applicable U.S. federal income tax law,</w:t>
      </w:r>
    </w:p>
    <w:p>
      <w:pPr>
        <w:spacing w:after="0" w:line="148" w:lineRule="exact"/>
        <w:rPr>
          <w:sz w:val="20"/>
          <w:szCs w:val="20"/>
          <w:color w:val="auto"/>
        </w:rPr>
      </w:pPr>
    </w:p>
    <w:p>
      <w:pPr>
        <w:jc w:val="both"/>
        <w:ind w:left="420" w:right="140"/>
        <w:spacing w:after="0" w:line="258" w:lineRule="auto"/>
        <w:rPr>
          <w:sz w:val="20"/>
          <w:szCs w:val="20"/>
          <w:color w:val="auto"/>
        </w:rPr>
      </w:pPr>
      <w:r>
        <w:rPr>
          <w:rFonts w:ascii="Arial" w:cs="Arial" w:eastAsia="Arial" w:hAnsi="Arial"/>
          <w:sz w:val="13"/>
          <w:szCs w:val="13"/>
          <w:color w:val="auto"/>
        </w:rPr>
        <w:t>in either case to the effect that, and based thereon such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30" w:lineRule="exact"/>
        <w:rPr>
          <w:sz w:val="20"/>
          <w:szCs w:val="20"/>
          <w:color w:val="auto"/>
        </w:rPr>
      </w:pPr>
    </w:p>
    <w:p>
      <w:pPr>
        <w:ind w:firstLine="437"/>
        <w:spacing w:after="0" w:line="287" w:lineRule="auto"/>
        <w:tabs>
          <w:tab w:leader="none" w:pos="1005" w:val="left"/>
        </w:tabs>
        <w:numPr>
          <w:ilvl w:val="0"/>
          <w:numId w:val="98"/>
        </w:numPr>
        <w:rPr>
          <w:rFonts w:ascii="Arial" w:cs="Arial" w:eastAsia="Arial" w:hAnsi="Arial"/>
          <w:sz w:val="12"/>
          <w:szCs w:val="12"/>
          <w:color w:val="auto"/>
        </w:rPr>
      </w:pPr>
      <w:r>
        <w:rPr>
          <w:rFonts w:ascii="Arial" w:cs="Arial" w:eastAsia="Arial" w:hAnsi="Arial"/>
          <w:sz w:val="13"/>
          <w:szCs w:val="13"/>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130" w:lineRule="exact"/>
        <w:rPr>
          <w:rFonts w:ascii="Arial" w:cs="Arial" w:eastAsia="Arial" w:hAnsi="Arial"/>
          <w:sz w:val="12"/>
          <w:szCs w:val="12"/>
          <w:color w:val="auto"/>
        </w:rPr>
      </w:pPr>
    </w:p>
    <w:p>
      <w:pPr>
        <w:ind w:right="220" w:firstLine="437"/>
        <w:spacing w:after="0" w:line="300" w:lineRule="auto"/>
        <w:tabs>
          <w:tab w:leader="none" w:pos="1005" w:val="left"/>
        </w:tabs>
        <w:numPr>
          <w:ilvl w:val="0"/>
          <w:numId w:val="98"/>
        </w:numPr>
        <w:rPr>
          <w:rFonts w:ascii="Arial" w:cs="Arial" w:eastAsia="Arial" w:hAnsi="Arial"/>
          <w:sz w:val="12"/>
          <w:szCs w:val="12"/>
          <w:color w:val="auto"/>
        </w:rPr>
      </w:pPr>
      <w:r>
        <w:rPr>
          <w:rFonts w:ascii="Arial" w:cs="Arial" w:eastAsia="Arial" w:hAnsi="Arial"/>
          <w:sz w:val="13"/>
          <w:szCs w:val="13"/>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21" w:lineRule="exact"/>
        <w:rPr>
          <w:rFonts w:ascii="Arial" w:cs="Arial" w:eastAsia="Arial" w:hAnsi="Arial"/>
          <w:sz w:val="12"/>
          <w:szCs w:val="12"/>
          <w:color w:val="auto"/>
        </w:rPr>
      </w:pPr>
    </w:p>
    <w:p>
      <w:pPr>
        <w:jc w:val="both"/>
        <w:ind w:right="140" w:firstLine="437"/>
        <w:spacing w:after="0" w:line="287" w:lineRule="auto"/>
        <w:tabs>
          <w:tab w:leader="none" w:pos="1005" w:val="left"/>
        </w:tabs>
        <w:numPr>
          <w:ilvl w:val="0"/>
          <w:numId w:val="98"/>
        </w:numPr>
        <w:rPr>
          <w:rFonts w:ascii="Arial" w:cs="Arial" w:eastAsia="Arial" w:hAnsi="Arial"/>
          <w:sz w:val="12"/>
          <w:szCs w:val="12"/>
          <w:color w:val="auto"/>
        </w:rPr>
      </w:pPr>
      <w:r>
        <w:rPr>
          <w:rFonts w:ascii="Arial" w:cs="Arial" w:eastAsia="Arial" w:hAnsi="Arial"/>
          <w:sz w:val="13"/>
          <w:szCs w:val="13"/>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130" w:lineRule="exact"/>
        <w:rPr>
          <w:rFonts w:ascii="Arial" w:cs="Arial" w:eastAsia="Arial" w:hAnsi="Arial"/>
          <w:sz w:val="12"/>
          <w:szCs w:val="12"/>
          <w:color w:val="auto"/>
        </w:rPr>
      </w:pPr>
    </w:p>
    <w:p>
      <w:pPr>
        <w:ind w:right="40" w:firstLine="437"/>
        <w:spacing w:after="0" w:line="300" w:lineRule="auto"/>
        <w:tabs>
          <w:tab w:leader="none" w:pos="1005" w:val="left"/>
        </w:tabs>
        <w:numPr>
          <w:ilvl w:val="0"/>
          <w:numId w:val="98"/>
        </w:numPr>
        <w:rPr>
          <w:rFonts w:ascii="Arial" w:cs="Arial" w:eastAsia="Arial" w:hAnsi="Arial"/>
          <w:sz w:val="12"/>
          <w:szCs w:val="12"/>
          <w:color w:val="auto"/>
        </w:rPr>
      </w:pPr>
      <w:r>
        <w:rPr>
          <w:rFonts w:ascii="Arial" w:cs="Arial" w:eastAsia="Arial" w:hAnsi="Arial"/>
          <w:sz w:val="13"/>
          <w:szCs w:val="13"/>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21" w:lineRule="exact"/>
        <w:rPr>
          <w:rFonts w:ascii="Arial" w:cs="Arial" w:eastAsia="Arial" w:hAnsi="Arial"/>
          <w:sz w:val="12"/>
          <w:szCs w:val="12"/>
          <w:color w:val="auto"/>
        </w:rPr>
      </w:pPr>
    </w:p>
    <w:p>
      <w:pPr>
        <w:ind w:left="1000" w:hanging="563"/>
        <w:spacing w:after="0"/>
        <w:tabs>
          <w:tab w:leader="none" w:pos="1000" w:val="left"/>
        </w:tabs>
        <w:numPr>
          <w:ilvl w:val="0"/>
          <w:numId w:val="98"/>
        </w:numPr>
        <w:rPr>
          <w:rFonts w:ascii="Arial" w:cs="Arial" w:eastAsia="Arial" w:hAnsi="Arial"/>
          <w:sz w:val="11"/>
          <w:szCs w:val="11"/>
          <w:color w:val="auto"/>
        </w:rPr>
      </w:pPr>
      <w:r>
        <w:rPr>
          <w:rFonts w:ascii="Arial" w:cs="Arial" w:eastAsia="Arial" w:hAnsi="Arial"/>
          <w:sz w:val="12"/>
          <w:szCs w:val="12"/>
          <w:color w:val="auto"/>
        </w:rPr>
        <w:t>the Issuer shall have delivered to the Trustee an Officer’s Certificate and an Opinion of Counsel to the effect that the conditions precedent provided for in clauses (1) through (6) have been</w:t>
      </w:r>
    </w:p>
    <w:p>
      <w:pPr>
        <w:spacing w:after="0" w:line="33"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complied with.</w:t>
      </w:r>
    </w:p>
    <w:p>
      <w:pPr>
        <w:spacing w:after="0" w:line="33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060"/>
          </w:cols>
          <w:pgMar w:left="640" w:top="597" w:right="199" w:bottom="1440" w:gutter="0" w:footer="0" w:header="0"/>
        </w:sectPr>
      </w:pPr>
    </w:p>
    <w:bookmarkStart w:id="103" w:name="page104"/>
    <w:bookmarkEnd w:id="103"/>
    <w:p>
      <w:pPr>
        <w:spacing w:after="0"/>
        <w:tabs>
          <w:tab w:leader="none" w:pos="840" w:val="left"/>
        </w:tabs>
        <w:rPr>
          <w:sz w:val="20"/>
          <w:szCs w:val="20"/>
          <w:color w:val="auto"/>
        </w:rPr>
      </w:pPr>
      <w:r>
        <w:rPr>
          <w:rFonts w:ascii="Arial" w:cs="Arial" w:eastAsia="Arial" w:hAnsi="Arial"/>
          <w:sz w:val="13"/>
          <w:szCs w:val="13"/>
          <w:color w:val="auto"/>
        </w:rPr>
        <w:t>Section 1405.</w:t>
      </w:r>
      <w:r>
        <w:rPr>
          <w:sz w:val="20"/>
          <w:szCs w:val="20"/>
          <w:color w:val="auto"/>
        </w:rPr>
        <w:tab/>
      </w:r>
      <w:r>
        <w:rPr>
          <w:rFonts w:ascii="Arial" w:cs="Arial" w:eastAsia="Arial" w:hAnsi="Arial"/>
          <w:sz w:val="12"/>
          <w:szCs w:val="12"/>
          <w:u w:val="single" w:color="auto"/>
          <w:color w:val="auto"/>
        </w:rPr>
        <w:t>Deposited Money and U.S. Government Obligations to Be Held in Trust; Miscellaneous Provisions</w:t>
      </w:r>
      <w:r>
        <w:rPr>
          <w:rFonts w:ascii="Arial" w:cs="Arial" w:eastAsia="Arial" w:hAnsi="Arial"/>
          <w:sz w:val="12"/>
          <w:szCs w:val="12"/>
          <w:color w:val="auto"/>
        </w:rPr>
        <w:t>.</w:t>
      </w:r>
    </w:p>
    <w:p>
      <w:pPr>
        <w:spacing w:after="0" w:line="157" w:lineRule="exact"/>
        <w:rPr>
          <w:sz w:val="20"/>
          <w:szCs w:val="20"/>
          <w:color w:val="auto"/>
        </w:rPr>
      </w:pPr>
    </w:p>
    <w:p>
      <w:pPr>
        <w:ind w:right="80" w:firstLine="432"/>
        <w:spacing w:after="0" w:line="254" w:lineRule="auto"/>
        <w:rPr>
          <w:sz w:val="20"/>
          <w:szCs w:val="20"/>
          <w:color w:val="auto"/>
        </w:rPr>
      </w:pPr>
      <w:r>
        <w:rPr>
          <w:rFonts w:ascii="Arial" w:cs="Arial" w:eastAsia="Arial" w:hAnsi="Arial"/>
          <w:sz w:val="13"/>
          <w:szCs w:val="13"/>
          <w:color w:val="auto"/>
        </w:rPr>
        <w:t>Subject to the provisions of the last paragraph of Section 1103, all money and U.S. Government Obligations (including the proceeds thereof) deposited with the Trustee pursuant to Section 1404 in respect of any Notes shall be held in trust and applied by the Trustee, in accordance with the provisions of such Notes and the Indenture, to the payment, either directly or through any such Paying Agent (including the Issuer acting as its own Paying Agent) as the Trustee may determine, to the Holders of such Notes, of all sums due and to become due thereon in respect of principal and any premium and interest, but money so held in trust need not be segregated from other funds except to the extent required by law.</w:t>
      </w:r>
    </w:p>
    <w:p>
      <w:pPr>
        <w:spacing w:after="0" w:line="124" w:lineRule="exact"/>
        <w:rPr>
          <w:sz w:val="20"/>
          <w:szCs w:val="20"/>
          <w:color w:val="auto"/>
        </w:rPr>
      </w:pPr>
    </w:p>
    <w:p>
      <w:pPr>
        <w:ind w:right="240" w:firstLine="432"/>
        <w:spacing w:after="0" w:line="271" w:lineRule="auto"/>
        <w:rPr>
          <w:sz w:val="20"/>
          <w:szCs w:val="20"/>
          <w:color w:val="auto"/>
        </w:rPr>
      </w:pPr>
      <w:r>
        <w:rPr>
          <w:rFonts w:ascii="Arial" w:cs="Arial" w:eastAsia="Arial" w:hAnsi="Arial"/>
          <w:sz w:val="13"/>
          <w:szCs w:val="13"/>
          <w:color w:val="auto"/>
        </w:rPr>
        <w:t>The Issuer shall pay and indemnify the Trustee against any tax, fee or other charge imposed on or assessed against the U.S. Government Obligations deposited pursuant to Section 1404 or the principal and interest received in respect thereof other than any such tax, fee or other charge which by law is for the account of the Holders of Outstanding Notes.</w:t>
      </w:r>
    </w:p>
    <w:p>
      <w:pPr>
        <w:spacing w:after="0" w:line="113" w:lineRule="exact"/>
        <w:rPr>
          <w:sz w:val="20"/>
          <w:szCs w:val="20"/>
          <w:color w:val="auto"/>
        </w:rPr>
      </w:pPr>
    </w:p>
    <w:p>
      <w:pPr>
        <w:jc w:val="both"/>
        <w:ind w:right="100" w:firstLine="432"/>
        <w:spacing w:after="0" w:line="258" w:lineRule="auto"/>
        <w:rPr>
          <w:sz w:val="20"/>
          <w:szCs w:val="20"/>
          <w:color w:val="auto"/>
        </w:rPr>
      </w:pPr>
      <w:r>
        <w:rPr>
          <w:rFonts w:ascii="Arial" w:cs="Arial" w:eastAsia="Arial" w:hAnsi="Arial"/>
          <w:sz w:val="13"/>
          <w:szCs w:val="13"/>
          <w:color w:val="auto"/>
        </w:rPr>
        <w:t>Anything in this Article to the contrary notwithstanding, the Trustee shall deliver or pay to the Issuer from time to time upon Issuer Request any money or U.S. Government Obligations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Legal Defeasance or Covenant Defeasance, as the case may be.</w:t>
      </w:r>
    </w:p>
    <w:p>
      <w:pPr>
        <w:spacing w:after="0" w:line="121"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1406.</w:t>
      </w:r>
      <w:r>
        <w:rPr>
          <w:sz w:val="20"/>
          <w:szCs w:val="20"/>
          <w:color w:val="auto"/>
        </w:rPr>
        <w:tab/>
      </w:r>
      <w:r>
        <w:rPr>
          <w:rFonts w:ascii="Arial" w:cs="Arial" w:eastAsia="Arial" w:hAnsi="Arial"/>
          <w:sz w:val="11"/>
          <w:szCs w:val="11"/>
          <w:u w:val="single" w:color="auto"/>
          <w:color w:val="auto"/>
        </w:rPr>
        <w:t>Reinstatement</w:t>
      </w:r>
      <w:r>
        <w:rPr>
          <w:rFonts w:ascii="Arial" w:cs="Arial" w:eastAsia="Arial" w:hAnsi="Arial"/>
          <w:sz w:val="11"/>
          <w:szCs w:val="11"/>
          <w:color w:val="auto"/>
        </w:rPr>
        <w:t>.</w:t>
      </w:r>
    </w:p>
    <w:p>
      <w:pPr>
        <w:spacing w:after="0" w:line="157"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 xml:space="preserve">If the Trustee or any Paying Agent is unable to apply any money in accordance with this Article with respect to any Notes by reason of any order or judgment of any court or governmental authority enjoining, restraining or otherwise prohibiting such application, then the obligations under the Indenture and the Notes from which the Issuer has been discharged or released pursuant to Section 1402 or 1403 shall be revived and reinstated as though no deposit had occurred pursuant to this Article, until such time as the Trustee or Paying Agent is permitted to apply all money held in trust pursuant to Section 1405 in accordance with this Article;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 Issuer makes any payment of principal of or any premium or interest on any Note following such reinstatement of its obligations, the Issuer shall be subrogated to the rights (if any) of the Holders to receive such payment from the money so held in trust.</w:t>
      </w:r>
    </w:p>
    <w:p>
      <w:pPr>
        <w:spacing w:after="0" w:line="121"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ARTICLE FIFTEEN</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GUARANTEES</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1501.</w:t>
      </w:r>
      <w:r>
        <w:rPr>
          <w:sz w:val="20"/>
          <w:szCs w:val="20"/>
          <w:color w:val="auto"/>
        </w:rPr>
        <w:tab/>
      </w:r>
      <w:r>
        <w:rPr>
          <w:rFonts w:ascii="Arial" w:cs="Arial" w:eastAsia="Arial" w:hAnsi="Arial"/>
          <w:sz w:val="11"/>
          <w:szCs w:val="11"/>
          <w:u w:val="single" w:color="auto"/>
          <w:color w:val="auto"/>
        </w:rPr>
        <w:t>Unconditional Guarantee</w:t>
      </w:r>
      <w:r>
        <w:rPr>
          <w:rFonts w:ascii="Arial" w:cs="Arial" w:eastAsia="Arial" w:hAnsi="Arial"/>
          <w:sz w:val="11"/>
          <w:szCs w:val="11"/>
          <w:color w:val="auto"/>
        </w:rPr>
        <w:t>.</w:t>
      </w:r>
    </w:p>
    <w:p>
      <w:pPr>
        <w:spacing w:after="0" w:line="157" w:lineRule="exact"/>
        <w:rPr>
          <w:sz w:val="20"/>
          <w:szCs w:val="20"/>
          <w:color w:val="auto"/>
        </w:rPr>
      </w:pPr>
    </w:p>
    <w:p>
      <w:pPr>
        <w:ind w:right="160" w:firstLine="424"/>
        <w:spacing w:after="0" w:line="251" w:lineRule="auto"/>
        <w:tabs>
          <w:tab w:leader="none" w:pos="699" w:val="left"/>
        </w:tabs>
        <w:numPr>
          <w:ilvl w:val="0"/>
          <w:numId w:val="99"/>
        </w:numPr>
        <w:rPr>
          <w:rFonts w:ascii="Arial" w:cs="Arial" w:eastAsia="Arial" w:hAnsi="Arial"/>
          <w:sz w:val="13"/>
          <w:szCs w:val="13"/>
          <w:color w:val="auto"/>
        </w:rPr>
      </w:pPr>
      <w:r>
        <w:rPr>
          <w:rFonts w:ascii="Arial" w:cs="Arial" w:eastAsia="Arial" w:hAnsi="Arial"/>
          <w:sz w:val="13"/>
          <w:szCs w:val="13"/>
          <w:color w:val="auto"/>
        </w:rPr>
        <w:t>For value received, each of the Guarantors hereby fully, irrevocably, unconditionally and absolutely guarantees to the Holders and to the Trustee the due and punctual payment of the principal of, and premium, if any, and interest on the Notes and all other amounts due and payable under the Indenture and the Notes by the Issuer (collectively, the “Indenture Obligations”), when and as such principal, premium, if any, and interest shall become due and payable, whether at the Stated Maturity or by declaration of acceleration, call for redemption or otherwise, according to the terms of the Notes and the Indenture, subject to the limitations set forth in Section 1503. Without limiting the generality of the foregoing, the Guarantors’ liability shall extend to all amounts that constitute part of the Indenture Obligations and would be owed by the Issuer to the Trustee or the Holders under the Indenture and the Notes but for the fact that they are unenforceable, reduced, limited, impaired, suspended or not allowable due to the existence of a bankruptcy, reorganization or similar proceeding involving the Issuer.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460"/>
          </w:cols>
          <w:pgMar w:left="220" w:top="435" w:right="219" w:bottom="1440" w:gutter="0" w:footer="0" w:header="0"/>
        </w:sectPr>
      </w:pPr>
    </w:p>
    <w:bookmarkStart w:id="104" w:name="page105"/>
    <w:bookmarkEnd w:id="104"/>
    <w:p>
      <w:pPr>
        <w:ind w:firstLine="424"/>
        <w:spacing w:after="0" w:line="272" w:lineRule="auto"/>
        <w:tabs>
          <w:tab w:leader="none" w:pos="706" w:val="left"/>
        </w:tabs>
        <w:numPr>
          <w:ilvl w:val="0"/>
          <w:numId w:val="100"/>
        </w:numPr>
        <w:rPr>
          <w:rFonts w:ascii="Arial" w:cs="Arial" w:eastAsia="Arial" w:hAnsi="Arial"/>
          <w:sz w:val="12"/>
          <w:szCs w:val="12"/>
          <w:color w:val="auto"/>
        </w:rPr>
      </w:pPr>
      <w:r>
        <w:rPr>
          <w:rFonts w:ascii="Arial" w:cs="Arial" w:eastAsia="Arial" w:hAnsi="Arial"/>
          <w:sz w:val="12"/>
          <w:szCs w:val="12"/>
          <w:color w:val="auto"/>
        </w:rPr>
        <w:t>Failing payment when due of any amount guaranteed pursuant to its Guarantee, for whatever reason, each of the Guarantors will be jointly and severally obligated (to the fullest extent permitted by law) to pay the same immediately to the Trustee, without set-off or counterclaim or other reduction whatsoever (whether for taxes, withholding or otherwise). Each Guarantee hereunder is intended to be a general, unsecured, senior obligation of the applicable Guarantor and will rank pari passu in right of payment with all debt of such Guarantor that is not, by its terms, expressly subordinated in right of payment to such Guarantee. Each of the Guarantors hereby agrees that (to the fullest extent permitted by law) its obligations hereunder shall be full, irrevocable, unconditional and absolute, irrespective of the validity, regularity or enforceability of the Notes, the Guarantee of any other Guarantor or the Indenture, the absence of any action to enforce the same, any waiver or consent by any Holder of the Notes with respect to any provisions hereof or thereof, the recovery of any judgment against the Issuer or any other Guarantor, or any action to enforce the same or any other circumstances which might otherwise constitute a legal or equitable discharge or defense of such Guarantor. Each of the Guarantors hereby agrees that in the event of a default in payment of the principal of, or premium, if any, or interest on the Notes, whether at the Stated Maturity or by declaration of acceleration, call for redemption or otherwise, legal proceedings may be instituted by the Trustee on behalf of the Holders or, subject to Section 607, by the Holders, on the terms and conditions set forth in the Indenture, directly against such Guarantor to enforce its Guarantee without first proceeding against the Issuer or any other Guarantor.</w:t>
      </w:r>
    </w:p>
    <w:p>
      <w:pPr>
        <w:spacing w:after="0" w:line="114" w:lineRule="exact"/>
        <w:rPr>
          <w:rFonts w:ascii="Arial" w:cs="Arial" w:eastAsia="Arial" w:hAnsi="Arial"/>
          <w:sz w:val="12"/>
          <w:szCs w:val="12"/>
          <w:color w:val="auto"/>
        </w:rPr>
      </w:pPr>
    </w:p>
    <w:p>
      <w:pPr>
        <w:ind w:right="120" w:firstLine="424"/>
        <w:spacing w:after="0" w:line="270" w:lineRule="auto"/>
        <w:tabs>
          <w:tab w:leader="none" w:pos="699"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To the fullest extent permitted by applicable law, the obligations of each of the Guarantors under this Article shall be as aforesaid full, irrevocable, 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Issuer or any of the other Guarantors contained in the Notes or the Indenture, (B) any impairment, modification, release or limitation of the liability of the Issuer, any of the other Guarantors or any of their estates in bankruptcy, or any remedy for the enforcement thereof, resulting from the operation of any present or future provision of any applicable Bankruptcy Law, or other statute or from the decision of any court, (C) the assertion or exercise by the Trustee or any Holder of any rights or remedies under the Notes or the Indenture or their delay in or failure to assert or exercise any such rights or remedies, (D) the assignment or the purported assignment of any property as security for the Notes, including all or any part of the rights of the Issuer or any of the Guarantors under the Indenture, (E) the extension of the time for payment by the Issuer or any of the Guarantors of any payments or other sums or any part thereof owing or payable under any of the terms and provisions of the Notes or the Indenture or of the time for performance by the Issuer or any of the Guarantors of any other obligations under or arising out of any such terms and provisions or the extension or the renewal of any thereof, (F) the modification or amendment (whether material or otherwise) of any duty, agreement or obligation of the Issuer or any of the Guarantors set forth in the Indenture, (G) 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Issuer or any of the Guarantors or any of their respective assets, or the disaffirmance of any of the Notes, the Guarantees or the Indenture in any such proceeding, (H) the release or discharge of the Issuer or any of the Guarantors from the performance or observance of any agreement, covenant, term or condition contained in any of such instruments by operation of law, (I) the unenforceability of the Notes, the Guarantees or the Indenture or (J) any other circumstances (other than payment in full or discharge of all amounts guaranteed pursuant to the Guarantees) which might otherwise constitute a legal or equitable discharge of a surety or guarantor.</w:t>
      </w:r>
    </w:p>
    <w:p>
      <w:pPr>
        <w:spacing w:after="0" w:line="114" w:lineRule="exact"/>
        <w:rPr>
          <w:rFonts w:ascii="Arial" w:cs="Arial" w:eastAsia="Arial" w:hAnsi="Arial"/>
          <w:sz w:val="12"/>
          <w:szCs w:val="12"/>
          <w:color w:val="auto"/>
        </w:rPr>
      </w:pPr>
    </w:p>
    <w:p>
      <w:pPr>
        <w:ind w:right="160" w:firstLine="424"/>
        <w:spacing w:after="0" w:line="271" w:lineRule="auto"/>
        <w:tabs>
          <w:tab w:leader="none" w:pos="706"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To the fullest extent permitted by applicable law, each of the Guarantors hereby (A) waives diligence, presentment, demand of payment, notice of acceptance, filing of claims with a court in the event of the merger, insolvency or bankruptcy of the Issuer or any of the Guarantors, and all demands and notices whatsoever,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480"/>
          </w:cols>
          <w:pgMar w:left="220" w:top="435" w:right="199" w:bottom="1440" w:gutter="0" w:footer="0" w:header="0"/>
        </w:sectPr>
      </w:pPr>
    </w:p>
    <w:bookmarkStart w:id="105" w:name="page106"/>
    <w:bookmarkEnd w:id="105"/>
    <w:p>
      <w:pPr>
        <w:jc w:val="both"/>
        <w:ind w:left="8" w:right="60" w:hanging="8"/>
        <w:spacing w:after="0" w:line="278" w:lineRule="auto"/>
        <w:tabs>
          <w:tab w:leader="none" w:pos="217"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acknowledges that any agreement, instrument or document evidencing its Guarantee may be transferred and that the benefit of its obligations hereunder shall extend to each holder of any agreement, instrument or document evidencing the Guarantee without notice to it and (C) covenants that its Guarantee will not be discharged except by complete performance of the Guarantee. To the fullest extent permitted by applicable law,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Issuer or any of the Guarantors, such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110" w:lineRule="exact"/>
        <w:rPr>
          <w:rFonts w:ascii="Arial" w:cs="Arial" w:eastAsia="Arial" w:hAnsi="Arial"/>
          <w:sz w:val="12"/>
          <w:szCs w:val="12"/>
          <w:color w:val="auto"/>
        </w:rPr>
      </w:pPr>
    </w:p>
    <w:p>
      <w:pPr>
        <w:ind w:left="8" w:right="60" w:firstLine="424"/>
        <w:spacing w:after="0" w:line="258" w:lineRule="auto"/>
        <w:tabs>
          <w:tab w:leader="none" w:pos="707" w:val="left"/>
        </w:tabs>
        <w:numPr>
          <w:ilvl w:val="1"/>
          <w:numId w:val="101"/>
        </w:numPr>
        <w:rPr>
          <w:rFonts w:ascii="Arial" w:cs="Arial" w:eastAsia="Arial" w:hAnsi="Arial"/>
          <w:sz w:val="13"/>
          <w:szCs w:val="13"/>
          <w:color w:val="auto"/>
        </w:rPr>
      </w:pPr>
      <w:r>
        <w:rPr>
          <w:rFonts w:ascii="Arial" w:cs="Arial" w:eastAsia="Arial" w:hAnsi="Arial"/>
          <w:sz w:val="13"/>
          <w:szCs w:val="13"/>
          <w:color w:val="auto"/>
        </w:rPr>
        <w:t xml:space="preserve">Each of the Guarantors shall be subrogated to all rights of the Holders and the Trustee against the Issuer in respect of any amounts paid by such Guarantor pursuant to the provisions of the Indenture,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such Guarantor, shall not be entitled to enforce or to receive any payments arising out of, or based upon, such right of subrogation until all of the Notes and the Guarantees shall have been paid</w:t>
      </w:r>
      <w:r>
        <w:rPr>
          <w:rFonts w:ascii="Arial" w:cs="Arial" w:eastAsia="Arial" w:hAnsi="Arial"/>
          <w:sz w:val="13"/>
          <w:szCs w:val="13"/>
          <w:i w:val="1"/>
          <w:iCs w:val="1"/>
          <w:color w:val="auto"/>
        </w:rPr>
        <w:t xml:space="preserve"> </w:t>
      </w:r>
      <w:r>
        <w:rPr>
          <w:rFonts w:ascii="Arial" w:cs="Arial" w:eastAsia="Arial" w:hAnsi="Arial"/>
          <w:sz w:val="13"/>
          <w:szCs w:val="13"/>
          <w:color w:val="auto"/>
        </w:rPr>
        <w:t>in full or discharged.</w:t>
      </w:r>
    </w:p>
    <w:p>
      <w:pPr>
        <w:spacing w:after="0" w:line="121" w:lineRule="exact"/>
        <w:rPr>
          <w:rFonts w:ascii="Arial" w:cs="Arial" w:eastAsia="Arial" w:hAnsi="Arial"/>
          <w:sz w:val="13"/>
          <w:szCs w:val="13"/>
          <w:color w:val="auto"/>
        </w:rPr>
      </w:pPr>
    </w:p>
    <w:p>
      <w:pPr>
        <w:ind w:left="8" w:firstLine="424"/>
        <w:spacing w:after="0" w:line="282" w:lineRule="auto"/>
        <w:tabs>
          <w:tab w:leader="none" w:pos="692" w:val="left"/>
        </w:tabs>
        <w:numPr>
          <w:ilvl w:val="1"/>
          <w:numId w:val="101"/>
        </w:numPr>
        <w:rPr>
          <w:rFonts w:ascii="Arial" w:cs="Arial" w:eastAsia="Arial" w:hAnsi="Arial"/>
          <w:sz w:val="12"/>
          <w:szCs w:val="12"/>
          <w:color w:val="auto"/>
        </w:rPr>
      </w:pPr>
      <w:r>
        <w:rPr>
          <w:rFonts w:ascii="Arial" w:cs="Arial" w:eastAsia="Arial" w:hAnsi="Arial"/>
          <w:sz w:val="12"/>
          <w:szCs w:val="12"/>
          <w:color w:val="auto"/>
        </w:rPr>
        <w:t>To the fullest extent permitted by applicable law, no failure to exercise and no delay in exercising, on the part of the Trustee or the Holders, any right, power, privilege or remedy under this Article Fifteen and the Guarantees shall operate as a waiver thereof, nor shall any single or partial exercise of any rights, power, privilege or remedy preclude any other or further exercise thereof, or the exercise of any other rights, powers, privileges or remedies. The rights and remedies herein provided for are cumulative and not exclusive of any rights or remedies provided in law or equity. Nothing contained in this Article Fifteen shall limit the right of the Trustee or the Holders to take any action to accelerate the maturity of the Notes pursuant to Article Six or to pursue any other rights or remedies hereunder or under applicable law.</w:t>
      </w:r>
    </w:p>
    <w:p>
      <w:pPr>
        <w:spacing w:after="0" w:line="108"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3"/>
          <w:szCs w:val="13"/>
          <w:color w:val="auto"/>
        </w:rPr>
        <w:t>Section 1502.</w:t>
      </w:r>
      <w:r>
        <w:rPr>
          <w:sz w:val="20"/>
          <w:szCs w:val="20"/>
          <w:color w:val="auto"/>
        </w:rPr>
        <w:tab/>
      </w:r>
      <w:r>
        <w:rPr>
          <w:rFonts w:ascii="Arial" w:cs="Arial" w:eastAsia="Arial" w:hAnsi="Arial"/>
          <w:sz w:val="12"/>
          <w:szCs w:val="12"/>
          <w:u w:val="single" w:color="auto"/>
          <w:color w:val="auto"/>
        </w:rPr>
        <w:t>Execution and Delivery of Notation of Guarantee</w:t>
      </w:r>
      <w:r>
        <w:rPr>
          <w:rFonts w:ascii="Arial" w:cs="Arial" w:eastAsia="Arial" w:hAnsi="Arial"/>
          <w:sz w:val="12"/>
          <w:szCs w:val="12"/>
          <w:color w:val="auto"/>
        </w:rPr>
        <w:t>.</w:t>
      </w:r>
    </w:p>
    <w:p>
      <w:pPr>
        <w:spacing w:after="0" w:line="157" w:lineRule="exact"/>
        <w:rPr>
          <w:sz w:val="20"/>
          <w:szCs w:val="20"/>
          <w:color w:val="auto"/>
        </w:rPr>
      </w:pPr>
    </w:p>
    <w:p>
      <w:pPr>
        <w:ind w:left="8" w:firstLine="432"/>
        <w:spacing w:after="0" w:line="305" w:lineRule="auto"/>
        <w:rPr>
          <w:sz w:val="20"/>
          <w:szCs w:val="20"/>
          <w:color w:val="auto"/>
        </w:rPr>
      </w:pPr>
      <w:r>
        <w:rPr>
          <w:rFonts w:ascii="Arial" w:cs="Arial" w:eastAsia="Arial" w:hAnsi="Arial"/>
          <w:sz w:val="11"/>
          <w:szCs w:val="11"/>
          <w:color w:val="auto"/>
        </w:rPr>
        <w:t>To further evidence its Guarantee set forth in Section 1501, each of the Guarantors hereby agrees that a notation relating to such Guarantee, substantially in the form attached hereto as Annex B (a “Notation of Guarantee”), may be endorsed on each Note entitled to the benefits of its Guarantee that is authenticated and delivered by the Trustee. The Notation of Guarantee may be executed by either manual or facsimile signature of an Officer of such Guarantor, or in the case of a Guarantor that is a partnership, an Officer of the general partner of such Guarantor. Each of the Guarantors hereby agrees that its Guarantee shall remain in full force and effect notwithstanding any failure to endorse on each Note a notation relating to its Guarantee. If any Officer of the Guarantor, or in the case of a Guarantor that is a partnership, any Officer of the general partner of such Guarantor, whose signature is on the Indenture or a Notation of Guarantee no longer holds that office at the time the Trustee authenticates such Note or at any time thereafter, the Guarantee of such Note shall be valid nevertheless. The delivery of any Note by the Trustee, after the authentication thereof hereunder, shall constitute due delivery of the Guarantees set forth in the Indenture on behalf of the Guarantors.</w:t>
      </w:r>
    </w:p>
    <w:p>
      <w:pPr>
        <w:spacing w:after="0" w:line="98"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3"/>
          <w:szCs w:val="13"/>
          <w:color w:val="auto"/>
        </w:rPr>
        <w:t>Section 1503.</w:t>
      </w:r>
      <w:r>
        <w:rPr>
          <w:sz w:val="20"/>
          <w:szCs w:val="20"/>
          <w:color w:val="auto"/>
        </w:rPr>
        <w:tab/>
      </w:r>
      <w:r>
        <w:rPr>
          <w:rFonts w:ascii="Arial" w:cs="Arial" w:eastAsia="Arial" w:hAnsi="Arial"/>
          <w:sz w:val="12"/>
          <w:szCs w:val="12"/>
          <w:u w:val="single" w:color="auto"/>
          <w:color w:val="auto"/>
        </w:rPr>
        <w:t>Limitation on Guarantors’ Liability</w:t>
      </w:r>
      <w:r>
        <w:rPr>
          <w:rFonts w:ascii="Arial" w:cs="Arial" w:eastAsia="Arial" w:hAnsi="Arial"/>
          <w:sz w:val="12"/>
          <w:szCs w:val="12"/>
          <w:color w:val="auto"/>
        </w:rPr>
        <w:t>.</w:t>
      </w:r>
    </w:p>
    <w:p>
      <w:pPr>
        <w:spacing w:after="0" w:line="157" w:lineRule="exact"/>
        <w:rPr>
          <w:sz w:val="20"/>
          <w:szCs w:val="20"/>
          <w:color w:val="auto"/>
        </w:rPr>
      </w:pPr>
    </w:p>
    <w:p>
      <w:pPr>
        <w:ind w:left="8" w:right="40" w:firstLine="432"/>
        <w:spacing w:after="0" w:line="258" w:lineRule="auto"/>
        <w:rPr>
          <w:sz w:val="20"/>
          <w:szCs w:val="20"/>
          <w:color w:val="auto"/>
        </w:rPr>
      </w:pPr>
      <w:r>
        <w:rPr>
          <w:rFonts w:ascii="Arial" w:cs="Arial" w:eastAsia="Arial" w:hAnsi="Arial"/>
          <w:sz w:val="13"/>
          <w:szCs w:val="13"/>
          <w:color w:val="auto"/>
        </w:rPr>
        <w:t>Each Guarantor and by its acceptance hereof each Holder of a Note entitled to the benefits of the Guarantees hereby confirm that it is the intention of all such parties that the guarantee by such Guarantor pursuant to its Guarantee not constitute a fraudulent conveyance, fraudulent preference or fraudulent transfer or otherwise reviewable transaction under applicable law. To effectuate the foregoing intention, each of the Holders of a Note</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468"/>
          </w:cols>
          <w:pgMar w:left="212" w:top="435" w:right="219" w:bottom="1440" w:gutter="0" w:footer="0" w:header="0"/>
        </w:sectPr>
      </w:pPr>
    </w:p>
    <w:bookmarkStart w:id="106" w:name="page107"/>
    <w:bookmarkEnd w:id="106"/>
    <w:p>
      <w:pPr>
        <w:ind w:right="140"/>
        <w:spacing w:after="0" w:line="254" w:lineRule="auto"/>
        <w:rPr>
          <w:sz w:val="20"/>
          <w:szCs w:val="20"/>
          <w:color w:val="auto"/>
        </w:rPr>
      </w:pPr>
      <w:r>
        <w:rPr>
          <w:rFonts w:ascii="Arial" w:cs="Arial" w:eastAsia="Arial" w:hAnsi="Arial"/>
          <w:sz w:val="13"/>
          <w:szCs w:val="13"/>
          <w:color w:val="auto"/>
        </w:rPr>
        <w:t>entitled to the benefits of the Guarantees and the Guarantors hereby irrevocably agree that the obligations of each Guarantor under its Guarantee shall be limited to the maximum amount as will, after giving effect to all other contingent and fixed liabilities of such Guarantor (including, without limitation, any guarantees under the Credit Agreement and the Term Loan Agreement) and after giving effect to any collections from or payments made by or on behalf of any other Guarantor in respect of the obligations of such other Guarantor under its Guarantee, result in the obligations of such Guarantor under its Guarantee not constituting a fraudulent conveyance, fraudulent preference or fraudulent transfer or otherwise reviewable transaction under applicable law.</w:t>
      </w:r>
    </w:p>
    <w:p>
      <w:pPr>
        <w:spacing w:after="0" w:line="124"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1504.</w:t>
      </w:r>
      <w:r>
        <w:rPr>
          <w:sz w:val="20"/>
          <w:szCs w:val="20"/>
          <w:color w:val="auto"/>
        </w:rPr>
        <w:tab/>
      </w:r>
      <w:r>
        <w:rPr>
          <w:rFonts w:ascii="Arial" w:cs="Arial" w:eastAsia="Arial" w:hAnsi="Arial"/>
          <w:sz w:val="11"/>
          <w:szCs w:val="11"/>
          <w:u w:val="single" w:color="auto"/>
          <w:color w:val="auto"/>
        </w:rPr>
        <w:t>Release of Guarantors from Guarantees</w:t>
      </w:r>
      <w:r>
        <w:rPr>
          <w:rFonts w:ascii="Arial" w:cs="Arial" w:eastAsia="Arial" w:hAnsi="Arial"/>
          <w:sz w:val="11"/>
          <w:szCs w:val="11"/>
          <w:color w:val="auto"/>
        </w:rPr>
        <w:t>.</w:t>
      </w:r>
    </w:p>
    <w:p>
      <w:pPr>
        <w:spacing w:after="0" w:line="157" w:lineRule="exact"/>
        <w:rPr>
          <w:sz w:val="20"/>
          <w:szCs w:val="20"/>
          <w:color w:val="auto"/>
        </w:rPr>
      </w:pPr>
    </w:p>
    <w:p>
      <w:pPr>
        <w:ind w:right="160" w:firstLine="424"/>
        <w:spacing w:after="0" w:line="271" w:lineRule="auto"/>
        <w:tabs>
          <w:tab w:leader="none" w:pos="711" w:val="left"/>
        </w:tabs>
        <w:numPr>
          <w:ilvl w:val="0"/>
          <w:numId w:val="102"/>
        </w:numPr>
        <w:rPr>
          <w:rFonts w:ascii="Arial" w:cs="Arial" w:eastAsia="Arial" w:hAnsi="Arial"/>
          <w:sz w:val="13"/>
          <w:szCs w:val="13"/>
          <w:color w:val="auto"/>
        </w:rPr>
      </w:pPr>
      <w:r>
        <w:rPr>
          <w:rFonts w:ascii="Arial" w:cs="Arial" w:eastAsia="Arial" w:hAnsi="Arial"/>
          <w:sz w:val="13"/>
          <w:szCs w:val="13"/>
          <w:color w:val="auto"/>
        </w:rPr>
        <w:t>Notwithstanding any other provisions of the Indenture, the Guarantee of any Guarantor shall be released upon the terms and subject to the conditions set forth in this Section 1504. A Guarantor shall be released automatically from its obligations under its Guarantee and its other obligations under the Indenture upon:</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(1)</w:t>
      </w:r>
    </w:p>
    <w:p>
      <w:pPr>
        <w:spacing w:after="0" w:line="148" w:lineRule="exact"/>
        <w:rPr>
          <w:sz w:val="20"/>
          <w:szCs w:val="20"/>
          <w:color w:val="auto"/>
        </w:rPr>
      </w:pPr>
    </w:p>
    <w:p>
      <w:pPr>
        <w:ind w:left="860" w:right="240" w:firstLine="429"/>
        <w:spacing w:after="0" w:line="314" w:lineRule="auto"/>
        <w:tabs>
          <w:tab w:leader="none" w:pos="1559" w:val="left"/>
        </w:tabs>
        <w:numPr>
          <w:ilvl w:val="2"/>
          <w:numId w:val="103"/>
        </w:numPr>
        <w:rPr>
          <w:rFonts w:ascii="Arial" w:cs="Arial" w:eastAsia="Arial" w:hAnsi="Arial"/>
          <w:sz w:val="12"/>
          <w:szCs w:val="12"/>
          <w:color w:val="auto"/>
        </w:rPr>
      </w:pPr>
      <w:r>
        <w:rPr>
          <w:rFonts w:ascii="Arial" w:cs="Arial" w:eastAsia="Arial" w:hAnsi="Arial"/>
          <w:sz w:val="12"/>
          <w:szCs w:val="12"/>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89" w:lineRule="exact"/>
        <w:rPr>
          <w:rFonts w:ascii="Arial" w:cs="Arial" w:eastAsia="Arial" w:hAnsi="Arial"/>
          <w:sz w:val="12"/>
          <w:szCs w:val="12"/>
          <w:color w:val="auto"/>
        </w:rPr>
      </w:pPr>
    </w:p>
    <w:p>
      <w:pPr>
        <w:ind w:left="860" w:right="300" w:firstLine="429"/>
        <w:spacing w:after="0" w:line="314" w:lineRule="auto"/>
        <w:tabs>
          <w:tab w:leader="none" w:pos="1566" w:val="left"/>
        </w:tabs>
        <w:numPr>
          <w:ilvl w:val="2"/>
          <w:numId w:val="103"/>
        </w:numPr>
        <w:rPr>
          <w:rFonts w:ascii="Arial" w:cs="Arial" w:eastAsia="Arial" w:hAnsi="Arial"/>
          <w:sz w:val="12"/>
          <w:szCs w:val="12"/>
          <w:color w:val="auto"/>
        </w:rPr>
      </w:pPr>
      <w:r>
        <w:rPr>
          <w:rFonts w:ascii="Arial" w:cs="Arial" w:eastAsia="Arial" w:hAnsi="Arial"/>
          <w:sz w:val="12"/>
          <w:szCs w:val="12"/>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 including, without limitation, a disposition in connection with a Qualified Spin Transaction;</w:t>
      </w:r>
    </w:p>
    <w:p>
      <w:pPr>
        <w:spacing w:after="0" w:line="89" w:lineRule="exact"/>
        <w:rPr>
          <w:rFonts w:ascii="Arial" w:cs="Arial" w:eastAsia="Arial" w:hAnsi="Arial"/>
          <w:sz w:val="12"/>
          <w:szCs w:val="12"/>
          <w:color w:val="auto"/>
        </w:rPr>
      </w:pPr>
    </w:p>
    <w:p>
      <w:pPr>
        <w:ind w:left="1560" w:hanging="271"/>
        <w:spacing w:after="0"/>
        <w:tabs>
          <w:tab w:leader="none" w:pos="1560" w:val="left"/>
        </w:tabs>
        <w:numPr>
          <w:ilvl w:val="2"/>
          <w:numId w:val="103"/>
        </w:numPr>
        <w:rPr>
          <w:rFonts w:ascii="Arial" w:cs="Arial" w:eastAsia="Arial" w:hAnsi="Arial"/>
          <w:sz w:val="13"/>
          <w:szCs w:val="13"/>
          <w:color w:val="auto"/>
        </w:rPr>
      </w:pPr>
      <w:r>
        <w:rPr>
          <w:rFonts w:ascii="Arial" w:cs="Arial" w:eastAsia="Arial" w:hAnsi="Arial"/>
          <w:sz w:val="13"/>
          <w:szCs w:val="13"/>
          <w:color w:val="auto"/>
        </w:rPr>
        <w:t>in the case of a Subsidiary Guarantor, the proper designation of such Subsidiary Guarantor as an Unrestricted Subsidiary;</w:t>
      </w:r>
    </w:p>
    <w:p>
      <w:pPr>
        <w:spacing w:after="0" w:line="147" w:lineRule="exact"/>
        <w:rPr>
          <w:rFonts w:ascii="Arial" w:cs="Arial" w:eastAsia="Arial" w:hAnsi="Arial"/>
          <w:sz w:val="13"/>
          <w:szCs w:val="13"/>
          <w:color w:val="auto"/>
        </w:rPr>
      </w:pPr>
    </w:p>
    <w:p>
      <w:pPr>
        <w:ind w:left="860" w:firstLine="429"/>
        <w:spacing w:after="0" w:line="271" w:lineRule="auto"/>
        <w:tabs>
          <w:tab w:leader="none" w:pos="1566" w:val="left"/>
        </w:tabs>
        <w:numPr>
          <w:ilvl w:val="2"/>
          <w:numId w:val="103"/>
        </w:numPr>
        <w:rPr>
          <w:rFonts w:ascii="Arial" w:cs="Arial" w:eastAsia="Arial" w:hAnsi="Arial"/>
          <w:sz w:val="13"/>
          <w:szCs w:val="13"/>
          <w:color w:val="auto"/>
        </w:rPr>
      </w:pPr>
      <w:r>
        <w:rPr>
          <w:rFonts w:ascii="Arial" w:cs="Arial" w:eastAsia="Arial" w:hAnsi="Arial"/>
          <w:sz w:val="13"/>
          <w:szCs w:val="13"/>
          <w:color w:val="auto"/>
        </w:rPr>
        <w:t xml:space="preserve">in the case of a Subsidiary Guarantor,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Event of Default has occurred and is continuing, all Debt which required such Subsidiary Guarantor to guarantee the Notes pursuant to Section 1114 is no longer outstanding;</w:t>
      </w:r>
    </w:p>
    <w:p>
      <w:pPr>
        <w:spacing w:after="0" w:line="112" w:lineRule="exact"/>
        <w:rPr>
          <w:rFonts w:ascii="Arial" w:cs="Arial" w:eastAsia="Arial" w:hAnsi="Arial"/>
          <w:sz w:val="13"/>
          <w:szCs w:val="13"/>
          <w:color w:val="auto"/>
        </w:rPr>
      </w:pPr>
    </w:p>
    <w:p>
      <w:pPr>
        <w:ind w:left="1560" w:hanging="271"/>
        <w:spacing w:after="0"/>
        <w:tabs>
          <w:tab w:leader="none" w:pos="1560" w:val="left"/>
        </w:tabs>
        <w:numPr>
          <w:ilvl w:val="2"/>
          <w:numId w:val="103"/>
        </w:numPr>
        <w:rPr>
          <w:rFonts w:ascii="Arial" w:cs="Arial" w:eastAsia="Arial" w:hAnsi="Arial"/>
          <w:sz w:val="13"/>
          <w:szCs w:val="13"/>
          <w:color w:val="auto"/>
        </w:rPr>
      </w:pPr>
      <w:r>
        <w:rPr>
          <w:rFonts w:ascii="Arial" w:cs="Arial" w:eastAsia="Arial" w:hAnsi="Arial"/>
          <w:sz w:val="13"/>
          <w:szCs w:val="13"/>
          <w:color w:val="auto"/>
        </w:rPr>
        <w:t>Legal Defeasance or Covenant Defeasance or satisfaction and discharge of the Indenture as provided in Article Five; or</w:t>
      </w:r>
    </w:p>
    <w:p>
      <w:pPr>
        <w:spacing w:after="0" w:line="147" w:lineRule="exact"/>
        <w:rPr>
          <w:rFonts w:ascii="Arial" w:cs="Arial" w:eastAsia="Arial" w:hAnsi="Arial"/>
          <w:sz w:val="13"/>
          <w:szCs w:val="13"/>
          <w:color w:val="auto"/>
        </w:rPr>
      </w:pPr>
    </w:p>
    <w:p>
      <w:pPr>
        <w:ind w:left="1540" w:hanging="251"/>
        <w:spacing w:after="0"/>
        <w:tabs>
          <w:tab w:leader="none" w:pos="1540" w:val="left"/>
        </w:tabs>
        <w:numPr>
          <w:ilvl w:val="2"/>
          <w:numId w:val="103"/>
        </w:numPr>
        <w:rPr>
          <w:rFonts w:ascii="Arial" w:cs="Arial" w:eastAsia="Arial" w:hAnsi="Arial"/>
          <w:sz w:val="13"/>
          <w:szCs w:val="13"/>
          <w:color w:val="auto"/>
        </w:rPr>
      </w:pPr>
      <w:r>
        <w:rPr>
          <w:rFonts w:ascii="Arial" w:cs="Arial" w:eastAsia="Arial" w:hAnsi="Arial"/>
          <w:sz w:val="13"/>
          <w:szCs w:val="13"/>
          <w:color w:val="auto"/>
        </w:rPr>
        <w:t xml:space="preserve">liquidation and dissolution of such Guarantor,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no Default or Event of Default has occurred that is continuing; and</w:t>
      </w:r>
    </w:p>
    <w:p>
      <w:pPr>
        <w:spacing w:after="0" w:line="147" w:lineRule="exact"/>
        <w:rPr>
          <w:rFonts w:ascii="Arial" w:cs="Arial" w:eastAsia="Arial" w:hAnsi="Arial"/>
          <w:sz w:val="13"/>
          <w:szCs w:val="13"/>
          <w:color w:val="auto"/>
        </w:rPr>
      </w:pPr>
    </w:p>
    <w:p>
      <w:pPr>
        <w:ind w:left="420" w:right="240" w:firstLine="437"/>
        <w:spacing w:after="0" w:line="271" w:lineRule="auto"/>
        <w:tabs>
          <w:tab w:leader="none" w:pos="1126"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 Issuer delivering to the Trustee an Officer’s Certificate and an Opinion of Counsel to the effect that all conditions precedent provided for in this Section 1504 relating to the release of such Guarantor’s Guarantee and its other obligations under the Indenture have been complied with.</w:t>
      </w:r>
    </w:p>
    <w:p>
      <w:pPr>
        <w:spacing w:after="0" w:line="112" w:lineRule="exact"/>
        <w:rPr>
          <w:rFonts w:ascii="Arial" w:cs="Arial" w:eastAsia="Arial" w:hAnsi="Arial"/>
          <w:sz w:val="13"/>
          <w:szCs w:val="13"/>
          <w:color w:val="auto"/>
        </w:rPr>
      </w:pPr>
    </w:p>
    <w:p>
      <w:pPr>
        <w:ind w:right="60" w:firstLine="424"/>
        <w:spacing w:after="0" w:line="271" w:lineRule="auto"/>
        <w:tabs>
          <w:tab w:leader="none" w:pos="716"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Trustee shall deliver an appropriate instrument evidencing any release of a Guarantor from its Guarantee upon receipt of an Issuer Request accompanied by an Officer’s Certificate and an Opinion of Counsel the Subsidiary Guarantor is entitled to such release in accordance with the provisions of the Indenture.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460"/>
          </w:cols>
          <w:pgMar w:left="220" w:top="435" w:right="219" w:bottom="1440" w:gutter="0" w:footer="0" w:header="0"/>
        </w:sectPr>
      </w:pPr>
    </w:p>
    <w:bookmarkStart w:id="107" w:name="page108"/>
    <w:bookmarkEnd w:id="107"/>
    <w:p>
      <w:pPr>
        <w:ind w:firstLine="424"/>
        <w:spacing w:after="0" w:line="271" w:lineRule="auto"/>
        <w:tabs>
          <w:tab w:leader="none" w:pos="704"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Any Guarantor not released in accordance with the provisions of the Indenture will remain liable for the full amount of principal of (and premium, if any, on) and interest on the Notes as provided in this Article Fifteen, subject to the limitations of Section 1503.</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Section 1505.</w:t>
      </w:r>
      <w:r>
        <w:rPr>
          <w:sz w:val="20"/>
          <w:szCs w:val="20"/>
          <w:color w:val="auto"/>
        </w:rPr>
        <w:tab/>
      </w:r>
      <w:r>
        <w:rPr>
          <w:rFonts w:ascii="Arial" w:cs="Arial" w:eastAsia="Arial" w:hAnsi="Arial"/>
          <w:sz w:val="12"/>
          <w:szCs w:val="12"/>
          <w:u w:val="single" w:color="auto"/>
          <w:color w:val="auto"/>
        </w:rPr>
        <w:t>Guarantor Contribution</w:t>
      </w:r>
      <w:r>
        <w:rPr>
          <w:rFonts w:ascii="Arial" w:cs="Arial" w:eastAsia="Arial" w:hAnsi="Arial"/>
          <w:sz w:val="12"/>
          <w:szCs w:val="12"/>
          <w:color w:val="auto"/>
        </w:rPr>
        <w:t>.</w:t>
      </w:r>
    </w:p>
    <w:p>
      <w:pPr>
        <w:spacing w:after="0" w:line="157" w:lineRule="exact"/>
        <w:rPr>
          <w:sz w:val="20"/>
          <w:szCs w:val="20"/>
          <w:color w:val="auto"/>
        </w:rPr>
      </w:pPr>
    </w:p>
    <w:p>
      <w:pPr>
        <w:ind w:right="60" w:firstLine="432"/>
        <w:spacing w:after="0" w:line="250" w:lineRule="auto"/>
        <w:rPr>
          <w:sz w:val="20"/>
          <w:szCs w:val="20"/>
          <w:color w:val="auto"/>
        </w:rPr>
      </w:pPr>
      <w:r>
        <w:rPr>
          <w:rFonts w:ascii="Arial" w:cs="Arial" w:eastAsia="Arial" w:hAnsi="Arial"/>
          <w:sz w:val="13"/>
          <w:szCs w:val="13"/>
          <w:color w:val="auto"/>
        </w:rPr>
        <w:t>In order to provide for just and equitable contribution among the Guarantors, the Guarantors hereby agree, inter se, that in the event any payment or distribution is made by any Guarantor (a “Funding Guarantor”) under its Guarantee, such Funding Guarantor shall be entitled to a contribution from each other Guarantor (if any) in a pro rata amount based on the respective net assets (as determined at such time in accordance with GAAP) of all of the Guarantors (including the Funding Guarantor) for all payments, damages and expenses incurred by that Funding Guarantor in discharging the Indenture Obligations or any other Guarantor’s obligations with respect to its Guarantee.</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_____________________________</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Trustee hereby accepts the trusts in the Indenture upon the terms and conditions herein set forth.</w:t>
      </w: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360"/>
          </w:cols>
          <w:pgMar w:left="220" w:top="435" w:right="31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caused this Supplemental Indenture to be duly executed as of the day and year first above written.</w:t>
      </w:r>
    </w:p>
    <w:p>
      <w:pPr>
        <w:sectPr>
          <w:pgSz w:w="11900" w:h="16838" w:orient="portrait"/>
          <w:cols w:equalWidth="0" w:num="1">
            <w:col w:w="9819"/>
          </w:cols>
          <w:pgMar w:left="640" w:top="719" w:right="1440" w:bottom="1440" w:gutter="0" w:footer="0" w:header="0"/>
        </w:sectPr>
      </w:pPr>
    </w:p>
    <w:p>
      <w:pPr>
        <w:spacing w:after="0" w:line="172"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Weatherford International, LLC,</w:t>
      </w:r>
    </w:p>
    <w:p>
      <w:pPr>
        <w:spacing w:after="0" w:line="1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 Delaware limited liability company</w:t>
      </w:r>
    </w:p>
    <w:p>
      <w:pPr>
        <w:spacing w:after="0" w:line="138" w:lineRule="exact"/>
        <w:rPr>
          <w:sz w:val="20"/>
          <w:szCs w:val="20"/>
          <w:color w:val="auto"/>
        </w:rPr>
      </w:pPr>
    </w:p>
    <w:p>
      <w:pPr>
        <w:ind w:left="2160"/>
        <w:spacing w:after="0"/>
        <w:tabs>
          <w:tab w:leader="none" w:pos="24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/s/ Joshua S. Silverman</w:t>
      </w:r>
    </w:p>
    <w:p>
      <w:pPr>
        <w:spacing w:after="0" w:line="76" w:lineRule="exact"/>
        <w:rPr>
          <w:sz w:val="20"/>
          <w:szCs w:val="20"/>
          <w:color w:val="auto"/>
        </w:rPr>
      </w:pPr>
    </w:p>
    <w:p>
      <w:pPr>
        <w:ind w:left="2160"/>
        <w:spacing w:after="0"/>
        <w:tabs>
          <w:tab w:leader="none" w:pos="2660" w:val="left"/>
        </w:tabs>
        <w:rPr>
          <w:sz w:val="20"/>
          <w:szCs w:val="20"/>
          <w:color w:val="auto"/>
        </w:rPr>
      </w:pPr>
      <w:r>
        <w:rPr>
          <w:rFonts w:ascii="Arial" w:cs="Arial" w:eastAsia="Arial" w:hAnsi="Arial"/>
          <w:sz w:val="13"/>
          <w:szCs w:val="13"/>
          <w:color w:val="auto"/>
        </w:rPr>
        <w:t>Name:</w:t>
        <w:tab/>
        <w:t>Joshua S. Silverman</w:t>
      </w:r>
    </w:p>
    <w:p>
      <w:pPr>
        <w:spacing w:after="0" w:line="40"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Assistant Treasurer</w:t>
      </w:r>
    </w:p>
    <w:p>
      <w:pPr>
        <w:spacing w:after="0" w:line="148"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Weatherford International Ltd.,</w:t>
      </w:r>
    </w:p>
    <w:p>
      <w:pPr>
        <w:spacing w:after="0" w:line="1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 Bermuda exempted company</w:t>
      </w:r>
    </w:p>
    <w:p>
      <w:pPr>
        <w:spacing w:after="0" w:line="138" w:lineRule="exact"/>
        <w:rPr>
          <w:sz w:val="20"/>
          <w:szCs w:val="20"/>
          <w:color w:val="auto"/>
        </w:rPr>
      </w:pPr>
    </w:p>
    <w:p>
      <w:pPr>
        <w:ind w:left="2160"/>
        <w:spacing w:after="0"/>
        <w:tabs>
          <w:tab w:leader="none" w:pos="24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/s/ Joshua S. Silverman</w:t>
      </w:r>
    </w:p>
    <w:p>
      <w:pPr>
        <w:spacing w:after="0" w:line="76" w:lineRule="exact"/>
        <w:rPr>
          <w:sz w:val="20"/>
          <w:szCs w:val="20"/>
          <w:color w:val="auto"/>
        </w:rPr>
      </w:pPr>
    </w:p>
    <w:p>
      <w:pPr>
        <w:ind w:left="2160"/>
        <w:spacing w:after="0"/>
        <w:tabs>
          <w:tab w:leader="none" w:pos="2660" w:val="left"/>
        </w:tabs>
        <w:rPr>
          <w:sz w:val="20"/>
          <w:szCs w:val="20"/>
          <w:color w:val="auto"/>
        </w:rPr>
      </w:pPr>
      <w:r>
        <w:rPr>
          <w:rFonts w:ascii="Arial" w:cs="Arial" w:eastAsia="Arial" w:hAnsi="Arial"/>
          <w:sz w:val="13"/>
          <w:szCs w:val="13"/>
          <w:color w:val="auto"/>
        </w:rPr>
        <w:t>Name:</w:t>
        <w:tab/>
        <w:t>Joshua S. Silverman</w:t>
      </w:r>
    </w:p>
    <w:p>
      <w:pPr>
        <w:spacing w:after="0" w:line="40"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Assistant Treasurer</w:t>
      </w:r>
    </w:p>
    <w:p>
      <w:pPr>
        <w:spacing w:after="0" w:line="148"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Weatherford International plc,</w:t>
      </w:r>
    </w:p>
    <w:p>
      <w:pPr>
        <w:spacing w:after="0" w:line="1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an Irish public limited company</w:t>
      </w:r>
    </w:p>
    <w:p>
      <w:pPr>
        <w:spacing w:after="0" w:line="138" w:lineRule="exact"/>
        <w:rPr>
          <w:sz w:val="20"/>
          <w:szCs w:val="20"/>
          <w:color w:val="auto"/>
        </w:rPr>
      </w:pPr>
    </w:p>
    <w:p>
      <w:pPr>
        <w:ind w:left="2160"/>
        <w:spacing w:after="0"/>
        <w:tabs>
          <w:tab w:leader="none" w:pos="24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/s/ Timothy Bryant</w:t>
      </w:r>
    </w:p>
    <w:p>
      <w:pPr>
        <w:spacing w:after="0" w:line="76" w:lineRule="exact"/>
        <w:rPr>
          <w:sz w:val="20"/>
          <w:szCs w:val="20"/>
          <w:color w:val="auto"/>
        </w:rPr>
      </w:pPr>
    </w:p>
    <w:p>
      <w:pPr>
        <w:ind w:left="2160"/>
        <w:spacing w:after="0"/>
        <w:tabs>
          <w:tab w:leader="none" w:pos="262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Timothy Bryant</w:t>
      </w:r>
    </w:p>
    <w:p>
      <w:pPr>
        <w:spacing w:after="0" w:line="40"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Vice President</w:t>
      </w:r>
    </w:p>
    <w:p>
      <w:pPr>
        <w:spacing w:after="0" w:line="148"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Deutsche Bank Trust Company Americas,</w:t>
      </w:r>
    </w:p>
    <w:p>
      <w:pPr>
        <w:spacing w:after="0" w:line="40" w:lineRule="exact"/>
        <w:rPr>
          <w:sz w:val="20"/>
          <w:szCs w:val="20"/>
          <w:color w:val="auto"/>
        </w:rPr>
      </w:pPr>
    </w:p>
    <w:p>
      <w:pPr>
        <w:ind w:left="2160"/>
        <w:spacing w:after="0"/>
        <w:rPr>
          <w:sz w:val="20"/>
          <w:szCs w:val="20"/>
          <w:color w:val="auto"/>
        </w:rPr>
      </w:pPr>
      <w:r>
        <w:rPr>
          <w:rFonts w:ascii="Arial" w:cs="Arial" w:eastAsia="Arial" w:hAnsi="Arial"/>
          <w:sz w:val="13"/>
          <w:szCs w:val="13"/>
          <w:i w:val="1"/>
          <w:iCs w:val="1"/>
          <w:color w:val="auto"/>
        </w:rPr>
        <w:t>as Trustee</w:t>
      </w:r>
    </w:p>
    <w:p>
      <w:pPr>
        <w:spacing w:after="0" w:line="148" w:lineRule="exact"/>
        <w:rPr>
          <w:sz w:val="20"/>
          <w:szCs w:val="20"/>
          <w:color w:val="auto"/>
        </w:rPr>
      </w:pPr>
    </w:p>
    <w:p>
      <w:pPr>
        <w:ind w:left="2160"/>
        <w:spacing w:after="0"/>
        <w:tabs>
          <w:tab w:leader="none" w:pos="2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Deutsche Bank National Trust Company</w:t>
      </w:r>
    </w:p>
    <w:p>
      <w:pPr>
        <w:spacing w:after="0" w:line="148" w:lineRule="exact"/>
        <w:rPr>
          <w:sz w:val="20"/>
          <w:szCs w:val="20"/>
          <w:color w:val="auto"/>
        </w:rPr>
      </w:pPr>
    </w:p>
    <w:p>
      <w:pPr>
        <w:ind w:left="2160"/>
        <w:spacing w:after="0"/>
        <w:tabs>
          <w:tab w:leader="none" w:pos="24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/s/ Jeffrey Schoenfeld</w:t>
      </w:r>
    </w:p>
    <w:p>
      <w:pPr>
        <w:spacing w:after="0" w:line="40" w:lineRule="exact"/>
        <w:rPr>
          <w:sz w:val="20"/>
          <w:szCs w:val="20"/>
          <w:color w:val="auto"/>
        </w:rPr>
      </w:pPr>
    </w:p>
    <w:p>
      <w:pPr>
        <w:ind w:left="2160"/>
        <w:spacing w:after="0"/>
        <w:tabs>
          <w:tab w:leader="none" w:pos="2660" w:val="left"/>
        </w:tabs>
        <w:rPr>
          <w:sz w:val="20"/>
          <w:szCs w:val="20"/>
          <w:color w:val="auto"/>
        </w:rPr>
      </w:pPr>
      <w:r>
        <w:rPr>
          <w:rFonts w:ascii="Arial" w:cs="Arial" w:eastAsia="Arial" w:hAnsi="Arial"/>
          <w:sz w:val="13"/>
          <w:szCs w:val="13"/>
          <w:color w:val="auto"/>
        </w:rPr>
        <w:t>Name:</w:t>
        <w:tab/>
        <w:t>Jeffrey Schoenfeld</w:t>
      </w:r>
    </w:p>
    <w:p>
      <w:pPr>
        <w:spacing w:after="0" w:line="40"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Vice President</w:t>
      </w:r>
    </w:p>
    <w:p>
      <w:pPr>
        <w:spacing w:after="0" w:line="148" w:lineRule="exact"/>
        <w:rPr>
          <w:sz w:val="20"/>
          <w:szCs w:val="20"/>
          <w:color w:val="auto"/>
        </w:rPr>
      </w:pPr>
    </w:p>
    <w:p>
      <w:pPr>
        <w:ind w:left="2160"/>
        <w:spacing w:after="0"/>
        <w:tabs>
          <w:tab w:leader="none" w:pos="24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/s/Kathryn Fischer</w:t>
      </w:r>
    </w:p>
    <w:p>
      <w:pPr>
        <w:spacing w:after="0" w:line="76" w:lineRule="exact"/>
        <w:rPr>
          <w:sz w:val="20"/>
          <w:szCs w:val="20"/>
          <w:color w:val="auto"/>
        </w:rPr>
      </w:pPr>
    </w:p>
    <w:p>
      <w:pPr>
        <w:ind w:left="2160"/>
        <w:spacing w:after="0"/>
        <w:tabs>
          <w:tab w:leader="none" w:pos="2660" w:val="left"/>
        </w:tabs>
        <w:rPr>
          <w:sz w:val="20"/>
          <w:szCs w:val="20"/>
          <w:color w:val="auto"/>
        </w:rPr>
      </w:pPr>
      <w:r>
        <w:rPr>
          <w:rFonts w:ascii="Arial" w:cs="Arial" w:eastAsia="Arial" w:hAnsi="Arial"/>
          <w:sz w:val="13"/>
          <w:szCs w:val="13"/>
          <w:color w:val="auto"/>
        </w:rPr>
        <w:t>Name:</w:t>
        <w:tab/>
        <w:t>Kathryn Fischer</w:t>
      </w:r>
    </w:p>
    <w:p>
      <w:pPr>
        <w:spacing w:after="0" w:line="40"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Assistant Vice President</w:t>
      </w:r>
    </w:p>
    <w:p>
      <w:pPr>
        <w:spacing w:after="0" w:line="348"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9819"/>
          </w:cols>
          <w:pgMar w:left="640" w:top="719" w:right="1440"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3"/>
          <w:szCs w:val="13"/>
          <w:b w:val="1"/>
          <w:bCs w:val="1"/>
          <w:color w:val="auto"/>
        </w:rPr>
        <w:t>ANNEX A</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CUSIP __________</w:t>
      </w:r>
    </w:p>
    <w:p>
      <w:pPr>
        <w:spacing w:after="0" w:line="148" w:lineRule="exact"/>
        <w:rPr>
          <w:sz w:val="20"/>
          <w:szCs w:val="20"/>
          <w:color w:val="auto"/>
        </w:rPr>
      </w:pPr>
    </w:p>
    <w:p>
      <w:pPr>
        <w:ind w:left="10400"/>
        <w:spacing w:after="0"/>
        <w:rPr>
          <w:sz w:val="20"/>
          <w:szCs w:val="20"/>
          <w:color w:val="auto"/>
        </w:rPr>
      </w:pPr>
      <w:r>
        <w:rPr>
          <w:rFonts w:ascii="Arial" w:cs="Arial" w:eastAsia="Arial" w:hAnsi="Arial"/>
          <w:sz w:val="12"/>
          <w:szCs w:val="12"/>
          <w:color w:val="auto"/>
        </w:rPr>
        <w:t>ISIN ____________</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 Face of Note]</w:t>
      </w:r>
    </w:p>
    <w:p>
      <w:pPr>
        <w:spacing w:after="0" w:line="148"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Insert the Restricted Notes Legend, if applicable.</w:t>
      </w:r>
      <w:r>
        <w:rPr>
          <w:rFonts w:ascii="Arial" w:cs="Arial" w:eastAsia="Arial" w:hAnsi="Arial"/>
          <w:sz w:val="13"/>
          <w:szCs w:val="13"/>
          <w:color w:val="auto"/>
        </w:rPr>
        <w:t>]</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If a Global Note, insert the Global Note Legend.</w:t>
      </w:r>
      <w:r>
        <w:rPr>
          <w:rFonts w:ascii="Arial" w:cs="Arial" w:eastAsia="Arial" w:hAnsi="Arial"/>
          <w:sz w:val="13"/>
          <w:szCs w:val="13"/>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WEATHERFORD INTERNATIONAL, LLC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9.875% Senior Note due 2025</w:t>
      </w:r>
    </w:p>
    <w:p>
      <w:pPr>
        <w:spacing w:after="0" w:line="200" w:lineRule="exact"/>
        <w:rPr>
          <w:sz w:val="20"/>
          <w:szCs w:val="20"/>
          <w:color w:val="auto"/>
        </w:rPr>
      </w:pP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color w:val="auto"/>
        </w:rPr>
        <w:t>No. _____</w:t>
      </w:r>
      <w:r>
        <w:rPr>
          <w:sz w:val="20"/>
          <w:szCs w:val="20"/>
          <w:color w:val="auto"/>
        </w:rPr>
        <w:tab/>
      </w:r>
      <w:r>
        <w:rPr>
          <w:rFonts w:ascii="Arial" w:cs="Arial" w:eastAsia="Arial" w:hAnsi="Arial"/>
          <w:sz w:val="12"/>
          <w:szCs w:val="12"/>
          <w:color w:val="auto"/>
        </w:rPr>
        <w:t>$_______</w:t>
      </w:r>
    </w:p>
    <w:p>
      <w:pPr>
        <w:spacing w:after="0" w:line="148" w:lineRule="exact"/>
        <w:rPr>
          <w:sz w:val="20"/>
          <w:szCs w:val="20"/>
          <w:color w:val="auto"/>
        </w:rPr>
      </w:pPr>
    </w:p>
    <w:p>
      <w:pPr>
        <w:ind w:right="40" w:firstLine="432"/>
        <w:spacing w:after="0" w:line="300" w:lineRule="auto"/>
        <w:rPr>
          <w:sz w:val="20"/>
          <w:szCs w:val="20"/>
          <w:color w:val="auto"/>
        </w:rPr>
      </w:pPr>
      <w:r>
        <w:rPr>
          <w:rFonts w:ascii="Arial" w:cs="Arial" w:eastAsia="Arial" w:hAnsi="Arial"/>
          <w:sz w:val="11"/>
          <w:szCs w:val="11"/>
          <w:color w:val="auto"/>
        </w:rPr>
        <w:t>Weatherford International, LLC, a Delaware limited liability company (herein called the “Issuer,” which term includes any successor Person under the Indenture hereinafter referred to), for value received, hereby promises to pay to _________, or registered assigns, the principal sum of ________ U.S. dollars on March 1, 2025, [</w:t>
      </w:r>
      <w:r>
        <w:rPr>
          <w:rFonts w:ascii="Arial" w:cs="Arial" w:eastAsia="Arial" w:hAnsi="Arial"/>
          <w:sz w:val="11"/>
          <w:szCs w:val="11"/>
          <w:i w:val="1"/>
          <w:iCs w:val="1"/>
          <w:color w:val="auto"/>
        </w:rPr>
        <w:t>if this Note is a Global Note, insert</w:t>
      </w:r>
      <w:r>
        <w:rPr>
          <w:rFonts w:ascii="Arial" w:cs="Arial" w:eastAsia="Arial" w:hAnsi="Arial"/>
          <w:sz w:val="11"/>
          <w:szCs w:val="11"/>
          <w:color w:val="auto"/>
        </w:rPr>
        <w:t xml:space="preserve"> - or such greater or lesser amount as may be indicated on</w:t>
      </w:r>
    </w:p>
    <w:p>
      <w:pPr>
        <w:ind w:right="20"/>
        <w:spacing w:after="0" w:line="269" w:lineRule="auto"/>
        <w:rPr>
          <w:sz w:val="20"/>
          <w:szCs w:val="20"/>
          <w:color w:val="auto"/>
        </w:rPr>
      </w:pPr>
      <w:r>
        <w:rPr>
          <w:rFonts w:ascii="Arial" w:cs="Arial" w:eastAsia="Arial" w:hAnsi="Arial"/>
          <w:sz w:val="12"/>
          <w:szCs w:val="12"/>
          <w:color w:val="auto"/>
        </w:rPr>
        <w:t>the Schedule of Exchanges of Interests in the Global Note attached hereto,] and to pay interest thereon from February 28, 2018 or from the most recent Interest Payment Date to which interest has been paid or duly provided for, semi-annually on May 1 and November 1 in each year, commencing November 1, 2018, and from November 1, 2024 to March 1, 2025 on March 1, 2025, in each case at the rate of 9.875% per annum, until the principal hereof is paid or made available for payment, and to pay interest on any overdue principal hereof or installment of interest hereon at the same rate, to the extent lawful,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April 15 or October 15 (whether or not a Business Day), as the case may be, next preceding such Interest Payment Date, or February 15, 2025 (whether or not a Business Day) in the case of the final interest payment on March 1, 2025.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19" w:lineRule="exact"/>
        <w:rPr>
          <w:sz w:val="20"/>
          <w:szCs w:val="20"/>
          <w:color w:val="auto"/>
        </w:rPr>
      </w:pPr>
    </w:p>
    <w:p>
      <w:pPr>
        <w:ind w:right="40" w:firstLine="432"/>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If this Note is an Initial Note or an Additional Restricted Note, insert:</w:t>
      </w:r>
      <w:r>
        <w:rPr>
          <w:rFonts w:ascii="Arial" w:cs="Arial" w:eastAsia="Arial" w:hAnsi="Arial"/>
          <w:sz w:val="12"/>
          <w:szCs w:val="12"/>
          <w:color w:val="auto"/>
        </w:rPr>
        <w:t>] If an exchange offer (the “Exchange Offer”) registered under the Securities Act is not consummated or a shelf registration statement (the “Shelf Registration Statement”) under the Securities Act with respect to resales of the Notes is not declared effective by the SEC or does not become automatically effective on or before April 4, 2019 in accordance with the terms of the Registration Rights Agreement, dated February 28, 2018 (the “Registration Rights Agreement”) among the Issuer, the Guarantors and Deutsche Bank Securities Inc., as representative of the several initial purchasers named therein, the annual interest rate borne by the Notes shall be increased from the rate shown above by 1.00% per annum thereafter, until the Exchange Offer is completed or the Shelf Registration Statement is declared effective or becomes automatically effective. The Holder of this Note is entitled to the benefits of such Registration Rights Agreement.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- 1</w:t>
      </w:r>
    </w:p>
    <w:p>
      <w:pPr>
        <w:sectPr>
          <w:pgSz w:w="11900" w:h="16838" w:orient="portrait"/>
          <w:cols w:equalWidth="0" w:num="1">
            <w:col w:w="11480"/>
          </w:cols>
          <w:pgMar w:left="220" w:top="575" w:right="199" w:bottom="1440" w:gutter="0" w:footer="0" w:header="0"/>
        </w:sectPr>
      </w:pPr>
    </w:p>
    <w:bookmarkStart w:id="110" w:name="page111"/>
    <w:bookmarkEnd w:id="110"/>
    <w:p>
      <w:pPr>
        <w:ind w:firstLine="432"/>
        <w:spacing w:after="0" w:line="252" w:lineRule="auto"/>
        <w:rPr>
          <w:sz w:val="20"/>
          <w:szCs w:val="20"/>
          <w:color w:val="auto"/>
        </w:rPr>
      </w:pPr>
      <w:r>
        <w:rPr>
          <w:rFonts w:ascii="Arial" w:cs="Arial" w:eastAsia="Arial" w:hAnsi="Arial"/>
          <w:sz w:val="13"/>
          <w:szCs w:val="13"/>
          <w:color w:val="auto"/>
        </w:rPr>
        <w:t xml:space="preserve">If the Holder of this Note has given wire transfer instructions to the Trustee at least ten Business Days prior to the applicable payment date, the Issuer will make all payments on this Note by wire transfer of immediately available funds to the account in the City and State of New York specified in those instructions. Otherwise, payment of the principal of (and premium, if any) and any such interest on this Note will be made at the office or agency of the Issuer maintained for that purpose in the City and State of New York in such coin or currency of the United States of America as at the time of payment is legal tender for payment of public and private debts;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at the option of the Issuer, payment of interest may be made by check mailed to the address of the Person entitled thereto as such address shall appear in the Security Register.</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Reference is hereby made to the further provisions of this Note set forth on the reverse hereof, which further provisions shall for all purposes have the same effect as if set forth at this place.</w:t>
      </w:r>
    </w:p>
    <w:p>
      <w:pPr>
        <w:spacing w:after="0" w:line="148" w:lineRule="exact"/>
        <w:rPr>
          <w:sz w:val="20"/>
          <w:szCs w:val="20"/>
          <w:color w:val="auto"/>
        </w:rPr>
      </w:pPr>
    </w:p>
    <w:p>
      <w:pPr>
        <w:ind w:right="260" w:firstLine="432"/>
        <w:spacing w:after="0" w:line="271" w:lineRule="auto"/>
        <w:rPr>
          <w:sz w:val="20"/>
          <w:szCs w:val="20"/>
          <w:color w:val="auto"/>
        </w:rPr>
      </w:pPr>
      <w:r>
        <w:rPr>
          <w:rFonts w:ascii="Arial" w:cs="Arial" w:eastAsia="Arial" w:hAnsi="Arial"/>
          <w:sz w:val="13"/>
          <w:szCs w:val="13"/>
          <w:color w:val="auto"/>
        </w:rPr>
        <w:t>Unless the certificate of authentication hereon has been manually signed in the name of the Trustee referred to on the reverse hereof by an authorized signatory, this Note shall not be entitled to any benefit under the Indenture or be valid or obligatory for any purpose.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- 2</w:t>
      </w:r>
    </w:p>
    <w:p>
      <w:pPr>
        <w:sectPr>
          <w:pgSz w:w="11900" w:h="16838" w:orient="portrait"/>
          <w:cols w:equalWidth="0" w:num="1">
            <w:col w:w="11460"/>
          </w:cols>
          <w:pgMar w:left="220" w:top="435" w:right="219" w:bottom="1440" w:gutter="0" w:footer="0" w:header="0"/>
        </w:sectPr>
      </w:pPr>
    </w:p>
    <w:bookmarkStart w:id="111" w:name="page112"/>
    <w:bookmarkEnd w:id="111"/>
    <w:p>
      <w:pPr>
        <w:ind w:left="400"/>
        <w:spacing w:after="0"/>
        <w:rPr>
          <w:sz w:val="20"/>
          <w:szCs w:val="20"/>
          <w:color w:val="auto"/>
        </w:rPr>
      </w:pPr>
      <w:r>
        <w:rPr>
          <w:rFonts w:ascii="Arial" w:cs="Arial" w:eastAsia="Arial" w:hAnsi="Arial"/>
          <w:sz w:val="13"/>
          <w:szCs w:val="13"/>
          <w:color w:val="auto"/>
        </w:rPr>
        <w:t>IN WITNESS WHEREOF, the Issuer has caused this Note to be duly executed by its undersigned officer.</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WEATHERFORD INTERNATIONAL, LLC,</w:t>
      </w:r>
    </w:p>
    <w:p>
      <w:pPr>
        <w:spacing w:after="0" w:line="152" w:lineRule="exact"/>
        <w:rPr>
          <w:sz w:val="20"/>
          <w:szCs w:val="20"/>
          <w:color w:val="auto"/>
        </w:rPr>
      </w:pPr>
    </w:p>
    <w:p>
      <w:pPr>
        <w:ind w:left="2560"/>
        <w:spacing w:after="0"/>
        <w:rPr>
          <w:sz w:val="20"/>
          <w:szCs w:val="20"/>
          <w:color w:val="auto"/>
        </w:rPr>
      </w:pPr>
      <w:r>
        <w:rPr>
          <w:rFonts w:ascii="Arial" w:cs="Arial" w:eastAsia="Arial" w:hAnsi="Arial"/>
          <w:sz w:val="13"/>
          <w:szCs w:val="13"/>
          <w:color w:val="auto"/>
        </w:rPr>
        <w:t>a Delaware limited liability company</w:t>
      </w:r>
    </w:p>
    <w:p>
      <w:pPr>
        <w:spacing w:after="0" w:line="200" w:lineRule="exact"/>
        <w:rPr>
          <w:sz w:val="20"/>
          <w:szCs w:val="20"/>
          <w:color w:val="auto"/>
        </w:rPr>
      </w:pPr>
    </w:p>
    <w:p>
      <w:pPr>
        <w:spacing w:after="0" w:line="236" w:lineRule="exact"/>
        <w:rPr>
          <w:sz w:val="20"/>
          <w:szCs w:val="20"/>
          <w:color w:val="auto"/>
        </w:rPr>
      </w:pPr>
    </w:p>
    <w:p>
      <w:pPr>
        <w:ind w:left="2560"/>
        <w:spacing w:after="0"/>
        <w:tabs>
          <w:tab w:leader="none" w:pos="28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______________________________</w:t>
      </w:r>
    </w:p>
    <w:p>
      <w:pPr>
        <w:spacing w:after="0" w:line="288" w:lineRule="exact"/>
        <w:rPr>
          <w:sz w:val="20"/>
          <w:szCs w:val="20"/>
          <w:color w:val="auto"/>
        </w:rPr>
      </w:pPr>
    </w:p>
    <w:p>
      <w:pPr>
        <w:ind w:left="4640"/>
        <w:spacing w:after="0"/>
        <w:rPr>
          <w:sz w:val="20"/>
          <w:szCs w:val="20"/>
          <w:color w:val="auto"/>
        </w:rPr>
      </w:pPr>
      <w:r>
        <w:rPr>
          <w:rFonts w:ascii="Arial" w:cs="Arial" w:eastAsia="Arial" w:hAnsi="Arial"/>
          <w:sz w:val="11"/>
          <w:szCs w:val="11"/>
          <w:b w:val="1"/>
          <w:bCs w:val="1"/>
          <w:color w:val="auto"/>
        </w:rPr>
        <w:t>Trustee’s Certificate of Authentication</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This is one of the 9.875% Senior Notes due 2025 referred to in the within-mentioned Indenture.</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DEUTSCHE BANK TRUST COMPANY AMERICAS</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As Trustee</w:t>
      </w:r>
    </w:p>
    <w:p>
      <w:pPr>
        <w:spacing w:after="0" w:line="152" w:lineRule="exact"/>
        <w:rPr>
          <w:sz w:val="20"/>
          <w:szCs w:val="20"/>
          <w:color w:val="auto"/>
        </w:rPr>
      </w:pPr>
    </w:p>
    <w:p>
      <w:pPr>
        <w:ind w:left="2560"/>
        <w:spacing w:after="0"/>
        <w:tabs>
          <w:tab w:leader="none" w:pos="28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Deutsche Bank National Trust Company</w:t>
      </w:r>
    </w:p>
    <w:p>
      <w:pPr>
        <w:spacing w:after="0" w:line="292" w:lineRule="exact"/>
        <w:rPr>
          <w:sz w:val="20"/>
          <w:szCs w:val="20"/>
          <w:color w:val="auto"/>
        </w:rPr>
      </w:pPr>
    </w:p>
    <w:p>
      <w:pPr>
        <w:ind w:left="2560"/>
        <w:spacing w:after="0"/>
        <w:rPr>
          <w:sz w:val="20"/>
          <w:szCs w:val="20"/>
          <w:color w:val="auto"/>
        </w:rPr>
      </w:pPr>
      <w:r>
        <w:rPr>
          <w:rFonts w:ascii="Arial" w:cs="Arial" w:eastAsia="Arial" w:hAnsi="Arial"/>
          <w:sz w:val="13"/>
          <w:szCs w:val="13"/>
          <w:color w:val="auto"/>
        </w:rPr>
        <w:t>By:</w:t>
      </w:r>
    </w:p>
    <w:p>
      <w:pPr>
        <w:spacing w:after="0" w:line="292"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Authorized Signatory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Dated:</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A - 3</w:t>
      </w:r>
    </w:p>
    <w:p>
      <w:pPr>
        <w:sectPr>
          <w:pgSz w:w="11900" w:h="16838" w:orient="portrait"/>
          <w:cols w:equalWidth="0" w:num="1">
            <w:col w:w="10219"/>
          </w:cols>
          <w:pgMar w:left="240" w:top="435"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3"/>
          <w:szCs w:val="13"/>
          <w:color w:val="auto"/>
        </w:rPr>
        <w:t>[Form of Reverse of Note]</w:t>
      </w:r>
    </w:p>
    <w:p>
      <w:pPr>
        <w:spacing w:after="0" w:line="148" w:lineRule="exact"/>
        <w:rPr>
          <w:sz w:val="20"/>
          <w:szCs w:val="20"/>
          <w:color w:val="auto"/>
        </w:rPr>
      </w:pPr>
    </w:p>
    <w:p>
      <w:pPr>
        <w:ind w:firstLine="432"/>
        <w:spacing w:after="0" w:line="250" w:lineRule="auto"/>
        <w:rPr>
          <w:sz w:val="20"/>
          <w:szCs w:val="20"/>
          <w:color w:val="auto"/>
        </w:rPr>
      </w:pPr>
      <w:r>
        <w:rPr>
          <w:rFonts w:ascii="Arial" w:cs="Arial" w:eastAsia="Arial" w:hAnsi="Arial"/>
          <w:sz w:val="13"/>
          <w:szCs w:val="13"/>
          <w:color w:val="auto"/>
        </w:rPr>
        <w:t>This Note is one of a duly authorized series of Securities of the Issuer (herein called the “Notes”), issued under an Indenture, dated as of June 18, 2007 (the “Original Indenture”), as amended and supplemented by (i) the Second Supplemental Indenture, dated as of February 26, 2009, (ii) the Fourth Supplemental Indenture, dated as of March 31, 2013, (iii) the Fifth Supplemental Indenture, dated as of June 17, 2014 and (iv) the Sixth Supplemental Indenture (herein so called), dated as of February 28, 2018, (the Base Indenture, as so amended and supplemented, being herein called the “Indenture”), among the Issuer (f/k/a Weatherford International, Inc., a Delaware corporation), the Guarantors named therein and Deutsche Bank Trust Company Americas, as Trustee (herein called the “Trustee,” which term includes any successor trustee under the Indenture), and reference is hereby made to the Indenture for a statement of the respective rights, limitations of rights, duties and immunities thereunder of the Issuer, the Guarantors, the Trustee and the Holders of the Notes and of the terms upon which the Notes are, and are to be, authenticated and delivered. This Note is one of the series designated on the face hereof, initially limited in aggregate principal amount to $600,000,000 but subject to re-opening as provided in the Sixth Supplemental Indenture.</w:t>
      </w:r>
    </w:p>
    <w:p>
      <w:pPr>
        <w:spacing w:after="0" w:line="126" w:lineRule="exact"/>
        <w:rPr>
          <w:sz w:val="20"/>
          <w:szCs w:val="20"/>
          <w:color w:val="auto"/>
        </w:rPr>
      </w:pPr>
    </w:p>
    <w:p>
      <w:pPr>
        <w:ind w:right="300" w:firstLine="432"/>
        <w:spacing w:after="0" w:line="258" w:lineRule="auto"/>
        <w:rPr>
          <w:sz w:val="20"/>
          <w:szCs w:val="20"/>
          <w:color w:val="auto"/>
        </w:rPr>
      </w:pPr>
      <w:r>
        <w:rPr>
          <w:rFonts w:ascii="Arial" w:cs="Arial" w:eastAsia="Arial" w:hAnsi="Arial"/>
          <w:sz w:val="13"/>
          <w:szCs w:val="13"/>
          <w:color w:val="auto"/>
        </w:rPr>
        <w:t>At any time or from time to time on or after December 1, 2024 (the “Par Call Date”), the Issuer, at its option, may redeem the Notes, in whole or in part, upon prior notice as provided in the Indenture, at a Redemption Price equal to 100% of the principal amount of the Notes to be redeemed, together with accrued and unpaid interest thereon, if any, to, but not including, the Redemption Date (subject to the right of Holders on the relevant record date to receive interest due on the relevant Interest Payment Date), as provided in Section 1203(a) of the Indenture.</w:t>
      </w:r>
    </w:p>
    <w:p>
      <w:pPr>
        <w:spacing w:after="0" w:line="265" w:lineRule="exact"/>
        <w:rPr>
          <w:sz w:val="20"/>
          <w:szCs w:val="20"/>
          <w:color w:val="auto"/>
        </w:rPr>
      </w:pPr>
    </w:p>
    <w:p>
      <w:pPr>
        <w:ind w:right="40" w:firstLine="432"/>
        <w:spacing w:after="0" w:line="290" w:lineRule="auto"/>
        <w:rPr>
          <w:sz w:val="20"/>
          <w:szCs w:val="20"/>
          <w:color w:val="auto"/>
        </w:rPr>
      </w:pPr>
      <w:r>
        <w:rPr>
          <w:rFonts w:ascii="Arial" w:cs="Arial" w:eastAsia="Arial" w:hAnsi="Arial"/>
          <w:sz w:val="12"/>
          <w:szCs w:val="12"/>
          <w:color w:val="auto"/>
        </w:rPr>
        <w:t>The Notes may also be redeemed, in whole or in part, at any time or from time to time prior to the Par Call Date at the option of the Issuer, upon prior notice as provided in the Indenture, at a Redemption Price equal to the greater of 100.0% of the principal amount of the Notes to be redeemed or the Make-Whole Price (as determined in accordance with Section 1203(b) of the Indenture), plus accrued and unpaid interest, if any, to, but not including, the applicable Redemption Date (subject to the right of Holders on the relevant record date to receive interest due on the relevant Interest Payment Date).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Notes may also be redeemed, as a whole, at the Issuer’s option, following a Change of Control Offer, at the Redemption Price and subject to the conditions set forth in Section 1107 of the Indenture.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Any notice of redemption may, at the Issuer’s discretion, be subject to one or more conditions precedent specified in such notice of redemption.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event of redemption of this Note in part only, a new Note or Notes of like tenor for the unredeemed portion hereof will be issued in the name of the Holder hereof upon the cancellation hereof.</w:t>
      </w:r>
    </w:p>
    <w:p>
      <w:pPr>
        <w:spacing w:after="0" w:line="159" w:lineRule="exact"/>
        <w:rPr>
          <w:sz w:val="20"/>
          <w:szCs w:val="20"/>
          <w:color w:val="auto"/>
        </w:rPr>
      </w:pPr>
    </w:p>
    <w:p>
      <w:pPr>
        <w:ind w:right="140" w:firstLine="432"/>
        <w:spacing w:after="0" w:line="271" w:lineRule="auto"/>
        <w:rPr>
          <w:sz w:val="20"/>
          <w:szCs w:val="20"/>
          <w:color w:val="auto"/>
        </w:rPr>
      </w:pPr>
      <w:r>
        <w:rPr>
          <w:rFonts w:ascii="Arial" w:cs="Arial" w:eastAsia="Arial" w:hAnsi="Arial"/>
          <w:sz w:val="13"/>
          <w:szCs w:val="13"/>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13" w:lineRule="exact"/>
        <w:rPr>
          <w:sz w:val="20"/>
          <w:szCs w:val="20"/>
          <w:color w:val="auto"/>
        </w:rPr>
      </w:pPr>
    </w:p>
    <w:p>
      <w:pPr>
        <w:ind w:right="140" w:firstLine="432"/>
        <w:spacing w:after="0" w:line="251" w:lineRule="auto"/>
        <w:rPr>
          <w:sz w:val="20"/>
          <w:szCs w:val="20"/>
          <w:color w:val="auto"/>
        </w:rPr>
      </w:pPr>
      <w:r>
        <w:rPr>
          <w:rFonts w:ascii="Arial" w:cs="Arial" w:eastAsia="Arial" w:hAnsi="Arial"/>
          <w:sz w:val="13"/>
          <w:szCs w:val="13"/>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Guarantors and the Trustee with the consent of the Holders of a majority in aggregate principal amount of the then Outstanding Notes affected thereby. The Indenture also contains provisions permitting the Holders of specified percentages in aggregate principal amount of the Outstanding Notes, on behalf of the Holders of all 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- 4</w:t>
      </w:r>
    </w:p>
    <w:p>
      <w:pPr>
        <w:sectPr>
          <w:pgSz w:w="11900" w:h="16838" w:orient="portrait"/>
          <w:cols w:equalWidth="0" w:num="1">
            <w:col w:w="11480"/>
          </w:cols>
          <w:pgMar w:left="220" w:top="732" w:right="199" w:bottom="1440" w:gutter="0" w:footer="0" w:header="0"/>
        </w:sectPr>
      </w:pPr>
    </w:p>
    <w:bookmarkStart w:id="113" w:name="page114"/>
    <w:bookmarkEnd w:id="113"/>
    <w:p>
      <w:pPr>
        <w:ind w:left="420"/>
        <w:spacing w:after="0"/>
        <w:rPr>
          <w:sz w:val="20"/>
          <w:szCs w:val="20"/>
          <w:color w:val="auto"/>
        </w:rPr>
      </w:pPr>
      <w:r>
        <w:rPr>
          <w:rFonts w:ascii="Arial" w:cs="Arial" w:eastAsia="Arial" w:hAnsi="Arial"/>
          <w:sz w:val="13"/>
          <w:szCs w:val="13"/>
          <w:color w:val="auto"/>
        </w:rPr>
        <w:t>If an Event of Default shall occur and be continuing, the Notes may be declared (or shall automatically become) due and payable in the manner and with the effect provided in the Indenture.</w:t>
      </w:r>
    </w:p>
    <w:p>
      <w:pPr>
        <w:spacing w:after="0" w:line="148" w:lineRule="exact"/>
        <w:rPr>
          <w:sz w:val="20"/>
          <w:szCs w:val="20"/>
          <w:color w:val="auto"/>
        </w:rPr>
      </w:pPr>
    </w:p>
    <w:p>
      <w:pPr>
        <w:ind w:right="160" w:firstLine="432"/>
        <w:spacing w:after="0" w:line="251" w:lineRule="auto"/>
        <w:rPr>
          <w:sz w:val="20"/>
          <w:szCs w:val="20"/>
          <w:color w:val="auto"/>
        </w:rPr>
      </w:pPr>
      <w:r>
        <w:rPr>
          <w:rFonts w:ascii="Arial" w:cs="Arial" w:eastAsia="Arial" w:hAnsi="Arial"/>
          <w:sz w:val="13"/>
          <w:szCs w:val="13"/>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 Trustee to pursue the remedy and offer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125" w:lineRule="exact"/>
        <w:rPr>
          <w:sz w:val="20"/>
          <w:szCs w:val="20"/>
          <w:color w:val="auto"/>
        </w:rPr>
      </w:pPr>
    </w:p>
    <w:p>
      <w:pPr>
        <w:ind w:right="380" w:firstLine="432"/>
        <w:spacing w:after="0" w:line="271" w:lineRule="auto"/>
        <w:rPr>
          <w:sz w:val="20"/>
          <w:szCs w:val="20"/>
          <w:color w:val="auto"/>
        </w:rPr>
      </w:pPr>
      <w:r>
        <w:rPr>
          <w:rFonts w:ascii="Arial" w:cs="Arial" w:eastAsia="Arial" w:hAnsi="Arial"/>
          <w:sz w:val="13"/>
          <w:szCs w:val="13"/>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13" w:lineRule="exact"/>
        <w:rPr>
          <w:sz w:val="20"/>
          <w:szCs w:val="20"/>
          <w:color w:val="auto"/>
        </w:rPr>
      </w:pPr>
    </w:p>
    <w:p>
      <w:pPr>
        <w:ind w:right="40" w:firstLine="432"/>
        <w:spacing w:after="0" w:line="290" w:lineRule="auto"/>
        <w:rPr>
          <w:sz w:val="20"/>
          <w:szCs w:val="20"/>
          <w:color w:val="auto"/>
        </w:rPr>
      </w:pPr>
      <w:r>
        <w:rPr>
          <w:rFonts w:ascii="Arial" w:cs="Arial" w:eastAsia="Arial" w:hAnsi="Arial"/>
          <w:sz w:val="12"/>
          <w:szCs w:val="12"/>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 the same aggregate principal amount, will be issued to the designated transferee or transferees.</w:t>
      </w:r>
    </w:p>
    <w:p>
      <w:pPr>
        <w:spacing w:after="0" w:line="103" w:lineRule="exact"/>
        <w:rPr>
          <w:sz w:val="20"/>
          <w:szCs w:val="20"/>
          <w:color w:val="auto"/>
        </w:rPr>
      </w:pPr>
    </w:p>
    <w:p>
      <w:pPr>
        <w:ind w:right="60" w:firstLine="432"/>
        <w:spacing w:after="0" w:line="314" w:lineRule="auto"/>
        <w:rPr>
          <w:sz w:val="20"/>
          <w:szCs w:val="20"/>
          <w:color w:val="auto"/>
        </w:rPr>
      </w:pPr>
      <w:r>
        <w:rPr>
          <w:rFonts w:ascii="Arial" w:cs="Arial" w:eastAsia="Arial" w:hAnsi="Arial"/>
          <w:sz w:val="12"/>
          <w:szCs w:val="12"/>
          <w:color w:val="auto"/>
        </w:rPr>
        <w:t>The Notes are issuable only in registered form without coupons in denominations of $2,000 and any integral multiple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89"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No service charge shall be made for any such registration of transfer or exchange, but the Issuer may require payment of a sum sufficient to cover any transfer tax or similar governmental charge, subject to the exceptions set forth in the Indenture.</w:t>
      </w:r>
    </w:p>
    <w:p>
      <w:pPr>
        <w:spacing w:after="0" w:line="113"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Prior to due presentment of this Note for registration of transfer, the Issuer, the Guarantors, the Trustee and any agent of the Issuer, the Guarantors or the Trustee may treat the Person in whose name this Note is registered as the owner hereof for all purposes (except as required by applicable tax laws), whether or not this Note be overdue, and neither the Issuer, the Guarantors, the Trustee nor any such agent shall be affected by notice to the contrary.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- 5</w:t>
      </w:r>
    </w:p>
    <w:p>
      <w:pPr>
        <w:sectPr>
          <w:pgSz w:w="11900" w:h="16838" w:orient="portrait"/>
          <w:cols w:equalWidth="0" w:num="1">
            <w:col w:w="11480"/>
          </w:cols>
          <w:pgMar w:left="220" w:top="435" w:right="199" w:bottom="1440" w:gutter="0" w:footer="0" w:header="0"/>
        </w:sectPr>
      </w:pPr>
    </w:p>
    <w:bookmarkStart w:id="114" w:name="page115"/>
    <w:bookmarkEnd w:id="114"/>
    <w:p>
      <w:pPr>
        <w:jc w:val="both"/>
        <w:ind w:firstLine="432"/>
        <w:spacing w:after="0" w:line="258" w:lineRule="auto"/>
        <w:rPr>
          <w:sz w:val="20"/>
          <w:szCs w:val="20"/>
          <w:color w:val="auto"/>
        </w:rPr>
      </w:pPr>
      <w:r>
        <w:rPr>
          <w:rFonts w:ascii="Arial" w:cs="Arial" w:eastAsia="Arial" w:hAnsi="Arial"/>
          <w:sz w:val="13"/>
          <w:szCs w:val="13"/>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All terms used in this Note which are defined in the Indenture but not defined herein shall have the meanings assigned to them in the Indenture.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Notes, the Guarantees and the Indenture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A - 6</w:t>
      </w:r>
    </w:p>
    <w:p>
      <w:pPr>
        <w:sectPr>
          <w:pgSz w:w="11900" w:h="16838" w:orient="portrait"/>
          <w:cols w:equalWidth="0" w:num="1">
            <w:col w:w="11260"/>
          </w:cols>
          <w:pgMar w:left="220" w:top="435" w:right="419" w:bottom="1440" w:gutter="0" w:footer="0" w:header="0"/>
        </w:sectPr>
      </w:pPr>
    </w:p>
    <w:bookmarkStart w:id="115" w:name="page116"/>
    <w:bookmarkEnd w:id="115"/>
    <w:p>
      <w:pPr>
        <w:jc w:val="center"/>
        <w:ind w:left="440"/>
        <w:spacing w:after="0"/>
        <w:rPr>
          <w:sz w:val="20"/>
          <w:szCs w:val="20"/>
          <w:color w:val="auto"/>
        </w:rPr>
      </w:pPr>
      <w:r>
        <w:rPr>
          <w:rFonts w:ascii="Arial" w:cs="Arial" w:eastAsia="Arial" w:hAnsi="Arial"/>
          <w:sz w:val="14"/>
          <w:szCs w:val="14"/>
          <w:b w:val="1"/>
          <w:bCs w:val="1"/>
          <w:color w:val="auto"/>
        </w:rPr>
        <w:t>Assignment Form</w:t>
      </w:r>
    </w:p>
    <w:p>
      <w:pPr>
        <w:spacing w:after="0" w:line="30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To assign this Note, fill in the form below:</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4"/>
          <w:szCs w:val="14"/>
          <w:color w:val="auto"/>
        </w:rPr>
        <w:t>(I) or (we) assign and transfer this Security to: __________________________________________</w:t>
      </w:r>
    </w:p>
    <w:p>
      <w:pPr>
        <w:spacing w:after="0" w:line="21" w:lineRule="exact"/>
        <w:rPr>
          <w:sz w:val="20"/>
          <w:szCs w:val="20"/>
          <w:color w:val="auto"/>
        </w:rPr>
      </w:pPr>
    </w:p>
    <w:p>
      <w:pPr>
        <w:ind w:left="3468"/>
        <w:spacing w:after="0"/>
        <w:rPr>
          <w:sz w:val="20"/>
          <w:szCs w:val="20"/>
          <w:color w:val="auto"/>
        </w:rPr>
      </w:pPr>
      <w:r>
        <w:rPr>
          <w:rFonts w:ascii="Arial" w:cs="Arial" w:eastAsia="Arial" w:hAnsi="Arial"/>
          <w:sz w:val="11"/>
          <w:szCs w:val="11"/>
          <w:color w:val="auto"/>
        </w:rPr>
        <w:t>(Insert assignee’s legal name)</w:t>
      </w:r>
    </w:p>
    <w:p>
      <w:pPr>
        <w:spacing w:after="0" w:line="14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w:t>
      </w:r>
    </w:p>
    <w:p>
      <w:pPr>
        <w:spacing w:after="0" w:line="15" w:lineRule="exact"/>
        <w:rPr>
          <w:sz w:val="20"/>
          <w:szCs w:val="20"/>
          <w:color w:val="auto"/>
        </w:rPr>
      </w:pPr>
    </w:p>
    <w:p>
      <w:pPr>
        <w:jc w:val="center"/>
        <w:ind w:right="32"/>
        <w:spacing w:after="0"/>
        <w:rPr>
          <w:sz w:val="20"/>
          <w:szCs w:val="20"/>
          <w:color w:val="auto"/>
        </w:rPr>
      </w:pPr>
      <w:r>
        <w:rPr>
          <w:rFonts w:ascii="Arial" w:cs="Arial" w:eastAsia="Arial" w:hAnsi="Arial"/>
          <w:sz w:val="11"/>
          <w:szCs w:val="11"/>
          <w:color w:val="auto"/>
        </w:rPr>
        <w:t>(Insert assignee’s soc. sec. or tax I.D. no.)</w:t>
      </w:r>
    </w:p>
    <w:p>
      <w:pPr>
        <w:spacing w:after="0" w:line="243"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________________________________________________________________________________________________________________________________________________________________________________________________</w:t>
      </w:r>
    </w:p>
    <w:p>
      <w:pPr>
        <w:spacing w:after="0" w:line="348" w:lineRule="exact"/>
        <w:rPr>
          <w:sz w:val="20"/>
          <w:szCs w:val="20"/>
          <w:color w:val="auto"/>
        </w:rPr>
      </w:pPr>
    </w:p>
    <w:p>
      <w:pPr>
        <w:ind w:left="4588"/>
        <w:spacing w:after="0"/>
        <w:rPr>
          <w:sz w:val="20"/>
          <w:szCs w:val="20"/>
          <w:color w:val="auto"/>
        </w:rPr>
      </w:pPr>
      <w:r>
        <w:rPr>
          <w:rFonts w:ascii="Arial" w:cs="Arial" w:eastAsia="Arial" w:hAnsi="Arial"/>
          <w:sz w:val="11"/>
          <w:szCs w:val="11"/>
          <w:color w:val="auto"/>
        </w:rPr>
        <w:t>(Print or type assignee’s name, address and zip code)</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4"/>
          <w:szCs w:val="14"/>
          <w:color w:val="auto"/>
        </w:rPr>
        <w:t>and irrevocably appoint _________________________________________________________________</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color w:val="auto"/>
        </w:rPr>
        <w:t>to transfer this Note on the books of the Issuer. The agent may substitute another to act for him.</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3"/>
          <w:szCs w:val="13"/>
          <w:color w:val="auto"/>
        </w:rPr>
        <w:t>Date: _______________</w:t>
      </w:r>
    </w:p>
    <w:p>
      <w:pPr>
        <w:spacing w:after="0" w:line="148" w:lineRule="exact"/>
        <w:rPr>
          <w:sz w:val="20"/>
          <w:szCs w:val="20"/>
          <w:color w:val="auto"/>
        </w:rPr>
      </w:pPr>
    </w:p>
    <w:p>
      <w:pPr>
        <w:ind w:left="2588"/>
        <w:spacing w:after="0"/>
        <w:rPr>
          <w:sz w:val="20"/>
          <w:szCs w:val="20"/>
          <w:color w:val="auto"/>
        </w:rPr>
      </w:pPr>
      <w:r>
        <w:rPr>
          <w:rFonts w:ascii="Arial" w:cs="Arial" w:eastAsia="Arial" w:hAnsi="Arial"/>
          <w:sz w:val="13"/>
          <w:szCs w:val="13"/>
          <w:color w:val="auto"/>
        </w:rPr>
        <w:t>Your Signature: _______________________________________</w:t>
      </w:r>
    </w:p>
    <w:p>
      <w:pPr>
        <w:spacing w:after="0" w:line="18" w:lineRule="exact"/>
        <w:rPr>
          <w:sz w:val="20"/>
          <w:szCs w:val="20"/>
          <w:color w:val="auto"/>
        </w:rPr>
      </w:pPr>
    </w:p>
    <w:p>
      <w:pPr>
        <w:ind w:left="3028"/>
        <w:spacing w:after="0"/>
        <w:rPr>
          <w:sz w:val="20"/>
          <w:szCs w:val="20"/>
          <w:color w:val="auto"/>
        </w:rPr>
      </w:pPr>
      <w:r>
        <w:rPr>
          <w:rFonts w:ascii="Arial" w:cs="Arial" w:eastAsia="Arial" w:hAnsi="Arial"/>
          <w:sz w:val="11"/>
          <w:szCs w:val="11"/>
          <w:color w:val="auto"/>
        </w:rPr>
        <w:t>(Sign exactly as your name appears on the face</w:t>
      </w:r>
    </w:p>
    <w:p>
      <w:pPr>
        <w:spacing w:after="0" w:line="18" w:lineRule="exact"/>
        <w:rPr>
          <w:sz w:val="20"/>
          <w:szCs w:val="20"/>
          <w:color w:val="auto"/>
        </w:rPr>
      </w:pPr>
    </w:p>
    <w:p>
      <w:pPr>
        <w:ind w:left="3028"/>
        <w:spacing w:after="0"/>
        <w:rPr>
          <w:sz w:val="20"/>
          <w:szCs w:val="20"/>
          <w:color w:val="auto"/>
        </w:rPr>
      </w:pPr>
      <w:r>
        <w:rPr>
          <w:rFonts w:ascii="Arial" w:cs="Arial" w:eastAsia="Arial" w:hAnsi="Arial"/>
          <w:sz w:val="11"/>
          <w:szCs w:val="11"/>
          <w:color w:val="auto"/>
        </w:rPr>
        <w:t>of this Note)</w:t>
      </w:r>
    </w:p>
    <w:p>
      <w:pPr>
        <w:spacing w:after="0" w:line="9" w:lineRule="exact"/>
        <w:rPr>
          <w:sz w:val="20"/>
          <w:szCs w:val="20"/>
          <w:color w:val="auto"/>
        </w:rPr>
      </w:pPr>
    </w:p>
    <w:p>
      <w:pPr>
        <w:ind w:left="8"/>
        <w:spacing w:after="0"/>
        <w:rPr>
          <w:sz w:val="20"/>
          <w:szCs w:val="20"/>
          <w:color w:val="auto"/>
        </w:rPr>
      </w:pPr>
      <w:r>
        <w:rPr>
          <w:rFonts w:ascii="Arial" w:cs="Arial" w:eastAsia="Arial" w:hAnsi="Arial"/>
          <w:sz w:val="26"/>
          <w:szCs w:val="26"/>
          <w:color w:val="auto"/>
          <w:vertAlign w:val="superscript"/>
        </w:rPr>
        <w:t>Signature Guarantee:</w:t>
      </w:r>
      <w:r>
        <w:rPr>
          <w:rFonts w:ascii="Arial" w:cs="Arial" w:eastAsia="Arial" w:hAnsi="Arial"/>
          <w:sz w:val="19"/>
          <w:szCs w:val="19"/>
          <w:color w:val="auto"/>
          <w:vertAlign w:val="superscript"/>
        </w:rPr>
        <w:t>*</w:t>
      </w:r>
      <w:r>
        <w:rPr>
          <w:rFonts w:ascii="Arial" w:cs="Arial" w:eastAsia="Arial" w:hAnsi="Arial"/>
          <w:sz w:val="10"/>
          <w:szCs w:val="10"/>
          <w:color w:val="auto"/>
        </w:rPr>
        <w:t>______________________________</w:t>
      </w:r>
    </w:p>
    <w:p>
      <w:pPr>
        <w:spacing w:after="0" w:line="5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the following in a Restricted Note only:</w:t>
      </w:r>
      <w:r>
        <w:rPr>
          <w:rFonts w:ascii="Arial" w:cs="Arial" w:eastAsia="Arial" w:hAnsi="Arial"/>
          <w:sz w:val="12"/>
          <w:szCs w:val="12"/>
          <w:color w:val="auto"/>
        </w:rPr>
        <w:t>] The undersigned hereby certifies that it o is / o is not an Affiliate of the Issuer and that, to its knowledge, the proposed transferee o is / o is not an Affiliate of the</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3"/>
          <w:szCs w:val="13"/>
          <w:color w:val="auto"/>
        </w:rPr>
        <w:t>Issuer.</w:t>
      </w:r>
    </w:p>
    <w:p>
      <w:pPr>
        <w:spacing w:after="0" w:line="138" w:lineRule="exact"/>
        <w:rPr>
          <w:sz w:val="20"/>
          <w:szCs w:val="20"/>
          <w:color w:val="auto"/>
        </w:rPr>
      </w:pPr>
    </w:p>
    <w:p>
      <w:pPr>
        <w:ind w:left="8" w:right="200" w:firstLine="432"/>
        <w:spacing w:after="0" w:line="314" w:lineRule="auto"/>
        <w:rPr>
          <w:sz w:val="20"/>
          <w:szCs w:val="20"/>
          <w:color w:val="auto"/>
        </w:rPr>
      </w:pPr>
      <w:r>
        <w:rPr>
          <w:rFonts w:ascii="Arial" w:cs="Arial" w:eastAsia="Arial" w:hAnsi="Arial"/>
          <w:sz w:val="12"/>
          <w:szCs w:val="12"/>
          <w:color w:val="auto"/>
        </w:rPr>
        <w:t>In connection with any transfer or exchange of any of the Notes evidenced by this certificate occurring prior to the date that is one year (or 40 days in the case of any Regulation S Notes) after the later of the date of original issuance of such Notes and the last date, if any, on which such Notes were owned by the Issuer or any Affiliate of the Issuer, the undersigned confirms that such Notes are being:</w:t>
      </w:r>
    </w:p>
    <w:p>
      <w:pPr>
        <w:spacing w:after="0" w:line="89" w:lineRule="exact"/>
        <w:rPr>
          <w:sz w:val="20"/>
          <w:szCs w:val="20"/>
          <w:color w:val="auto"/>
        </w:rPr>
      </w:pPr>
    </w:p>
    <w:p>
      <w:pPr>
        <w:ind w:left="428"/>
        <w:spacing w:after="0"/>
        <w:rPr>
          <w:sz w:val="20"/>
          <w:szCs w:val="20"/>
          <w:color w:val="auto"/>
        </w:rPr>
      </w:pPr>
      <w:r>
        <w:rPr>
          <w:rFonts w:ascii="Arial" w:cs="Arial" w:eastAsia="Arial" w:hAnsi="Arial"/>
          <w:sz w:val="13"/>
          <w:szCs w:val="13"/>
          <w:color w:val="auto"/>
        </w:rPr>
        <w:t>CHECK ONE BOX BELOW:</w:t>
      </w:r>
    </w:p>
    <w:p>
      <w:pPr>
        <w:spacing w:after="0" w:line="148" w:lineRule="exact"/>
        <w:rPr>
          <w:sz w:val="20"/>
          <w:szCs w:val="20"/>
          <w:color w:val="auto"/>
        </w:rPr>
      </w:pPr>
    </w:p>
    <w:p>
      <w:pPr>
        <w:ind w:left="868" w:hanging="436"/>
        <w:spacing w:after="0"/>
        <w:tabs>
          <w:tab w:leader="none" w:pos="868" w:val="left"/>
        </w:tabs>
        <w:numPr>
          <w:ilvl w:val="0"/>
          <w:numId w:val="107"/>
        </w:numPr>
        <w:rPr>
          <w:rFonts w:ascii="Arial" w:cs="Arial" w:eastAsia="Arial" w:hAnsi="Arial"/>
          <w:sz w:val="13"/>
          <w:szCs w:val="13"/>
          <w:color w:val="auto"/>
        </w:rPr>
      </w:pPr>
      <w:r>
        <w:rPr>
          <w:rFonts w:ascii="Arial" w:cs="Arial" w:eastAsia="Arial" w:hAnsi="Arial"/>
          <w:sz w:val="13"/>
          <w:szCs w:val="13"/>
          <w:color w:val="auto"/>
        </w:rPr>
        <w:t>o  acquired for the undersigned’s own account, without transfer; or</w:t>
      </w:r>
    </w:p>
    <w:p>
      <w:pPr>
        <w:spacing w:after="0" w:line="147" w:lineRule="exact"/>
        <w:rPr>
          <w:rFonts w:ascii="Arial" w:cs="Arial" w:eastAsia="Arial" w:hAnsi="Arial"/>
          <w:sz w:val="13"/>
          <w:szCs w:val="13"/>
          <w:color w:val="auto"/>
        </w:rPr>
      </w:pPr>
    </w:p>
    <w:p>
      <w:pPr>
        <w:ind w:left="868" w:hanging="436"/>
        <w:spacing w:after="0"/>
        <w:tabs>
          <w:tab w:leader="none" w:pos="868" w:val="left"/>
        </w:tabs>
        <w:numPr>
          <w:ilvl w:val="0"/>
          <w:numId w:val="107"/>
        </w:numPr>
        <w:rPr>
          <w:rFonts w:ascii="Arial" w:cs="Arial" w:eastAsia="Arial" w:hAnsi="Arial"/>
          <w:sz w:val="13"/>
          <w:szCs w:val="13"/>
          <w:color w:val="auto"/>
        </w:rPr>
      </w:pPr>
      <w:r>
        <w:rPr>
          <w:rFonts w:ascii="Arial" w:cs="Arial" w:eastAsia="Arial" w:hAnsi="Arial"/>
          <w:sz w:val="13"/>
          <w:szCs w:val="13"/>
          <w:color w:val="auto"/>
        </w:rPr>
        <w:t>o  transferred to the Parent Guarantor or any Subsidiary thereof; or</w:t>
      </w:r>
    </w:p>
    <w:p>
      <w:pPr>
        <w:spacing w:after="0" w:line="148" w:lineRule="exact"/>
        <w:rPr>
          <w:sz w:val="20"/>
          <w:szCs w:val="20"/>
          <w:color w:val="auto"/>
        </w:rPr>
      </w:pPr>
    </w:p>
    <w:tbl>
      <w:tblPr>
        <w:tblLayout w:type="fixed"/>
        <w:tblInd w:w="428" w:type="dxa"/>
        <w:tblCellMar>
          <w:top w:w="0" w:type="dxa"/>
          <w:left w:w="0" w:type="dxa"/>
          <w:bottom w:w="0" w:type="dxa"/>
          <w:right w:w="0" w:type="dxa"/>
        </w:tblCellMar>
      </w:tblPr>
      <w:tr>
        <w:trPr>
          <w:trHeight w:val="153"/>
        </w:trPr>
        <w:tc>
          <w:tcPr>
            <w:tcW w:w="300" w:type="dxa"/>
            <w:vAlign w:val="bottom"/>
          </w:tcPr>
          <w:p>
            <w:pPr>
              <w:jc w:val="right"/>
              <w:ind w:right="74"/>
              <w:spacing w:after="0"/>
              <w:rPr>
                <w:sz w:val="20"/>
                <w:szCs w:val="20"/>
                <w:color w:val="auto"/>
              </w:rPr>
            </w:pPr>
            <w:r>
              <w:rPr>
                <w:rFonts w:ascii="Arial" w:cs="Arial" w:eastAsia="Arial" w:hAnsi="Arial"/>
                <w:sz w:val="13"/>
                <w:szCs w:val="13"/>
                <w:color w:val="auto"/>
                <w:w w:val="89"/>
              </w:rPr>
              <w:t>(3</w:t>
            </w:r>
            <w:r>
              <w:rPr>
                <w:rFonts w:ascii="Arial" w:cs="Arial" w:eastAsia="Arial" w:hAnsi="Arial"/>
                <w:sz w:val="12"/>
                <w:szCs w:val="12"/>
                <w:color w:val="auto"/>
                <w:w w:val="89"/>
              </w:rPr>
              <w:t>)</w:t>
            </w:r>
          </w:p>
        </w:tc>
        <w:tc>
          <w:tcPr>
            <w:tcW w:w="260" w:type="dxa"/>
            <w:vAlign w:val="bottom"/>
          </w:tcPr>
          <w:p>
            <w:pPr>
              <w:ind w:left="140"/>
              <w:spacing w:after="0"/>
              <w:rPr>
                <w:sz w:val="20"/>
                <w:szCs w:val="20"/>
                <w:color w:val="auto"/>
              </w:rPr>
            </w:pPr>
            <w:r>
              <w:rPr>
                <w:rFonts w:ascii="Arial" w:cs="Arial" w:eastAsia="Arial" w:hAnsi="Arial"/>
                <w:sz w:val="13"/>
                <w:szCs w:val="13"/>
                <w:color w:val="auto"/>
              </w:rPr>
              <w:t>o</w:t>
            </w:r>
          </w:p>
        </w:tc>
        <w:tc>
          <w:tcPr>
            <w:tcW w:w="4820" w:type="dxa"/>
            <w:vAlign w:val="bottom"/>
          </w:tcPr>
          <w:p>
            <w:pPr>
              <w:ind w:left="60"/>
              <w:spacing w:after="0"/>
              <w:rPr>
                <w:sz w:val="20"/>
                <w:szCs w:val="20"/>
                <w:color w:val="auto"/>
              </w:rPr>
            </w:pPr>
            <w:r>
              <w:rPr>
                <w:rFonts w:ascii="Arial" w:cs="Arial" w:eastAsia="Arial" w:hAnsi="Arial"/>
                <w:sz w:val="13"/>
                <w:szCs w:val="13"/>
                <w:color w:val="auto"/>
                <w:w w:val="92"/>
              </w:rPr>
              <w:t>transferred pursuant to and in compliance with Rule 144A under the Securities Act of 193</w:t>
            </w:r>
          </w:p>
        </w:tc>
      </w:tr>
      <w:tr>
        <w:trPr>
          <w:trHeight w:val="166"/>
        </w:trPr>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20" w:type="dxa"/>
            <w:vAlign w:val="bottom"/>
          </w:tcPr>
          <w:p>
            <w:pPr>
              <w:ind w:left="740"/>
              <w:spacing w:after="0"/>
              <w:rPr>
                <w:sz w:val="20"/>
                <w:szCs w:val="20"/>
                <w:color w:val="auto"/>
              </w:rPr>
            </w:pPr>
            <w:r>
              <w:rPr>
                <w:rFonts w:ascii="Arial" w:cs="Arial" w:eastAsia="Arial" w:hAnsi="Arial"/>
                <w:sz w:val="13"/>
                <w:szCs w:val="13"/>
                <w:color w:val="auto"/>
              </w:rPr>
              <w:t>as amended (the “Securities Act”); or</w:t>
            </w:r>
          </w:p>
        </w:tc>
      </w:tr>
      <w:tr>
        <w:trPr>
          <w:trHeight w:val="295"/>
        </w:trPr>
        <w:tc>
          <w:tcPr>
            <w:tcW w:w="300" w:type="dxa"/>
            <w:vAlign w:val="bottom"/>
          </w:tcPr>
          <w:p>
            <w:pPr>
              <w:jc w:val="right"/>
              <w:ind w:right="74"/>
              <w:spacing w:after="0"/>
              <w:rPr>
                <w:sz w:val="20"/>
                <w:szCs w:val="20"/>
                <w:color w:val="auto"/>
              </w:rPr>
            </w:pPr>
            <w:r>
              <w:rPr>
                <w:rFonts w:ascii="Arial" w:cs="Arial" w:eastAsia="Arial" w:hAnsi="Arial"/>
                <w:sz w:val="13"/>
                <w:szCs w:val="13"/>
                <w:color w:val="auto"/>
                <w:w w:val="89"/>
              </w:rPr>
              <w:t>(4</w:t>
            </w:r>
            <w:r>
              <w:rPr>
                <w:rFonts w:ascii="Arial" w:cs="Arial" w:eastAsia="Arial" w:hAnsi="Arial"/>
                <w:sz w:val="12"/>
                <w:szCs w:val="12"/>
                <w:color w:val="auto"/>
                <w:w w:val="89"/>
              </w:rPr>
              <w:t>)</w:t>
            </w:r>
          </w:p>
        </w:tc>
        <w:tc>
          <w:tcPr>
            <w:tcW w:w="260" w:type="dxa"/>
            <w:vAlign w:val="bottom"/>
          </w:tcPr>
          <w:p>
            <w:pPr>
              <w:ind w:left="140"/>
              <w:spacing w:after="0"/>
              <w:rPr>
                <w:sz w:val="20"/>
                <w:szCs w:val="20"/>
                <w:color w:val="auto"/>
              </w:rPr>
            </w:pPr>
            <w:r>
              <w:rPr>
                <w:rFonts w:ascii="Arial" w:cs="Arial" w:eastAsia="Arial" w:hAnsi="Arial"/>
                <w:sz w:val="13"/>
                <w:szCs w:val="13"/>
                <w:color w:val="auto"/>
              </w:rPr>
              <w:t>o</w:t>
            </w:r>
          </w:p>
        </w:tc>
        <w:tc>
          <w:tcPr>
            <w:tcW w:w="4820" w:type="dxa"/>
            <w:vAlign w:val="bottom"/>
          </w:tcPr>
          <w:p>
            <w:pPr>
              <w:ind w:left="60"/>
              <w:spacing w:after="0"/>
              <w:rPr>
                <w:sz w:val="20"/>
                <w:szCs w:val="20"/>
                <w:color w:val="auto"/>
              </w:rPr>
            </w:pPr>
            <w:r>
              <w:rPr>
                <w:rFonts w:ascii="Arial" w:cs="Arial" w:eastAsia="Arial" w:hAnsi="Arial"/>
                <w:sz w:val="13"/>
                <w:szCs w:val="13"/>
                <w:color w:val="auto"/>
                <w:w w:val="96"/>
              </w:rPr>
              <w:t>transferred pursuant to an effective registration statement under the Securities Act; or</w:t>
            </w:r>
          </w:p>
        </w:tc>
      </w:tr>
    </w:tbl>
    <w:p>
      <w:pPr>
        <w:ind w:left="8"/>
        <w:spacing w:after="0"/>
        <w:rPr>
          <w:sz w:val="20"/>
          <w:szCs w:val="20"/>
          <w:color w:val="auto"/>
        </w:rPr>
      </w:pPr>
      <w:r>
        <w:rPr>
          <w:rFonts w:ascii="Arial" w:cs="Arial" w:eastAsia="Arial" w:hAnsi="Arial"/>
          <w:sz w:val="13"/>
          <w:szCs w:val="13"/>
          <w:color w:val="auto"/>
        </w:rPr>
        <w:t>_______________________________</w:t>
      </w:r>
    </w:p>
    <w:p>
      <w:pPr>
        <w:spacing w:after="0" w:line="4" w:lineRule="exact"/>
        <w:rPr>
          <w:sz w:val="20"/>
          <w:szCs w:val="20"/>
          <w:color w:val="auto"/>
        </w:rPr>
      </w:pPr>
    </w:p>
    <w:p>
      <w:pPr>
        <w:ind w:left="428" w:hanging="428"/>
        <w:spacing w:after="0"/>
        <w:tabs>
          <w:tab w:leader="none" w:pos="428"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Participant in a recognized Signature Guarantee Medallion Program (or other signature guarantor acceptable to the Trustee).</w:t>
      </w:r>
    </w:p>
    <w:p>
      <w:pPr>
        <w:spacing w:after="0" w:line="157" w:lineRule="exact"/>
        <w:rPr>
          <w:rFonts w:ascii="Arial" w:cs="Arial" w:eastAsia="Arial" w:hAnsi="Arial"/>
          <w:sz w:val="13"/>
          <w:szCs w:val="13"/>
          <w:color w:val="auto"/>
        </w:rPr>
      </w:pPr>
    </w:p>
    <w:p>
      <w:pPr>
        <w:ind w:left="5628"/>
        <w:spacing w:after="0"/>
        <w:rPr>
          <w:rFonts w:ascii="Arial" w:cs="Arial" w:eastAsia="Arial" w:hAnsi="Arial"/>
          <w:sz w:val="13"/>
          <w:szCs w:val="13"/>
          <w:color w:val="auto"/>
        </w:rPr>
      </w:pPr>
      <w:r>
        <w:rPr>
          <w:rFonts w:ascii="Arial" w:cs="Arial" w:eastAsia="Arial" w:hAnsi="Arial"/>
          <w:sz w:val="12"/>
          <w:szCs w:val="12"/>
          <w:color w:val="auto"/>
        </w:rPr>
        <w:t>A - 7</w:t>
      </w:r>
    </w:p>
    <w:p>
      <w:pPr>
        <w:sectPr>
          <w:pgSz w:w="11900" w:h="16838" w:orient="portrait"/>
          <w:cols w:equalWidth="0" w:num="1">
            <w:col w:w="11528"/>
          </w:cols>
          <w:pgMar w:left="212" w:top="436" w:right="159" w:bottom="1440" w:gutter="0" w:footer="0" w:header="0"/>
        </w:sectPr>
      </w:pPr>
    </w:p>
    <w:bookmarkStart w:id="116" w:name="page117"/>
    <w:bookmarkEnd w:id="116"/>
    <w:tbl>
      <w:tblPr>
        <w:tblLayout w:type="fixed"/>
        <w:tblInd w:w="428" w:type="dxa"/>
        <w:tblCellMar>
          <w:top w:w="0" w:type="dxa"/>
          <w:left w:w="0" w:type="dxa"/>
          <w:bottom w:w="0" w:type="dxa"/>
          <w:right w:w="0" w:type="dxa"/>
        </w:tblCellMar>
      </w:tblPr>
      <w:tr>
        <w:trPr>
          <w:trHeight w:val="166"/>
        </w:trPr>
        <w:tc>
          <w:tcPr>
            <w:tcW w:w="300" w:type="dxa"/>
            <w:vAlign w:val="bottom"/>
          </w:tcPr>
          <w:p>
            <w:pPr>
              <w:jc w:val="right"/>
              <w:ind w:right="74"/>
              <w:spacing w:after="0"/>
              <w:rPr>
                <w:sz w:val="20"/>
                <w:szCs w:val="20"/>
                <w:color w:val="auto"/>
              </w:rPr>
            </w:pPr>
            <w:r>
              <w:rPr>
                <w:rFonts w:ascii="Arial" w:cs="Arial" w:eastAsia="Arial" w:hAnsi="Arial"/>
                <w:sz w:val="13"/>
                <w:szCs w:val="13"/>
                <w:color w:val="auto"/>
                <w:w w:val="89"/>
              </w:rPr>
              <w:t>(5</w:t>
            </w:r>
            <w:r>
              <w:rPr>
                <w:rFonts w:ascii="Arial" w:cs="Arial" w:eastAsia="Arial" w:hAnsi="Arial"/>
                <w:sz w:val="12"/>
                <w:szCs w:val="12"/>
                <w:color w:val="auto"/>
                <w:w w:val="89"/>
              </w:rPr>
              <w:t>)</w:t>
            </w:r>
          </w:p>
        </w:tc>
        <w:tc>
          <w:tcPr>
            <w:tcW w:w="10200" w:type="dxa"/>
            <w:vAlign w:val="bottom"/>
            <w:gridSpan w:val="2"/>
          </w:tcPr>
          <w:p>
            <w:pPr>
              <w:ind w:left="140"/>
              <w:spacing w:after="0"/>
              <w:rPr>
                <w:sz w:val="20"/>
                <w:szCs w:val="20"/>
                <w:color w:val="auto"/>
              </w:rPr>
            </w:pPr>
            <w:r>
              <w:rPr>
                <w:rFonts w:ascii="Arial" w:cs="Arial" w:eastAsia="Arial" w:hAnsi="Arial"/>
                <w:sz w:val="13"/>
                <w:szCs w:val="13"/>
                <w:color w:val="auto"/>
              </w:rPr>
              <w:t>o  transferred pursuant to and in compliance with Regulation S under the Securities Act; or</w:t>
            </w:r>
          </w:p>
        </w:tc>
      </w:tr>
      <w:tr>
        <w:trPr>
          <w:trHeight w:val="294"/>
        </w:trPr>
        <w:tc>
          <w:tcPr>
            <w:tcW w:w="300" w:type="dxa"/>
            <w:vAlign w:val="bottom"/>
          </w:tcPr>
          <w:p>
            <w:pPr>
              <w:jc w:val="right"/>
              <w:ind w:right="74"/>
              <w:spacing w:after="0"/>
              <w:rPr>
                <w:sz w:val="20"/>
                <w:szCs w:val="20"/>
                <w:color w:val="auto"/>
              </w:rPr>
            </w:pPr>
            <w:r>
              <w:rPr>
                <w:rFonts w:ascii="Arial" w:cs="Arial" w:eastAsia="Arial" w:hAnsi="Arial"/>
                <w:sz w:val="13"/>
                <w:szCs w:val="13"/>
                <w:color w:val="auto"/>
                <w:w w:val="89"/>
              </w:rPr>
              <w:t>(6</w:t>
            </w:r>
            <w:r>
              <w:rPr>
                <w:rFonts w:ascii="Arial" w:cs="Arial" w:eastAsia="Arial" w:hAnsi="Arial"/>
                <w:sz w:val="12"/>
                <w:szCs w:val="12"/>
                <w:color w:val="auto"/>
                <w:w w:val="89"/>
              </w:rPr>
              <w:t>)</w:t>
            </w:r>
          </w:p>
        </w:tc>
        <w:tc>
          <w:tcPr>
            <w:tcW w:w="260" w:type="dxa"/>
            <w:vAlign w:val="bottom"/>
          </w:tcPr>
          <w:p>
            <w:pPr>
              <w:ind w:left="140"/>
              <w:spacing w:after="0"/>
              <w:rPr>
                <w:sz w:val="20"/>
                <w:szCs w:val="20"/>
                <w:color w:val="auto"/>
              </w:rPr>
            </w:pPr>
            <w:r>
              <w:rPr>
                <w:rFonts w:ascii="Arial" w:cs="Arial" w:eastAsia="Arial" w:hAnsi="Arial"/>
                <w:sz w:val="13"/>
                <w:szCs w:val="13"/>
                <w:color w:val="auto"/>
              </w:rPr>
              <w:t>o</w:t>
            </w:r>
          </w:p>
        </w:tc>
        <w:tc>
          <w:tcPr>
            <w:tcW w:w="9940" w:type="dxa"/>
            <w:vAlign w:val="bottom"/>
          </w:tcPr>
          <w:p>
            <w:pPr>
              <w:ind w:left="60"/>
              <w:spacing w:after="0"/>
              <w:rPr>
                <w:sz w:val="20"/>
                <w:szCs w:val="20"/>
                <w:color w:val="auto"/>
              </w:rPr>
            </w:pPr>
            <w:r>
              <w:rPr>
                <w:rFonts w:ascii="Arial" w:cs="Arial" w:eastAsia="Arial" w:hAnsi="Arial"/>
                <w:sz w:val="13"/>
                <w:szCs w:val="13"/>
                <w:color w:val="auto"/>
                <w:w w:val="92"/>
              </w:rPr>
              <w:t>transferred to an institutional “accredited investor” (as defined in Rule 501(a)(1), (2), (3) or (7) under the Securities Act), that has furnished to the Trustee a signed letter containing certain</w:t>
            </w:r>
          </w:p>
        </w:tc>
      </w:tr>
      <w:tr>
        <w:trPr>
          <w:trHeight w:val="166"/>
        </w:trPr>
        <w:tc>
          <w:tcPr>
            <w:tcW w:w="300" w:type="dxa"/>
            <w:vAlign w:val="bottom"/>
          </w:tcPr>
          <w:p>
            <w:pPr>
              <w:spacing w:after="0"/>
              <w:rPr>
                <w:sz w:val="14"/>
                <w:szCs w:val="14"/>
                <w:color w:val="auto"/>
              </w:rPr>
            </w:pPr>
          </w:p>
        </w:tc>
        <w:tc>
          <w:tcPr>
            <w:tcW w:w="10200" w:type="dxa"/>
            <w:vAlign w:val="bottom"/>
            <w:gridSpan w:val="2"/>
          </w:tcPr>
          <w:p>
            <w:pPr>
              <w:ind w:left="140"/>
              <w:spacing w:after="0"/>
              <w:rPr>
                <w:sz w:val="20"/>
                <w:szCs w:val="20"/>
                <w:color w:val="auto"/>
              </w:rPr>
            </w:pPr>
            <w:r>
              <w:rPr>
                <w:rFonts w:ascii="Arial" w:cs="Arial" w:eastAsia="Arial" w:hAnsi="Arial"/>
                <w:sz w:val="13"/>
                <w:szCs w:val="13"/>
                <w:color w:val="auto"/>
              </w:rPr>
              <w:t>representations and agreements (the form of which letter appears as Annex C to the Indenture); or</w:t>
            </w:r>
          </w:p>
        </w:tc>
      </w:tr>
      <w:tr>
        <w:trPr>
          <w:trHeight w:val="306"/>
        </w:trPr>
        <w:tc>
          <w:tcPr>
            <w:tcW w:w="300" w:type="dxa"/>
            <w:vAlign w:val="bottom"/>
          </w:tcPr>
          <w:p>
            <w:pPr>
              <w:jc w:val="right"/>
              <w:ind w:right="74"/>
              <w:spacing w:after="0"/>
              <w:rPr>
                <w:sz w:val="20"/>
                <w:szCs w:val="20"/>
                <w:color w:val="auto"/>
              </w:rPr>
            </w:pPr>
            <w:r>
              <w:rPr>
                <w:rFonts w:ascii="Arial" w:cs="Arial" w:eastAsia="Arial" w:hAnsi="Arial"/>
                <w:sz w:val="13"/>
                <w:szCs w:val="13"/>
                <w:color w:val="auto"/>
                <w:w w:val="89"/>
              </w:rPr>
              <w:t>(7</w:t>
            </w:r>
            <w:r>
              <w:rPr>
                <w:rFonts w:ascii="Arial" w:cs="Arial" w:eastAsia="Arial" w:hAnsi="Arial"/>
                <w:sz w:val="12"/>
                <w:szCs w:val="12"/>
                <w:color w:val="auto"/>
                <w:w w:val="89"/>
              </w:rPr>
              <w:t>)</w:t>
            </w:r>
          </w:p>
        </w:tc>
        <w:tc>
          <w:tcPr>
            <w:tcW w:w="260" w:type="dxa"/>
            <w:vAlign w:val="bottom"/>
          </w:tcPr>
          <w:p>
            <w:pPr>
              <w:ind w:left="140"/>
              <w:spacing w:after="0"/>
              <w:rPr>
                <w:sz w:val="20"/>
                <w:szCs w:val="20"/>
                <w:color w:val="auto"/>
              </w:rPr>
            </w:pPr>
            <w:r>
              <w:rPr>
                <w:rFonts w:ascii="Arial" w:cs="Arial" w:eastAsia="Arial" w:hAnsi="Arial"/>
                <w:sz w:val="13"/>
                <w:szCs w:val="13"/>
                <w:color w:val="auto"/>
              </w:rPr>
              <w:t>o</w:t>
            </w:r>
          </w:p>
        </w:tc>
        <w:tc>
          <w:tcPr>
            <w:tcW w:w="9940" w:type="dxa"/>
            <w:vAlign w:val="bottom"/>
          </w:tcPr>
          <w:p>
            <w:pPr>
              <w:ind w:left="60"/>
              <w:spacing w:after="0"/>
              <w:rPr>
                <w:sz w:val="20"/>
                <w:szCs w:val="20"/>
                <w:color w:val="auto"/>
              </w:rPr>
            </w:pPr>
            <w:r>
              <w:rPr>
                <w:rFonts w:ascii="Arial" w:cs="Arial" w:eastAsia="Arial" w:hAnsi="Arial"/>
                <w:sz w:val="13"/>
                <w:szCs w:val="13"/>
                <w:color w:val="auto"/>
              </w:rPr>
              <w:t>transferred pursuant to another available exemption from the registration requirements of the Securities Act.</w:t>
            </w:r>
          </w:p>
        </w:tc>
      </w:tr>
    </w:tbl>
    <w:p>
      <w:pPr>
        <w:spacing w:after="0" w:line="285" w:lineRule="exact"/>
        <w:rPr>
          <w:sz w:val="20"/>
          <w:szCs w:val="20"/>
          <w:color w:val="auto"/>
        </w:rPr>
      </w:pPr>
    </w:p>
    <w:p>
      <w:pPr>
        <w:ind w:left="8" w:firstLine="432"/>
        <w:spacing w:after="0" w:line="254" w:lineRule="auto"/>
        <w:rPr>
          <w:sz w:val="20"/>
          <w:szCs w:val="20"/>
          <w:color w:val="auto"/>
        </w:rPr>
      </w:pPr>
      <w:r>
        <w:rPr>
          <w:rFonts w:ascii="Arial" w:cs="Arial" w:eastAsia="Arial" w:hAnsi="Arial"/>
          <w:sz w:val="13"/>
          <w:szCs w:val="13"/>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box (5), (6) or (7) is checked, the Issuer may require, prior to registering any such transfer of the Notes, in its sole discretion, such legal opinions, certifications and other information as the Issuer may reasonably request to confirm that such transfer is being made pursuant to an exemption from, or in a transaction not subject to, the registration requirements of the Securities Act, such as the exemption provided by Rule 144 under the Securities Act.</w:t>
      </w:r>
    </w:p>
    <w:p>
      <w:pPr>
        <w:spacing w:after="0" w:line="125" w:lineRule="exact"/>
        <w:rPr>
          <w:sz w:val="20"/>
          <w:szCs w:val="20"/>
          <w:color w:val="auto"/>
        </w:rPr>
      </w:pPr>
    </w:p>
    <w:p>
      <w:pPr>
        <w:ind w:left="2588"/>
        <w:spacing w:after="0"/>
        <w:rPr>
          <w:sz w:val="20"/>
          <w:szCs w:val="20"/>
          <w:color w:val="auto"/>
        </w:rPr>
      </w:pPr>
      <w:r>
        <w:rPr>
          <w:rFonts w:ascii="Arial" w:cs="Arial" w:eastAsia="Arial" w:hAnsi="Arial"/>
          <w:sz w:val="12"/>
          <w:szCs w:val="12"/>
          <w:color w:val="auto"/>
        </w:rPr>
        <w:t>___________________________________________________</w:t>
      </w:r>
    </w:p>
    <w:p>
      <w:pPr>
        <w:spacing w:after="0" w:line="14" w:lineRule="exact"/>
        <w:rPr>
          <w:sz w:val="20"/>
          <w:szCs w:val="20"/>
          <w:color w:val="auto"/>
        </w:rPr>
      </w:pPr>
    </w:p>
    <w:p>
      <w:pPr>
        <w:ind w:left="2588"/>
        <w:spacing w:after="0"/>
        <w:rPr>
          <w:sz w:val="20"/>
          <w:szCs w:val="20"/>
          <w:color w:val="auto"/>
        </w:rPr>
      </w:pPr>
      <w:r>
        <w:rPr>
          <w:rFonts w:ascii="Arial" w:cs="Arial" w:eastAsia="Arial" w:hAnsi="Arial"/>
          <w:sz w:val="13"/>
          <w:szCs w:val="13"/>
          <w:color w:val="auto"/>
        </w:rPr>
        <w:t>Signature</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3"/>
          <w:szCs w:val="13"/>
          <w:color w:val="auto"/>
        </w:rPr>
        <w:t xml:space="preserve">Signature Guarantee: </w:t>
      </w:r>
      <w:r>
        <w:rPr>
          <w:rFonts w:ascii="Arial" w:cs="Arial" w:eastAsia="Arial" w:hAnsi="Arial"/>
          <w:sz w:val="19"/>
          <w:szCs w:val="19"/>
          <w:color w:val="auto"/>
          <w:vertAlign w:val="superscript"/>
        </w:rPr>
        <w:t>*</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___________________________________________</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3"/>
          <w:szCs w:val="13"/>
          <w:color w:val="auto"/>
        </w:rPr>
        <w:t>(Signature must be guaranteed)</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3"/>
          <w:szCs w:val="13"/>
          <w:color w:val="auto"/>
        </w:rPr>
        <w:t>TO BE COMPLETED BY PURCHASER IF BOX (3) ABOVE IS CHECKED.</w:t>
      </w:r>
    </w:p>
    <w:p>
      <w:pPr>
        <w:spacing w:after="0" w:line="148" w:lineRule="exact"/>
        <w:rPr>
          <w:sz w:val="20"/>
          <w:szCs w:val="20"/>
          <w:color w:val="auto"/>
        </w:rPr>
      </w:pPr>
    </w:p>
    <w:p>
      <w:pPr>
        <w:jc w:val="both"/>
        <w:ind w:left="8" w:right="320" w:firstLine="432"/>
        <w:spacing w:after="0" w:line="254" w:lineRule="auto"/>
        <w:rPr>
          <w:sz w:val="20"/>
          <w:szCs w:val="20"/>
          <w:color w:val="auto"/>
        </w:rPr>
      </w:pPr>
      <w:r>
        <w:rPr>
          <w:rFonts w:ascii="Arial" w:cs="Arial" w:eastAsia="Arial" w:hAnsi="Arial"/>
          <w:sz w:val="13"/>
          <w:szCs w:val="13"/>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68" w:lineRule="exact"/>
        <w:rPr>
          <w:sz w:val="20"/>
          <w:szCs w:val="20"/>
          <w:color w:val="auto"/>
        </w:rPr>
      </w:pPr>
    </w:p>
    <w:p>
      <w:pPr>
        <w:ind w:left="2588"/>
        <w:spacing w:after="0"/>
        <w:rPr>
          <w:sz w:val="20"/>
          <w:szCs w:val="20"/>
          <w:color w:val="auto"/>
        </w:rPr>
      </w:pPr>
      <w:r>
        <w:rPr>
          <w:rFonts w:ascii="Arial" w:cs="Arial" w:eastAsia="Arial" w:hAnsi="Arial"/>
          <w:sz w:val="13"/>
          <w:szCs w:val="13"/>
          <w:color w:val="auto"/>
        </w:rPr>
        <w:t>Dated:____________________________________________</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_______________________________</w:t>
      </w:r>
    </w:p>
    <w:p>
      <w:pPr>
        <w:spacing w:after="0" w:line="14" w:lineRule="exact"/>
        <w:rPr>
          <w:sz w:val="20"/>
          <w:szCs w:val="20"/>
          <w:color w:val="auto"/>
        </w:rPr>
      </w:pPr>
    </w:p>
    <w:p>
      <w:pPr>
        <w:ind w:left="428" w:hanging="428"/>
        <w:spacing w:after="0"/>
        <w:tabs>
          <w:tab w:leader="none" w:pos="428"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Participant in a recognized Signature Guarantee Medallion Program (or other signature guarantor acceptable to the Trustee).</w:t>
      </w:r>
    </w:p>
    <w:p>
      <w:pPr>
        <w:spacing w:after="0" w:line="157" w:lineRule="exact"/>
        <w:rPr>
          <w:rFonts w:ascii="Arial" w:cs="Arial" w:eastAsia="Arial" w:hAnsi="Arial"/>
          <w:sz w:val="13"/>
          <w:szCs w:val="13"/>
          <w:color w:val="auto"/>
        </w:rPr>
      </w:pPr>
    </w:p>
    <w:p>
      <w:pPr>
        <w:ind w:left="5628"/>
        <w:spacing w:after="0"/>
        <w:rPr>
          <w:rFonts w:ascii="Arial" w:cs="Arial" w:eastAsia="Arial" w:hAnsi="Arial"/>
          <w:sz w:val="13"/>
          <w:szCs w:val="13"/>
          <w:color w:val="auto"/>
        </w:rPr>
      </w:pPr>
      <w:r>
        <w:rPr>
          <w:rFonts w:ascii="Arial" w:cs="Arial" w:eastAsia="Arial" w:hAnsi="Arial"/>
          <w:sz w:val="12"/>
          <w:szCs w:val="12"/>
          <w:color w:val="auto"/>
        </w:rPr>
        <w:t>A - 8</w:t>
      </w:r>
    </w:p>
    <w:p>
      <w:pPr>
        <w:sectPr>
          <w:pgSz w:w="11900" w:h="16838" w:orient="portrait"/>
          <w:cols w:equalWidth="0" w:num="1">
            <w:col w:w="11448"/>
          </w:cols>
          <w:pgMar w:left="212" w:top="741" w:right="239" w:bottom="1440" w:gutter="0" w:footer="0" w:header="0"/>
        </w:sectPr>
      </w:pPr>
    </w:p>
    <w:bookmarkStart w:id="117" w:name="page118"/>
    <w:bookmarkEnd w:id="117"/>
    <w:p>
      <w:pPr>
        <w:ind w:left="4668"/>
        <w:spacing w:after="0"/>
        <w:rPr>
          <w:sz w:val="20"/>
          <w:szCs w:val="20"/>
          <w:color w:val="auto"/>
        </w:rPr>
      </w:pPr>
      <w:r>
        <w:rPr>
          <w:rFonts w:ascii="Arial" w:cs="Arial" w:eastAsia="Arial" w:hAnsi="Arial"/>
          <w:sz w:val="14"/>
          <w:szCs w:val="14"/>
          <w:b w:val="1"/>
          <w:bCs w:val="1"/>
          <w:color w:val="auto"/>
        </w:rPr>
        <w:t>Option of Holder to Elect Purchase</w:t>
      </w:r>
    </w:p>
    <w:p>
      <w:pPr>
        <w:spacing w:after="0" w:line="15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If you want to elect to have this Note purchased by the Issuer pursuant to Section 1107 of the Indenture, check the box below:</w:t>
      </w:r>
    </w:p>
    <w:p>
      <w:pPr>
        <w:spacing w:after="0" w:line="148" w:lineRule="exact"/>
        <w:rPr>
          <w:sz w:val="20"/>
          <w:szCs w:val="20"/>
          <w:color w:val="auto"/>
        </w:rPr>
      </w:pPr>
    </w:p>
    <w:p>
      <w:pPr>
        <w:ind w:left="5348"/>
        <w:spacing w:after="0"/>
        <w:rPr>
          <w:sz w:val="20"/>
          <w:szCs w:val="20"/>
          <w:color w:val="auto"/>
        </w:rPr>
      </w:pPr>
      <w:r>
        <w:rPr>
          <w:rFonts w:ascii="Arial" w:cs="Arial" w:eastAsia="Arial" w:hAnsi="Arial"/>
          <w:sz w:val="13"/>
          <w:szCs w:val="13"/>
          <w:color w:val="auto"/>
        </w:rPr>
        <w:t>o Section 1107</w:t>
      </w:r>
    </w:p>
    <w:p>
      <w:pPr>
        <w:spacing w:after="0" w:line="14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If you want to elect to have only part of the Note purchased by the Issuer pursuant to Section 1107 of the Indenture, state the amount you elect to have purchased:</w:t>
      </w:r>
    </w:p>
    <w:p>
      <w:pPr>
        <w:spacing w:after="0" w:line="171" w:lineRule="exact"/>
        <w:rPr>
          <w:sz w:val="20"/>
          <w:szCs w:val="20"/>
          <w:color w:val="auto"/>
        </w:rPr>
      </w:pPr>
    </w:p>
    <w:p>
      <w:pPr>
        <w:ind w:left="5208"/>
        <w:spacing w:after="0"/>
        <w:rPr>
          <w:sz w:val="20"/>
          <w:szCs w:val="20"/>
          <w:color w:val="auto"/>
        </w:rPr>
      </w:pPr>
      <w:r>
        <w:rPr>
          <w:rFonts w:ascii="Arial" w:cs="Arial" w:eastAsia="Arial" w:hAnsi="Arial"/>
          <w:sz w:val="13"/>
          <w:szCs w:val="13"/>
          <w:color w:val="auto"/>
        </w:rPr>
        <w:t>$_______________</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3"/>
          <w:szCs w:val="13"/>
          <w:color w:val="auto"/>
        </w:rPr>
        <w:t>Date: _______________</w:t>
      </w:r>
    </w:p>
    <w:p>
      <w:pPr>
        <w:spacing w:after="0" w:line="148" w:lineRule="exact"/>
        <w:rPr>
          <w:sz w:val="20"/>
          <w:szCs w:val="20"/>
          <w:color w:val="auto"/>
        </w:rPr>
      </w:pPr>
    </w:p>
    <w:p>
      <w:pPr>
        <w:ind w:left="2588"/>
        <w:spacing w:after="0"/>
        <w:tabs>
          <w:tab w:leader="none" w:pos="3528" w:val="left"/>
        </w:tabs>
        <w:rPr>
          <w:sz w:val="20"/>
          <w:szCs w:val="20"/>
          <w:color w:val="auto"/>
        </w:rPr>
      </w:pPr>
      <w:r>
        <w:rPr>
          <w:rFonts w:ascii="Arial" w:cs="Arial" w:eastAsia="Arial" w:hAnsi="Arial"/>
          <w:sz w:val="13"/>
          <w:szCs w:val="13"/>
          <w:color w:val="auto"/>
        </w:rPr>
        <w:t>Your Signature:</w:t>
      </w:r>
      <w:r>
        <w:rPr>
          <w:sz w:val="20"/>
          <w:szCs w:val="20"/>
          <w:color w:val="auto"/>
        </w:rPr>
        <w:tab/>
      </w:r>
      <w:r>
        <w:rPr>
          <w:rFonts w:ascii="Arial" w:cs="Arial" w:eastAsia="Arial" w:hAnsi="Arial"/>
          <w:sz w:val="10"/>
          <w:szCs w:val="10"/>
          <w:color w:val="auto"/>
        </w:rPr>
        <w:t>___________________________________</w:t>
      </w:r>
    </w:p>
    <w:p>
      <w:pPr>
        <w:spacing w:after="0" w:line="153" w:lineRule="exact"/>
        <w:rPr>
          <w:sz w:val="20"/>
          <w:szCs w:val="20"/>
          <w:color w:val="auto"/>
        </w:rPr>
      </w:pPr>
    </w:p>
    <w:p>
      <w:pPr>
        <w:ind w:left="2588"/>
        <w:spacing w:after="0"/>
        <w:rPr>
          <w:sz w:val="20"/>
          <w:szCs w:val="20"/>
          <w:color w:val="auto"/>
        </w:rPr>
      </w:pPr>
      <w:r>
        <w:rPr>
          <w:rFonts w:ascii="Arial" w:cs="Arial" w:eastAsia="Arial" w:hAnsi="Arial"/>
          <w:sz w:val="11"/>
          <w:szCs w:val="11"/>
          <w:color w:val="auto"/>
        </w:rPr>
        <w:t>(Sign exactly as your name appears on the face of this Note)</w:t>
      </w:r>
    </w:p>
    <w:p>
      <w:pPr>
        <w:spacing w:after="0" w:line="200" w:lineRule="exact"/>
        <w:rPr>
          <w:sz w:val="20"/>
          <w:szCs w:val="20"/>
          <w:color w:val="auto"/>
        </w:rPr>
      </w:pPr>
    </w:p>
    <w:p>
      <w:pPr>
        <w:spacing w:after="0" w:line="227" w:lineRule="exact"/>
        <w:rPr>
          <w:sz w:val="20"/>
          <w:szCs w:val="20"/>
          <w:color w:val="auto"/>
        </w:rPr>
      </w:pPr>
    </w:p>
    <w:p>
      <w:pPr>
        <w:ind w:left="2588"/>
        <w:spacing w:after="0"/>
        <w:tabs>
          <w:tab w:leader="none" w:pos="3908" w:val="left"/>
        </w:tabs>
        <w:rPr>
          <w:sz w:val="20"/>
          <w:szCs w:val="20"/>
          <w:color w:val="auto"/>
        </w:rPr>
      </w:pPr>
      <w:r>
        <w:rPr>
          <w:rFonts w:ascii="Arial" w:cs="Arial" w:eastAsia="Arial" w:hAnsi="Arial"/>
          <w:sz w:val="13"/>
          <w:szCs w:val="13"/>
          <w:color w:val="auto"/>
        </w:rPr>
        <w:t>Tax Identification No.:</w:t>
      </w:r>
      <w:r>
        <w:rPr>
          <w:sz w:val="20"/>
          <w:szCs w:val="20"/>
          <w:color w:val="auto"/>
        </w:rPr>
        <w:tab/>
      </w:r>
      <w:r>
        <w:rPr>
          <w:rFonts w:ascii="Arial" w:cs="Arial" w:eastAsia="Arial" w:hAnsi="Arial"/>
          <w:sz w:val="10"/>
          <w:szCs w:val="10"/>
          <w:color w:val="auto"/>
        </w:rPr>
        <w:t>____________________________</w:t>
      </w:r>
    </w:p>
    <w:p>
      <w:pPr>
        <w:spacing w:after="0" w:line="290" w:lineRule="exact"/>
        <w:rPr>
          <w:sz w:val="20"/>
          <w:szCs w:val="20"/>
          <w:color w:val="auto"/>
        </w:rPr>
      </w:pPr>
    </w:p>
    <w:p>
      <w:pPr>
        <w:ind w:left="8"/>
        <w:spacing w:after="0"/>
        <w:tabs>
          <w:tab w:leader="none" w:pos="1268" w:val="left"/>
        </w:tabs>
        <w:rPr>
          <w:sz w:val="20"/>
          <w:szCs w:val="20"/>
          <w:color w:val="auto"/>
        </w:rPr>
      </w:pPr>
      <w:r>
        <w:rPr>
          <w:rFonts w:ascii="Arial" w:cs="Arial" w:eastAsia="Arial" w:hAnsi="Arial"/>
          <w:sz w:val="13"/>
          <w:szCs w:val="13"/>
          <w:color w:val="auto"/>
        </w:rPr>
        <w:t>Signature Guarantee:</w:t>
      </w:r>
      <w:r>
        <w:rPr>
          <w:rFonts w:ascii="Arial" w:cs="Arial" w:eastAsia="Arial" w:hAnsi="Arial"/>
          <w:sz w:val="19"/>
          <w:szCs w:val="19"/>
          <w:color w:val="auto"/>
          <w:vertAlign w:val="superscript"/>
        </w:rPr>
        <w:t>*</w:t>
      </w:r>
      <w:r>
        <w:rPr>
          <w:sz w:val="20"/>
          <w:szCs w:val="20"/>
          <w:color w:val="auto"/>
        </w:rPr>
        <w:tab/>
      </w:r>
      <w:r>
        <w:rPr>
          <w:rFonts w:ascii="Arial" w:cs="Arial" w:eastAsia="Arial" w:hAnsi="Arial"/>
          <w:sz w:val="10"/>
          <w:szCs w:val="10"/>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_______________________________</w:t>
      </w:r>
    </w:p>
    <w:p>
      <w:pPr>
        <w:spacing w:after="0" w:line="14" w:lineRule="exact"/>
        <w:rPr>
          <w:sz w:val="20"/>
          <w:szCs w:val="20"/>
          <w:color w:val="auto"/>
        </w:rPr>
      </w:pPr>
    </w:p>
    <w:p>
      <w:pPr>
        <w:ind w:left="428" w:hanging="428"/>
        <w:spacing w:after="0"/>
        <w:tabs>
          <w:tab w:leader="none" w:pos="428"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Participant in a recognized Signature Guarantee Medallion Program (or other signature guarantor acceptable to the Trustee).</w:t>
      </w:r>
    </w:p>
    <w:p>
      <w:pPr>
        <w:spacing w:after="0" w:line="301" w:lineRule="exact"/>
        <w:rPr>
          <w:rFonts w:ascii="Arial" w:cs="Arial" w:eastAsia="Arial" w:hAnsi="Arial"/>
          <w:sz w:val="13"/>
          <w:szCs w:val="13"/>
          <w:color w:val="auto"/>
        </w:rPr>
      </w:pPr>
    </w:p>
    <w:p>
      <w:pPr>
        <w:ind w:left="5628"/>
        <w:spacing w:after="0"/>
        <w:rPr>
          <w:rFonts w:ascii="Arial" w:cs="Arial" w:eastAsia="Arial" w:hAnsi="Arial"/>
          <w:sz w:val="13"/>
          <w:szCs w:val="13"/>
          <w:color w:val="auto"/>
        </w:rPr>
      </w:pPr>
      <w:r>
        <w:rPr>
          <w:rFonts w:ascii="Arial" w:cs="Arial" w:eastAsia="Arial" w:hAnsi="Arial"/>
          <w:sz w:val="12"/>
          <w:szCs w:val="12"/>
          <w:color w:val="auto"/>
        </w:rPr>
        <w:t>A - 9</w:t>
      </w:r>
    </w:p>
    <w:p>
      <w:pPr>
        <w:sectPr>
          <w:pgSz w:w="11900" w:h="16838" w:orient="portrait"/>
          <w:cols w:equalWidth="0" w:num="1">
            <w:col w:w="10247"/>
          </w:cols>
          <w:pgMar w:left="212" w:top="589" w:right="1440" w:bottom="1440" w:gutter="0" w:footer="0" w:header="0"/>
        </w:sectPr>
      </w:pPr>
    </w:p>
    <w:bookmarkStart w:id="118" w:name="page119"/>
    <w:bookmarkEnd w:id="118"/>
    <w:p>
      <w:pPr>
        <w:jc w:val="center"/>
        <w:ind w:right="-259"/>
        <w:spacing w:after="0"/>
        <w:rPr>
          <w:sz w:val="20"/>
          <w:szCs w:val="20"/>
          <w:color w:val="auto"/>
        </w:rPr>
      </w:pPr>
      <w:r>
        <w:rPr>
          <w:rFonts w:ascii="Arial" w:cs="Arial" w:eastAsia="Arial" w:hAnsi="Arial"/>
          <w:sz w:val="13"/>
          <w:szCs w:val="13"/>
          <w:color w:val="auto"/>
        </w:rPr>
        <w:t>Schedule of Exchanges of Interests in the Global Note*</w:t>
      </w:r>
    </w:p>
    <w:p>
      <w:pPr>
        <w:spacing w:after="0" w:line="200" w:lineRule="exact"/>
        <w:rPr>
          <w:sz w:val="20"/>
          <w:szCs w:val="20"/>
          <w:color w:val="auto"/>
        </w:rPr>
      </w:pPr>
    </w:p>
    <w:p>
      <w:pPr>
        <w:spacing w:after="0" w:line="23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following exchanges of a part of this Global Note for other Notes have been made:</w:t>
      </w:r>
    </w:p>
    <w:p>
      <w:pPr>
        <w:spacing w:after="0" w:line="228" w:lineRule="exact"/>
        <w:rPr>
          <w:sz w:val="20"/>
          <w:szCs w:val="20"/>
          <w:color w:val="auto"/>
        </w:rPr>
      </w:pPr>
    </w:p>
    <w:tbl>
      <w:tblPr>
        <w:tblLayout w:type="fixed"/>
        <w:tblInd w:w="290" w:type="dxa"/>
        <w:tblCellMar>
          <w:top w:w="0" w:type="dxa"/>
          <w:left w:w="0" w:type="dxa"/>
          <w:bottom w:w="0" w:type="dxa"/>
          <w:right w:w="0" w:type="dxa"/>
        </w:tblCellMar>
      </w:tblPr>
      <w:tr>
        <w:trPr>
          <w:trHeight w:val="162"/>
        </w:trPr>
        <w:tc>
          <w:tcPr>
            <w:tcW w:w="2000" w:type="dxa"/>
            <w:vAlign w:val="bottom"/>
            <w:tcBorders>
              <w:top w:val="single" w:sz="8" w:color="auto"/>
              <w:left w:val="single" w:sz="8" w:color="auto"/>
              <w:right w:val="single" w:sz="8" w:color="auto"/>
            </w:tcBorders>
          </w:tcPr>
          <w:p>
            <w:pPr>
              <w:spacing w:after="0"/>
              <w:rPr>
                <w:sz w:val="14"/>
                <w:szCs w:val="14"/>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Amount of decrease in Principal Amount of</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Amount of increase in Principal Amount of</w:t>
            </w:r>
          </w:p>
        </w:tc>
        <w:tc>
          <w:tcPr>
            <w:tcW w:w="22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Principal Amount of this Global Note</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Signature of authorized signatory of Trustee</w:t>
            </w:r>
          </w:p>
        </w:tc>
      </w:tr>
      <w:tr>
        <w:trPr>
          <w:trHeight w:val="162"/>
        </w:trPr>
        <w:tc>
          <w:tcPr>
            <w:tcW w:w="20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2"/>
                <w:szCs w:val="12"/>
                <w:color w:val="auto"/>
              </w:rPr>
              <w:t>Date of Exchange</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this Global Note</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this Global Note</w:t>
            </w:r>
          </w:p>
        </w:tc>
        <w:tc>
          <w:tcPr>
            <w:tcW w:w="22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following such decrease (or increase)</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or Custodian</w:t>
            </w:r>
          </w:p>
        </w:tc>
      </w:tr>
      <w:tr>
        <w:trPr>
          <w:trHeight w:val="511"/>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r>
        <w:trPr>
          <w:trHeight w:val="502"/>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r>
        <w:trPr>
          <w:trHeight w:val="502"/>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r>
        <w:trPr>
          <w:trHeight w:val="502"/>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r>
        <w:trPr>
          <w:trHeight w:val="502"/>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This schedule should be included only if the Note is issued in global form</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A - 10</w:t>
      </w:r>
    </w:p>
    <w:p>
      <w:pPr>
        <w:sectPr>
          <w:pgSz w:w="11900" w:h="16838" w:orient="portrait"/>
          <w:cols w:equalWidth="0" w:num="1">
            <w:col w:w="11200"/>
          </w:cols>
          <w:pgMar w:left="220" w:top="579" w:right="4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auto"/>
        </w:rPr>
        <w:t>ANNEX B</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NOTATION OF GUARANTEE</w:t>
      </w:r>
    </w:p>
    <w:p>
      <w:pPr>
        <w:spacing w:after="0" w:line="152" w:lineRule="exact"/>
        <w:rPr>
          <w:sz w:val="20"/>
          <w:szCs w:val="20"/>
          <w:color w:val="auto"/>
        </w:rPr>
      </w:pPr>
    </w:p>
    <w:p>
      <w:pPr>
        <w:ind w:right="40" w:firstLine="432"/>
        <w:spacing w:after="0" w:line="278" w:lineRule="auto"/>
        <w:rPr>
          <w:sz w:val="20"/>
          <w:szCs w:val="20"/>
          <w:color w:val="auto"/>
        </w:rPr>
      </w:pPr>
      <w:r>
        <w:rPr>
          <w:rFonts w:ascii="Arial" w:cs="Arial" w:eastAsia="Arial" w:hAnsi="Arial"/>
          <w:sz w:val="12"/>
          <w:szCs w:val="12"/>
          <w:color w:val="auto"/>
        </w:rPr>
        <w:t>Each of the undersigned Guarantors (which term includes any successor Person under the Indenture (as defined below)), has fully and unconditionally guaranteed, to the extent set forth in Article Fifteen of the Sixth Supplemental Indenture (herein so called) dated as of February 28, 2018, among Weatherford International, LLC (f/k/a Weatherford International, Inc., a Delaware corporation), as issuer, the Guarantors named therein and Deutsche Bank Trust Company Americas, as Trustee, to the Indenture, dated as of June 18, 2007, as previously amended and supplemented by (i) the Second Supplemental Indenture, dated as of February 26, 2009, (ii) the Fourth Supplemental Indenture, dated as of March 31, 2013, and (iii) the Fifth Supplemental Indenture dated as of June 17, 2014, the due and punctual payment of the principal of, and premium, if any, and interest on, the Issuer’s 9.875% Senior Notes due 2025 and all other amounts due and payable by the Issuer under the Sixth Supplemental Indenture.</w:t>
      </w:r>
    </w:p>
    <w:p>
      <w:pPr>
        <w:spacing w:after="0" w:line="111" w:lineRule="exact"/>
        <w:rPr>
          <w:sz w:val="20"/>
          <w:szCs w:val="20"/>
          <w:color w:val="auto"/>
        </w:rPr>
      </w:pPr>
    </w:p>
    <w:p>
      <w:pPr>
        <w:ind w:right="280" w:firstLine="432"/>
        <w:spacing w:after="0" w:line="271" w:lineRule="auto"/>
        <w:rPr>
          <w:sz w:val="20"/>
          <w:szCs w:val="20"/>
          <w:color w:val="auto"/>
        </w:rPr>
      </w:pPr>
      <w:r>
        <w:rPr>
          <w:rFonts w:ascii="Arial" w:cs="Arial" w:eastAsia="Arial" w:hAnsi="Arial"/>
          <w:sz w:val="13"/>
          <w:szCs w:val="13"/>
          <w:color w:val="auto"/>
        </w:rPr>
        <w:t>The obligations of the Guarantors to the Holders of Notes and to the Trustee pursuant to the Guarantees and the Indenture are expressly set forth in Article Fifteen of the Sixth Supplemental Indenture, and reference is hereby made to the Sixth Supplemental Indenture for the precise terms of the Guarantees and the conditions upon which they may be released.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WITNESS WHEREOF, each of the Guarantors has caused this notation to be duly executed.</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Weatherford International plc,</w:t>
      </w:r>
    </w:p>
    <w:p>
      <w:pPr>
        <w:spacing w:after="0" w:line="14"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an Irish public limited company</w:t>
      </w:r>
    </w:p>
    <w:p>
      <w:pPr>
        <w:spacing w:after="0" w:line="13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 _______________________________</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Name:</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Title:</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Weatherford International Ltd.,</w:t>
      </w:r>
    </w:p>
    <w:p>
      <w:pPr>
        <w:spacing w:after="0" w:line="14"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a Bermuda exempted company</w:t>
      </w:r>
    </w:p>
    <w:p>
      <w:pPr>
        <w:spacing w:after="0" w:line="13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 _______________________________</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Name:</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Title:</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[Name of Other Subsidiary Guarantor(s)]</w:t>
      </w:r>
    </w:p>
    <w:p>
      <w:pPr>
        <w:spacing w:after="0" w:line="292"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 _______________________________</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Name:</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45"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B-1</w:t>
      </w:r>
    </w:p>
    <w:p>
      <w:pPr>
        <w:sectPr>
          <w:pgSz w:w="11900" w:h="16838" w:orient="portrait"/>
          <w:cols w:equalWidth="0" w:num="1">
            <w:col w:w="11480"/>
          </w:cols>
          <w:pgMar w:left="220" w:top="431" w:right="1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3"/>
          <w:szCs w:val="13"/>
          <w:b w:val="1"/>
          <w:bCs w:val="1"/>
          <w:color w:val="auto"/>
        </w:rPr>
        <w:t>ANNEX 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CERTIFICATE TO BE DELIVERED IN CONNECTION WITH TRANSFERS TO INSTITUTIONAL ACCREDITED INVESTORS</w:t>
      </w:r>
    </w:p>
    <w:p>
      <w:pPr>
        <w:spacing w:after="0" w:line="152"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[Date]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Weatherford International, LLC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2000 St. James Place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77056</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Attention: Corporate Secretary</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Deutsche Bank Trust Company Americas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60 Wall Street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MS NYC60-1630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10005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Attention: Corporates Team - Weatherford International</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certificate is delivered to request a transfer of $[_________] principal amount of the 9.875% Senior Notes due 2025 (the “Securities”) of Weatherford International, LLC, a Delaware limited liability</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company (the “Company”).</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Upon transfer, the Securities would be registered in the name of the new beneficial owner as follows: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Name: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Address: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Taxpayer ID Number: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undersigned represents and warrants to you that:</w:t>
      </w:r>
    </w:p>
    <w:p>
      <w:pPr>
        <w:spacing w:after="0" w:line="148" w:lineRule="exact"/>
        <w:rPr>
          <w:sz w:val="20"/>
          <w:szCs w:val="20"/>
          <w:color w:val="auto"/>
        </w:rPr>
      </w:pPr>
    </w:p>
    <w:p>
      <w:pPr>
        <w:ind w:right="80" w:firstLine="424"/>
        <w:spacing w:after="0" w:line="282" w:lineRule="auto"/>
        <w:tabs>
          <w:tab w:leader="none" w:pos="651" w:val="left"/>
        </w:tabs>
        <w:numPr>
          <w:ilvl w:val="0"/>
          <w:numId w:val="111"/>
        </w:numPr>
        <w:rPr>
          <w:rFonts w:ascii="Arial" w:cs="Arial" w:eastAsia="Arial" w:hAnsi="Arial"/>
          <w:sz w:val="12"/>
          <w:szCs w:val="12"/>
          <w:color w:val="auto"/>
        </w:rPr>
      </w:pPr>
      <w:r>
        <w:rPr>
          <w:rFonts w:ascii="Arial" w:cs="Arial" w:eastAsia="Arial" w:hAnsi="Arial"/>
          <w:sz w:val="12"/>
          <w:szCs w:val="12"/>
          <w:color w:val="auto"/>
        </w:rPr>
        <w:t>We are an institutional “accredited investor” (as defined in Rule 501(a)(1), (2), (3) or (7) under the Securities Act of 1933, as amended (the “Securities Act”)) purchasing for our own account or for the account of such an institutional “accredited investor” at least $250,000 principal amount of the Securities, and we are acquiring the Securities not with a view to, or for offer or sale in connection with, any distribution in violation of the Securities Act. We have such knowledge and experience in financial and business matters as to be capable of evaluating the merits and risk of our investment in the Securities and we invest in or purchase securities similar to the Securities in the normal course of our business. We and any accounts for which we are acting are each able to bear the economic risk of our or its investment.</w:t>
      </w:r>
    </w:p>
    <w:p>
      <w:pPr>
        <w:spacing w:after="0" w:line="108" w:lineRule="exact"/>
        <w:rPr>
          <w:rFonts w:ascii="Arial" w:cs="Arial" w:eastAsia="Arial" w:hAnsi="Arial"/>
          <w:sz w:val="12"/>
          <w:szCs w:val="12"/>
          <w:color w:val="auto"/>
        </w:rPr>
      </w:pPr>
    </w:p>
    <w:p>
      <w:pPr>
        <w:jc w:val="both"/>
        <w:ind w:right="20" w:firstLine="424"/>
        <w:spacing w:after="0" w:line="254" w:lineRule="auto"/>
        <w:tabs>
          <w:tab w:leader="none" w:pos="65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We understand that the Securities have not been registered under the Securities Act and, unless so registered, may not be sold except as permitted in the following sentence. We agree on our own behalf and on behalf of any investor account for which we are purchasing Securities to offer, sell or otherwise transfer such Securities prior to the date that is one year after the later of the date of original issue and the last date on which the Company or any affiliate of the Company was the owner of such Securities (or any predecessor thereto) (the “Resale Restriction Termination Date”) only (a) to the Company or any Subsidiary thereof, (b) pursuant to an effective registration statement under the Securities 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w:t>
      </w:r>
    </w:p>
    <w:p>
      <w:pPr>
        <w:sectPr>
          <w:pgSz w:w="11900" w:h="16838" w:orient="portrait"/>
          <w:cols w:equalWidth="0" w:num="1">
            <w:col w:w="11480"/>
          </w:cols>
          <w:pgMar w:left="220" w:top="584" w:right="199" w:bottom="1440" w:gutter="0" w:footer="0" w:header="0"/>
        </w:sectPr>
      </w:pPr>
    </w:p>
    <w:bookmarkStart w:id="121" w:name="page122"/>
    <w:bookmarkEnd w:id="121"/>
    <w:p>
      <w:pPr>
        <w:ind w:left="-420" w:firstLine="424"/>
        <w:spacing w:after="0" w:line="271" w:lineRule="auto"/>
        <w:tabs>
          <w:tab w:leader="none" w:pos="192"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 a transaction complying with the requirements of Rule 144A under the Securities Act, to a person we reasonably believe is a “qualified institutional buyer” under Rule 144A of the Securities Act (a “QIB”)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Securities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Securities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Securities for investment purposes and not for distribution in violation of the Securities Act. Each purchaser acknowledges that the Company and the Trustee reserve the right prior to any offer, sale or other transfer prior to the Resale Termination Date of the Securities pursuant to clauses (d), (e) or (f) above to require the delivery of an Opinion of Counsel, certifications and/or other information satisfactory to the Company and the Trustee.</w:t>
      </w:r>
    </w:p>
    <w:p>
      <w:pPr>
        <w:spacing w:after="0" w:line="114"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2"/>
          <w:szCs w:val="12"/>
          <w:color w:val="auto"/>
        </w:rPr>
        <w:t>We [are][are not] an Affiliate of the Company.</w:t>
      </w:r>
    </w:p>
    <w:p>
      <w:pPr>
        <w:spacing w:after="0" w:line="148"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TRANSFEREE:________________________________</w:t>
      </w:r>
    </w:p>
    <w:p>
      <w:pPr>
        <w:spacing w:after="0" w:line="148"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C-2</w:t>
      </w:r>
    </w:p>
    <w:p>
      <w:pPr>
        <w:sectPr>
          <w:pgSz w:w="11900" w:h="16838" w:orient="portrait"/>
          <w:cols w:equalWidth="0" w:num="1">
            <w:col w:w="11060"/>
          </w:cols>
          <w:pgMar w:left="640" w:top="1030" w:right="1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3"/>
          <w:szCs w:val="13"/>
          <w:b w:val="1"/>
          <w:bCs w:val="1"/>
          <w:color w:val="auto"/>
        </w:rPr>
        <w:t>ANNEX 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CERTIFICATE TO BE DELIVERED IN CONNECTION WITH TRANSFERS PURSUANT TO REGULATION S</w:t>
      </w:r>
    </w:p>
    <w:p>
      <w:pPr>
        <w:spacing w:after="0" w:line="152"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[Date]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Weatherford International, LLC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2000 St. James Place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77056</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Attention: Corporate Secretary</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Deutsche Bank Trust Company Americas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60 Wall Street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MS NYC60-1630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10005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Attention: Corporates Team - Weatherford International</w:t>
      </w:r>
    </w:p>
    <w:p>
      <w:pPr>
        <w:spacing w:after="0" w:line="13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3"/>
          <w:szCs w:val="13"/>
          <w:color w:val="auto"/>
        </w:rPr>
        <w:t>Weatherford International, LLC (the “Company”)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9.875% Senior Notes due 2025 (the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connection with our proposed sale of $[________] aggregate principal amount of the Securities, we confirm that such sale has been effected pursuant to and in accordance with Regulation S under the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United States Securities Act of 1933, as amended (the “Securities Act”), and, accordingly, we represent that:</w:t>
      </w:r>
    </w:p>
    <w:p>
      <w:pPr>
        <w:spacing w:after="0" w:line="138" w:lineRule="exact"/>
        <w:rPr>
          <w:sz w:val="20"/>
          <w:szCs w:val="20"/>
          <w:color w:val="auto"/>
        </w:rPr>
      </w:pPr>
    </w:p>
    <w:p>
      <w:pPr>
        <w:ind w:left="1120" w:hanging="263"/>
        <w:spacing w:after="0"/>
        <w:tabs>
          <w:tab w:leader="none" w:pos="11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offer of the Securities was not made to a person in the United States;</w:t>
      </w:r>
    </w:p>
    <w:p>
      <w:pPr>
        <w:spacing w:after="0" w:line="147" w:lineRule="exact"/>
        <w:rPr>
          <w:rFonts w:ascii="Arial" w:cs="Arial" w:eastAsia="Arial" w:hAnsi="Arial"/>
          <w:sz w:val="13"/>
          <w:szCs w:val="13"/>
          <w:color w:val="auto"/>
        </w:rPr>
      </w:pPr>
    </w:p>
    <w:p>
      <w:pPr>
        <w:jc w:val="both"/>
        <w:ind w:left="420" w:right="220" w:firstLine="437"/>
        <w:spacing w:after="0" w:line="258" w:lineRule="auto"/>
        <w:tabs>
          <w:tab w:leader="none" w:pos="1126" w:val="left"/>
        </w:tabs>
        <w:numPr>
          <w:ilvl w:val="0"/>
          <w:numId w:val="113"/>
        </w:numPr>
        <w:rPr>
          <w:rFonts w:ascii="Arial" w:cs="Arial" w:eastAsia="Arial" w:hAnsi="Arial"/>
          <w:sz w:val="13"/>
          <w:szCs w:val="13"/>
          <w:color w:val="auto"/>
        </w:rPr>
      </w:pPr>
      <w:r>
        <w:rPr>
          <w:rFonts w:ascii="Arial" w:cs="Arial" w:eastAsia="Arial" w:hAnsi="Arial"/>
          <w:sz w:val="13"/>
          <w:szCs w:val="13"/>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121" w:lineRule="exact"/>
        <w:rPr>
          <w:rFonts w:ascii="Arial" w:cs="Arial" w:eastAsia="Arial" w:hAnsi="Arial"/>
          <w:sz w:val="13"/>
          <w:szCs w:val="13"/>
          <w:color w:val="auto"/>
        </w:rPr>
      </w:pPr>
    </w:p>
    <w:p>
      <w:pPr>
        <w:ind w:left="1120" w:hanging="263"/>
        <w:spacing w:after="0"/>
        <w:tabs>
          <w:tab w:leader="none" w:pos="11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no directed selling efforts have been made in the United States in contravention of the requirements of Rule 903(a)(2) or Rule 904(a)(2) of Regulation S, as applicable; and</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transaction is not part of a plan or scheme to evade the registration requirements of the Securities Act.</w:t>
      </w:r>
    </w:p>
    <w:p>
      <w:pPr>
        <w:spacing w:after="0" w:line="148"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In addition, if the sale is made during a restricted period and the provisions of Rule 903(b)(2), Rule 903(b)(3) or Rule 904(b)(1) of Regulation S are applicable thereto, we confirm that such sale has been made in accordance with the applicable provisions of Rule 903(b)(2), Rule 903(b)(3) or Rule 904(b)(1), as the case may be.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We also hereby certify that we [are][are not] an Affiliate of the Company and, to our knowledge, the transferee of the Securities [is][is not] an Affiliate of the Company.</w:t>
      </w:r>
    </w:p>
    <w:p>
      <w:pPr>
        <w:spacing w:after="0" w:line="200" w:lineRule="exact"/>
        <w:rPr>
          <w:sz w:val="20"/>
          <w:szCs w:val="20"/>
          <w:color w:val="auto"/>
        </w:rPr>
      </w:pPr>
    </w:p>
    <w:p>
      <w:pPr>
        <w:spacing w:after="0" w:line="245"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D-1</w:t>
      </w:r>
    </w:p>
    <w:p>
      <w:pPr>
        <w:sectPr>
          <w:pgSz w:w="11900" w:h="16838" w:orient="portrait"/>
          <w:cols w:equalWidth="0" w:num="1">
            <w:col w:w="11480"/>
          </w:cols>
          <w:pgMar w:left="220" w:top="584" w:right="199" w:bottom="1440" w:gutter="0" w:footer="0" w:header="0"/>
        </w:sectPr>
      </w:pPr>
    </w:p>
    <w:bookmarkStart w:id="123" w:name="page124"/>
    <w:bookmarkEnd w:id="123"/>
    <w:p>
      <w:pPr>
        <w:ind w:firstLine="432"/>
        <w:spacing w:after="0" w:line="271" w:lineRule="auto"/>
        <w:rPr>
          <w:sz w:val="20"/>
          <w:szCs w:val="20"/>
          <w:color w:val="auto"/>
        </w:rPr>
      </w:pPr>
      <w:r>
        <w:rPr>
          <w:rFonts w:ascii="Arial" w:cs="Arial" w:eastAsia="Arial" w:hAnsi="Arial"/>
          <w:sz w:val="13"/>
          <w:szCs w:val="13"/>
          <w:color w:val="auto"/>
        </w:rPr>
        <w:t>You are entitled to rely conclusively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13"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Very truly yours,</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[Name of Transferor]</w:t>
      </w:r>
    </w:p>
    <w:p>
      <w:pPr>
        <w:spacing w:after="0" w:line="292"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By:____________________________</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3"/>
          <w:szCs w:val="13"/>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D-2</w:t>
      </w:r>
    </w:p>
    <w:p>
      <w:pPr>
        <w:sectPr>
          <w:pgSz w:w="11900" w:h="16838" w:orient="portrait"/>
          <w:cols w:equalWidth="0" w:num="1">
            <w:col w:w="11240"/>
          </w:cols>
          <w:pgMar w:left="220" w:top="732" w:right="4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4"/>
          <w:szCs w:val="14"/>
          <w:b w:val="1"/>
          <w:bCs w:val="1"/>
          <w:color w:val="auto"/>
        </w:rPr>
        <w:t>ANNEX 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SUPPLEMENTAL INDENTURE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BE DELIVERED BY FUTURE SUBSIDIARY GUARANTORS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Supplemental Indenture (this “Supplemental Indenture”), dated as of ________________, 20__, is among [Name of Future Subsidiary Guarantor(s)] (the “New Subsidiary Guarantor”), a subsidiary of</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Weatherford International plc, an Irish public limited company [or its permitted successor] (the “Parent Guarantor”), Weatherford International Ltd., a Bermuda exempted company (“Weatherford Bermuda”), each other existing Subsidiary Guarantor (as defined in the Indenture referred to herein), Weatherford International, LLC, a Delaware limited liability company (the “Issuer”), the Parent Guarantor and Deutsche Bank Trust Company Americas, as trustee under the Indenture referred to herein (the “Trustee”). The New Subsidiary Guarantor and the existing Subsidiary Guarantors are sometimes referred to collectively herein as the “Subsidiary Guarantors,” or individually as a “Subsidiary Guarantor.”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 I T N E S S E T H:</w:t>
      </w:r>
    </w:p>
    <w:p>
      <w:pPr>
        <w:spacing w:after="0" w:line="153" w:lineRule="exact"/>
        <w:rPr>
          <w:sz w:val="20"/>
          <w:szCs w:val="20"/>
          <w:color w:val="auto"/>
        </w:rPr>
      </w:pPr>
    </w:p>
    <w:p>
      <w:pPr>
        <w:ind w:right="60" w:firstLine="432"/>
        <w:spacing w:after="0" w:line="290" w:lineRule="auto"/>
        <w:rPr>
          <w:sz w:val="20"/>
          <w:szCs w:val="20"/>
          <w:color w:val="auto"/>
        </w:rPr>
      </w:pPr>
      <w:r>
        <w:rPr>
          <w:rFonts w:ascii="Arial" w:cs="Arial" w:eastAsia="Arial" w:hAnsi="Arial"/>
          <w:sz w:val="12"/>
          <w:szCs w:val="12"/>
          <w:color w:val="auto"/>
        </w:rPr>
        <w:t>WHEREAS, the Issuer (f/k/a Weatherford International, Inc., a Delaware corporation), the Parent Guarantor, Weatherford Bermuda and the Trustee are parties to an Indenture, dated as of June 18, 2007, as amended and supplemented by (i) the Second Supplemental Indenture dated as of February 26, 2009, (ii) the Fourth Supplemental Indenture, dated as of March 31, 2013, (iii) the Fifth Supplemental Indenture dated as of June 17, 2014, and (iv) the Sixth Supplemental Indenture (herein so called), dated as of February 28, 2018, relating to the 9.875% Senior Notes due 2025 (the “Notes”) of the Issuer;</w:t>
      </w:r>
    </w:p>
    <w:p>
      <w:pPr>
        <w:spacing w:after="0" w:line="103"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WHEREAS, Section 1114 of the Sixth Supplemental Indenture obligates the Issuer to cause certain Restricted Subsidiaries to become Subsidiary Guarantors by executing a supplemental indenture as provided in such Section; and</w:t>
      </w:r>
    </w:p>
    <w:p>
      <w:pPr>
        <w:spacing w:after="0" w:line="113" w:lineRule="exact"/>
        <w:rPr>
          <w:sz w:val="20"/>
          <w:szCs w:val="20"/>
          <w:color w:val="auto"/>
        </w:rPr>
      </w:pPr>
    </w:p>
    <w:p>
      <w:pPr>
        <w:ind w:right="100" w:firstLine="432"/>
        <w:spacing w:after="0" w:line="271" w:lineRule="auto"/>
        <w:rPr>
          <w:sz w:val="20"/>
          <w:szCs w:val="20"/>
          <w:color w:val="auto"/>
        </w:rPr>
      </w:pPr>
      <w:r>
        <w:rPr>
          <w:rFonts w:ascii="Arial" w:cs="Arial" w:eastAsia="Arial" w:hAnsi="Arial"/>
          <w:sz w:val="13"/>
          <w:szCs w:val="13"/>
          <w:color w:val="auto"/>
        </w:rPr>
        <w:t>WHEREAS, pursuant to Section 1001 of the Sixth Supplemental Indenture, the Issuer, the Parent Guarantor, the Subsidiary Guarantors and the Trustee are authorized to execute and deliver this Supplemental Indenture to amend or supplement the Indenture without the consent of any Holder;</w:t>
      </w:r>
    </w:p>
    <w:p>
      <w:pPr>
        <w:spacing w:after="0" w:line="113" w:lineRule="exact"/>
        <w:rPr>
          <w:sz w:val="20"/>
          <w:szCs w:val="20"/>
          <w:color w:val="auto"/>
        </w:rPr>
      </w:pPr>
    </w:p>
    <w:p>
      <w:pPr>
        <w:ind w:right="260" w:firstLine="432"/>
        <w:spacing w:after="0" w:line="258" w:lineRule="auto"/>
        <w:rPr>
          <w:sz w:val="20"/>
          <w:szCs w:val="20"/>
          <w:color w:val="auto"/>
        </w:rPr>
      </w:pPr>
      <w:r>
        <w:rPr>
          <w:rFonts w:ascii="Arial" w:cs="Arial" w:eastAsia="Arial" w:hAnsi="Arial"/>
          <w:sz w:val="13"/>
          <w:szCs w:val="13"/>
          <w:color w:val="auto"/>
        </w:rPr>
        <w:t>NOW, THEREFORE, to comply with the provisions of the Sixth Supplemental Indenture and in consideration of the foregoing and for other good and valuable consideration, the receipt of which is hereby acknowledged, the New Subsidiary Guarantor, the other Subsidiary Guarantors, the Issuer, the Parent Guarantor and the Trustee mutually covenant and agree for the equal and ratable benefit of the Holders of the Securities as follows:</w:t>
      </w:r>
    </w:p>
    <w:p>
      <w:pPr>
        <w:spacing w:after="0" w:line="121" w:lineRule="exact"/>
        <w:rPr>
          <w:sz w:val="20"/>
          <w:szCs w:val="20"/>
          <w:color w:val="auto"/>
        </w:rPr>
      </w:pPr>
    </w:p>
    <w:p>
      <w:pPr>
        <w:ind w:left="660" w:hanging="218"/>
        <w:spacing w:after="0"/>
        <w:tabs>
          <w:tab w:leader="none" w:pos="6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Capitalized Terms. Capitalized terms used herein without definition shall have the meanings assigned to them in the Sixth Supplemental Indenture.</w:t>
      </w:r>
    </w:p>
    <w:p>
      <w:pPr>
        <w:spacing w:after="0" w:line="147" w:lineRule="exact"/>
        <w:rPr>
          <w:rFonts w:ascii="Arial" w:cs="Arial" w:eastAsia="Arial" w:hAnsi="Arial"/>
          <w:sz w:val="13"/>
          <w:szCs w:val="13"/>
          <w:color w:val="auto"/>
        </w:rPr>
      </w:pPr>
    </w:p>
    <w:p>
      <w:pPr>
        <w:ind w:right="60" w:firstLine="442"/>
        <w:spacing w:after="0" w:line="254" w:lineRule="auto"/>
        <w:tabs>
          <w:tab w:leader="none" w:pos="66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Agreement to Guarantee. The New Subsidiary Guarantor hereby agrees, jointly and severally, with the Parent Guarantor and all other Subsidiary Guarantors, to fully and unconditionally guarantee to each Holder and to the Trustee the Indenture Obligations, to the extent set forth in Article Fifteen of the Sixth Supplemental Indenture and subject to the provisions thereof. The obligations of the Subsidiary Guarantors to the Holders of Notes and to the Trustee pursuant to the Subsidiary Guarantees are expressly set forth in Article Fifteen of the Sixth Supplemental Indenture, and reference is hereby made to such Article for the precise terms of the Subsidiary Guarantees.</w:t>
      </w:r>
    </w:p>
    <w:p>
      <w:pPr>
        <w:spacing w:after="0" w:line="200" w:lineRule="exact"/>
        <w:rPr>
          <w:sz w:val="20"/>
          <w:szCs w:val="20"/>
          <w:color w:val="auto"/>
        </w:rPr>
      </w:pPr>
    </w:p>
    <w:p>
      <w:pPr>
        <w:spacing w:after="0" w:line="221" w:lineRule="exact"/>
        <w:rPr>
          <w:sz w:val="20"/>
          <w:szCs w:val="20"/>
          <w:color w:val="auto"/>
        </w:rPr>
      </w:pPr>
    </w:p>
    <w:p>
      <w:pPr>
        <w:jc w:val="center"/>
        <w:ind w:left="460"/>
        <w:spacing w:after="0"/>
        <w:rPr>
          <w:sz w:val="20"/>
          <w:szCs w:val="20"/>
          <w:color w:val="auto"/>
        </w:rPr>
      </w:pPr>
      <w:r>
        <w:rPr>
          <w:rFonts w:ascii="Arial" w:cs="Arial" w:eastAsia="Arial" w:hAnsi="Arial"/>
          <w:sz w:val="13"/>
          <w:szCs w:val="13"/>
          <w:color w:val="auto"/>
        </w:rPr>
        <w:t>E-1</w:t>
      </w:r>
    </w:p>
    <w:p>
      <w:pPr>
        <w:sectPr>
          <w:pgSz w:w="11900" w:h="16838" w:orient="portrait"/>
          <w:cols w:equalWidth="0" w:num="1">
            <w:col w:w="11480"/>
          </w:cols>
          <w:pgMar w:left="220" w:top="436" w:right="199" w:bottom="1440" w:gutter="0" w:footer="0" w:header="0"/>
        </w:sectPr>
      </w:pPr>
    </w:p>
    <w:bookmarkStart w:id="125" w:name="page126"/>
    <w:bookmarkEnd w:id="125"/>
    <w:p>
      <w:pPr>
        <w:ind w:left="540" w:hanging="218"/>
        <w:spacing w:after="0"/>
        <w:tabs>
          <w:tab w:leader="none" w:pos="5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NEW YORK LAW TO GOVERN. THE LAWS OF THE STATE OF NEW YORK SHALL GOVERN AND BE USED TO CONSTRUE AND ENFORCE THIS SUPPLEMENTAL INDENTURE.</w:t>
      </w:r>
    </w:p>
    <w:p>
      <w:pPr>
        <w:spacing w:after="0" w:line="147" w:lineRule="exact"/>
        <w:rPr>
          <w:rFonts w:ascii="Arial" w:cs="Arial" w:eastAsia="Arial" w:hAnsi="Arial"/>
          <w:sz w:val="13"/>
          <w:szCs w:val="13"/>
          <w:color w:val="auto"/>
        </w:rPr>
      </w:pPr>
    </w:p>
    <w:p>
      <w:pPr>
        <w:ind w:left="-120" w:firstLine="442"/>
        <w:spacing w:after="0" w:line="271" w:lineRule="auto"/>
        <w:tabs>
          <w:tab w:leader="none" w:pos="54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w:t>
      </w:r>
    </w:p>
    <w:p>
      <w:pPr>
        <w:spacing w:after="0" w:line="112" w:lineRule="exact"/>
        <w:rPr>
          <w:rFonts w:ascii="Arial" w:cs="Arial" w:eastAsia="Arial" w:hAnsi="Arial"/>
          <w:sz w:val="13"/>
          <w:szCs w:val="13"/>
          <w:color w:val="auto"/>
        </w:rPr>
      </w:pPr>
    </w:p>
    <w:p>
      <w:pPr>
        <w:ind w:left="540" w:hanging="218"/>
        <w:spacing w:after="0"/>
        <w:tabs>
          <w:tab w:leader="none" w:pos="5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Effect of Headings. The Section headings herein are for convenience only and shall not affect the construction hereof.</w:t>
      </w:r>
    </w:p>
    <w:p>
      <w:pPr>
        <w:spacing w:after="0" w:line="147" w:lineRule="exact"/>
        <w:rPr>
          <w:rFonts w:ascii="Arial" w:cs="Arial" w:eastAsia="Arial" w:hAnsi="Arial"/>
          <w:sz w:val="13"/>
          <w:szCs w:val="13"/>
          <w:color w:val="auto"/>
        </w:rPr>
      </w:pPr>
    </w:p>
    <w:p>
      <w:pPr>
        <w:ind w:left="-120" w:right="160" w:firstLine="442"/>
        <w:spacing w:after="0" w:line="258" w:lineRule="auto"/>
        <w:tabs>
          <w:tab w:leader="none" w:pos="54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b w:val="1"/>
          <w:bCs w:val="1"/>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Signature Page Follows.</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w:t>
      </w:r>
    </w:p>
    <w:p>
      <w:pPr>
        <w:sectPr>
          <w:pgSz w:w="11900" w:h="16838" w:orient="portrait"/>
          <w:cols w:equalWidth="0" w:num="1">
            <w:col w:w="11240"/>
          </w:cols>
          <w:pgMar w:left="340" w:top="733" w:right="319" w:bottom="1440" w:gutter="0" w:footer="0" w:header="0"/>
        </w:sectPr>
      </w:pPr>
    </w:p>
    <w:bookmarkStart w:id="126" w:name="page127"/>
    <w:bookmarkEnd w:id="126"/>
    <w:p>
      <w:pPr>
        <w:ind w:right="1539"/>
        <w:spacing w:after="0" w:line="303" w:lineRule="auto"/>
        <w:rPr>
          <w:sz w:val="20"/>
          <w:szCs w:val="20"/>
          <w:color w:val="auto"/>
        </w:rPr>
      </w:pPr>
      <w:r>
        <w:rPr>
          <w:rFonts w:ascii="Arial" w:cs="Arial" w:eastAsia="Arial" w:hAnsi="Arial"/>
          <w:sz w:val="13"/>
          <w:szCs w:val="13"/>
          <w:color w:val="auto"/>
        </w:rPr>
        <w:t>IN WITNESS WHEREOF, the parties hereto have caused this Supplemental Indenture to be duly executed and attested, all as of the date first above written. Dated: _______________, 20__</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[NEW SUBSIDIARY GUARANTOR]</w:t>
      </w:r>
    </w:p>
    <w:p>
      <w:pPr>
        <w:spacing w:after="0" w:line="22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By: _______________________________</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Name: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Title: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Weatherford International, LLC,</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a Delaware limited liability company</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By: _______________________________</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Name: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Title: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[OTHER SUBSIDIARY GUARANTORS]</w:t>
      </w:r>
    </w:p>
    <w:p>
      <w:pPr>
        <w:spacing w:after="0" w:line="22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By: _______________________________</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Name: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Title: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Weatherford International Ltd.,</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a Bermuda exempted company</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By: _______________________________</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Name: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Title: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Weatherford International plc,</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an Irish public limited company</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By: _______________________________</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Name: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Title: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Deutsche Bank Trust Company Americas,</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i w:val="1"/>
          <w:iCs w:val="1"/>
          <w:color w:val="auto"/>
        </w:rPr>
        <w:t>as Trustee</w:t>
      </w:r>
    </w:p>
    <w:p>
      <w:pPr>
        <w:spacing w:after="0" w:line="40" w:lineRule="exact"/>
        <w:rPr>
          <w:sz w:val="20"/>
          <w:szCs w:val="20"/>
          <w:color w:val="auto"/>
        </w:rPr>
      </w:pPr>
    </w:p>
    <w:p>
      <w:pPr>
        <w:ind w:left="2140"/>
        <w:spacing w:after="0"/>
        <w:tabs>
          <w:tab w:leader="none" w:pos="24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Deutsche Bank National Trust Company</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By: _______________________________</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Name: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Title:</w:t>
      </w:r>
    </w:p>
    <w:p>
      <w:pPr>
        <w:spacing w:after="0" w:line="22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By: _______________________________</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Name:</w:t>
      </w:r>
    </w:p>
    <w:p>
      <w:pPr>
        <w:spacing w:after="0" w:line="4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E-3</w:t>
      </w:r>
    </w:p>
    <w:p>
      <w:pPr>
        <w:sectPr>
          <w:pgSz w:w="11900" w:h="16838" w:orient="portrait"/>
          <w:cols w:equalWidth="0" w:num="1">
            <w:col w:w="9799"/>
          </w:cols>
          <w:pgMar w:left="660" w:top="435"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2"/>
          <w:szCs w:val="12"/>
          <w:b w:val="1"/>
          <w:bCs w:val="1"/>
          <w:color w:val="auto"/>
        </w:rPr>
        <w:t>Exhibit 4.2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$600,000,000</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Weatherford International, LLC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9.875% Senior Notes due 2025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Registration Rights Agreement</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This REGISTRATION RIGHTS AGREEMENT dated February 28, 2018 (the “Agreement”) is entered into by and among Weatherford International, LLC, a Delaware limited liability company (the “Company”), the guarantors named in Schedule I hereto (collectively, the “Guarantors”), and Deutsche Bank Securities Inc., as representative (the “Representative”) of the several initial purchasers named in Schedule II hereto (each an “Initial Purchaser” and collectively, the “Initial Purchasers”).</w:t>
      </w:r>
    </w:p>
    <w:p>
      <w:pPr>
        <w:spacing w:after="0" w:line="9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Company, the Guarantors and the Representative are parties to the Purchase Agreement dated February 21, 2018 (the “Purchase Agreement”), which provides for the sale by the Company to the Initial Purchasers of $600,000,000 in aggregate principal amount of the Company’s 9.875% Senior Notes due 2025 (the “Securities”), which will be guaranteed on an unsecured senior basis by each of the Guarantors. As an inducement to the Initial Purchasers to enter into the Purchase Agreement, the Company and the Guarantors have agreed to provide to the Initial Purchasers and their direct and indirect transferees the registration rights set forth in this Agreement. The execution and delivery of this Agreement is a condition to the closing under the Purchase Agreement.</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consideration of the foregoing, the parties hereto agree as follows:</w:t>
      </w:r>
    </w:p>
    <w:p>
      <w:pPr>
        <w:spacing w:after="0" w:line="141" w:lineRule="exact"/>
        <w:rPr>
          <w:sz w:val="20"/>
          <w:szCs w:val="20"/>
          <w:color w:val="auto"/>
        </w:rPr>
      </w:pPr>
    </w:p>
    <w:p>
      <w:pPr>
        <w:ind w:left="520" w:hanging="312"/>
        <w:spacing w:after="0"/>
        <w:tabs>
          <w:tab w:leader="none" w:pos="520"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As used in this Agreement, the following terms shall have the following meanings: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“Additional Guarantor” shall mean any subsidiary of the Company that guarantees the Securities under the Indenture after the date of this Agreement.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“Business Day” shall mean any day that is not a Saturday, Sunday or other day on which commercial banks in New York City are authorized or required by law to remain closed.</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“Company” shall have the meaning set forth in the preamble and shall also include the Company’s successors.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“Exchange Act” shall mean the Securities Exchange Act of 1934, as amended from time to time.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“Exchange Dates” shall have the meaning set forth in </w:t>
      </w:r>
      <w:r>
        <w:rPr>
          <w:rFonts w:ascii="Arial" w:cs="Arial" w:eastAsia="Arial" w:hAnsi="Arial"/>
          <w:sz w:val="12"/>
          <w:szCs w:val="12"/>
          <w:u w:val="single" w:color="auto"/>
          <w:color w:val="auto"/>
        </w:rPr>
        <w:t>Section 2(a)(ii)</w:t>
      </w:r>
      <w:r>
        <w:rPr>
          <w:rFonts w:ascii="Arial" w:cs="Arial" w:eastAsia="Arial" w:hAnsi="Arial"/>
          <w:sz w:val="12"/>
          <w:szCs w:val="12"/>
          <w:color w:val="auto"/>
        </w:rPr>
        <w:t xml:space="preserve"> hereof.</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“Exchange Offer” shall mean the exchange offer by the Company and the Guarantors of Exchange Securities for Registrable Securities pursuant to </w:t>
      </w:r>
      <w:r>
        <w:rPr>
          <w:rFonts w:ascii="Arial" w:cs="Arial" w:eastAsia="Arial" w:hAnsi="Arial"/>
          <w:sz w:val="12"/>
          <w:szCs w:val="12"/>
          <w:u w:val="single" w:color="auto"/>
          <w:color w:val="auto"/>
        </w:rPr>
        <w:t>Section 2(a)</w:t>
      </w:r>
      <w:r>
        <w:rPr>
          <w:rFonts w:ascii="Arial" w:cs="Arial" w:eastAsia="Arial" w:hAnsi="Arial"/>
          <w:sz w:val="12"/>
          <w:szCs w:val="12"/>
          <w:color w:val="auto"/>
        </w:rPr>
        <w:t xml:space="preserve"> hereof.</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“Exchange Offer Registration” shall mean a registration under the Securities Act effected pursuant to </w:t>
      </w:r>
      <w:r>
        <w:rPr>
          <w:rFonts w:ascii="Arial" w:cs="Arial" w:eastAsia="Arial" w:hAnsi="Arial"/>
          <w:sz w:val="12"/>
          <w:szCs w:val="12"/>
          <w:u w:val="single" w:color="auto"/>
          <w:color w:val="auto"/>
        </w:rPr>
        <w:t>Section 2(a)</w:t>
      </w:r>
      <w:r>
        <w:rPr>
          <w:rFonts w:ascii="Arial" w:cs="Arial" w:eastAsia="Arial" w:hAnsi="Arial"/>
          <w:sz w:val="12"/>
          <w:szCs w:val="12"/>
          <w:color w:val="auto"/>
        </w:rPr>
        <w:t xml:space="preserve"> hereof.</w:t>
      </w:r>
    </w:p>
    <w:p>
      <w:pPr>
        <w:spacing w:after="0" w:line="123"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“Exchange Offer Registration Statement” shall mean an exchange offer registration statement on Form S-4 (or, if applicable, on another appropriate form) and all amendments and supplements to such registration statement, in each case including the Prospectus contained therein or deemed a part thereof, all exhibits thereto and any document incorporated by reference therein.</w:t>
      </w:r>
    </w:p>
    <w:p>
      <w:pPr>
        <w:spacing w:after="0" w:line="88"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“Exchange Securities” shall mean senior notes issued by the Company and guaranteed by the Guarantors under the Indenture containing terms identical to the Securities (except that the Exchange Securities will not be subject to restrictions on transfer or to any increase in annual interest rate for failure to comply with this Agreement) and to be offered to Holders of Securities in exchange for Securities pursuant to the Exchange Offer.</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“FINRA” means the Financial Industry Regulatory Authority, Inc.</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433" w:right="199" w:bottom="1440" w:gutter="0" w:footer="0" w:header="0"/>
        </w:sectPr>
      </w:pPr>
    </w:p>
    <w:bookmarkStart w:id="128" w:name="page129"/>
    <w:bookmarkEnd w:id="128"/>
    <w:p>
      <w:pPr>
        <w:jc w:val="both"/>
        <w:ind w:right="20" w:firstLine="216"/>
        <w:spacing w:after="0" w:line="276" w:lineRule="auto"/>
        <w:rPr>
          <w:sz w:val="20"/>
          <w:szCs w:val="20"/>
          <w:color w:val="auto"/>
        </w:rPr>
      </w:pPr>
      <w:r>
        <w:rPr>
          <w:rFonts w:ascii="Arial" w:cs="Arial" w:eastAsia="Arial" w:hAnsi="Arial"/>
          <w:sz w:val="12"/>
          <w:szCs w:val="12"/>
          <w:color w:val="auto"/>
        </w:rPr>
        <w:t>“Free Writing Prospectus” means each free writing prospectus (as defined in Rule 405 under the Securities Act) prepared by or on behalf of the Company or used or referred to by the Company in connection with the sale of the Securities or the Exchange Securities.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“Guarantors” shall have the meaning set forth in the preamble and shall also include any Guarantor’s successors that guarantee the Securities and any Additional Guarantors.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 xml:space="preserve">“Holders” shall mean the Initial Purchasers, for so long as they own any Registrable Securities, and their successors, assigns and direct and indirect transferees who become owners of Registrable Securities under the Indenture; provided that for purposes of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of this Agreement, the term “Holders” shall include Participating Broker-Dealers.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“Indemnified Person” shall have the meaning set forth in </w:t>
      </w:r>
      <w:r>
        <w:rPr>
          <w:rFonts w:ascii="Arial" w:cs="Arial" w:eastAsia="Arial" w:hAnsi="Arial"/>
          <w:sz w:val="12"/>
          <w:szCs w:val="12"/>
          <w:u w:val="single" w:color="auto"/>
          <w:color w:val="auto"/>
        </w:rPr>
        <w:t>Section 5(c)</w:t>
      </w:r>
      <w:r>
        <w:rPr>
          <w:rFonts w:ascii="Arial" w:cs="Arial" w:eastAsia="Arial" w:hAnsi="Arial"/>
          <w:sz w:val="12"/>
          <w:szCs w:val="12"/>
          <w:color w:val="auto"/>
        </w:rPr>
        <w:t xml:space="preserve"> hereof.</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“Indemnifying Person” shall have the meaning set forth in </w:t>
      </w:r>
      <w:r>
        <w:rPr>
          <w:rFonts w:ascii="Arial" w:cs="Arial" w:eastAsia="Arial" w:hAnsi="Arial"/>
          <w:sz w:val="12"/>
          <w:szCs w:val="12"/>
          <w:u w:val="single" w:color="auto"/>
          <w:color w:val="auto"/>
        </w:rPr>
        <w:t>Section 5(c)</w:t>
      </w:r>
      <w:r>
        <w:rPr>
          <w:rFonts w:ascii="Arial" w:cs="Arial" w:eastAsia="Arial" w:hAnsi="Arial"/>
          <w:sz w:val="12"/>
          <w:szCs w:val="12"/>
          <w:color w:val="auto"/>
        </w:rPr>
        <w:t xml:space="preserve"> hereof.</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“Indenture” shall mean the Indenture dated as of June 18, 2007, by and among the Company (f/k/a Weatherford International, Inc., a Delaware corporation), Weatherford International Ltd., a Bermuda exempted company, and Deutsche Bank Trust Company Americas, a New York banking corporation, as trustee, as amended and supplemented by (i) the Second Supplemental Indenture dated as of February 26, 2009, (ii) the Fourth Supplemental Indenture dated as of March 31, 2013, (iii) the Fifth Supplemental Indenture dated as of June 17, 2014 and (iv) the Sixth Supplemental Indenture dated as of the date hereof, and as the same may be amended or supplemented in relation to the Securities from time to time hereafter in accordance with the terms thereof.</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“Initial Purchasers” shall have the meaning set forth in the preamble.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“Inspector” shall have the meaning set forth in </w:t>
      </w:r>
      <w:r>
        <w:rPr>
          <w:rFonts w:ascii="Arial" w:cs="Arial" w:eastAsia="Arial" w:hAnsi="Arial"/>
          <w:sz w:val="12"/>
          <w:szCs w:val="12"/>
          <w:u w:val="single" w:color="auto"/>
          <w:color w:val="auto"/>
        </w:rPr>
        <w:t>Section 3(a)(xiv)</w:t>
      </w:r>
      <w:r>
        <w:rPr>
          <w:rFonts w:ascii="Arial" w:cs="Arial" w:eastAsia="Arial" w:hAnsi="Arial"/>
          <w:sz w:val="12"/>
          <w:szCs w:val="12"/>
          <w:color w:val="auto"/>
        </w:rPr>
        <w:t xml:space="preserve"> hereof.</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“Issuer Information” shall have the meaning set forth in </w:t>
      </w:r>
      <w:r>
        <w:rPr>
          <w:rFonts w:ascii="Arial" w:cs="Arial" w:eastAsia="Arial" w:hAnsi="Arial"/>
          <w:sz w:val="12"/>
          <w:szCs w:val="12"/>
          <w:u w:val="single" w:color="auto"/>
          <w:color w:val="auto"/>
        </w:rPr>
        <w:t>Section 5(a)</w:t>
      </w:r>
      <w:r>
        <w:rPr>
          <w:rFonts w:ascii="Arial" w:cs="Arial" w:eastAsia="Arial" w:hAnsi="Arial"/>
          <w:sz w:val="12"/>
          <w:szCs w:val="12"/>
          <w:color w:val="auto"/>
        </w:rPr>
        <w:t xml:space="preserve"> hereof.</w:t>
      </w:r>
    </w:p>
    <w:p>
      <w:pPr>
        <w:spacing w:after="0" w:line="12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“Majority Holders” shall mean the Holders of a majority of the aggregate principal amount of the outstanding Registrable Securities; provided that whenever the consent or approval of Holders of a specified percentage of Registrable Securities is required hereunder, any Registrable Securities owned directly or indirectly by the Company or any of its affiliates shall not be counted in determining whether such consent or approval was given by the Holders of such required percentage or amount; and provided, further, that if the Company shall issue any additional Securities under the Indenture prior to consummation of the Exchange Offer or, if applicable, the effectiveness of any Shelf Registration Statement, such additional Securities and the Registrable Securities to which this Agreement relates shall be treated together as one class for purposes of determining whether the consent or approval of Holders of a specified percentage of Registrable Securities has been obtained.</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“Notice and Questionnaire” shall mean a notice of registration statement and selling security holder questionnaire distributed to a Holder by the Company upon receipt of a Shelf Request from such Holder.</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“Participating Broker-Dealer” shall have the meaning set forth in </w:t>
      </w:r>
      <w:r>
        <w:rPr>
          <w:rFonts w:ascii="Arial" w:cs="Arial" w:eastAsia="Arial" w:hAnsi="Arial"/>
          <w:sz w:val="12"/>
          <w:szCs w:val="12"/>
          <w:u w:val="single" w:color="auto"/>
          <w:color w:val="auto"/>
        </w:rPr>
        <w:t>Section 4(a)</w:t>
      </w:r>
      <w:r>
        <w:rPr>
          <w:rFonts w:ascii="Arial" w:cs="Arial" w:eastAsia="Arial" w:hAnsi="Arial"/>
          <w:sz w:val="12"/>
          <w:szCs w:val="12"/>
          <w:color w:val="auto"/>
        </w:rPr>
        <w:t xml:space="preserve"> hereof.</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“Participating Holder” shall mean any Holder of Registrable Securities that has returned a completed and signed Notice and Questionnaire to the Company in accordance with </w:t>
      </w:r>
      <w:r>
        <w:rPr>
          <w:rFonts w:ascii="Arial" w:cs="Arial" w:eastAsia="Arial" w:hAnsi="Arial"/>
          <w:sz w:val="12"/>
          <w:szCs w:val="12"/>
          <w:u w:val="single" w:color="auto"/>
          <w:color w:val="auto"/>
        </w:rPr>
        <w:t>Section 2(b)</w:t>
      </w:r>
      <w:r>
        <w:rPr>
          <w:rFonts w:ascii="Arial" w:cs="Arial" w:eastAsia="Arial" w:hAnsi="Arial"/>
          <w:sz w:val="12"/>
          <w:szCs w:val="12"/>
          <w:color w:val="auto"/>
        </w:rPr>
        <w:t xml:space="preserve"> hereof.</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“Person” shall mean an individual, partnership, limited liability company, corporation, trust or unincorporated organization, or a government or agency or political subdivision thereof.</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“Prospectus” shall mean the prospectus included in, or, pursuant to the rules and regulations of the Securities Act, deemed a part of,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any document incorporated by reference therein.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437" w:right="199" w:bottom="1440" w:gutter="0" w:footer="0" w:header="0"/>
        </w:sectPr>
      </w:pPr>
    </w:p>
    <w:bookmarkStart w:id="129" w:name="page130"/>
    <w:bookmarkEnd w:id="129"/>
    <w:p>
      <w:pPr>
        <w:ind w:left="200"/>
        <w:spacing w:after="0"/>
        <w:rPr>
          <w:sz w:val="20"/>
          <w:szCs w:val="20"/>
          <w:color w:val="auto"/>
        </w:rPr>
      </w:pPr>
      <w:r>
        <w:rPr>
          <w:rFonts w:ascii="Arial" w:cs="Arial" w:eastAsia="Arial" w:hAnsi="Arial"/>
          <w:sz w:val="12"/>
          <w:szCs w:val="12"/>
          <w:color w:val="auto"/>
        </w:rPr>
        <w:t>“Purchase Agreement” shall have the meaning set forth in the preamble.</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“Registrable Securities” shall mean the Securities; provided that the Securities shall cease to be Registrable Securities (i) when a Registration Statement with respect to such Securities has become effective under the Securities Act and such Securities have been exchanged or disposed of pursuant to such Registration Statement or (ii) when such Securities cease to be outstanding.</w:t>
      </w:r>
    </w:p>
    <w:p>
      <w:pPr>
        <w:spacing w:after="0" w:line="88"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“Registration Expenses” shall mean any and all expenses incident to performance of or compliance by the Company and the Guarantors with this Agreement, including without limitation: (i) all SEC, stock exchange or FINRA registration and filing fees, (ii) all fees and expenses incurred in connection with compliance with state securities or blue sky laws (including reasonable fees and disbursements of counsel for any Underwriters or Holders in connection with blue sky qualification of any Exchange Securities or Registrable Securities), (iii) all expenses of any Persons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(v) all fees and disbursements relating to the qualification of the Indenture under applicable securities laws, (vi) the fees and disbursements of the Trustee and its counsel, (vii) the fees and disbursements of counsel for the Company and the Guarantors and, in the case of a Shelf Registration Statement, the fees and disbursements of one counsel for the Participating Holders (which counsel shall be selected by the Participating Holders holding a majority of the aggregate principal amount of Registrable Securities held by such Participating Holders and which counsel may also be counsel for the Initial Purchasers) and (viii) the fees and disbursements of the independent public accountants of the Company and the Guarantors, including the expenses of any special audits or “comfort” letters, as applicable, required by or incident to the performance of and compliance with this Agreement, but excluding fees and expenses of counsel to the Underwriters (other than fees and expenses set forth in clause (ii) above) or the Holders and underwriting discounts and commissions, brokerage commissions and transfer taxes, if any, relating to the sale or disposition of Registrable Securities by a Holder.</w:t>
      </w:r>
    </w:p>
    <w:p>
      <w:pPr>
        <w:spacing w:after="0" w:line="8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“Registration Statement” shall mean any registration statement filed under the Securities Act of the Company and the Guarantors that covers any of the Exchange Securities or Registrable Securities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“SEC” shall mean the United States Securities and Exchange Commission.</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“Securities” shall have the meaning set forth in the preamble.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“Securities Act” shall mean the Securities Act of 1933, as amended from time to time.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“Shelf Effectiveness Period” shall have the meaning set forth in </w:t>
      </w:r>
      <w:r>
        <w:rPr>
          <w:rFonts w:ascii="Arial" w:cs="Arial" w:eastAsia="Arial" w:hAnsi="Arial"/>
          <w:sz w:val="12"/>
          <w:szCs w:val="12"/>
          <w:u w:val="single" w:color="auto"/>
          <w:color w:val="auto"/>
        </w:rPr>
        <w:t>Section 2(b)</w:t>
      </w:r>
      <w:r>
        <w:rPr>
          <w:rFonts w:ascii="Arial" w:cs="Arial" w:eastAsia="Arial" w:hAnsi="Arial"/>
          <w:sz w:val="12"/>
          <w:szCs w:val="12"/>
          <w:color w:val="auto"/>
        </w:rPr>
        <w:t xml:space="preserve"> hereof.</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“Shelf Registration” shall mean a registration effected pursuant to </w:t>
      </w:r>
      <w:r>
        <w:rPr>
          <w:rFonts w:ascii="Arial" w:cs="Arial" w:eastAsia="Arial" w:hAnsi="Arial"/>
          <w:sz w:val="12"/>
          <w:szCs w:val="12"/>
          <w:u w:val="single" w:color="auto"/>
          <w:color w:val="auto"/>
        </w:rPr>
        <w:t>Section 2(b)</w:t>
      </w:r>
      <w:r>
        <w:rPr>
          <w:rFonts w:ascii="Arial" w:cs="Arial" w:eastAsia="Arial" w:hAnsi="Arial"/>
          <w:sz w:val="12"/>
          <w:szCs w:val="12"/>
          <w:color w:val="auto"/>
        </w:rPr>
        <w:t xml:space="preserve"> hereof.</w:t>
      </w:r>
    </w:p>
    <w:p>
      <w:pPr>
        <w:spacing w:after="0" w:line="123"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“Shelf Registration Statement” shall mean a “shelf” registration statement of the Company and the Guarantors that covers all or a portion of the Registrable Securities (but no other securities unless approved by a majority in aggregate principal amount of the Registrable Securities held by the Participating Holders)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“Shelf Request” shall have the meaning set forth in </w:t>
      </w:r>
      <w:r>
        <w:rPr>
          <w:rFonts w:ascii="Arial" w:cs="Arial" w:eastAsia="Arial" w:hAnsi="Arial"/>
          <w:sz w:val="12"/>
          <w:szCs w:val="12"/>
          <w:u w:val="single" w:color="auto"/>
          <w:color w:val="auto"/>
        </w:rPr>
        <w:t>Section 2(b)</w:t>
      </w:r>
      <w:r>
        <w:rPr>
          <w:rFonts w:ascii="Arial" w:cs="Arial" w:eastAsia="Arial" w:hAnsi="Arial"/>
          <w:sz w:val="12"/>
          <w:szCs w:val="12"/>
          <w:color w:val="auto"/>
        </w:rPr>
        <w:t xml:space="preserve"> hereof.</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“Staff” shall mean the staff of the SEC.</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“Trust Indenture Act” shall mean the Trust Indenture Act of 1939, as amended from time to time.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698" w:right="199" w:bottom="1440" w:gutter="0" w:footer="0" w:header="0"/>
        </w:sectPr>
      </w:pPr>
    </w:p>
    <w:bookmarkStart w:id="130" w:name="page131"/>
    <w:bookmarkEnd w:id="130"/>
    <w:p>
      <w:pPr>
        <w:ind w:left="200"/>
        <w:spacing w:after="0"/>
        <w:rPr>
          <w:sz w:val="20"/>
          <w:szCs w:val="20"/>
          <w:color w:val="auto"/>
        </w:rPr>
      </w:pPr>
      <w:r>
        <w:rPr>
          <w:rFonts w:ascii="Arial" w:cs="Arial" w:eastAsia="Arial" w:hAnsi="Arial"/>
          <w:sz w:val="12"/>
          <w:szCs w:val="12"/>
          <w:color w:val="auto"/>
        </w:rPr>
        <w:t>“Trustee” shall mean the trustee with respect to the Securities under the Indenture.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“Underwriter” shall have the meaning set forth in </w:t>
      </w:r>
      <w:r>
        <w:rPr>
          <w:rFonts w:ascii="Arial" w:cs="Arial" w:eastAsia="Arial" w:hAnsi="Arial"/>
          <w:sz w:val="12"/>
          <w:szCs w:val="12"/>
          <w:u w:val="single" w:color="auto"/>
          <w:color w:val="auto"/>
        </w:rPr>
        <w:t>Section 3(e)</w:t>
      </w:r>
      <w:r>
        <w:rPr>
          <w:rFonts w:ascii="Arial" w:cs="Arial" w:eastAsia="Arial" w:hAnsi="Arial"/>
          <w:sz w:val="12"/>
          <w:szCs w:val="12"/>
          <w:color w:val="auto"/>
        </w:rPr>
        <w:t xml:space="preserve"> hereof.</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“Underwritten Offering” shall mean an offering in which Registrable Securities are sold to an Underwriter for reoffering to the public.</w:t>
      </w:r>
    </w:p>
    <w:p>
      <w:pPr>
        <w:spacing w:after="0" w:line="141" w:lineRule="exact"/>
        <w:rPr>
          <w:sz w:val="20"/>
          <w:szCs w:val="20"/>
          <w:color w:val="auto"/>
        </w:rPr>
      </w:pPr>
    </w:p>
    <w:p>
      <w:pPr>
        <w:jc w:val="both"/>
        <w:ind w:firstLine="208"/>
        <w:spacing w:after="0" w:line="306" w:lineRule="auto"/>
        <w:tabs>
          <w:tab w:leader="none" w:pos="522" w:val="left"/>
        </w:tabs>
        <w:numPr>
          <w:ilvl w:val="0"/>
          <w:numId w:val="117"/>
        </w:numPr>
        <w:rPr>
          <w:rFonts w:ascii="Arial" w:cs="Arial" w:eastAsia="Arial" w:hAnsi="Arial"/>
          <w:sz w:val="12"/>
          <w:szCs w:val="12"/>
          <w:color w:val="auto"/>
        </w:rPr>
      </w:pPr>
      <w:r>
        <w:rPr>
          <w:rFonts w:ascii="Arial" w:cs="Arial" w:eastAsia="Arial" w:hAnsi="Arial"/>
          <w:sz w:val="12"/>
          <w:szCs w:val="12"/>
          <w:u w:val="single" w:color="auto"/>
          <w:color w:val="auto"/>
        </w:rPr>
        <w:t>Registration Under the Securities Act</w:t>
      </w:r>
      <w:r>
        <w:rPr>
          <w:rFonts w:ascii="Arial" w:cs="Arial" w:eastAsia="Arial" w:hAnsi="Arial"/>
          <w:sz w:val="12"/>
          <w:szCs w:val="12"/>
          <w:color w:val="auto"/>
        </w:rPr>
        <w:t>. (a) To the extent not prohibited by any applicable law or applicable interpretations of the Staff, the Company and the Guarantors shall use commercially reasonable efforts to (i) cause to be filed an Exchange Offer Registration Statement covering an offer to the Holders to exchange all the Registrable Securities for Exchange Securities and (ii) have such Registration Statement remain effective until 180 days after the last Exchange Date for use by one or more Participating Broker-Dealers. The Company and the Guarantors shall commence the Exchange Offer promptly after the Exchange Offer Registration Statement is declared effective by the SEC and use commercially reasonable efforts to complete the Exchange Offer not later than 60 days after such effective date.</w:t>
      </w:r>
    </w:p>
    <w:p>
      <w:pPr>
        <w:spacing w:after="0" w:line="107"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Company and the Guarantors shall commence the Exchange Offer by mailing or making available the related Prospectus, appropriate letters of transmittal and other accompanying documents to each Holder stating, in addition to such other disclosures as are required by applicable law, substantially the following:</w:t>
      </w:r>
    </w:p>
    <w:p>
      <w:pPr>
        <w:spacing w:after="0" w:line="88" w:lineRule="exact"/>
        <w:rPr>
          <w:sz w:val="20"/>
          <w:szCs w:val="20"/>
          <w:color w:val="auto"/>
        </w:rPr>
      </w:pPr>
    </w:p>
    <w:p>
      <w:pPr>
        <w:ind w:left="500" w:hanging="310"/>
        <w:spacing w:after="0"/>
        <w:tabs>
          <w:tab w:leader="none" w:pos="5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that the Exchange Offer is being made pursuant to this Agreement and that all Registrable Securities validly tendered and not properly withdrawn will be accepted for exchange;</w:t>
      </w:r>
    </w:p>
    <w:p>
      <w:pPr>
        <w:spacing w:after="0" w:line="150" w:lineRule="exact"/>
        <w:rPr>
          <w:rFonts w:ascii="Arial" w:cs="Arial" w:eastAsia="Arial" w:hAnsi="Arial"/>
          <w:sz w:val="12"/>
          <w:szCs w:val="12"/>
          <w:color w:val="auto"/>
        </w:rPr>
      </w:pPr>
    </w:p>
    <w:p>
      <w:pPr>
        <w:ind w:left="500" w:hanging="310"/>
        <w:spacing w:after="0"/>
        <w:tabs>
          <w:tab w:leader="none" w:pos="5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dates of acceptance for exchange (which shall be a period of at least 20 Business Days from the date such notice is mailed or made available) (the “Exchange Dates”);</w:t>
      </w:r>
    </w:p>
    <w:p>
      <w:pPr>
        <w:spacing w:after="0" w:line="150" w:lineRule="exact"/>
        <w:rPr>
          <w:rFonts w:ascii="Arial" w:cs="Arial" w:eastAsia="Arial" w:hAnsi="Arial"/>
          <w:sz w:val="12"/>
          <w:szCs w:val="12"/>
          <w:color w:val="auto"/>
        </w:rPr>
      </w:pPr>
    </w:p>
    <w:p>
      <w:pPr>
        <w:ind w:left="500" w:hanging="310"/>
        <w:spacing w:after="0"/>
        <w:tabs>
          <w:tab w:leader="none" w:pos="5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that any Registrable Security not tendered will remain outstanding and continue to accrue interest but will not retain any rights under this Agreement, except as otherwise specified herein;</w:t>
      </w:r>
    </w:p>
    <w:p>
      <w:pPr>
        <w:spacing w:after="0" w:line="150" w:lineRule="exact"/>
        <w:rPr>
          <w:rFonts w:ascii="Arial" w:cs="Arial" w:eastAsia="Arial" w:hAnsi="Arial"/>
          <w:sz w:val="12"/>
          <w:szCs w:val="12"/>
          <w:color w:val="auto"/>
        </w:rPr>
      </w:pPr>
    </w:p>
    <w:p>
      <w:pPr>
        <w:jc w:val="both"/>
        <w:ind w:left="500" w:hanging="310"/>
        <w:spacing w:after="0" w:line="263" w:lineRule="auto"/>
        <w:tabs>
          <w:tab w:leader="none" w:pos="5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that any Holder electing to have a Registrable Security exchanged pursuant to the Exchange Offer will be required to (A) surrender such Registrable Security, together with the appropriate letters of transmittal, to the institution and at the address and in the manner specified in the notice, or (B) effect such exchange otherwise in compliance with the applicable procedures of the depositary for such Registrable Security, in each case prior to the close of business on the last Exchange Date; and</w:t>
      </w:r>
    </w:p>
    <w:p>
      <w:pPr>
        <w:spacing w:after="0" w:line="122" w:lineRule="exact"/>
        <w:rPr>
          <w:rFonts w:ascii="Arial" w:cs="Arial" w:eastAsia="Arial" w:hAnsi="Arial"/>
          <w:sz w:val="12"/>
          <w:szCs w:val="12"/>
          <w:color w:val="auto"/>
        </w:rPr>
      </w:pPr>
    </w:p>
    <w:p>
      <w:pPr>
        <w:jc w:val="both"/>
        <w:ind w:left="500" w:hanging="310"/>
        <w:spacing w:after="0" w:line="263" w:lineRule="auto"/>
        <w:tabs>
          <w:tab w:leader="none" w:pos="5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that any Holder will be entitled to withdraw its election, not later than the close of business on the last Exchange Date, by (A) sending to the institution and at the address specified in the notice, a telegram, facsimile transmission or letter setting forth the name of such Holder, the principal amount of Registrable Securities delivered for exchange and a statement that such Holder is withdrawing its election to have such Securities exchanged or (B) effecting such withdrawal in compliance with the applicable procedures of the depositary for the Registrable Securities.</w:t>
      </w:r>
    </w:p>
    <w:p>
      <w:pPr>
        <w:spacing w:after="0" w:line="12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As a condition to participating in the Exchange Offer, a Holder will be required to represent to the Company and the Guarantors that (i) any Exchange Securities to be received by it will be acquired in the ordinary course of its business, (ii) at the time of the commencement of the Exchange Offer it has no arrangement or understanding with any Person to participate in the distribution (within the meaning of the Securities Act) of the Exchange Securities in violation of the provisions of the Securities Act, (iii) it is not an “affiliate” (within the meaning of Rule 405 under the Securities Act) of the Company or any Guarantor and (iv) if such Holder is a broker-dealer that will receive Exchange Securities for its own account in exchange for Registrable Securities that were acquired as a result of market-making or other trading activities, then such Holder will deliver a Prospectus (or, to the extent permitted by law, make available a Prospectus to purchasers) in connection with any resale of such Exchange Securities.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soon as practicable after the last Exchange Date, the Company and the Guarantors shall:</w:t>
      </w:r>
    </w:p>
    <w:p>
      <w:pPr>
        <w:spacing w:after="0" w:line="123" w:lineRule="exact"/>
        <w:rPr>
          <w:sz w:val="20"/>
          <w:szCs w:val="20"/>
          <w:color w:val="auto"/>
        </w:rPr>
      </w:pPr>
    </w:p>
    <w:p>
      <w:pPr>
        <w:ind w:left="500" w:hanging="310"/>
        <w:spacing w:after="0"/>
        <w:tabs>
          <w:tab w:leader="none" w:pos="5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accept for exchange Registrable Securities or portions thereof validly tendered and not properly withdrawn pursuant to the Exchange Offer; and</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44" w:lineRule="exact"/>
        <w:rPr>
          <w:rFonts w:ascii="Arial" w:cs="Arial" w:eastAsia="Arial" w:hAnsi="Arial"/>
          <w:sz w:val="12"/>
          <w:szCs w:val="12"/>
          <w:color w:val="auto"/>
        </w:rPr>
      </w:pPr>
    </w:p>
    <w:p>
      <w:pPr>
        <w:ind w:left="5700"/>
        <w:spacing w:after="0"/>
        <w:rPr>
          <w:rFonts w:ascii="Arial" w:cs="Arial" w:eastAsia="Arial" w:hAnsi="Arial"/>
          <w:sz w:val="12"/>
          <w:szCs w:val="12"/>
          <w:color w:val="auto"/>
        </w:rPr>
      </w:pPr>
      <w:r>
        <w:rPr>
          <w:rFonts w:ascii="Arial" w:cs="Arial" w:eastAsia="Arial" w:hAnsi="Arial"/>
          <w:sz w:val="12"/>
          <w:szCs w:val="12"/>
          <w:color w:val="auto"/>
        </w:rPr>
        <w:t>4</w:t>
      </w:r>
    </w:p>
    <w:p>
      <w:pPr>
        <w:sectPr>
          <w:pgSz w:w="11900" w:h="16838" w:orient="portrait"/>
          <w:cols w:equalWidth="0" w:num="1">
            <w:col w:w="11480"/>
          </w:cols>
          <w:pgMar w:left="220" w:top="698" w:right="199" w:bottom="1440" w:gutter="0" w:footer="0" w:header="0"/>
        </w:sectPr>
      </w:pPr>
    </w:p>
    <w:bookmarkStart w:id="131" w:name="page132"/>
    <w:bookmarkEnd w:id="131"/>
    <w:p>
      <w:pPr>
        <w:ind w:left="500" w:hanging="310"/>
        <w:spacing w:after="0" w:line="276" w:lineRule="auto"/>
        <w:tabs>
          <w:tab w:leader="none" w:pos="5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deliver, or cause to be delivered, to the Trustee for cancellation all Registrable Securities or portions thereof so accepted for exchange by the Company and issue, and cause the Trustee to promptly authenticate and deliver to each Holder, Exchange Securities equal in principal amount to the principal amount of the Registrable Securities tendered by such Holder.</w:t>
      </w:r>
    </w:p>
    <w:p>
      <w:pPr>
        <w:spacing w:after="0" w:line="2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and the Guarantors shall use commercially reasonable efforts to complete the Exchange Offer as provided above and shall comply with the applicable requirements of the Securities Act, the Exchange Act and other applicable laws and regulations in connection with the Exchange Offer. The Exchange Offer shall not be subject to any conditions, other than that the Exchange Offer does not violate any applicable law or applicable interpretations of the Staff.</w:t>
      </w:r>
    </w:p>
    <w:p>
      <w:pPr>
        <w:spacing w:after="0" w:line="96" w:lineRule="exact"/>
        <w:rPr>
          <w:sz w:val="20"/>
          <w:szCs w:val="20"/>
          <w:color w:val="auto"/>
        </w:rPr>
      </w:pPr>
    </w:p>
    <w:p>
      <w:pPr>
        <w:jc w:val="both"/>
        <w:ind w:firstLine="208"/>
        <w:spacing w:after="0" w:line="283" w:lineRule="auto"/>
        <w:tabs>
          <w:tab w:leader="none" w:pos="389" w:val="left"/>
        </w:tabs>
        <w:numPr>
          <w:ilvl w:val="0"/>
          <w:numId w:val="121"/>
        </w:numPr>
        <w:rPr>
          <w:rFonts w:ascii="Arial" w:cs="Arial" w:eastAsia="Arial" w:hAnsi="Arial"/>
          <w:sz w:val="11"/>
          <w:szCs w:val="11"/>
          <w:color w:val="auto"/>
        </w:rPr>
      </w:pPr>
      <w:r>
        <w:rPr>
          <w:rFonts w:ascii="Arial" w:cs="Arial" w:eastAsia="Arial" w:hAnsi="Arial"/>
          <w:sz w:val="11"/>
          <w:szCs w:val="11"/>
          <w:color w:val="auto"/>
        </w:rPr>
        <w:t xml:space="preserve">In the event that (i) the Company and the Guarantors determine that the Exchange Offer Registration provided for in </w:t>
      </w:r>
      <w:r>
        <w:rPr>
          <w:rFonts w:ascii="Arial" w:cs="Arial" w:eastAsia="Arial" w:hAnsi="Arial"/>
          <w:sz w:val="11"/>
          <w:szCs w:val="11"/>
          <w:u w:val="single" w:color="auto"/>
          <w:color w:val="auto"/>
        </w:rPr>
        <w:t>Section 2(a)</w:t>
      </w:r>
      <w:r>
        <w:rPr>
          <w:rFonts w:ascii="Arial" w:cs="Arial" w:eastAsia="Arial" w:hAnsi="Arial"/>
          <w:sz w:val="11"/>
          <w:szCs w:val="11"/>
          <w:color w:val="auto"/>
        </w:rPr>
        <w:t xml:space="preserve"> above is not available or the Exchange Offer may not be completed as soon as practicable after the last Exchange Date because it would violate any applicable law or applicable interpretations of the Staff, (ii) the Exchange Offer is for any other reason not completed by April 4, 2019 or (iii) any Initial Purchaser shall so request in connection with any offer or sale of Registrable Securities (a “Shelf Request”), the Company and the Guarantors shall use commercially reasonable efforts to cause to be filed as soon as practicable after such determination, date or Shelf Request, as the case may be, a Shelf Registration Statement providing for the sale of all the Registrable Securities by the Holders thereof and to have such Shelf Registration Statement become effective; provided that no Holder will be entitled to have any Registrable Securities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the Company as is contemplated by </w:t>
      </w:r>
      <w:r>
        <w:rPr>
          <w:rFonts w:ascii="Arial" w:cs="Arial" w:eastAsia="Arial" w:hAnsi="Arial"/>
          <w:sz w:val="11"/>
          <w:szCs w:val="11"/>
          <w:u w:val="single" w:color="auto"/>
          <w:color w:val="auto"/>
        </w:rPr>
        <w:t>Section 3(b)</w:t>
      </w:r>
      <w:r>
        <w:rPr>
          <w:rFonts w:ascii="Arial" w:cs="Arial" w:eastAsia="Arial" w:hAnsi="Arial"/>
          <w:sz w:val="11"/>
          <w:szCs w:val="11"/>
          <w:color w:val="auto"/>
        </w:rPr>
        <w:t xml:space="preserve"> hereof.</w:t>
      </w:r>
    </w:p>
    <w:p>
      <w:pPr>
        <w:spacing w:after="0" w:line="23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 xml:space="preserve">In the event that the Company and the Guarantors are required to file a Shelf Registration Statement pursuant to clause (iii) of the preceding sentence, the Company and the Guarantors shall use commercially reasonable efforts to file and have declared effective by the SEC (or file and become effective automatically, as the case may be) both an Exchange Offer Registration Statement pursuant to </w:t>
      </w:r>
      <w:r>
        <w:rPr>
          <w:rFonts w:ascii="Arial" w:cs="Arial" w:eastAsia="Arial" w:hAnsi="Arial"/>
          <w:sz w:val="12"/>
          <w:szCs w:val="12"/>
          <w:u w:val="single" w:color="auto"/>
          <w:color w:val="auto"/>
        </w:rPr>
        <w:t>Section 2(a)</w:t>
      </w:r>
      <w:r>
        <w:rPr>
          <w:rFonts w:ascii="Arial" w:cs="Arial" w:eastAsia="Arial" w:hAnsi="Arial"/>
          <w:sz w:val="12"/>
          <w:szCs w:val="12"/>
          <w:color w:val="auto"/>
        </w:rPr>
        <w:t xml:space="preserve"> above with respect to all Registrable Securities and a Shelf Registration Statement (which may be a combined Registration Statement with the Exchange Offer Registration Statement) with respect to offers and sales of Registrable Securities held by the Initial Purchasers after completion of the Exchange Offer.</w:t>
      </w:r>
    </w:p>
    <w:p>
      <w:pPr>
        <w:spacing w:after="0" w:line="98"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The Company and the Guarantors agree to use commercially reasonable efforts to keep the Shelf Registration Statement continuously effective until the earlier of one year following the effective date of the Shelf Registration Statement and such time as all the Registrable Securities covered by the Shelf Registration Statement have been sold pursuant to the Shelf Registration Statement (the “Shelf Effectiveness Period”). The Company and the Guarantors further agree to supplement or amend the Shelf Registration 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Participating Holder with respect to information relating to such Holder, and, to the extent necessary, to use commercially reasonable efforts to cause any such amendment to become effective and such Shelf Registration Statement, Prospectus or Free Writing Prospectus, as the case may be, to become usable as soon as thereafter practicable. The Company and the Guarantors agree to furnish to the Participating Holders copies of any such supplement or amendment promptly after its being used or filed with the SEC.</w:t>
      </w:r>
    </w:p>
    <w:p>
      <w:pPr>
        <w:spacing w:after="0" w:line="87" w:lineRule="exact"/>
        <w:rPr>
          <w:sz w:val="20"/>
          <w:szCs w:val="20"/>
          <w:color w:val="auto"/>
        </w:rPr>
      </w:pPr>
    </w:p>
    <w:p>
      <w:pPr>
        <w:ind w:firstLine="208"/>
        <w:spacing w:after="0" w:line="276" w:lineRule="auto"/>
        <w:tabs>
          <w:tab w:leader="none" w:pos="395" w:val="left"/>
        </w:tabs>
        <w:numPr>
          <w:ilvl w:val="0"/>
          <w:numId w:val="122"/>
        </w:numPr>
        <w:rPr>
          <w:rFonts w:ascii="Arial" w:cs="Arial" w:eastAsia="Arial" w:hAnsi="Arial"/>
          <w:sz w:val="12"/>
          <w:szCs w:val="12"/>
          <w:color w:val="auto"/>
        </w:rPr>
      </w:pPr>
      <w:r>
        <w:rPr>
          <w:rFonts w:ascii="Arial" w:cs="Arial" w:eastAsia="Arial" w:hAnsi="Arial"/>
          <w:sz w:val="12"/>
          <w:szCs w:val="12"/>
          <w:color w:val="auto"/>
        </w:rPr>
        <w:t xml:space="preserve">The Company and the Guarantors shall pay all Registration Expenses in connection with any registration pursuant to </w:t>
      </w:r>
      <w:r>
        <w:rPr>
          <w:rFonts w:ascii="Arial" w:cs="Arial" w:eastAsia="Arial" w:hAnsi="Arial"/>
          <w:sz w:val="12"/>
          <w:szCs w:val="12"/>
          <w:u w:val="single" w:color="auto"/>
          <w:color w:val="auto"/>
        </w:rPr>
        <w:t>Section 2(a)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2(b)</w:t>
      </w:r>
      <w:r>
        <w:rPr>
          <w:rFonts w:ascii="Arial" w:cs="Arial" w:eastAsia="Arial" w:hAnsi="Arial"/>
          <w:sz w:val="12"/>
          <w:szCs w:val="12"/>
          <w:color w:val="auto"/>
        </w:rPr>
        <w:t xml:space="preserve"> hereof. Each Holder shall pay all underwriting discounts and commissions, brokerage commissions and transfer taxes, if any, relating to the sale or disposition of such Holder’s Registrable Securities pursuant to the Shelf Registration Statement.</w:t>
      </w:r>
    </w:p>
    <w:p>
      <w:pPr>
        <w:spacing w:after="0" w:line="114" w:lineRule="exact"/>
        <w:rPr>
          <w:rFonts w:ascii="Arial" w:cs="Arial" w:eastAsia="Arial" w:hAnsi="Arial"/>
          <w:sz w:val="12"/>
          <w:szCs w:val="12"/>
          <w:color w:val="auto"/>
        </w:rPr>
      </w:pPr>
    </w:p>
    <w:p>
      <w:pPr>
        <w:ind w:right="20" w:firstLine="208"/>
        <w:spacing w:after="0" w:line="323" w:lineRule="auto"/>
        <w:tabs>
          <w:tab w:leader="none" w:pos="393" w:val="left"/>
        </w:tabs>
        <w:numPr>
          <w:ilvl w:val="0"/>
          <w:numId w:val="122"/>
        </w:numPr>
        <w:rPr>
          <w:rFonts w:ascii="Arial" w:cs="Arial" w:eastAsia="Arial" w:hAnsi="Arial"/>
          <w:sz w:val="11"/>
          <w:szCs w:val="11"/>
          <w:color w:val="auto"/>
        </w:rPr>
      </w:pPr>
      <w:r>
        <w:rPr>
          <w:rFonts w:ascii="Arial" w:cs="Arial" w:eastAsia="Arial" w:hAnsi="Arial"/>
          <w:sz w:val="11"/>
          <w:szCs w:val="11"/>
          <w:color w:val="auto"/>
        </w:rPr>
        <w:t xml:space="preserve">An Exchange Offer Registration Statement pursuant to </w:t>
      </w:r>
      <w:r>
        <w:rPr>
          <w:rFonts w:ascii="Arial" w:cs="Arial" w:eastAsia="Arial" w:hAnsi="Arial"/>
          <w:sz w:val="11"/>
          <w:szCs w:val="11"/>
          <w:u w:val="single" w:color="auto"/>
          <w:color w:val="auto"/>
        </w:rPr>
        <w:t>Section 2(a)</w:t>
      </w:r>
      <w:r>
        <w:rPr>
          <w:rFonts w:ascii="Arial" w:cs="Arial" w:eastAsia="Arial" w:hAnsi="Arial"/>
          <w:sz w:val="11"/>
          <w:szCs w:val="11"/>
          <w:color w:val="auto"/>
        </w:rPr>
        <w:t xml:space="preserve"> hereof will not be deemed to have become effective unless it has been declared effective by the SEC. A Shelf Registration Statement pursuant to </w:t>
      </w:r>
      <w:r>
        <w:rPr>
          <w:rFonts w:ascii="Arial" w:cs="Arial" w:eastAsia="Arial" w:hAnsi="Arial"/>
          <w:sz w:val="11"/>
          <w:szCs w:val="11"/>
          <w:u w:val="single" w:color="auto"/>
          <w:color w:val="auto"/>
        </w:rPr>
        <w:t>Section 2(b)</w:t>
      </w:r>
      <w:r>
        <w:rPr>
          <w:rFonts w:ascii="Arial" w:cs="Arial" w:eastAsia="Arial" w:hAnsi="Arial"/>
          <w:sz w:val="11"/>
          <w:szCs w:val="11"/>
          <w:color w:val="auto"/>
        </w:rPr>
        <w:t xml:space="preserve"> hereof will not be deemed to have become effective unless it has been declared effective by the SEC or is automatically effective upon filing with the SEC as provided by Rule 462 under the Securities Act.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437" w:right="199" w:bottom="1440" w:gutter="0" w:footer="0" w:header="0"/>
        </w:sectPr>
      </w:pPr>
    </w:p>
    <w:bookmarkStart w:id="132" w:name="page133"/>
    <w:bookmarkEnd w:id="132"/>
    <w:p>
      <w:pPr>
        <w:jc w:val="both"/>
        <w:ind w:firstLine="216"/>
        <w:spacing w:after="0" w:line="259" w:lineRule="auto"/>
        <w:rPr>
          <w:sz w:val="20"/>
          <w:szCs w:val="20"/>
          <w:color w:val="auto"/>
        </w:rPr>
      </w:pPr>
      <w:r>
        <w:rPr>
          <w:rFonts w:ascii="Arial" w:cs="Arial" w:eastAsia="Arial" w:hAnsi="Arial"/>
          <w:sz w:val="12"/>
          <w:szCs w:val="12"/>
          <w:color w:val="auto"/>
        </w:rPr>
        <w:t>In the event that either the Exchange Offer is not completed or the Shelf Registration Statement, if required hereby, is not declared effective (or does not automatically become effective) on or prior to April 4, 2019, the Company will pay liquidated damages to Holders of Registrable Securities with the effect that the interest rate on the Registrable Securities will be increased by 1.00% per annum until the Exchange Offer is completed or the Shelf Registration Statement, if required hereby, is declared effective by the SEC (or becomes automatically effective). All liquidated damages will be paid by the Company on the next scheduled interest payment date in the same manner as interest is paid on the Securities under the Indenture.</w:t>
      </w:r>
    </w:p>
    <w:p>
      <w:pPr>
        <w:spacing w:after="0" w:line="98"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If the Shelf Registration Statement, if required hereby, has been declared effective or automatically becomes effective, as the case may be, and thereafter either ceases to be effective or the Prospectus contained therein ceases to be usable at any time during the Shelf Effectiveness Period, and such failure to remain effective or usable exists for more than 30 days (whether or not consecutive) in any 12-month period, unless such failure to remain effective or usable relates or is directly attributable to an acquisition or disposition being undertaken by the Company then the Company will pay liquidated damages to the Holders of Registrable Securities with the effect that the interest rate on the Registrable Securities will be increased by 1.00% per annum commencing on the 31st day in such 12-month period and ending on such date that the Shelf Registration Statement has again been declared (or automatically becomes) effective or the Prospectus again becomes usable.</w:t>
      </w:r>
    </w:p>
    <w:p>
      <w:pPr>
        <w:spacing w:after="0" w:line="99" w:lineRule="exact"/>
        <w:rPr>
          <w:sz w:val="20"/>
          <w:szCs w:val="20"/>
          <w:color w:val="auto"/>
        </w:rPr>
      </w:pPr>
    </w:p>
    <w:p>
      <w:pPr>
        <w:jc w:val="both"/>
        <w:ind w:firstLine="208"/>
        <w:spacing w:after="0" w:line="290" w:lineRule="auto"/>
        <w:tabs>
          <w:tab w:leader="none" w:pos="386" w:val="left"/>
        </w:tabs>
        <w:numPr>
          <w:ilvl w:val="0"/>
          <w:numId w:val="123"/>
        </w:numPr>
        <w:rPr>
          <w:rFonts w:ascii="Arial" w:cs="Arial" w:eastAsia="Arial" w:hAnsi="Arial"/>
          <w:sz w:val="11"/>
          <w:szCs w:val="11"/>
          <w:color w:val="auto"/>
        </w:rPr>
      </w:pPr>
      <w:r>
        <w:rPr>
          <w:rFonts w:ascii="Arial" w:cs="Arial" w:eastAsia="Arial" w:hAnsi="Arial"/>
          <w:sz w:val="11"/>
          <w:szCs w:val="11"/>
          <w:color w:val="auto"/>
        </w:rPr>
        <w:t xml:space="preserve">Without limiting the remedies available to the Initial Purchasers and the Holders, the Company and the Guarantors acknowledge that any failure by the Company or the Guarantors to comply with their obligations under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2(a)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2(b)</w:t>
      </w:r>
      <w:r>
        <w:rPr>
          <w:rFonts w:ascii="Arial" w:cs="Arial" w:eastAsia="Arial" w:hAnsi="Arial"/>
          <w:sz w:val="11"/>
          <w:szCs w:val="11"/>
          <w:color w:val="auto"/>
        </w:rPr>
        <w:t xml:space="preserve"> hereof may result in material irreparable injury to the Initial Purchasers or the Holders for which there is no adequate remedy at law, that it will not be possible to measure damages for such injuries precisely and that, in the event of any such failure, any Initial Purchaser or any Holder may obtain such relief as may be required to specifically enforce the Company’s and the Guarantors’ obligations under </w:t>
      </w:r>
      <w:r>
        <w:rPr>
          <w:rFonts w:ascii="Arial" w:cs="Arial" w:eastAsia="Arial" w:hAnsi="Arial"/>
          <w:sz w:val="11"/>
          <w:szCs w:val="11"/>
          <w:u w:val="single" w:color="auto"/>
          <w:color w:val="auto"/>
        </w:rPr>
        <w:t>Section 2(a)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2(b)</w:t>
      </w:r>
      <w:r>
        <w:rPr>
          <w:rFonts w:ascii="Arial" w:cs="Arial" w:eastAsia="Arial" w:hAnsi="Arial"/>
          <w:sz w:val="11"/>
          <w:szCs w:val="11"/>
          <w:color w:val="auto"/>
        </w:rPr>
        <w:t xml:space="preserve"> hereof. The provisions for liquidated damages set forth in </w:t>
      </w:r>
      <w:r>
        <w:rPr>
          <w:rFonts w:ascii="Arial" w:cs="Arial" w:eastAsia="Arial" w:hAnsi="Arial"/>
          <w:sz w:val="11"/>
          <w:szCs w:val="11"/>
          <w:u w:val="single" w:color="auto"/>
          <w:color w:val="auto"/>
        </w:rPr>
        <w:t>Section 2(d)</w:t>
      </w:r>
      <w:r>
        <w:rPr>
          <w:rFonts w:ascii="Arial" w:cs="Arial" w:eastAsia="Arial" w:hAnsi="Arial"/>
          <w:sz w:val="11"/>
          <w:szCs w:val="11"/>
          <w:color w:val="auto"/>
        </w:rPr>
        <w:t xml:space="preserve"> above shall be the only monetary remedy available to the Holders under this Agreement.</w:t>
      </w:r>
    </w:p>
    <w:p>
      <w:pPr>
        <w:spacing w:after="0" w:line="127" w:lineRule="exact"/>
        <w:rPr>
          <w:sz w:val="20"/>
          <w:szCs w:val="20"/>
          <w:color w:val="auto"/>
        </w:rPr>
      </w:pPr>
    </w:p>
    <w:p>
      <w:pPr>
        <w:ind w:left="520" w:hanging="312"/>
        <w:spacing w:after="0"/>
        <w:tabs>
          <w:tab w:leader="none" w:pos="520" w:val="left"/>
        </w:tabs>
        <w:numPr>
          <w:ilvl w:val="0"/>
          <w:numId w:val="124"/>
        </w:numPr>
        <w:rPr>
          <w:rFonts w:ascii="Arial" w:cs="Arial" w:eastAsia="Arial" w:hAnsi="Arial"/>
          <w:sz w:val="12"/>
          <w:szCs w:val="12"/>
          <w:color w:val="auto"/>
        </w:rPr>
      </w:pPr>
      <w:r>
        <w:rPr>
          <w:rFonts w:ascii="Arial" w:cs="Arial" w:eastAsia="Arial" w:hAnsi="Arial"/>
          <w:sz w:val="12"/>
          <w:szCs w:val="12"/>
          <w:u w:val="single" w:color="auto"/>
          <w:color w:val="auto"/>
        </w:rPr>
        <w:t>Registration Procedures</w:t>
      </w:r>
      <w:r>
        <w:rPr>
          <w:rFonts w:ascii="Arial" w:cs="Arial" w:eastAsia="Arial" w:hAnsi="Arial"/>
          <w:sz w:val="12"/>
          <w:szCs w:val="12"/>
          <w:color w:val="auto"/>
        </w:rPr>
        <w:t xml:space="preserve">. (a) In connection with their obligations pursuant to </w:t>
      </w:r>
      <w:r>
        <w:rPr>
          <w:rFonts w:ascii="Arial" w:cs="Arial" w:eastAsia="Arial" w:hAnsi="Arial"/>
          <w:sz w:val="12"/>
          <w:szCs w:val="12"/>
          <w:u w:val="single" w:color="auto"/>
          <w:color w:val="auto"/>
        </w:rPr>
        <w:t>Section 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2(b)</w:t>
      </w:r>
      <w:r>
        <w:rPr>
          <w:rFonts w:ascii="Arial" w:cs="Arial" w:eastAsia="Arial" w:hAnsi="Arial"/>
          <w:sz w:val="12"/>
          <w:szCs w:val="12"/>
          <w:color w:val="auto"/>
        </w:rPr>
        <w:t xml:space="preserve"> hereof, the Company and the Guarantors shall as expeditiously as possible:</w:t>
      </w:r>
    </w:p>
    <w:p>
      <w:pPr>
        <w:spacing w:after="0" w:line="159" w:lineRule="exact"/>
        <w:rPr>
          <w:sz w:val="20"/>
          <w:szCs w:val="20"/>
          <w:color w:val="auto"/>
        </w:rPr>
      </w:pPr>
    </w:p>
    <w:p>
      <w:pPr>
        <w:jc w:val="both"/>
        <w:ind w:left="500" w:hanging="310"/>
        <w:spacing w:after="0" w:line="298" w:lineRule="auto"/>
        <w:tabs>
          <w:tab w:leader="none" w:pos="50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 xml:space="preserve">prepare and file with the SEC a Registration Statement on the appropriate form under the Securities Act, which form (x) shall be selected by the Company and the Guarantors, (y) shall, in the case of a Shelf Registration, be available for the sale of the Registrable Securities by the Participating Holders thereof and (z) shall comply as to form in all material respects with the requirements of the applicable form and include all financial statements required by the SEC to be filed therewith; and use commercially reasonable efforts to cause such Registration Statement to become effective and remain effective for the applicable period in accordance with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hereof;</w:t>
      </w:r>
    </w:p>
    <w:p>
      <w:pPr>
        <w:spacing w:after="0" w:line="105" w:lineRule="exact"/>
        <w:rPr>
          <w:rFonts w:ascii="Arial" w:cs="Arial" w:eastAsia="Arial" w:hAnsi="Arial"/>
          <w:sz w:val="11"/>
          <w:szCs w:val="11"/>
          <w:color w:val="auto"/>
        </w:rPr>
      </w:pPr>
    </w:p>
    <w:p>
      <w:pPr>
        <w:jc w:val="both"/>
        <w:ind w:left="500" w:hanging="310"/>
        <w:spacing w:after="0" w:line="298" w:lineRule="auto"/>
        <w:tabs>
          <w:tab w:leader="none" w:pos="50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 xml:space="preserve">prepare and file with the SEC such amendments and post-effective amendments to each Registration Statement as may be necessary to keep such Registration Statement effective for the applicable period in accordance with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hereof and cause each Prospectus to be supplemented by any required prospectus supplement and, as so supplemented, to be filed pursuant to Rule 424 under the Securities Act; and keep each Prospectus current during the period described in </w:t>
      </w:r>
      <w:r>
        <w:rPr>
          <w:rFonts w:ascii="Arial" w:cs="Arial" w:eastAsia="Arial" w:hAnsi="Arial"/>
          <w:sz w:val="11"/>
          <w:szCs w:val="11"/>
          <w:u w:val="single" w:color="auto"/>
          <w:color w:val="auto"/>
        </w:rPr>
        <w:t>Section 4(a)(3)</w:t>
      </w:r>
      <w:r>
        <w:rPr>
          <w:rFonts w:ascii="Arial" w:cs="Arial" w:eastAsia="Arial" w:hAnsi="Arial"/>
          <w:sz w:val="11"/>
          <w:szCs w:val="11"/>
          <w:color w:val="auto"/>
        </w:rPr>
        <w:t xml:space="preserve"> of Rule 174 under the Securities Act that is applicable to transactions by brokers or dealers with respect to the Registrable Securities or Exchange Securities;</w:t>
      </w:r>
    </w:p>
    <w:p>
      <w:pPr>
        <w:spacing w:after="0" w:line="105" w:lineRule="exact"/>
        <w:rPr>
          <w:rFonts w:ascii="Arial" w:cs="Arial" w:eastAsia="Arial" w:hAnsi="Arial"/>
          <w:sz w:val="11"/>
          <w:szCs w:val="11"/>
          <w:color w:val="auto"/>
        </w:rPr>
      </w:pPr>
    </w:p>
    <w:p>
      <w:pPr>
        <w:ind w:left="500" w:right="20" w:hanging="310"/>
        <w:spacing w:after="0" w:line="276" w:lineRule="auto"/>
        <w:tabs>
          <w:tab w:leader="none" w:pos="5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to the extent any Free Writing Prospectus is used, file with the SEC any Free Writing Prospectus that is required to be filed by the Company or the Guarantors with the SEC in accordance with the Securities Act and to retain any Free Writing Prospectus not required to be filed;</w:t>
      </w:r>
    </w:p>
    <w:p>
      <w:pPr>
        <w:spacing w:after="0" w:line="114" w:lineRule="exact"/>
        <w:rPr>
          <w:rFonts w:ascii="Arial" w:cs="Arial" w:eastAsia="Arial" w:hAnsi="Arial"/>
          <w:sz w:val="12"/>
          <w:szCs w:val="12"/>
          <w:color w:val="auto"/>
        </w:rPr>
      </w:pPr>
    </w:p>
    <w:p>
      <w:pPr>
        <w:jc w:val="both"/>
        <w:ind w:left="500" w:hanging="310"/>
        <w:spacing w:after="0" w:line="255" w:lineRule="auto"/>
        <w:tabs>
          <w:tab w:leader="none" w:pos="5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 xml:space="preserve">in the case of a Shelf Registration, furnish to each Participating Holder, to counsel for the Initial Purchasers, to counsel for such Participating Holders and to each Underwriter of an Underwritten Offering of Registrable Securities, if any, without charge, as many copies of each Prospectus, including each preliminary prospectus or Free Writing Prospectus, and any amendment or supplement thereto, as such Participating Holder, counsel or Underwriter may reasonably request in order to facilitate the sale or other disposition of the Registrable Securities thereunder; and, subject to </w:t>
      </w:r>
      <w:r>
        <w:rPr>
          <w:rFonts w:ascii="Arial" w:cs="Arial" w:eastAsia="Arial" w:hAnsi="Arial"/>
          <w:sz w:val="12"/>
          <w:szCs w:val="12"/>
          <w:u w:val="single" w:color="auto"/>
          <w:color w:val="auto"/>
        </w:rPr>
        <w:t>Section 3(c)</w:t>
      </w:r>
      <w:r>
        <w:rPr>
          <w:rFonts w:ascii="Arial" w:cs="Arial" w:eastAsia="Arial" w:hAnsi="Arial"/>
          <w:sz w:val="12"/>
          <w:szCs w:val="12"/>
          <w:color w:val="auto"/>
        </w:rPr>
        <w:t xml:space="preserve"> below, the Company and the Guarantors’ consent to the use of such Prospectus, preliminary prospectus or such Free Writing Prospectus and any amendment or supplement thereto in accordance with applicable law by each of the Participating Holders and any such Underwriters in connection with the offering and sale of the Registrable Securities covered by and in the manner described in such Prospectus, preliminary prospectus or such Free Writing Prospectus or any amendment or supplement thereto in accordance with applicable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842" w:right="199" w:bottom="1440" w:gutter="0" w:footer="0" w:header="0"/>
        </w:sectPr>
      </w:pPr>
    </w:p>
    <w:bookmarkStart w:id="133" w:name="page134"/>
    <w:bookmarkEnd w:id="133"/>
    <w:p>
      <w:pPr>
        <w:jc w:val="both"/>
        <w:ind w:left="310" w:hanging="310"/>
        <w:spacing w:after="0" w:line="257" w:lineRule="auto"/>
        <w:tabs>
          <w:tab w:leader="none" w:pos="31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use commercially reasonable efforts to register or qualify the Registrable Securities under all applicable state securities or blue sky laws of such jurisdictions as any Participating Holder shall reasonably request in writing by the time the applicable Registration Statement becomes effective; cooperate with such Participating Holders in connection with any filings required to be made with FINRA, and do any and all other acts and things that may be reasonably necessary or advisable to enable each Participating Holder to complete the disposition in each such jurisdiction of the Registrable Securities owned by such Participating Holder; provided that neither the Company nor any Guarantor shall be required to (1) qualify as a foreign corporation or other entity or as a dealer in securities in any such jurisdiction where it would not otherwise be required to so qualify, (2) file any general consent to service of process in any such jurisdiction or (3) subject itself to taxation in any such jurisdiction if it is not so subject;</w:t>
      </w:r>
    </w:p>
    <w:p>
      <w:pPr>
        <w:spacing w:after="0" w:line="125" w:lineRule="exact"/>
        <w:rPr>
          <w:rFonts w:ascii="Arial" w:cs="Arial" w:eastAsia="Arial" w:hAnsi="Arial"/>
          <w:sz w:val="12"/>
          <w:szCs w:val="12"/>
          <w:color w:val="auto"/>
        </w:rPr>
      </w:pPr>
    </w:p>
    <w:p>
      <w:pPr>
        <w:jc w:val="both"/>
        <w:ind w:left="310" w:hanging="310"/>
        <w:spacing w:after="0" w:line="278" w:lineRule="auto"/>
        <w:tabs>
          <w:tab w:leader="none" w:pos="310" w:val="left"/>
        </w:tabs>
        <w:numPr>
          <w:ilvl w:val="0"/>
          <w:numId w:val="126"/>
        </w:numPr>
        <w:rPr>
          <w:rFonts w:ascii="Arial" w:cs="Arial" w:eastAsia="Arial" w:hAnsi="Arial"/>
          <w:sz w:val="11"/>
          <w:szCs w:val="11"/>
          <w:color w:val="auto"/>
        </w:rPr>
      </w:pPr>
      <w:r>
        <w:rPr>
          <w:rFonts w:ascii="Arial" w:cs="Arial" w:eastAsia="Arial" w:hAnsi="Arial"/>
          <w:sz w:val="11"/>
          <w:szCs w:val="11"/>
          <w:color w:val="auto"/>
        </w:rPr>
        <w:t>notify counsel for the Initial Purchasers and, in the case of a Shelf Registration, notify each Participating Holder and counsel for such Participating Holders promptly and, if requested by any such Participating Holder or counsel, confirm such advice in writing (1) when a Registration Statement has become effective, when any post-effective amendment thereto has been filed and becomes effective, when any Free Writing Prospectus has been filed or any amendment or supplement to the Prospectus or any Free Writing Prospectus has been filed, (2) of any request by the SEC or any state securities authority for amendments and supplements to a Registration Statement, Prospectus or any Free Writing Prospectus or for additional information after the Registration Statement has become effective, (3) of the issuance by the SEC or any state securities authority of any stop order suspending the effectiveness of a 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(4) if, between the applicable effective date of a Shelf Registration Statement and the closing of any sale of Registrable Securities covered thereby, the representations and warranties of the Company or any Guarantor contained in any underwriting agreement, securities sales agreement or other similar agreement, if any, relating to an offering of such Registrable Securities cease to be true and correct in all material respects or if the Company or any Guarantor receives any notification with respect to the suspension of the qualification of the Registrable Securities for sale in any jurisdiction or the initiation of any proceeding for such purpose, (5) of the happening of any event during the period a Registration Statement is effective that makes any statement made in such Registration Statement or the related Prospectus or any Free Writing Prospectus untrue in any material respect or that requires the making of any changes in such Registration Statement or Prospectus or any Free Writing Prospectus in order to make the statements therein, in the light of the circumstances in which they were made in the case of the Prospectus or any Free Writing Prospectus, not misleading and (6) of any determination by the Company or any Guarantor that a post-effective amendment to a Registration Statement or any amendment or supplement to the Prospectus or any Free Writing Prospectus would be appropriate;</w:t>
      </w:r>
    </w:p>
    <w:p>
      <w:pPr>
        <w:spacing w:after="0" w:line="115" w:lineRule="exact"/>
        <w:rPr>
          <w:rFonts w:ascii="Arial" w:cs="Arial" w:eastAsia="Arial" w:hAnsi="Arial"/>
          <w:sz w:val="11"/>
          <w:szCs w:val="11"/>
          <w:color w:val="auto"/>
        </w:rPr>
      </w:pPr>
    </w:p>
    <w:p>
      <w:pPr>
        <w:jc w:val="both"/>
        <w:ind w:left="310" w:hanging="310"/>
        <w:spacing w:after="0" w:line="263" w:lineRule="auto"/>
        <w:tabs>
          <w:tab w:leader="none" w:pos="31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use commercially reasonable efforts to obtain the withdrawal of any order suspending the effectiveness of a Registration Statement or, in the case of a Shelf Registration, the resolution of any objection of the SEC pursuant to Rule 401(g)(2) under the Securities Act, including by filing an amendment to such Registration Statement on the proper form, at the earliest practicable moment and provide immediate notice to each Holder or Participating Holder of the withdrawal of any such order or such resolution;</w:t>
      </w:r>
    </w:p>
    <w:p>
      <w:pPr>
        <w:spacing w:after="0" w:line="122" w:lineRule="exact"/>
        <w:rPr>
          <w:rFonts w:ascii="Arial" w:cs="Arial" w:eastAsia="Arial" w:hAnsi="Arial"/>
          <w:sz w:val="12"/>
          <w:szCs w:val="12"/>
          <w:color w:val="auto"/>
        </w:rPr>
      </w:pPr>
    </w:p>
    <w:p>
      <w:pPr>
        <w:ind w:left="310" w:hanging="310"/>
        <w:spacing w:after="0" w:line="276" w:lineRule="auto"/>
        <w:tabs>
          <w:tab w:leader="none" w:pos="31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in the case of a Shelf Registration, furnish or make available to each Participating Holder, without charge, at least one conformed copy of each Registration Statement and any post-effective amendment thereto (without any documents incorporated therein by reference or exhibits thereto, unless requested);</w:t>
      </w:r>
    </w:p>
    <w:p>
      <w:pPr>
        <w:spacing w:after="0" w:line="114" w:lineRule="exact"/>
        <w:rPr>
          <w:rFonts w:ascii="Arial" w:cs="Arial" w:eastAsia="Arial" w:hAnsi="Arial"/>
          <w:sz w:val="12"/>
          <w:szCs w:val="12"/>
          <w:color w:val="auto"/>
        </w:rPr>
      </w:pPr>
    </w:p>
    <w:p>
      <w:pPr>
        <w:jc w:val="both"/>
        <w:ind w:left="310" w:hanging="310"/>
        <w:spacing w:after="0" w:line="263" w:lineRule="auto"/>
        <w:tabs>
          <w:tab w:leader="none" w:pos="31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in the case of a Shelf Registration, cooperate with the Participating Holders to facilitate the timely preparation and delivery of certificates representing Registrable Securities to be sold and not bearing any restrictive legends and enable such Registrable Securities to be issued in such denominations and registered in such names (consistent with the provisions of the Indenture) as such Participating Holders may reasonably request at least one Business Day prior to the closing of any sale of Registrable Securities;</w:t>
      </w:r>
    </w:p>
    <w:p>
      <w:pPr>
        <w:spacing w:after="0" w:line="141" w:lineRule="exact"/>
        <w:rPr>
          <w:sz w:val="20"/>
          <w:szCs w:val="20"/>
          <w:color w:val="auto"/>
        </w:rPr>
      </w:pPr>
    </w:p>
    <w:p>
      <w:pPr>
        <w:jc w:val="center"/>
        <w:ind w:right="19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90"/>
          </w:cols>
          <w:pgMar w:left="410" w:top="437" w:right="199" w:bottom="1440" w:gutter="0" w:footer="0" w:header="0"/>
        </w:sectPr>
      </w:pPr>
    </w:p>
    <w:bookmarkStart w:id="134" w:name="page135"/>
    <w:bookmarkEnd w:id="134"/>
    <w:p>
      <w:pPr>
        <w:jc w:val="both"/>
        <w:ind w:left="310" w:hanging="310"/>
        <w:spacing w:after="0" w:line="312" w:lineRule="auto"/>
        <w:tabs>
          <w:tab w:leader="none" w:pos="310" w:val="left"/>
        </w:tabs>
        <w:numPr>
          <w:ilvl w:val="0"/>
          <w:numId w:val="127"/>
        </w:numPr>
        <w:rPr>
          <w:rFonts w:ascii="Arial" w:cs="Arial" w:eastAsia="Arial" w:hAnsi="Arial"/>
          <w:sz w:val="10"/>
          <w:szCs w:val="10"/>
          <w:color w:val="auto"/>
        </w:rPr>
      </w:pPr>
      <w:r>
        <w:rPr>
          <w:rFonts w:ascii="Arial" w:cs="Arial" w:eastAsia="Arial" w:hAnsi="Arial"/>
          <w:sz w:val="10"/>
          <w:szCs w:val="10"/>
          <w:color w:val="auto"/>
        </w:rPr>
        <w:t xml:space="preserve">upon the occurrence of any event contemplated by </w:t>
      </w:r>
      <w:r>
        <w:rPr>
          <w:rFonts w:ascii="Arial" w:cs="Arial" w:eastAsia="Arial" w:hAnsi="Arial"/>
          <w:sz w:val="10"/>
          <w:szCs w:val="10"/>
          <w:u w:val="single" w:color="auto"/>
          <w:color w:val="auto"/>
        </w:rPr>
        <w:t>Section 3(a)(vi)(5)</w:t>
      </w:r>
      <w:r>
        <w:rPr>
          <w:rFonts w:ascii="Arial" w:cs="Arial" w:eastAsia="Arial" w:hAnsi="Arial"/>
          <w:sz w:val="10"/>
          <w:szCs w:val="10"/>
          <w:color w:val="auto"/>
        </w:rPr>
        <w:t xml:space="preserve"> hereof, use commercially reasonable efforts to prepare and file with the SEC a supplement or post-effective amendment to the Exchange Offer Registration Statement or Shelf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Securities,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and the Guarantors shall notify the Participating Holders (in the case of a Shelf Registration Statement) and the Initial Purchasers and any Participating Broker-Dealers known to the Company (in the case of the Exchange Offer Registration Statement) to suspend use of the Prospectus or any Free Writing Prospectus as promptly as practicable after the occurrence of such an event, and such Participating Holders, such Participating Broker-Dealers and the Initial Purchasers, as applicable, hereby agree to suspend use of the Prospectus or any Free Writing Prospectus, as the case may be, until the Company and the Guarantors have amended or supplemented the Prospectus or the Free Writing Prospectus, as the case may be, to correct such misstatement or omission; provided that the obligations under this </w:t>
      </w:r>
      <w:r>
        <w:rPr>
          <w:rFonts w:ascii="Arial" w:cs="Arial" w:eastAsia="Arial" w:hAnsi="Arial"/>
          <w:sz w:val="10"/>
          <w:szCs w:val="10"/>
          <w:u w:val="single" w:color="auto"/>
          <w:color w:val="auto"/>
        </w:rPr>
        <w:t>Section 3(a)(x)</w:t>
      </w:r>
      <w:r>
        <w:rPr>
          <w:rFonts w:ascii="Arial" w:cs="Arial" w:eastAsia="Arial" w:hAnsi="Arial"/>
          <w:sz w:val="10"/>
          <w:szCs w:val="10"/>
          <w:color w:val="auto"/>
        </w:rPr>
        <w:t xml:space="preserve"> with respect to the Exchange Offer Registration Statement shall terminate at the end of the period set forth in </w:t>
      </w:r>
      <w:r>
        <w:rPr>
          <w:rFonts w:ascii="Arial" w:cs="Arial" w:eastAsia="Arial" w:hAnsi="Arial"/>
          <w:sz w:val="10"/>
          <w:szCs w:val="10"/>
          <w:u w:val="single" w:color="auto"/>
          <w:color w:val="auto"/>
        </w:rPr>
        <w:t>Section 2(a)(ii)</w:t>
      </w:r>
      <w:r>
        <w:rPr>
          <w:rFonts w:ascii="Arial" w:cs="Arial" w:eastAsia="Arial" w:hAnsi="Arial"/>
          <w:sz w:val="10"/>
          <w:szCs w:val="10"/>
          <w:color w:val="auto"/>
        </w:rPr>
        <w:t xml:space="preserve"> hereof;</w:t>
      </w:r>
    </w:p>
    <w:p>
      <w:pPr>
        <w:spacing w:after="0" w:line="101" w:lineRule="exact"/>
        <w:rPr>
          <w:rFonts w:ascii="Arial" w:cs="Arial" w:eastAsia="Arial" w:hAnsi="Arial"/>
          <w:sz w:val="10"/>
          <w:szCs w:val="10"/>
          <w:color w:val="auto"/>
        </w:rPr>
      </w:pPr>
    </w:p>
    <w:p>
      <w:pPr>
        <w:jc w:val="both"/>
        <w:ind w:left="310" w:hanging="310"/>
        <w:spacing w:after="0" w:line="316" w:lineRule="auto"/>
        <w:tabs>
          <w:tab w:leader="none" w:pos="310" w:val="left"/>
        </w:tabs>
        <w:numPr>
          <w:ilvl w:val="0"/>
          <w:numId w:val="127"/>
        </w:numPr>
        <w:rPr>
          <w:rFonts w:ascii="Arial" w:cs="Arial" w:eastAsia="Arial" w:hAnsi="Arial"/>
          <w:sz w:val="10"/>
          <w:szCs w:val="10"/>
          <w:color w:val="auto"/>
        </w:rPr>
      </w:pPr>
      <w:r>
        <w:rPr>
          <w:rFonts w:ascii="Arial" w:cs="Arial" w:eastAsia="Arial" w:hAnsi="Arial"/>
          <w:sz w:val="10"/>
          <w:szCs w:val="10"/>
          <w:color w:val="auto"/>
        </w:rPr>
        <w:t>a reasonable time prior to the filing of any Registration Statement, any Prospectus, any Free Writing Prospectus, any amendment to a Registration Statement or amendment or supplement to a Prospectus or a Free Writing Prospectus, provide copies of such document to the Initial Purchasers and their counsel (and, in the case of a Shelf Registration Statement, to the Participating Holders and their counsel) and make such of the representatives of the Company and the Guarantors as shall be reasonably requested by the Initial Purchasers or their counsel (and, in the case of a Shelf Registration Statement, the Participating Holders or their counsel) available for discussion of such document; and the Company and the Guarantors shall not, at any time after initial filing of a Registration Statement, use or file any Prospectus, any Free Writing Prospectus, any amendment of or supplement to a Registration Statement, a Prospectus or a Free Writing Prospectus, of which the Initial Purchasers and their counsel (and, in the case of a Shelf Registration Statement, the Participating Holders and their counsel) shall not have previously been advised and furnished a copy or to which the Initial Purchasers or their counsel (and, in the case of a Shelf Registration Statement, the Participating Holders or their counsel) shall reasonably object;</w:t>
      </w:r>
    </w:p>
    <w:p>
      <w:pPr>
        <w:spacing w:after="0" w:line="100" w:lineRule="exact"/>
        <w:rPr>
          <w:rFonts w:ascii="Arial" w:cs="Arial" w:eastAsia="Arial" w:hAnsi="Arial"/>
          <w:sz w:val="10"/>
          <w:szCs w:val="10"/>
          <w:color w:val="auto"/>
        </w:rPr>
      </w:pPr>
    </w:p>
    <w:p>
      <w:pPr>
        <w:ind w:left="310" w:hanging="310"/>
        <w:spacing w:after="0"/>
        <w:tabs>
          <w:tab w:leader="none" w:pos="31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obtain a CUSIP number for all Exchange Securities or Registrable Securities, as the case may be, not later than the initial effective date of a Registration Statement;</w:t>
      </w:r>
    </w:p>
    <w:p>
      <w:pPr>
        <w:spacing w:after="0" w:line="150" w:lineRule="exact"/>
        <w:rPr>
          <w:rFonts w:ascii="Arial" w:cs="Arial" w:eastAsia="Arial" w:hAnsi="Arial"/>
          <w:sz w:val="12"/>
          <w:szCs w:val="12"/>
          <w:color w:val="auto"/>
        </w:rPr>
      </w:pPr>
    </w:p>
    <w:p>
      <w:pPr>
        <w:jc w:val="both"/>
        <w:ind w:left="310" w:hanging="310"/>
        <w:spacing w:after="0" w:line="298" w:lineRule="auto"/>
        <w:tabs>
          <w:tab w:leader="none" w:pos="31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cause the Indenture to be qualified under the Trust Indenture Act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Trust Indenture Act; and execute, and use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105" w:lineRule="exact"/>
        <w:rPr>
          <w:rFonts w:ascii="Arial" w:cs="Arial" w:eastAsia="Arial" w:hAnsi="Arial"/>
          <w:sz w:val="11"/>
          <w:szCs w:val="11"/>
          <w:color w:val="auto"/>
        </w:rPr>
      </w:pPr>
    </w:p>
    <w:p>
      <w:pPr>
        <w:jc w:val="both"/>
        <w:ind w:left="310" w:hanging="310"/>
        <w:spacing w:after="0" w:line="283" w:lineRule="auto"/>
        <w:tabs>
          <w:tab w:leader="none" w:pos="31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in the case of a Shelf Registration, make available for inspection by a representative of the Participating Holders (an “Inspector”), any Underwriter participating in any disposition pursuant to such Shelf Registration Statement, any attorneys and accountants designated by a majority in aggregate principal amount of the Registrable Securities held by the Participating Holders and any attorneys and accountants designated by such Underwriter, at reasonable times and in a reasonable manner, all pertinent financial and other records, documents and properties of the Company and its subsidiaries, and cause the respective officers, directors and employees of the Company and the Guarantors to supply all information reasonably requested by any such Inspector, Underwriter, attorney or accountant in connection with a Shelf Registration Statement; provided that if any such information is identified by the Company or any Guarantor as being confidential or proprietary, each Person receiving such information shall take such actions as are reasonably necessary to protect the confidentiality of such information to the extent such action is otherwise not inconsistent with, an impairment of or in derogation of the rights and interests of any Inspector, Participating Holder or Underwriter;</w:t>
      </w:r>
    </w:p>
    <w:p>
      <w:pPr>
        <w:spacing w:after="0" w:line="132" w:lineRule="exact"/>
        <w:rPr>
          <w:sz w:val="20"/>
          <w:szCs w:val="20"/>
          <w:color w:val="auto"/>
        </w:rPr>
      </w:pPr>
    </w:p>
    <w:p>
      <w:pPr>
        <w:jc w:val="center"/>
        <w:ind w:right="19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90"/>
          </w:cols>
          <w:pgMar w:left="410" w:top="725" w:right="199" w:bottom="1440" w:gutter="0" w:footer="0" w:header="0"/>
        </w:sectPr>
      </w:pPr>
    </w:p>
    <w:bookmarkStart w:id="135" w:name="page136"/>
    <w:bookmarkEnd w:id="135"/>
    <w:p>
      <w:pPr>
        <w:ind w:left="500" w:hanging="310"/>
        <w:spacing w:after="0" w:line="323" w:lineRule="auto"/>
        <w:tabs>
          <w:tab w:leader="none" w:pos="500" w:val="left"/>
        </w:tabs>
        <w:numPr>
          <w:ilvl w:val="0"/>
          <w:numId w:val="128"/>
        </w:numPr>
        <w:rPr>
          <w:rFonts w:ascii="Arial" w:cs="Arial" w:eastAsia="Arial" w:hAnsi="Arial"/>
          <w:sz w:val="11"/>
          <w:szCs w:val="11"/>
          <w:color w:val="auto"/>
        </w:rPr>
      </w:pPr>
      <w:r>
        <w:rPr>
          <w:rFonts w:ascii="Arial" w:cs="Arial" w:eastAsia="Arial" w:hAnsi="Arial"/>
          <w:sz w:val="11"/>
          <w:szCs w:val="11"/>
          <w:color w:val="auto"/>
        </w:rPr>
        <w:t>if reasonably requested by any Participating Holder, promptly include in a Prospectus supplement or post-effective amendment such information with respect to such Participating Holder as such Participating Holder reasonably requests to be included therein and make all required filings of such Prospectus supplement or such post-effective amendment as soon as the Company has received notification of the matters to be so included in such filing;</w:t>
      </w:r>
    </w:p>
    <w:p>
      <w:pPr>
        <w:spacing w:after="0" w:line="91" w:lineRule="exact"/>
        <w:rPr>
          <w:rFonts w:ascii="Arial" w:cs="Arial" w:eastAsia="Arial" w:hAnsi="Arial"/>
          <w:sz w:val="11"/>
          <w:szCs w:val="11"/>
          <w:color w:val="auto"/>
        </w:rPr>
      </w:pPr>
    </w:p>
    <w:p>
      <w:pPr>
        <w:jc w:val="both"/>
        <w:ind w:left="500" w:hanging="310"/>
        <w:spacing w:after="0" w:line="277" w:lineRule="auto"/>
        <w:tabs>
          <w:tab w:leader="none" w:pos="500" w:val="left"/>
        </w:tabs>
        <w:numPr>
          <w:ilvl w:val="0"/>
          <w:numId w:val="128"/>
        </w:numPr>
        <w:rPr>
          <w:rFonts w:ascii="Arial" w:cs="Arial" w:eastAsia="Arial" w:hAnsi="Arial"/>
          <w:sz w:val="11"/>
          <w:szCs w:val="11"/>
          <w:color w:val="auto"/>
        </w:rPr>
      </w:pPr>
      <w:r>
        <w:rPr>
          <w:rFonts w:ascii="Arial" w:cs="Arial" w:eastAsia="Arial" w:hAnsi="Arial"/>
          <w:sz w:val="11"/>
          <w:szCs w:val="11"/>
          <w:color w:val="auto"/>
        </w:rPr>
        <w:t>in the case of a Shelf Registration, enter into such customary agreements and take all such other commercially reasonable actions in connection therewith (including those requested by the Participating Holders of a majority in principal amount of the Registrable Securities covered by the Shelf Registration Statement) in order to expedite or facilitate the disposition of such Registrable Securities including, but not limited to, an Underwritten Offering and in such connection, (1) to the extent possible, make such representations and warranties to the Participating Holders and any Underwriters of such Registrable Securities with respect to the business of the Company and its subsidiaries and the Registration Statement, Prospectus, any Free Writing Prospectus and documents incorporated by reference or deemed incorporated by reference, if any, in each case, in form, substance and scope as are customarily made by issuers to underwriters in underwritten offerings and confirm the same if and when requested, (2) obtain opinions of counsel to the Company and the Guarantors (which counsel and opinions, in form, scope and substance, shall be reasonably satisfactory to the Participating Holders and such Underwriters and their respective counsel) addressed to each Participating Holder and Underwriter of Registrable Securities, covering the matters customarily covered in opinions requested in underwritten offerings, (3) obtain “comfort” letters from the independent certified public accountants of the Company and the Guarantors (and, if necessary, any other certified public accountant of any subsidiary of the Company or the Guarantors, or of any business acquired by the Company or the Guarantors for which financial statements and financial data are or are required to be included in the Registration Statement) addressed to each Participating Holder (to the extent permitted by applicable professional standards) and Underwriter of Registrable Securities, such letters to be in customary form and covering matters of the type customarily covered in “comfort” letters in connection with underwritten offerings, including but not limited to financial information contained in any preliminary prospectus, Prospectus or Free Writing Prospectus, and (4) deliver such documents and certificates as may be reasonably requested by the Participating Holders of a majority in principal amount of the Registrable Securities being sold or the Underwriters, and which are customarily delivered in underwritten offerings, to evidence the continued validity of the representations and warranties of the Company and the Guarantors made pursuant to clause (1) above and to evidence compliance with any customary conditions contained in an underwriting agreement; and</w:t>
      </w:r>
    </w:p>
    <w:p>
      <w:pPr>
        <w:spacing w:after="0" w:line="119" w:lineRule="exact"/>
        <w:rPr>
          <w:rFonts w:ascii="Arial" w:cs="Arial" w:eastAsia="Arial" w:hAnsi="Arial"/>
          <w:sz w:val="11"/>
          <w:szCs w:val="11"/>
          <w:color w:val="auto"/>
        </w:rPr>
      </w:pPr>
    </w:p>
    <w:p>
      <w:pPr>
        <w:jc w:val="both"/>
        <w:ind w:left="500" w:hanging="310"/>
        <w:spacing w:after="0" w:line="263" w:lineRule="auto"/>
        <w:tabs>
          <w:tab w:leader="none" w:pos="50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So long as any Registrable Securities remain outstanding, cause each Additional Guarantor upon the creation or acquisition by the Company of such Additional Guarantor, to execute a counterpart to this Agreement in the form attached hereto as Annex A and to deliver such counterpart, together with an opinion of counsel as to the enforceability thereof against such entity, to the Initial Purchasers no later than five Business Days following the execution thereof.</w:t>
      </w:r>
    </w:p>
    <w:p>
      <w:pPr>
        <w:spacing w:after="0" w:line="140" w:lineRule="exact"/>
        <w:rPr>
          <w:rFonts w:ascii="Arial" w:cs="Arial" w:eastAsia="Arial" w:hAnsi="Arial"/>
          <w:sz w:val="12"/>
          <w:szCs w:val="12"/>
          <w:color w:val="auto"/>
        </w:rPr>
      </w:pPr>
    </w:p>
    <w:p>
      <w:pPr>
        <w:ind w:firstLine="208"/>
        <w:spacing w:after="0" w:line="323" w:lineRule="auto"/>
        <w:tabs>
          <w:tab w:leader="none" w:pos="572" w:val="left"/>
        </w:tabs>
        <w:numPr>
          <w:ilvl w:val="1"/>
          <w:numId w:val="128"/>
        </w:numPr>
        <w:rPr>
          <w:rFonts w:ascii="Arial" w:cs="Arial" w:eastAsia="Arial" w:hAnsi="Arial"/>
          <w:sz w:val="12"/>
          <w:szCs w:val="12"/>
          <w:color w:val="auto"/>
        </w:rPr>
      </w:pPr>
      <w:r>
        <w:rPr>
          <w:rFonts w:ascii="Arial" w:cs="Arial" w:eastAsia="Arial" w:hAnsi="Arial"/>
          <w:sz w:val="12"/>
          <w:szCs w:val="12"/>
          <w:color w:val="auto"/>
        </w:rPr>
        <w:t>In the case of a Shelf Registration Statement, the Company may require each Holder of Registrable Securities to furnish to the Company a Notice and Questionnaire and such other information regarding such Holder and the proposed disposition by such Holder of such Registrable Securities as the Company and the Guarantors may from time to time reasonably request in writing.</w:t>
      </w:r>
    </w:p>
    <w:p>
      <w:pPr>
        <w:spacing w:after="0" w:line="114" w:lineRule="exact"/>
        <w:rPr>
          <w:rFonts w:ascii="Arial" w:cs="Arial" w:eastAsia="Arial" w:hAnsi="Arial"/>
          <w:sz w:val="12"/>
          <w:szCs w:val="12"/>
          <w:color w:val="auto"/>
        </w:rPr>
      </w:pPr>
    </w:p>
    <w:p>
      <w:pPr>
        <w:jc w:val="both"/>
        <w:ind w:firstLine="208"/>
        <w:spacing w:after="0" w:line="341" w:lineRule="auto"/>
        <w:tabs>
          <w:tab w:leader="none" w:pos="566" w:val="left"/>
        </w:tabs>
        <w:numPr>
          <w:ilvl w:val="1"/>
          <w:numId w:val="128"/>
        </w:numPr>
        <w:rPr>
          <w:rFonts w:ascii="Arial" w:cs="Arial" w:eastAsia="Arial" w:hAnsi="Arial"/>
          <w:sz w:val="11"/>
          <w:szCs w:val="11"/>
          <w:color w:val="auto"/>
        </w:rPr>
      </w:pPr>
      <w:r>
        <w:rPr>
          <w:rFonts w:ascii="Arial" w:cs="Arial" w:eastAsia="Arial" w:hAnsi="Arial"/>
          <w:sz w:val="11"/>
          <w:szCs w:val="11"/>
          <w:color w:val="auto"/>
        </w:rPr>
        <w:t xml:space="preserve">Each Participating Holder agrees that, upon receipt of any notice from the Company and the Guarantors of the happening of any event of the kind described in </w:t>
      </w:r>
      <w:r>
        <w:rPr>
          <w:rFonts w:ascii="Arial" w:cs="Arial" w:eastAsia="Arial" w:hAnsi="Arial"/>
          <w:sz w:val="11"/>
          <w:szCs w:val="11"/>
          <w:u w:val="single" w:color="auto"/>
          <w:color w:val="auto"/>
        </w:rPr>
        <w:t>Section 3(a)(vi)(3)</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3(a)(vi)(5)</w:t>
      </w:r>
      <w:r>
        <w:rPr>
          <w:rFonts w:ascii="Arial" w:cs="Arial" w:eastAsia="Arial" w:hAnsi="Arial"/>
          <w:sz w:val="11"/>
          <w:szCs w:val="11"/>
          <w:color w:val="auto"/>
        </w:rPr>
        <w:t xml:space="preserve"> hereof, such Participating Holder will forthwith discontinue disposition of Registrable Securities pursuant to the Shelf Registration Statement until such Participating Holder’s receipt of the copies of the supplemented or amended Prospectus and any Free Writing Prospectus contemplated by </w:t>
      </w:r>
      <w:r>
        <w:rPr>
          <w:rFonts w:ascii="Arial" w:cs="Arial" w:eastAsia="Arial" w:hAnsi="Arial"/>
          <w:sz w:val="11"/>
          <w:szCs w:val="11"/>
          <w:u w:val="single" w:color="auto"/>
          <w:color w:val="auto"/>
        </w:rPr>
        <w:t>Section 3(a)(x)</w:t>
      </w:r>
      <w:r>
        <w:rPr>
          <w:rFonts w:ascii="Arial" w:cs="Arial" w:eastAsia="Arial" w:hAnsi="Arial"/>
          <w:sz w:val="11"/>
          <w:szCs w:val="11"/>
          <w:color w:val="auto"/>
        </w:rPr>
        <w:t xml:space="preserve"> hereof and, if so directed by the Company and the Guarantors, such Participating Holder will deliver to the Company and the Guarantors all copies in its possession, other than permanent file copies then in such Participating Holder’s possession, of the Prospectus and any Free Writing Prospectus covering such Registrable Securities that is current at the time of receipt of such notice.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725" w:right="199" w:bottom="1440" w:gutter="0" w:footer="0" w:header="0"/>
        </w:sectPr>
      </w:pPr>
    </w:p>
    <w:bookmarkStart w:id="136" w:name="page137"/>
    <w:bookmarkEnd w:id="136"/>
    <w:p>
      <w:pPr>
        <w:jc w:val="both"/>
        <w:ind w:firstLine="208"/>
        <w:spacing w:after="0" w:line="341" w:lineRule="auto"/>
        <w:tabs>
          <w:tab w:leader="none" w:pos="572" w:val="left"/>
        </w:tabs>
        <w:numPr>
          <w:ilvl w:val="0"/>
          <w:numId w:val="129"/>
        </w:numPr>
        <w:rPr>
          <w:rFonts w:ascii="Arial" w:cs="Arial" w:eastAsia="Arial" w:hAnsi="Arial"/>
          <w:sz w:val="11"/>
          <w:szCs w:val="11"/>
          <w:color w:val="auto"/>
        </w:rPr>
      </w:pPr>
      <w:r>
        <w:rPr>
          <w:rFonts w:ascii="Arial" w:cs="Arial" w:eastAsia="Arial" w:hAnsi="Arial"/>
          <w:sz w:val="11"/>
          <w:szCs w:val="11"/>
          <w:color w:val="auto"/>
        </w:rPr>
        <w:t>If the Company and the Guarantors shall give any notice to suspend the disposition of Registrable Securities pursuant to a Registration Statement, the Company and the Guarantors shall extend the period during which such Registration Statement shall be maintained effective pursuant to this Agreement by the number of days during the period from and including the date of the giving of such notice to and including the date when the Holders of such Registrable Securities shall have received copies of the supplemented or amended Prospectus or any Free Writing Prospectus necessary to resume such dispositions. The Company and the Guarantors may give any such notice only twice during any 365-day period and any such suspensions shall not exceed 30 days for each suspension and there shall not be more than two suspensions in effect during any 365-day period.</w:t>
      </w:r>
    </w:p>
    <w:p>
      <w:pPr>
        <w:spacing w:after="0" w:line="109" w:lineRule="exact"/>
        <w:rPr>
          <w:rFonts w:ascii="Arial" w:cs="Arial" w:eastAsia="Arial" w:hAnsi="Arial"/>
          <w:sz w:val="11"/>
          <w:szCs w:val="11"/>
          <w:color w:val="auto"/>
        </w:rPr>
      </w:pPr>
    </w:p>
    <w:p>
      <w:pPr>
        <w:jc w:val="both"/>
        <w:ind w:right="20" w:firstLine="208"/>
        <w:spacing w:after="0" w:line="310" w:lineRule="auto"/>
        <w:tabs>
          <w:tab w:leader="none" w:pos="566"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The Participating Holders who desire to do so may sell such Registrable Securities in an Underwritten Offering. In any such Underwritten Offering, the investment bank or investment banks and manager or managers (each an “Underwriter”) that will administer the offering will be selected by the Holders of a majority in principal amount of the Registrable Securities included in such offering; provided, however, that such Underwriter must be reasonably satisfactory to the Company.</w:t>
      </w:r>
    </w:p>
    <w:p>
      <w:pPr>
        <w:spacing w:after="0" w:line="123" w:lineRule="exact"/>
        <w:rPr>
          <w:sz w:val="20"/>
          <w:szCs w:val="20"/>
          <w:color w:val="auto"/>
        </w:rPr>
      </w:pPr>
    </w:p>
    <w:p>
      <w:pPr>
        <w:jc w:val="both"/>
        <w:ind w:firstLine="208"/>
        <w:spacing w:after="0" w:line="310" w:lineRule="auto"/>
        <w:tabs>
          <w:tab w:leader="none" w:pos="522" w:val="left"/>
        </w:tabs>
        <w:numPr>
          <w:ilvl w:val="0"/>
          <w:numId w:val="130"/>
        </w:numPr>
        <w:rPr>
          <w:rFonts w:ascii="Arial" w:cs="Arial" w:eastAsia="Arial" w:hAnsi="Arial"/>
          <w:sz w:val="12"/>
          <w:szCs w:val="12"/>
          <w:color w:val="auto"/>
        </w:rPr>
      </w:pPr>
      <w:r>
        <w:rPr>
          <w:rFonts w:ascii="Arial" w:cs="Arial" w:eastAsia="Arial" w:hAnsi="Arial"/>
          <w:sz w:val="12"/>
          <w:szCs w:val="12"/>
          <w:u w:val="single" w:color="auto"/>
          <w:color w:val="auto"/>
        </w:rPr>
        <w:t>Participation of Broker-Dealers in Exchange Offer</w:t>
      </w:r>
      <w:r>
        <w:rPr>
          <w:rFonts w:ascii="Arial" w:cs="Arial" w:eastAsia="Arial" w:hAnsi="Arial"/>
          <w:sz w:val="12"/>
          <w:szCs w:val="12"/>
          <w:color w:val="auto"/>
        </w:rPr>
        <w:t>. (a) The Staff has taken the position that any broker-dealer that receives Exchange Securities for its own account in the Exchange Offer in exchange for Securities that were acquired by such broker-dealer as a result of market-making or other trading activities (a “Participating Broker-Dealer”) may be deemed to be an “underwriter” within the meaning of the Securities Act and must deliver a prospectus meeting the requirements of the Securities Act in connection with any resale of such Exchange Securities.</w:t>
      </w:r>
    </w:p>
    <w:p>
      <w:pPr>
        <w:spacing w:after="0" w:line="10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Company and the Guarantors understand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(or, to the extent permitted by law, made available to purchasers) to satisfy their prospectus delivery obligation under the Securities Act in connection with resales of Exchange Securities for their own accounts, so long as the Prospectus otherwise meets the requirements of the Securities Act.</w:t>
      </w:r>
    </w:p>
    <w:p>
      <w:pPr>
        <w:spacing w:after="0" w:line="116" w:lineRule="exact"/>
        <w:rPr>
          <w:sz w:val="20"/>
          <w:szCs w:val="20"/>
          <w:color w:val="auto"/>
        </w:rPr>
      </w:pPr>
    </w:p>
    <w:p>
      <w:pPr>
        <w:jc w:val="both"/>
        <w:ind w:firstLine="208"/>
        <w:spacing w:after="0" w:line="306" w:lineRule="auto"/>
        <w:tabs>
          <w:tab w:leader="none" w:pos="572" w:val="left"/>
        </w:tabs>
        <w:numPr>
          <w:ilvl w:val="0"/>
          <w:numId w:val="131"/>
        </w:numPr>
        <w:rPr>
          <w:rFonts w:ascii="Arial" w:cs="Arial" w:eastAsia="Arial" w:hAnsi="Arial"/>
          <w:sz w:val="12"/>
          <w:szCs w:val="12"/>
          <w:color w:val="auto"/>
        </w:rPr>
      </w:pPr>
      <w:r>
        <w:rPr>
          <w:rFonts w:ascii="Arial" w:cs="Arial" w:eastAsia="Arial" w:hAnsi="Arial"/>
          <w:sz w:val="12"/>
          <w:szCs w:val="12"/>
          <w:color w:val="auto"/>
        </w:rPr>
        <w:t xml:space="preserve">In light of the above, and notwithstanding the other provisions of this Agreement, the Company and the Guarantors agree to amend or supplement the Prospectus contained in the Exchange Offer Registration Statement for a period of up to 180 days after the last Exchange Date (as such period may be extended pursuant to </w:t>
      </w:r>
      <w:r>
        <w:rPr>
          <w:rFonts w:ascii="Arial" w:cs="Arial" w:eastAsia="Arial" w:hAnsi="Arial"/>
          <w:sz w:val="12"/>
          <w:szCs w:val="12"/>
          <w:u w:val="single" w:color="auto"/>
          <w:color w:val="auto"/>
        </w:rPr>
        <w:t>Section 3(d)</w:t>
      </w:r>
      <w:r>
        <w:rPr>
          <w:rFonts w:ascii="Arial" w:cs="Arial" w:eastAsia="Arial" w:hAnsi="Arial"/>
          <w:sz w:val="12"/>
          <w:szCs w:val="12"/>
          <w:color w:val="auto"/>
        </w:rPr>
        <w:t xml:space="preserve"> hereof), in order to expedite or facilitate the disposition of any Exchange Securities by Participating Broker-Dealers consistent with the positions of the Staff recited in </w:t>
      </w:r>
      <w:r>
        <w:rPr>
          <w:rFonts w:ascii="Arial" w:cs="Arial" w:eastAsia="Arial" w:hAnsi="Arial"/>
          <w:sz w:val="12"/>
          <w:szCs w:val="12"/>
          <w:u w:val="single" w:color="auto"/>
          <w:color w:val="auto"/>
        </w:rPr>
        <w:t>Section 4(a)</w:t>
      </w:r>
      <w:r>
        <w:rPr>
          <w:rFonts w:ascii="Arial" w:cs="Arial" w:eastAsia="Arial" w:hAnsi="Arial"/>
          <w:sz w:val="12"/>
          <w:szCs w:val="12"/>
          <w:color w:val="auto"/>
        </w:rPr>
        <w:t xml:space="preserve"> above. The Company and the Guarantors further agree that Participating Broker-Dealers shall be authorized to deliver such Prospectus (or, to the extent permitted by law, make available) during such period in connection with the resales contemplated by this </w:t>
      </w:r>
      <w:r>
        <w:rPr>
          <w:rFonts w:ascii="Arial" w:cs="Arial" w:eastAsia="Arial" w:hAnsi="Arial"/>
          <w:sz w:val="12"/>
          <w:szCs w:val="12"/>
          <w:u w:val="single" w:color="auto"/>
          <w:color w:val="auto"/>
        </w:rPr>
        <w:t>Section 4</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left="560" w:hanging="352"/>
        <w:spacing w:after="0"/>
        <w:tabs>
          <w:tab w:leader="none" w:pos="56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 xml:space="preserve">The Initial Purchasers shall have no liability to the Company, any Guarantor or any Holder with respect to any request that they may make pursuant to </w:t>
      </w:r>
      <w:r>
        <w:rPr>
          <w:rFonts w:ascii="Arial" w:cs="Arial" w:eastAsia="Arial" w:hAnsi="Arial"/>
          <w:sz w:val="12"/>
          <w:szCs w:val="12"/>
          <w:u w:val="single" w:color="auto"/>
          <w:color w:val="auto"/>
        </w:rPr>
        <w:t>Section 4(b)</w:t>
      </w:r>
      <w:r>
        <w:rPr>
          <w:rFonts w:ascii="Arial" w:cs="Arial" w:eastAsia="Arial" w:hAnsi="Arial"/>
          <w:sz w:val="12"/>
          <w:szCs w:val="12"/>
          <w:color w:val="auto"/>
        </w:rPr>
        <w:t xml:space="preserve"> above.</w:t>
      </w:r>
    </w:p>
    <w:p>
      <w:pPr>
        <w:spacing w:after="0" w:line="177" w:lineRule="exact"/>
        <w:rPr>
          <w:sz w:val="20"/>
          <w:szCs w:val="20"/>
          <w:color w:val="auto"/>
        </w:rPr>
      </w:pPr>
    </w:p>
    <w:p>
      <w:pPr>
        <w:jc w:val="both"/>
        <w:ind w:firstLine="208"/>
        <w:spacing w:after="0" w:line="365" w:lineRule="auto"/>
        <w:tabs>
          <w:tab w:leader="none" w:pos="522" w:val="left"/>
        </w:tabs>
        <w:numPr>
          <w:ilvl w:val="0"/>
          <w:numId w:val="132"/>
        </w:numPr>
        <w:rPr>
          <w:rFonts w:ascii="Arial" w:cs="Arial" w:eastAsia="Arial" w:hAnsi="Arial"/>
          <w:sz w:val="10"/>
          <w:szCs w:val="10"/>
          <w:color w:val="auto"/>
        </w:rPr>
      </w:pPr>
      <w:r>
        <w:rPr>
          <w:rFonts w:ascii="Arial" w:cs="Arial" w:eastAsia="Arial" w:hAnsi="Arial"/>
          <w:sz w:val="10"/>
          <w:szCs w:val="10"/>
          <w:u w:val="single" w:color="auto"/>
          <w:color w:val="auto"/>
        </w:rPr>
        <w:t>Indemnification and Contribution</w:t>
      </w:r>
      <w:r>
        <w:rPr>
          <w:rFonts w:ascii="Arial" w:cs="Arial" w:eastAsia="Arial" w:hAnsi="Arial"/>
          <w:sz w:val="10"/>
          <w:szCs w:val="10"/>
          <w:color w:val="auto"/>
        </w:rPr>
        <w:t xml:space="preserve">. (a) The Company and the Guarantors, jointly and severally, agree to indemnify and hold harmless each Holder, their respective affiliates, directors and officers and each Person, if any, who controls any Holder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(1) any untrue statement or alleged untrue statement of a material fact contained in any Registration Statement or any omission or alleged omission to state therein a material fact required to be stated therein or necessary in order to make the statements therein not misleading, or (2) any untrue statement or alleged untrue statement of a material fact contained in any Prospectus, any Free Writing Prospectus or any “issuer information” (“Issuer Information”) filed or required to be filed pursuant to Rule 433(d) under the Securities Act,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Holder furnished to the Company in writing by such Holder expressly for use therein. In connection with any Underwritten Offering permitted by </w:t>
      </w:r>
      <w:r>
        <w:rPr>
          <w:rFonts w:ascii="Arial" w:cs="Arial" w:eastAsia="Arial" w:hAnsi="Arial"/>
          <w:sz w:val="10"/>
          <w:szCs w:val="10"/>
          <w:u w:val="single" w:color="auto"/>
          <w:color w:val="auto"/>
        </w:rPr>
        <w:t>Section 3</w:t>
      </w:r>
      <w:r>
        <w:rPr>
          <w:rFonts w:ascii="Arial" w:cs="Arial" w:eastAsia="Arial" w:hAnsi="Arial"/>
          <w:sz w:val="10"/>
          <w:szCs w:val="10"/>
          <w:color w:val="auto"/>
        </w:rPr>
        <w:t xml:space="preserve"> hereof, the Company and the Guarantors, jointly and severally, will also indemnify the Underwriters, if any, selling brokers, dealers and similar securities industry professionals participating in the distribution, their respective affiliates and each Person who controls such Persons (within the meaning of the Securities Act and the Exchange Act) to the same extent as provided above with respect to the indemnification of the Holders, if requested in connection with any Registration Statement, any Prospectus, any Free Writing Prospectus or any Issuer Information.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743" w:right="199" w:bottom="1440" w:gutter="0" w:footer="0" w:header="0"/>
        </w:sectPr>
      </w:pPr>
    </w:p>
    <w:bookmarkStart w:id="137" w:name="page138"/>
    <w:bookmarkEnd w:id="137"/>
    <w:p>
      <w:pPr>
        <w:jc w:val="both"/>
        <w:ind w:firstLine="208"/>
        <w:spacing w:after="0" w:line="304" w:lineRule="auto"/>
        <w:tabs>
          <w:tab w:leader="none" w:pos="572" w:val="left"/>
        </w:tabs>
        <w:numPr>
          <w:ilvl w:val="0"/>
          <w:numId w:val="133"/>
        </w:numPr>
        <w:rPr>
          <w:rFonts w:ascii="Arial" w:cs="Arial" w:eastAsia="Arial" w:hAnsi="Arial"/>
          <w:sz w:val="12"/>
          <w:szCs w:val="12"/>
          <w:color w:val="auto"/>
        </w:rPr>
      </w:pPr>
      <w:r>
        <w:rPr>
          <w:rFonts w:ascii="Arial" w:cs="Arial" w:eastAsia="Arial" w:hAnsi="Arial"/>
          <w:sz w:val="12"/>
          <w:szCs w:val="12"/>
          <w:color w:val="auto"/>
        </w:rPr>
        <w:t>Each Holder agrees, severally and not jointly, to indemnify and hold harmless the Company, the Guarantors and the other selling Holders, the directors of the Company and the Guarantors, each officer of the Company and the Guarantors who signed the Registration Statement and each Person, if any, who controls the Company, the Guarantors and any other selling Holder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Holder furnished to the Company in writing by such Holder expressly for use in any Registration Statement, any Prospectus and any Free Writing Prospectus.</w:t>
      </w:r>
    </w:p>
    <w:p>
      <w:pPr>
        <w:spacing w:after="0" w:line="125" w:lineRule="exact"/>
        <w:rPr>
          <w:rFonts w:ascii="Arial" w:cs="Arial" w:eastAsia="Arial" w:hAnsi="Arial"/>
          <w:sz w:val="12"/>
          <w:szCs w:val="12"/>
          <w:color w:val="auto"/>
        </w:rPr>
      </w:pPr>
    </w:p>
    <w:p>
      <w:pPr>
        <w:jc w:val="both"/>
        <w:ind w:firstLine="208"/>
        <w:spacing w:after="0" w:line="327" w:lineRule="auto"/>
        <w:tabs>
          <w:tab w:leader="none" w:pos="566" w:val="left"/>
        </w:tabs>
        <w:numPr>
          <w:ilvl w:val="0"/>
          <w:numId w:val="133"/>
        </w:numPr>
        <w:rPr>
          <w:rFonts w:ascii="Arial" w:cs="Arial" w:eastAsia="Arial" w:hAnsi="Arial"/>
          <w:sz w:val="11"/>
          <w:szCs w:val="11"/>
          <w:color w:val="auto"/>
        </w:rPr>
      </w:pPr>
      <w:r>
        <w:rPr>
          <w:rFonts w:ascii="Arial" w:cs="Arial" w:eastAsia="Arial" w:hAnsi="Arial"/>
          <w:sz w:val="11"/>
          <w:szCs w:val="11"/>
          <w:color w:val="auto"/>
        </w:rPr>
        <w:t xml:space="preserve">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provided that the failure to notify the Indemnifying Person shall not relieve it from any liability that it may have under paragraph (a) or (b) above except to the extent that it has been materially prejudiced (through the forfeiture of substantive rights or defenses) by such failure; and provided, further,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w:t>
      </w:r>
      <w:r>
        <w:rPr>
          <w:rFonts w:ascii="Arial" w:cs="Arial" w:eastAsia="Arial" w:hAnsi="Arial"/>
          <w:sz w:val="11"/>
          <w:szCs w:val="11"/>
          <w:u w:val="single" w:color="auto"/>
          <w:color w:val="auto"/>
        </w:rPr>
        <w:t>Section 5</w:t>
      </w:r>
      <w:r>
        <w:rPr>
          <w:rFonts w:ascii="Arial" w:cs="Arial" w:eastAsia="Arial" w:hAnsi="Arial"/>
          <w:sz w:val="11"/>
          <w:szCs w:val="11"/>
          <w:color w:val="auto"/>
        </w:rPr>
        <w:t xml:space="preserve"> that the Indemnifying Person may designate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(x) for any Holder, its directors and officers and any control Persons of such Holder shall be designated in writing by the Majority Holders and (y) in all other cases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(A) includes an unconditional release of such Indemnified Person, in form and substance reasonably satisfactory to such Indemnified Person, from all liability on claims that are the subject matter of such proceeding and (B) does not include any statement as to or any admission of fault, culpability or a failure to act by or on behalf of any Indemnified Person.</w:t>
      </w:r>
    </w:p>
    <w:p>
      <w:pPr>
        <w:spacing w:after="0" w:line="120" w:lineRule="exact"/>
        <w:rPr>
          <w:rFonts w:ascii="Arial" w:cs="Arial" w:eastAsia="Arial" w:hAnsi="Arial"/>
          <w:sz w:val="11"/>
          <w:szCs w:val="11"/>
          <w:color w:val="auto"/>
        </w:rPr>
      </w:pPr>
    </w:p>
    <w:p>
      <w:pPr>
        <w:jc w:val="both"/>
        <w:ind w:firstLine="208"/>
        <w:spacing w:after="0" w:line="333" w:lineRule="auto"/>
        <w:tabs>
          <w:tab w:leader="none" w:pos="572" w:val="left"/>
        </w:tabs>
        <w:numPr>
          <w:ilvl w:val="0"/>
          <w:numId w:val="133"/>
        </w:numPr>
        <w:rPr>
          <w:rFonts w:ascii="Arial" w:cs="Arial" w:eastAsia="Arial" w:hAnsi="Arial"/>
          <w:sz w:val="11"/>
          <w:szCs w:val="11"/>
          <w:color w:val="auto"/>
        </w:rPr>
      </w:pPr>
      <w:r>
        <w:rPr>
          <w:rFonts w:ascii="Arial" w:cs="Arial" w:eastAsia="Arial" w:hAnsi="Arial"/>
          <w:sz w:val="11"/>
          <w:szCs w:val="11"/>
          <w:color w:val="auto"/>
        </w:rPr>
        <w:t>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Guarantors from the offering of the Securities and the Exchange Securities, on the one hand, and by the Holders from receiving Securities or Exchange Securities registered under the Securities Act, on the other hand, or (ii) if the allocation provided by clause (i) is not permitted by applicable law, in such proportion as is appropriate to reflect not only the relative benefits referred to in clause (i) but also the relative fault of the Company and the Guarantors on the one hand and the Holders on the other in connection with the statements or omissions that resulted in such losses, claims, damages or liabilities, as well as any other relevant equitable considerations. The relative fault of the Company and the Guarantors on the one hand and the Holders on the other shall be determined by reference to, among other things, whether the untrue or alleged untrue statement of a material fact or the omission or alleged omission to state a material fact relates to information supplied by the Company and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455" w:right="199" w:bottom="1440" w:gutter="0" w:footer="0" w:header="0"/>
        </w:sectPr>
      </w:pPr>
    </w:p>
    <w:bookmarkStart w:id="138" w:name="page139"/>
    <w:bookmarkEnd w:id="138"/>
    <w:p>
      <w:pPr>
        <w:spacing w:after="0"/>
        <w:rPr>
          <w:sz w:val="20"/>
          <w:szCs w:val="20"/>
          <w:color w:val="auto"/>
        </w:rPr>
      </w:pPr>
      <w:r>
        <w:rPr>
          <w:rFonts w:ascii="Arial" w:cs="Arial" w:eastAsia="Arial" w:hAnsi="Arial"/>
          <w:sz w:val="12"/>
          <w:szCs w:val="12"/>
          <w:color w:val="auto"/>
        </w:rPr>
        <w:t>Guarantors or by the Holders and the parties’ relative intent, knowledge, access to information and opportunity to correct or prevent such statement or omission.</w:t>
      </w:r>
    </w:p>
    <w:p>
      <w:pPr>
        <w:spacing w:after="0" w:line="177" w:lineRule="exact"/>
        <w:rPr>
          <w:sz w:val="20"/>
          <w:szCs w:val="20"/>
          <w:color w:val="auto"/>
        </w:rPr>
      </w:pPr>
    </w:p>
    <w:p>
      <w:pPr>
        <w:jc w:val="both"/>
        <w:ind w:firstLine="208"/>
        <w:spacing w:after="0" w:line="373" w:lineRule="auto"/>
        <w:tabs>
          <w:tab w:leader="none" w:pos="566" w:val="left"/>
        </w:tabs>
        <w:numPr>
          <w:ilvl w:val="0"/>
          <w:numId w:val="134"/>
        </w:numPr>
        <w:rPr>
          <w:rFonts w:ascii="Arial" w:cs="Arial" w:eastAsia="Arial" w:hAnsi="Arial"/>
          <w:sz w:val="10"/>
          <w:szCs w:val="10"/>
          <w:color w:val="auto"/>
        </w:rPr>
      </w:pPr>
      <w:r>
        <w:rPr>
          <w:rFonts w:ascii="Arial" w:cs="Arial" w:eastAsia="Arial" w:hAnsi="Arial"/>
          <w:sz w:val="10"/>
          <w:szCs w:val="10"/>
          <w:color w:val="auto"/>
        </w:rPr>
        <w:t xml:space="preserve">The Company, the Guarantors and the Holders agree that it would not be just and equitable if contribution pursuant to this </w:t>
      </w:r>
      <w:r>
        <w:rPr>
          <w:rFonts w:ascii="Arial" w:cs="Arial" w:eastAsia="Arial" w:hAnsi="Arial"/>
          <w:sz w:val="10"/>
          <w:szCs w:val="10"/>
          <w:u w:val="single" w:color="auto"/>
          <w:color w:val="auto"/>
        </w:rPr>
        <w:t>Section 5</w:t>
      </w:r>
      <w:r>
        <w:rPr>
          <w:rFonts w:ascii="Arial" w:cs="Arial" w:eastAsia="Arial" w:hAnsi="Arial"/>
          <w:sz w:val="10"/>
          <w:szCs w:val="10"/>
          <w:color w:val="auto"/>
        </w:rPr>
        <w:t xml:space="preserve"> were determined by pro rata allocation (even if the Holders were treated as one entity for such purpose) or by any other method of allocation that does not take account of the equitable considerations referred to in </w:t>
      </w:r>
      <w:r>
        <w:rPr>
          <w:rFonts w:ascii="Arial" w:cs="Arial" w:eastAsia="Arial" w:hAnsi="Arial"/>
          <w:sz w:val="10"/>
          <w:szCs w:val="10"/>
          <w:u w:val="single" w:color="auto"/>
          <w:color w:val="auto"/>
        </w:rPr>
        <w:t>paragraph (d)</w:t>
      </w:r>
      <w:r>
        <w:rPr>
          <w:rFonts w:ascii="Arial" w:cs="Arial" w:eastAsia="Arial" w:hAnsi="Arial"/>
          <w:sz w:val="10"/>
          <w:szCs w:val="10"/>
          <w:color w:val="auto"/>
        </w:rPr>
        <w:t xml:space="preserve"> above. The amount paid or payable by an Indemnified Person as a result of the losses, claims, damages and liabilities referred to in </w:t>
      </w:r>
      <w:r>
        <w:rPr>
          <w:rFonts w:ascii="Arial" w:cs="Arial" w:eastAsia="Arial" w:hAnsi="Arial"/>
          <w:sz w:val="10"/>
          <w:szCs w:val="10"/>
          <w:u w:val="single" w:color="auto"/>
          <w:color w:val="auto"/>
        </w:rPr>
        <w:t>paragraph (d)</w:t>
      </w:r>
      <w:r>
        <w:rPr>
          <w:rFonts w:ascii="Arial" w:cs="Arial" w:eastAsia="Arial" w:hAnsi="Arial"/>
          <w:sz w:val="10"/>
          <w:szCs w:val="10"/>
          <w:color w:val="auto"/>
        </w:rPr>
        <w:t xml:space="preserve"> above shall be deemed to include, subject to the limitations set forth above, any legal or other expenses incurred by such Indemnified Person in connection with any such action or claim. Notwithstanding the provisions of this </w:t>
      </w:r>
      <w:r>
        <w:rPr>
          <w:rFonts w:ascii="Arial" w:cs="Arial" w:eastAsia="Arial" w:hAnsi="Arial"/>
          <w:sz w:val="10"/>
          <w:szCs w:val="10"/>
          <w:u w:val="single" w:color="auto"/>
          <w:color w:val="auto"/>
        </w:rPr>
        <w:t>Section 5</w:t>
      </w:r>
      <w:r>
        <w:rPr>
          <w:rFonts w:ascii="Arial" w:cs="Arial" w:eastAsia="Arial" w:hAnsi="Arial"/>
          <w:sz w:val="10"/>
          <w:szCs w:val="10"/>
          <w:color w:val="auto"/>
        </w:rPr>
        <w:t xml:space="preserve">, in no event shall a Holder be required to contribute any amount in excess of the amount by which the total price at which the Securities or Exchange Securities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w:t>
      </w:r>
      <w:r>
        <w:rPr>
          <w:rFonts w:ascii="Arial" w:cs="Arial" w:eastAsia="Arial" w:hAnsi="Arial"/>
          <w:sz w:val="10"/>
          <w:szCs w:val="10"/>
          <w:u w:val="single" w:color="auto"/>
          <w:color w:val="auto"/>
        </w:rPr>
        <w:t>Section 5</w:t>
      </w:r>
      <w:r>
        <w:rPr>
          <w:rFonts w:ascii="Arial" w:cs="Arial" w:eastAsia="Arial" w:hAnsi="Arial"/>
          <w:sz w:val="10"/>
          <w:szCs w:val="10"/>
          <w:color w:val="auto"/>
        </w:rPr>
        <w:t xml:space="preserve"> are several and not joint.</w:t>
      </w:r>
    </w:p>
    <w:p>
      <w:pPr>
        <w:spacing w:after="0" w:line="98" w:lineRule="exact"/>
        <w:rPr>
          <w:rFonts w:ascii="Arial" w:cs="Arial" w:eastAsia="Arial" w:hAnsi="Arial"/>
          <w:sz w:val="10"/>
          <w:szCs w:val="10"/>
          <w:color w:val="auto"/>
        </w:rPr>
      </w:pPr>
    </w:p>
    <w:p>
      <w:pPr>
        <w:ind w:left="540" w:hanging="332"/>
        <w:spacing w:after="0"/>
        <w:tabs>
          <w:tab w:leader="none" w:pos="54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 xml:space="preserve">The remedies provided for in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are not exclusive and shall not limit any rights or remedies that may otherwise be available to any Indemnified Person at law or in equity.</w:t>
      </w:r>
    </w:p>
    <w:p>
      <w:pPr>
        <w:spacing w:after="0" w:line="177" w:lineRule="exact"/>
        <w:rPr>
          <w:rFonts w:ascii="Arial" w:cs="Arial" w:eastAsia="Arial" w:hAnsi="Arial"/>
          <w:sz w:val="12"/>
          <w:szCs w:val="12"/>
          <w:color w:val="auto"/>
        </w:rPr>
      </w:pPr>
    </w:p>
    <w:p>
      <w:pPr>
        <w:jc w:val="both"/>
        <w:ind w:firstLine="208"/>
        <w:spacing w:after="0" w:line="310" w:lineRule="auto"/>
        <w:tabs>
          <w:tab w:leader="none" w:pos="572" w:val="left"/>
        </w:tabs>
        <w:numPr>
          <w:ilvl w:val="0"/>
          <w:numId w:val="134"/>
        </w:numPr>
        <w:rPr>
          <w:rFonts w:ascii="Arial" w:cs="Arial" w:eastAsia="Arial" w:hAnsi="Arial"/>
          <w:sz w:val="12"/>
          <w:szCs w:val="12"/>
          <w:color w:val="auto"/>
        </w:rPr>
      </w:pPr>
      <w:r>
        <w:rPr>
          <w:rFonts w:ascii="Arial" w:cs="Arial" w:eastAsia="Arial" w:hAnsi="Arial"/>
          <w:sz w:val="12"/>
          <w:szCs w:val="12"/>
          <w:color w:val="auto"/>
        </w:rPr>
        <w:t xml:space="preserve">The indemnity and contribution provisions contained in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shall remain operative and in full force and effect regardless of (i) any termination of this Agreement, (ii) any investigation made by or on behalf of any Holder or any Person controlling any Holder, or by or on behalf of the Company or the Guarantors or the officers or directors of or any Person controlling the Company or the Guarantors, (iii) acceptance of any of the Exchange Securities and (iv) any sale of Registrable Securities pursuant to a Shelf Registration Statement.</w:t>
      </w:r>
    </w:p>
    <w:p>
      <w:pPr>
        <w:spacing w:after="0" w:line="123" w:lineRule="exact"/>
        <w:rPr>
          <w:sz w:val="20"/>
          <w:szCs w:val="20"/>
          <w:color w:val="auto"/>
        </w:rPr>
      </w:pPr>
    </w:p>
    <w:p>
      <w:pPr>
        <w:ind w:left="520" w:hanging="312"/>
        <w:spacing w:after="0"/>
        <w:tabs>
          <w:tab w:leader="none" w:pos="520" w:val="left"/>
        </w:tabs>
        <w:numPr>
          <w:ilvl w:val="0"/>
          <w:numId w:val="135"/>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w:t>
      </w:r>
    </w:p>
    <w:p>
      <w:pPr>
        <w:spacing w:after="0" w:line="177" w:lineRule="exact"/>
        <w:rPr>
          <w:sz w:val="20"/>
          <w:szCs w:val="20"/>
          <w:color w:val="auto"/>
        </w:rPr>
      </w:pPr>
    </w:p>
    <w:p>
      <w:pPr>
        <w:jc w:val="both"/>
        <w:ind w:firstLine="208"/>
        <w:spacing w:after="0" w:line="349" w:lineRule="auto"/>
        <w:tabs>
          <w:tab w:leader="none" w:pos="566" w:val="left"/>
        </w:tabs>
        <w:numPr>
          <w:ilvl w:val="0"/>
          <w:numId w:val="136"/>
        </w:numPr>
        <w:rPr>
          <w:rFonts w:ascii="Arial" w:cs="Arial" w:eastAsia="Arial" w:hAnsi="Arial"/>
          <w:sz w:val="11"/>
          <w:szCs w:val="11"/>
          <w:color w:val="auto"/>
        </w:rPr>
      </w:pPr>
      <w:r>
        <w:rPr>
          <w:rFonts w:ascii="Arial" w:cs="Arial" w:eastAsia="Arial" w:hAnsi="Arial"/>
          <w:sz w:val="11"/>
          <w:szCs w:val="11"/>
          <w:u w:val="single" w:color="auto"/>
          <w:color w:val="auto"/>
        </w:rPr>
        <w:t>No Inconsistent Agreements</w:t>
      </w:r>
      <w:r>
        <w:rPr>
          <w:rFonts w:ascii="Arial" w:cs="Arial" w:eastAsia="Arial" w:hAnsi="Arial"/>
          <w:sz w:val="11"/>
          <w:szCs w:val="11"/>
          <w:color w:val="auto"/>
        </w:rPr>
        <w:t>. The Company and the Guarantors represent, warrant and agree that (i) the rights granted to the Holders hereunder do not in any way conflict with and are not inconsistent with the rights granted to the holders of any other outstanding securities issued or guaranteed by the Company or any Guarantor under any other agreement and (ii) neither the Company nor any Guarantor has entered into, or on or after the date of this Agreement will enter into, any agreement that is inconsistent with the rights granted to the Holders of Registrable Securities in this Agreement or otherwise conflicts with the provisions hereof.</w:t>
      </w:r>
    </w:p>
    <w:p>
      <w:pPr>
        <w:spacing w:after="0" w:line="105" w:lineRule="exact"/>
        <w:rPr>
          <w:rFonts w:ascii="Arial" w:cs="Arial" w:eastAsia="Arial" w:hAnsi="Arial"/>
          <w:sz w:val="11"/>
          <w:szCs w:val="11"/>
          <w:color w:val="auto"/>
        </w:rPr>
      </w:pPr>
    </w:p>
    <w:p>
      <w:pPr>
        <w:jc w:val="both"/>
        <w:ind w:firstLine="208"/>
        <w:spacing w:after="0" w:line="337" w:lineRule="auto"/>
        <w:tabs>
          <w:tab w:leader="none" w:pos="572" w:val="left"/>
        </w:tabs>
        <w:numPr>
          <w:ilvl w:val="0"/>
          <w:numId w:val="136"/>
        </w:numPr>
        <w:rPr>
          <w:rFonts w:ascii="Arial" w:cs="Arial" w:eastAsia="Arial" w:hAnsi="Arial"/>
          <w:sz w:val="11"/>
          <w:szCs w:val="11"/>
          <w:color w:val="auto"/>
        </w:rPr>
      </w:pPr>
      <w:r>
        <w:rPr>
          <w:rFonts w:ascii="Arial" w:cs="Arial" w:eastAsia="Arial" w:hAnsi="Arial"/>
          <w:sz w:val="11"/>
          <w:szCs w:val="11"/>
          <w:u w:val="single" w:color="auto"/>
          <w:color w:val="auto"/>
        </w:rPr>
        <w:t>Amendments and Waivers</w:t>
      </w:r>
      <w:r>
        <w:rPr>
          <w:rFonts w:ascii="Arial" w:cs="Arial" w:eastAsia="Arial" w:hAnsi="Arial"/>
          <w:sz w:val="11"/>
          <w:szCs w:val="11"/>
          <w:color w:val="auto"/>
        </w:rPr>
        <w:t xml:space="preserve">. The provisions of this Agreement, including the provisions of this sentence, may not be amended, modified or supplemented, and waivers or consents to departures from the provisions hereof may not be given unless the Company and the Guarantors have obtained the consent of the Holders of a majority in aggregate principal amount of the outstanding Registrable Securities affected by such amendment, modification, supplement, waiver or consent; provided that no amendment, modification, supplement, waiver or consent to any departure from the provisions of </w:t>
      </w:r>
      <w:r>
        <w:rPr>
          <w:rFonts w:ascii="Arial" w:cs="Arial" w:eastAsia="Arial" w:hAnsi="Arial"/>
          <w:sz w:val="11"/>
          <w:szCs w:val="11"/>
          <w:u w:val="single" w:color="auto"/>
          <w:color w:val="auto"/>
        </w:rPr>
        <w:t>Section 5</w:t>
      </w:r>
      <w:r>
        <w:rPr>
          <w:rFonts w:ascii="Arial" w:cs="Arial" w:eastAsia="Arial" w:hAnsi="Arial"/>
          <w:sz w:val="11"/>
          <w:szCs w:val="11"/>
          <w:color w:val="auto"/>
        </w:rPr>
        <w:t xml:space="preserve"> hereof or any provision that could affect adversely the rights of any Holder of Registrable Securities to receive liquidated damages in the amount and on the payment dates as provided in </w:t>
      </w:r>
      <w:r>
        <w:rPr>
          <w:rFonts w:ascii="Arial" w:cs="Arial" w:eastAsia="Arial" w:hAnsi="Arial"/>
          <w:sz w:val="11"/>
          <w:szCs w:val="11"/>
          <w:u w:val="single" w:color="auto"/>
          <w:color w:val="auto"/>
        </w:rPr>
        <w:t>Section 2(d)</w:t>
      </w:r>
      <w:r>
        <w:rPr>
          <w:rFonts w:ascii="Arial" w:cs="Arial" w:eastAsia="Arial" w:hAnsi="Arial"/>
          <w:sz w:val="11"/>
          <w:szCs w:val="11"/>
          <w:color w:val="auto"/>
        </w:rPr>
        <w:t xml:space="preserve"> shall be effective as against any Holder of Registrable Securities unless consented to in writing by such Holder. Any amendments, modifications, supplements, waivers or consents pursuant to this </w:t>
      </w:r>
      <w:r>
        <w:rPr>
          <w:rFonts w:ascii="Arial" w:cs="Arial" w:eastAsia="Arial" w:hAnsi="Arial"/>
          <w:sz w:val="11"/>
          <w:szCs w:val="11"/>
          <w:u w:val="single" w:color="auto"/>
          <w:color w:val="auto"/>
        </w:rPr>
        <w:t>Section 6(b)</w:t>
      </w:r>
      <w:r>
        <w:rPr>
          <w:rFonts w:ascii="Arial" w:cs="Arial" w:eastAsia="Arial" w:hAnsi="Arial"/>
          <w:sz w:val="11"/>
          <w:szCs w:val="11"/>
          <w:color w:val="auto"/>
        </w:rPr>
        <w:t xml:space="preserve"> shall be by a writing executed by each of the parties hereto.</w:t>
      </w:r>
    </w:p>
    <w:p>
      <w:pPr>
        <w:spacing w:after="0" w:line="111" w:lineRule="exact"/>
        <w:rPr>
          <w:rFonts w:ascii="Arial" w:cs="Arial" w:eastAsia="Arial" w:hAnsi="Arial"/>
          <w:sz w:val="11"/>
          <w:szCs w:val="11"/>
          <w:color w:val="auto"/>
        </w:rPr>
      </w:pPr>
    </w:p>
    <w:p>
      <w:pPr>
        <w:jc w:val="both"/>
        <w:ind w:firstLine="208"/>
        <w:spacing w:after="0" w:line="333" w:lineRule="auto"/>
        <w:tabs>
          <w:tab w:leader="none" w:pos="566" w:val="left"/>
        </w:tabs>
        <w:numPr>
          <w:ilvl w:val="0"/>
          <w:numId w:val="136"/>
        </w:numPr>
        <w:rPr>
          <w:rFonts w:ascii="Arial" w:cs="Arial" w:eastAsia="Arial" w:hAnsi="Arial"/>
          <w:sz w:val="11"/>
          <w:szCs w:val="11"/>
          <w:color w:val="auto"/>
        </w:rPr>
      </w:pPr>
      <w:r>
        <w:rPr>
          <w:rFonts w:ascii="Arial" w:cs="Arial" w:eastAsia="Arial" w:hAnsi="Arial"/>
          <w:sz w:val="11"/>
          <w:szCs w:val="11"/>
          <w:u w:val="single" w:color="auto"/>
          <w:color w:val="auto"/>
        </w:rPr>
        <w:t>Notices</w:t>
      </w:r>
      <w:r>
        <w:rPr>
          <w:rFonts w:ascii="Arial" w:cs="Arial" w:eastAsia="Arial" w:hAnsi="Arial"/>
          <w:sz w:val="11"/>
          <w:szCs w:val="11"/>
          <w:color w:val="auto"/>
        </w:rPr>
        <w:t xml:space="preserve">. All notices and other communications provided for or permitted hereunder shall be made in writing by hand-delivery, registered first-class mail, telex, telecopier, or any courier guaranteeing overnight delivery (i) if to a Holder, at the most current address given by such Holder to the Company by means of a notice given in accordance with the provisions of this </w:t>
      </w:r>
      <w:r>
        <w:rPr>
          <w:rFonts w:ascii="Arial" w:cs="Arial" w:eastAsia="Arial" w:hAnsi="Arial"/>
          <w:sz w:val="11"/>
          <w:szCs w:val="11"/>
          <w:u w:val="single" w:color="auto"/>
          <w:color w:val="auto"/>
        </w:rPr>
        <w:t>Section 6(c)</w:t>
      </w:r>
      <w:r>
        <w:rPr>
          <w:rFonts w:ascii="Arial" w:cs="Arial" w:eastAsia="Arial" w:hAnsi="Arial"/>
          <w:sz w:val="11"/>
          <w:szCs w:val="11"/>
          <w:color w:val="auto"/>
        </w:rPr>
        <w:t xml:space="preserve">, which address initially is, with respect to the Initial Purchasers, the address for the Representative set forth in the Purchase Agreement; (ii) if to the Company and the Guarantors, initially at the Company’s address set forth in the Purchase Agreement and thereafter at such other address, notice of which is given in accordance with the provisions of this </w:t>
      </w:r>
      <w:r>
        <w:rPr>
          <w:rFonts w:ascii="Arial" w:cs="Arial" w:eastAsia="Arial" w:hAnsi="Arial"/>
          <w:sz w:val="11"/>
          <w:szCs w:val="11"/>
          <w:u w:val="single" w:color="auto"/>
          <w:color w:val="auto"/>
        </w:rPr>
        <w:t>Section 6(c)</w:t>
      </w:r>
      <w:r>
        <w:rPr>
          <w:rFonts w:ascii="Arial" w:cs="Arial" w:eastAsia="Arial" w:hAnsi="Arial"/>
          <w:sz w:val="11"/>
          <w:szCs w:val="11"/>
          <w:color w:val="auto"/>
        </w:rPr>
        <w:t xml:space="preserve">; and (iii) to such other persons at their respective addresses as provided in the Purchase Agreement and thereafter at such other address, notice of which is given in accordance with the provisions of this </w:t>
      </w:r>
      <w:r>
        <w:rPr>
          <w:rFonts w:ascii="Arial" w:cs="Arial" w:eastAsia="Arial" w:hAnsi="Arial"/>
          <w:sz w:val="11"/>
          <w:szCs w:val="11"/>
          <w:u w:val="single" w:color="auto"/>
          <w:color w:val="auto"/>
        </w:rPr>
        <w:t>Section 6(c)</w:t>
      </w:r>
      <w:r>
        <w:rPr>
          <w:rFonts w:ascii="Arial" w:cs="Arial" w:eastAsia="Arial" w:hAnsi="Arial"/>
          <w:sz w:val="11"/>
          <w:szCs w:val="11"/>
          <w:color w:val="auto"/>
        </w:rPr>
        <w:t>. All such notices and communications shall be deemed to have been duly given: at the time delivered by hand, if personally delivered; five Business Days after being deposited in the mail, postage prepaid, if mailed; when receipt is acknowledged, if telecopied; and on the next Business Day if timely delivered to an air courier guaranteeing overnight delivery. Copies of all such notices, demands or other communications shall be concurrently delivered by the Person giving the same to the Trustee, at the address specified in the Indenture.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455" w:right="199" w:bottom="1440" w:gutter="0" w:footer="0" w:header="0"/>
        </w:sectPr>
      </w:pPr>
    </w:p>
    <w:bookmarkStart w:id="139" w:name="page140"/>
    <w:bookmarkEnd w:id="139"/>
    <w:p>
      <w:pPr>
        <w:jc w:val="both"/>
        <w:ind w:firstLine="208"/>
        <w:spacing w:after="0" w:line="302" w:lineRule="auto"/>
        <w:tabs>
          <w:tab w:leader="none" w:pos="572" w:val="left"/>
        </w:tabs>
        <w:numPr>
          <w:ilvl w:val="0"/>
          <w:numId w:val="137"/>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This Agreement shall inure to the benefit of and be binding upon the successors, assigns and transferees of each of the parties, including, without limitation and without the need for an express assignment, subsequent Holders; provided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No Initial Purchaser (in its capacity as an Initial Purchaser) shall have any liability or obligation to the Company or the Guarantors with respect to any failure by a Holder to comply with, or any breach by any Holder of, any of the obligations of such Holder under this Agreement.</w:t>
      </w:r>
    </w:p>
    <w:p>
      <w:pPr>
        <w:spacing w:after="0" w:line="129" w:lineRule="exact"/>
        <w:rPr>
          <w:rFonts w:ascii="Arial" w:cs="Arial" w:eastAsia="Arial" w:hAnsi="Arial"/>
          <w:sz w:val="12"/>
          <w:szCs w:val="12"/>
          <w:color w:val="auto"/>
        </w:rPr>
      </w:pPr>
    </w:p>
    <w:p>
      <w:pPr>
        <w:ind w:firstLine="208"/>
        <w:spacing w:after="0" w:line="323" w:lineRule="auto"/>
        <w:tabs>
          <w:tab w:leader="none" w:pos="566" w:val="left"/>
        </w:tabs>
        <w:numPr>
          <w:ilvl w:val="0"/>
          <w:numId w:val="137"/>
        </w:numPr>
        <w:rPr>
          <w:rFonts w:ascii="Arial" w:cs="Arial" w:eastAsia="Arial" w:hAnsi="Arial"/>
          <w:sz w:val="12"/>
          <w:szCs w:val="12"/>
          <w:color w:val="auto"/>
        </w:rPr>
      </w:pPr>
      <w:r>
        <w:rPr>
          <w:rFonts w:ascii="Arial" w:cs="Arial" w:eastAsia="Arial" w:hAnsi="Arial"/>
          <w:sz w:val="12"/>
          <w:szCs w:val="12"/>
          <w:u w:val="single" w:color="auto"/>
          <w:color w:val="auto"/>
        </w:rPr>
        <w:t>Third Party Beneficiaries</w:t>
      </w:r>
      <w:r>
        <w:rPr>
          <w:rFonts w:ascii="Arial" w:cs="Arial" w:eastAsia="Arial" w:hAnsi="Arial"/>
          <w:sz w:val="12"/>
          <w:szCs w:val="12"/>
          <w:color w:val="auto"/>
        </w:rPr>
        <w:t>. Each Holder shall be a third party beneficiary to the agreements made hereunder between the Company and the Guarantors, on the one hand, and the Initial Purchasers, on the other hand, and shall have the right to enforce such agreements directly to the extent it deems such enforcement necessary or advisable to protect its rights or the rights of other Holders hereunder.</w:t>
      </w:r>
    </w:p>
    <w:p>
      <w:pPr>
        <w:spacing w:after="0" w:line="114" w:lineRule="exact"/>
        <w:rPr>
          <w:rFonts w:ascii="Arial" w:cs="Arial" w:eastAsia="Arial" w:hAnsi="Arial"/>
          <w:sz w:val="12"/>
          <w:szCs w:val="12"/>
          <w:color w:val="auto"/>
        </w:rPr>
      </w:pPr>
    </w:p>
    <w:p>
      <w:pPr>
        <w:ind w:firstLine="208"/>
        <w:spacing w:after="0" w:line="323" w:lineRule="auto"/>
        <w:tabs>
          <w:tab w:leader="none" w:pos="552" w:val="left"/>
        </w:tabs>
        <w:numPr>
          <w:ilvl w:val="0"/>
          <w:numId w:val="137"/>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14" w:lineRule="exact"/>
        <w:rPr>
          <w:rFonts w:ascii="Arial" w:cs="Arial" w:eastAsia="Arial" w:hAnsi="Arial"/>
          <w:sz w:val="12"/>
          <w:szCs w:val="12"/>
          <w:color w:val="auto"/>
        </w:rPr>
      </w:pPr>
    </w:p>
    <w:p>
      <w:pPr>
        <w:ind w:left="560" w:hanging="352"/>
        <w:spacing w:after="0"/>
        <w:tabs>
          <w:tab w:leader="none" w:pos="560" w:val="left"/>
        </w:tabs>
        <w:numPr>
          <w:ilvl w:val="0"/>
          <w:numId w:val="137"/>
        </w:numPr>
        <w:rPr>
          <w:rFonts w:ascii="Arial" w:cs="Arial" w:eastAsia="Arial" w:hAnsi="Arial"/>
          <w:sz w:val="12"/>
          <w:szCs w:val="12"/>
          <w:color w:val="auto"/>
        </w:rPr>
      </w:pPr>
      <w:r>
        <w:rPr>
          <w:rFonts w:ascii="Arial" w:cs="Arial" w:eastAsia="Arial" w:hAnsi="Arial"/>
          <w:sz w:val="12"/>
          <w:szCs w:val="12"/>
          <w:u w:val="single" w:color="auto"/>
          <w:color w:val="auto"/>
        </w:rPr>
        <w:t>Headings</w:t>
      </w:r>
      <w:r>
        <w:rPr>
          <w:rFonts w:ascii="Arial" w:cs="Arial" w:eastAsia="Arial" w:hAnsi="Arial"/>
          <w:sz w:val="12"/>
          <w:szCs w:val="12"/>
          <w:color w:val="auto"/>
        </w:rPr>
        <w:t>. The headings in this Agreement are for convenience of reference only, are not a part of this Agreement and shall not limit or otherwise affect the meaning hereof.</w:t>
      </w:r>
    </w:p>
    <w:p>
      <w:pPr>
        <w:spacing w:after="0" w:line="177" w:lineRule="exact"/>
        <w:rPr>
          <w:rFonts w:ascii="Arial" w:cs="Arial" w:eastAsia="Arial" w:hAnsi="Arial"/>
          <w:sz w:val="12"/>
          <w:szCs w:val="12"/>
          <w:color w:val="auto"/>
        </w:rPr>
      </w:pPr>
    </w:p>
    <w:p>
      <w:pPr>
        <w:ind w:left="560" w:hanging="352"/>
        <w:spacing w:after="0"/>
        <w:tabs>
          <w:tab w:leader="none" w:pos="560" w:val="left"/>
        </w:tabs>
        <w:numPr>
          <w:ilvl w:val="0"/>
          <w:numId w:val="137"/>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claim, controversy or dispute arising under or related to this Agreement, shall be governed by and construed in accordance with the laws of the State of New York.</w:t>
      </w:r>
    </w:p>
    <w:p>
      <w:pPr>
        <w:spacing w:after="0" w:line="177" w:lineRule="exact"/>
        <w:rPr>
          <w:rFonts w:ascii="Arial" w:cs="Arial" w:eastAsia="Arial" w:hAnsi="Arial"/>
          <w:sz w:val="12"/>
          <w:szCs w:val="12"/>
          <w:color w:val="auto"/>
        </w:rPr>
      </w:pPr>
    </w:p>
    <w:p>
      <w:pPr>
        <w:jc w:val="both"/>
        <w:ind w:firstLine="208"/>
        <w:spacing w:after="0" w:line="341" w:lineRule="auto"/>
        <w:tabs>
          <w:tab w:leader="none" w:pos="546" w:val="left"/>
        </w:tabs>
        <w:numPr>
          <w:ilvl w:val="0"/>
          <w:numId w:val="137"/>
        </w:numPr>
        <w:rPr>
          <w:rFonts w:ascii="Arial" w:cs="Arial" w:eastAsia="Arial" w:hAnsi="Arial"/>
          <w:sz w:val="11"/>
          <w:szCs w:val="11"/>
          <w:color w:val="auto"/>
        </w:rPr>
      </w:pPr>
      <w:r>
        <w:rPr>
          <w:rFonts w:ascii="Arial" w:cs="Arial" w:eastAsia="Arial" w:hAnsi="Arial"/>
          <w:sz w:val="11"/>
          <w:szCs w:val="11"/>
          <w:u w:val="single" w:color="auto"/>
          <w:color w:val="auto"/>
        </w:rPr>
        <w:t>Entire Agreement; Severability</w:t>
      </w:r>
      <w:r>
        <w:rPr>
          <w:rFonts w:ascii="Arial" w:cs="Arial" w:eastAsia="Arial" w:hAnsi="Arial"/>
          <w:sz w:val="11"/>
          <w:szCs w:val="11"/>
          <w:color w:val="auto"/>
        </w:rPr>
        <w:t>. This Agreement contains the entire agreement among the parties relating to the subject matter hereof and 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the Guarantors and the Initial Purchasers shall endeavor in good faith negotiations to replace the invalid, void or unenforceable provisions with valid provisions the economic effect of which comes as close as possible to that of the invalid, void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Follow.</w:t>
      </w:r>
      <w:r>
        <w:rPr>
          <w:rFonts w:ascii="Arial" w:cs="Arial" w:eastAsia="Arial" w:hAnsi="Arial"/>
          <w:sz w:val="12"/>
          <w:szCs w:val="12"/>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743" w:right="199" w:bottom="1440" w:gutter="0" w:footer="0" w:header="0"/>
        </w:sectPr>
      </w:pPr>
    </w:p>
    <w:bookmarkStart w:id="140" w:name="page141"/>
    <w:bookmarkEnd w:id="140"/>
    <w:p>
      <w:pPr>
        <w:ind w:left="200"/>
        <w:spacing w:after="0"/>
        <w:rPr>
          <w:sz w:val="20"/>
          <w:szCs w:val="20"/>
          <w:color w:val="auto"/>
        </w:rPr>
      </w:pPr>
      <w:r>
        <w:rPr>
          <w:rFonts w:ascii="Arial" w:cs="Arial" w:eastAsia="Arial" w:hAnsi="Arial"/>
          <w:sz w:val="12"/>
          <w:szCs w:val="12"/>
          <w:color w:val="auto"/>
        </w:rPr>
        <w:t>IN WITNESS WHEREOF, the parties have executed this Agreement as of the date first written above.</w:t>
      </w:r>
    </w:p>
    <w:p>
      <w:pPr>
        <w:spacing w:after="0" w:line="123"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Weatherford International, LLC,</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a Delaware limited liability company</w:t>
      </w:r>
    </w:p>
    <w:p>
      <w:pPr>
        <w:spacing w:after="0" w:line="28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Mark Rothleitner</w:t>
      </w:r>
    </w:p>
    <w:p>
      <w:pPr>
        <w:spacing w:after="0" w:line="42" w:lineRule="exact"/>
        <w:rPr>
          <w:sz w:val="20"/>
          <w:szCs w:val="20"/>
          <w:color w:val="auto"/>
        </w:rPr>
      </w:pPr>
    </w:p>
    <w:p>
      <w:pPr>
        <w:ind w:left="2580"/>
        <w:spacing w:after="0"/>
        <w:tabs>
          <w:tab w:leader="none" w:pos="3040" w:val="left"/>
        </w:tabs>
        <w:rPr>
          <w:sz w:val="20"/>
          <w:szCs w:val="20"/>
          <w:color w:val="auto"/>
        </w:rPr>
      </w:pPr>
      <w:r>
        <w:rPr>
          <w:rFonts w:ascii="Arial" w:cs="Arial" w:eastAsia="Arial" w:hAnsi="Arial"/>
          <w:sz w:val="12"/>
          <w:szCs w:val="12"/>
          <w:color w:val="auto"/>
        </w:rPr>
        <w:t>Name:</w:t>
        <w:tab/>
        <w:t>Mark Rothleitner</w:t>
      </w:r>
    </w:p>
    <w:p>
      <w:pPr>
        <w:spacing w:after="0" w:line="42" w:lineRule="exact"/>
        <w:rPr>
          <w:sz w:val="20"/>
          <w:szCs w:val="20"/>
          <w:color w:val="auto"/>
        </w:rPr>
      </w:pPr>
    </w:p>
    <w:p>
      <w:pPr>
        <w:ind w:left="2580"/>
        <w:spacing w:after="0"/>
        <w:tabs>
          <w:tab w:leader="none" w:pos="2960" w:val="left"/>
        </w:tabs>
        <w:rPr>
          <w:sz w:val="20"/>
          <w:szCs w:val="20"/>
          <w:color w:val="auto"/>
        </w:rPr>
      </w:pPr>
      <w:r>
        <w:rPr>
          <w:rFonts w:ascii="Arial" w:cs="Arial" w:eastAsia="Arial" w:hAnsi="Arial"/>
          <w:sz w:val="12"/>
          <w:szCs w:val="12"/>
          <w:color w:val="auto"/>
        </w:rPr>
        <w:t>Title:</w:t>
        <w:tab/>
        <w:t>Vice President and Treasurer</w:t>
      </w:r>
    </w:p>
    <w:p>
      <w:pPr>
        <w:spacing w:after="0" w:line="18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Weatherford International Ltd.,</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a Bermuda exempted company</w:t>
      </w:r>
    </w:p>
    <w:p>
      <w:pPr>
        <w:spacing w:after="0" w:line="28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Joshua S. Silverman</w:t>
      </w:r>
    </w:p>
    <w:p>
      <w:pPr>
        <w:spacing w:after="0" w:line="42" w:lineRule="exact"/>
        <w:rPr>
          <w:sz w:val="20"/>
          <w:szCs w:val="20"/>
          <w:color w:val="auto"/>
        </w:rPr>
      </w:pPr>
    </w:p>
    <w:p>
      <w:pPr>
        <w:ind w:left="2580"/>
        <w:spacing w:after="0"/>
        <w:tabs>
          <w:tab w:leader="none" w:pos="3040" w:val="left"/>
        </w:tabs>
        <w:rPr>
          <w:sz w:val="20"/>
          <w:szCs w:val="20"/>
          <w:color w:val="auto"/>
        </w:rPr>
      </w:pPr>
      <w:r>
        <w:rPr>
          <w:rFonts w:ascii="Arial" w:cs="Arial" w:eastAsia="Arial" w:hAnsi="Arial"/>
          <w:sz w:val="12"/>
          <w:szCs w:val="12"/>
          <w:color w:val="auto"/>
        </w:rPr>
        <w:t>Name:</w:t>
        <w:tab/>
        <w:t>Joshua S. Silverman</w:t>
      </w:r>
    </w:p>
    <w:p>
      <w:pPr>
        <w:spacing w:after="0" w:line="42" w:lineRule="exact"/>
        <w:rPr>
          <w:sz w:val="20"/>
          <w:szCs w:val="20"/>
          <w:color w:val="auto"/>
        </w:rPr>
      </w:pPr>
    </w:p>
    <w:p>
      <w:pPr>
        <w:ind w:left="2580"/>
        <w:spacing w:after="0"/>
        <w:tabs>
          <w:tab w:leader="none" w:pos="2960" w:val="left"/>
        </w:tabs>
        <w:rPr>
          <w:sz w:val="20"/>
          <w:szCs w:val="20"/>
          <w:color w:val="auto"/>
        </w:rPr>
      </w:pPr>
      <w:r>
        <w:rPr>
          <w:rFonts w:ascii="Arial" w:cs="Arial" w:eastAsia="Arial" w:hAnsi="Arial"/>
          <w:sz w:val="12"/>
          <w:szCs w:val="12"/>
          <w:color w:val="auto"/>
        </w:rPr>
        <w:t>Title:</w:t>
        <w:tab/>
        <w:t>Assistant Treasurer</w:t>
      </w:r>
    </w:p>
    <w:p>
      <w:pPr>
        <w:spacing w:after="0" w:line="330"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Weatherford International plc,</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an Irish public limited company</w:t>
      </w:r>
    </w:p>
    <w:p>
      <w:pPr>
        <w:spacing w:after="0" w:line="28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Timothy Bryant</w:t>
      </w:r>
    </w:p>
    <w:p>
      <w:pPr>
        <w:spacing w:after="0" w:line="42" w:lineRule="exact"/>
        <w:rPr>
          <w:sz w:val="20"/>
          <w:szCs w:val="20"/>
          <w:color w:val="auto"/>
        </w:rPr>
      </w:pPr>
    </w:p>
    <w:p>
      <w:pPr>
        <w:ind w:left="2580"/>
        <w:spacing w:after="0"/>
        <w:tabs>
          <w:tab w:leader="none" w:pos="300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1"/>
          <w:szCs w:val="11"/>
          <w:color w:val="auto"/>
        </w:rPr>
        <w:t>Timothy Bryant</w:t>
      </w:r>
    </w:p>
    <w:p>
      <w:pPr>
        <w:spacing w:after="0" w:line="42" w:lineRule="exact"/>
        <w:rPr>
          <w:sz w:val="20"/>
          <w:szCs w:val="20"/>
          <w:color w:val="auto"/>
        </w:rPr>
      </w:pPr>
    </w:p>
    <w:p>
      <w:pPr>
        <w:ind w:left="2580"/>
        <w:spacing w:after="0"/>
        <w:tabs>
          <w:tab w:leader="none" w:pos="2960" w:val="left"/>
        </w:tabs>
        <w:rPr>
          <w:sz w:val="20"/>
          <w:szCs w:val="20"/>
          <w:color w:val="auto"/>
        </w:rPr>
      </w:pPr>
      <w:r>
        <w:rPr>
          <w:rFonts w:ascii="Arial" w:cs="Arial" w:eastAsia="Arial" w:hAnsi="Arial"/>
          <w:sz w:val="12"/>
          <w:szCs w:val="12"/>
          <w:color w:val="auto"/>
        </w:rPr>
        <w:t>Title:</w:t>
        <w:tab/>
        <w:t>Vice President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Confirmed and accepted as of the date first above written: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Deutsche Bank Securities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/s/Michael Getz</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0"/>
          <w:szCs w:val="10"/>
          <w:color w:val="auto"/>
        </w:rPr>
        <w:t>Michael Getz</w:t>
      </w:r>
    </w:p>
    <w:p>
      <w:pPr>
        <w:spacing w:after="0" w:line="42" w:lineRule="exact"/>
        <w:rPr>
          <w:sz w:val="20"/>
          <w:szCs w:val="20"/>
          <w:color w:val="auto"/>
        </w:rPr>
      </w:pPr>
    </w:p>
    <w:p>
      <w:pPr>
        <w:spacing w:after="0"/>
        <w:tabs>
          <w:tab w:leader="none" w:pos="380" w:val="left"/>
        </w:tabs>
        <w:rPr>
          <w:sz w:val="20"/>
          <w:szCs w:val="20"/>
          <w:color w:val="auto"/>
        </w:rPr>
      </w:pPr>
      <w:r>
        <w:rPr>
          <w:rFonts w:ascii="Arial" w:cs="Arial" w:eastAsia="Arial" w:hAnsi="Arial"/>
          <w:sz w:val="12"/>
          <w:szCs w:val="12"/>
          <w:color w:val="auto"/>
        </w:rPr>
        <w:t>Title:</w:t>
        <w:tab/>
        <w:t>Director</w:t>
      </w:r>
    </w:p>
    <w:p>
      <w:pPr>
        <w:spacing w:after="0" w:line="150" w:lineRule="exact"/>
        <w:rPr>
          <w:sz w:val="20"/>
          <w:szCs w:val="20"/>
          <w:color w:val="auto"/>
        </w:rPr>
      </w:pPr>
    </w:p>
    <w:p>
      <w:pPr>
        <w:spacing w:after="0"/>
        <w:tabs>
          <w:tab w:leader="none" w:pos="2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u w:val="single" w:color="auto"/>
          <w:color w:val="auto"/>
        </w:rPr>
        <w:t>/s/ Alvin Varughese</w:t>
      </w:r>
    </w:p>
    <w:p>
      <w:pPr>
        <w:spacing w:after="0" w:line="42" w:lineRule="exact"/>
        <w:rPr>
          <w:sz w:val="20"/>
          <w:szCs w:val="20"/>
          <w:color w:val="auto"/>
        </w:rPr>
      </w:pPr>
    </w:p>
    <w:p>
      <w:pPr>
        <w:spacing w:after="0"/>
        <w:tabs>
          <w:tab w:leader="none" w:pos="40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0"/>
          <w:szCs w:val="10"/>
          <w:color w:val="auto"/>
        </w:rPr>
        <w:t>Alvin Varughese</w:t>
      </w:r>
    </w:p>
    <w:p>
      <w:pPr>
        <w:spacing w:after="0" w:line="42" w:lineRule="exact"/>
        <w:rPr>
          <w:sz w:val="20"/>
          <w:szCs w:val="20"/>
          <w:color w:val="auto"/>
        </w:rPr>
      </w:pPr>
    </w:p>
    <w:p>
      <w:pPr>
        <w:spacing w:after="0"/>
        <w:tabs>
          <w:tab w:leader="none" w:pos="380" w:val="left"/>
        </w:tabs>
        <w:rPr>
          <w:sz w:val="20"/>
          <w:szCs w:val="20"/>
          <w:color w:val="auto"/>
        </w:rPr>
      </w:pPr>
      <w:r>
        <w:rPr>
          <w:rFonts w:ascii="Arial" w:cs="Arial" w:eastAsia="Arial" w:hAnsi="Arial"/>
          <w:sz w:val="12"/>
          <w:szCs w:val="12"/>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27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Registration Rights Agreement</w:t>
      </w:r>
      <w:r>
        <w:rPr>
          <w:rFonts w:ascii="Arial" w:cs="Arial" w:eastAsia="Arial" w:hAnsi="Arial"/>
          <w:sz w:val="12"/>
          <w:szCs w:val="12"/>
          <w:color w:val="auto"/>
        </w:rPr>
        <w:t>]</w:t>
      </w:r>
    </w:p>
    <w:p>
      <w:pPr>
        <w:spacing w:after="0" w:line="312"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239"/>
          </w:cols>
          <w:pgMar w:left="220" w:top="581"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2"/>
          <w:szCs w:val="12"/>
          <w:b w:val="1"/>
          <w:bCs w:val="1"/>
          <w:color w:val="auto"/>
        </w:rPr>
        <w:t>Annex 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Counterpart to Registration Rights Agreement</w:t>
      </w:r>
    </w:p>
    <w:p>
      <w:pPr>
        <w:spacing w:after="0" w:line="38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undersigned hereby absolutely, unconditionally and irrevocably agrees as a Guarantor to be bound by the terms and provisions of the Registration Rights Agreement, dated February 28, 2018 by and among Weatherford International, LLC, a Delaware limited liability company, the Guarantors party thereto and Deutsche Bank Securities Inc., as the representative of the several initial purchasers named therein. Each capitalized term used herein shall have the meaning attributed thereto in the Registration Rights Agreement.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undersigned has executed this counterpart as of _______________, 20___.</w:t>
      </w:r>
    </w:p>
    <w:p>
      <w:pPr>
        <w:spacing w:after="0" w:line="123"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GUARANTOR</w:t>
      </w:r>
      <w:r>
        <w:rPr>
          <w:rFonts w:ascii="Arial" w:cs="Arial" w:eastAsia="Arial" w:hAnsi="Arial"/>
          <w:sz w:val="12"/>
          <w:szCs w:val="12"/>
          <w:color w:val="auto"/>
        </w:rPr>
        <w:t>]</w:t>
      </w:r>
    </w:p>
    <w:p>
      <w:pPr>
        <w:spacing w:after="0" w:line="298"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By:_____________________________________</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Name:___________________________________</w:t>
      </w:r>
    </w:p>
    <w:p>
      <w:pPr>
        <w:spacing w:after="0" w:line="6"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Title:____________________________________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Annex A</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577" w:right="199" w:bottom="1440" w:gutter="0" w:footer="0" w:header="0"/>
        </w:sectPr>
      </w:pPr>
    </w:p>
    <w:bookmarkStart w:id="142" w:name="page143"/>
    <w:bookmarkEnd w:id="142"/>
    <w:p>
      <w:pPr>
        <w:jc w:val="right"/>
        <w:ind w:right="3879"/>
        <w:spacing w:after="0"/>
        <w:rPr>
          <w:sz w:val="20"/>
          <w:szCs w:val="20"/>
          <w:color w:val="auto"/>
        </w:rPr>
      </w:pPr>
      <w:r>
        <w:rPr>
          <w:rFonts w:ascii="Arial" w:cs="Arial" w:eastAsia="Arial" w:hAnsi="Arial"/>
          <w:sz w:val="12"/>
          <w:szCs w:val="12"/>
          <w:b w:val="1"/>
          <w:bCs w:val="1"/>
          <w:color w:val="auto"/>
        </w:rPr>
        <w:t>Schedule I - Guarantors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Weatherford International plc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Weatherford International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Schedule I - 1</w:t>
      </w:r>
    </w:p>
    <w:p>
      <w:pPr>
        <w:spacing w:after="0" w:line="200" w:lineRule="exact"/>
        <w:rPr>
          <w:sz w:val="20"/>
          <w:szCs w:val="20"/>
          <w:color w:val="auto"/>
        </w:rPr>
      </w:pPr>
    </w:p>
    <w:p>
      <w:pPr>
        <w:spacing w:after="0" w:line="256"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239"/>
          </w:cols>
          <w:pgMar w:left="220" w:top="577" w:right="1440" w:bottom="1440" w:gutter="0" w:footer="0" w:header="0"/>
        </w:sectPr>
      </w:pPr>
    </w:p>
    <w:bookmarkStart w:id="143" w:name="page144"/>
    <w:bookmarkEnd w:id="143"/>
    <w:p>
      <w:pPr>
        <w:jc w:val="right"/>
        <w:ind w:right="3699"/>
        <w:spacing w:after="0"/>
        <w:rPr>
          <w:sz w:val="20"/>
          <w:szCs w:val="20"/>
          <w:color w:val="auto"/>
        </w:rPr>
      </w:pPr>
      <w:r>
        <w:rPr>
          <w:rFonts w:ascii="Arial" w:cs="Arial" w:eastAsia="Arial" w:hAnsi="Arial"/>
          <w:sz w:val="12"/>
          <w:szCs w:val="12"/>
          <w:b w:val="1"/>
          <w:bCs w:val="1"/>
          <w:color w:val="auto"/>
        </w:rPr>
        <w:t>Schedule II - Initial Purchasers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Citigroup Global Markets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Morgan Stanley &amp; Co.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J.P. Morgan Securities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Wells Fargo Securities,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Skandinaviska Enskilda Banken AB (publ)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TD Securities (USA)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RBC Capital Markets,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Barclays Capital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Standard Chartered Bank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UniCredit Capital Markets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Schedule II - 1</w:t>
      </w:r>
    </w:p>
    <w:p>
      <w:pPr>
        <w:spacing w:after="0" w:line="200" w:lineRule="exact"/>
        <w:rPr>
          <w:sz w:val="20"/>
          <w:szCs w:val="20"/>
          <w:color w:val="auto"/>
        </w:rPr>
      </w:pPr>
    </w:p>
    <w:p>
      <w:pPr>
        <w:spacing w:after="0" w:line="256"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239"/>
          </w:cols>
          <w:pgMar w:left="220" w:top="838"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189230</wp:posOffset>
            </wp:positionV>
            <wp:extent cx="1270000" cy="526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00" cy="52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News Release</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Weatherford Announces Final Results and Expiration of Cash Tender Offer</w:t>
      </w:r>
    </w:p>
    <w:p>
      <w:pPr>
        <w:spacing w:after="0" w:line="151" w:lineRule="exact"/>
        <w:rPr>
          <w:sz w:val="20"/>
          <w:szCs w:val="20"/>
          <w:color w:val="auto"/>
        </w:rPr>
      </w:pPr>
    </w:p>
    <w:p>
      <w:pPr>
        <w:ind w:left="8"/>
        <w:spacing w:after="0" w:line="283" w:lineRule="auto"/>
        <w:rPr>
          <w:sz w:val="20"/>
          <w:szCs w:val="20"/>
          <w:color w:val="auto"/>
        </w:rPr>
      </w:pPr>
      <w:r>
        <w:rPr>
          <w:rFonts w:ascii="Arial" w:cs="Arial" w:eastAsia="Arial" w:hAnsi="Arial"/>
          <w:sz w:val="12"/>
          <w:szCs w:val="12"/>
          <w:color w:val="auto"/>
        </w:rPr>
        <w:t xml:space="preserve">Baar, Switzerland, February 27, 2018 </w:t>
      </w:r>
      <w:r>
        <w:rPr>
          <w:rFonts w:ascii="Arial" w:cs="Arial" w:eastAsia="Arial" w:hAnsi="Arial"/>
          <w:sz w:val="12"/>
          <w:szCs w:val="12"/>
          <w:b w:val="1"/>
          <w:bCs w:val="1"/>
          <w:color w:val="auto"/>
        </w:rPr>
        <w:t>-</w:t>
      </w:r>
      <w:r>
        <w:rPr>
          <w:rFonts w:ascii="Arial" w:cs="Arial" w:eastAsia="Arial" w:hAnsi="Arial"/>
          <w:sz w:val="12"/>
          <w:szCs w:val="12"/>
          <w:color w:val="auto"/>
        </w:rPr>
        <w:t xml:space="preserve"> Weatherford International plc (NYSE: WFT) (the “Company” or “Weatherford”) announced today the final results and expiration of the previously announced offer (the “Tender Offer”) by Weatherford International Ltd., a Bermuda exempted company and indirect, wholly owned subsidiary of the Company, to purchase for cash any and all of its 9.625% senior notes due 2019 (the “Notes”).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table below sets forth the final results of the Tender Offer according to information received from D.F. King &amp; Co., Inc., the Tender and Information Agent, as of 5:00 p.m., New York City time, on February 27, 2018 (the “Expiration</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Time”):</w:t>
      </w:r>
    </w:p>
    <w:p>
      <w:pPr>
        <w:spacing w:after="0" w:line="22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0" w:type="dxa"/>
            <w:vAlign w:val="bottom"/>
            <w:tcBorders>
              <w:right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2"/>
                <w:szCs w:val="12"/>
                <w:b w:val="1"/>
                <w:bCs w:val="1"/>
                <w:color w:val="auto"/>
              </w:rPr>
              <w:t>Title of Notes</w:t>
            </w:r>
          </w:p>
        </w:tc>
        <w:tc>
          <w:tcPr>
            <w:tcW w:w="500" w:type="dxa"/>
            <w:vAlign w:val="bottom"/>
            <w:tcBorders>
              <w:top w:val="single" w:sz="8" w:color="auto"/>
            </w:tcBorders>
          </w:tcPr>
          <w:p>
            <w:pPr>
              <w:spacing w:after="0"/>
              <w:rPr>
                <w:sz w:val="12"/>
                <w:szCs w:val="12"/>
                <w:color w:val="auto"/>
              </w:rPr>
            </w:pPr>
          </w:p>
        </w:tc>
        <w:tc>
          <w:tcPr>
            <w:tcW w:w="1920" w:type="dxa"/>
            <w:vAlign w:val="bottom"/>
            <w:tcBorders>
              <w:top w:val="single" w:sz="8" w:color="auto"/>
              <w:right w:val="single" w:sz="8" w:color="auto"/>
            </w:tcBorders>
            <w:gridSpan w:val="3"/>
          </w:tcPr>
          <w:p>
            <w:pPr>
              <w:jc w:val="center"/>
              <w:ind w:right="540"/>
              <w:spacing w:after="0"/>
              <w:rPr>
                <w:sz w:val="20"/>
                <w:szCs w:val="20"/>
                <w:color w:val="auto"/>
              </w:rPr>
            </w:pPr>
            <w:r>
              <w:rPr>
                <w:rFonts w:ascii="Arial" w:cs="Arial" w:eastAsia="Arial" w:hAnsi="Arial"/>
                <w:sz w:val="12"/>
                <w:szCs w:val="12"/>
                <w:b w:val="1"/>
                <w:bCs w:val="1"/>
                <w:color w:val="auto"/>
                <w:w w:val="91"/>
              </w:rPr>
              <w:t>Amount Outstanding</w:t>
            </w:r>
            <w:r>
              <w:rPr>
                <w:rFonts w:ascii="Arial" w:cs="Arial" w:eastAsia="Arial" w:hAnsi="Arial"/>
                <w:sz w:val="12"/>
                <w:szCs w:val="12"/>
                <w:color w:val="auto"/>
                <w:w w:val="91"/>
              </w:rPr>
              <w:t>(1)</w:t>
            </w:r>
          </w:p>
        </w:tc>
        <w:tc>
          <w:tcPr>
            <w:tcW w:w="400" w:type="dxa"/>
            <w:vAlign w:val="bottom"/>
            <w:tcBorders>
              <w:top w:val="single" w:sz="8" w:color="auto"/>
            </w:tcBorders>
          </w:tcPr>
          <w:p>
            <w:pPr>
              <w:spacing w:after="0"/>
              <w:rPr>
                <w:sz w:val="12"/>
                <w:szCs w:val="12"/>
                <w:color w:val="auto"/>
              </w:rPr>
            </w:pPr>
          </w:p>
        </w:tc>
        <w:tc>
          <w:tcPr>
            <w:tcW w:w="2000" w:type="dxa"/>
            <w:vAlign w:val="bottom"/>
            <w:tcBorders>
              <w:top w:val="single" w:sz="8" w:color="auto"/>
              <w:right w:val="single" w:sz="8" w:color="auto"/>
            </w:tcBorders>
            <w:gridSpan w:val="2"/>
          </w:tcPr>
          <w:p>
            <w:pPr>
              <w:jc w:val="center"/>
              <w:ind w:right="440"/>
              <w:spacing w:after="0"/>
              <w:rPr>
                <w:sz w:val="20"/>
                <w:szCs w:val="20"/>
                <w:color w:val="auto"/>
              </w:rPr>
            </w:pPr>
            <w:r>
              <w:rPr>
                <w:rFonts w:ascii="Arial" w:cs="Arial" w:eastAsia="Arial" w:hAnsi="Arial"/>
                <w:sz w:val="12"/>
                <w:szCs w:val="12"/>
                <w:b w:val="1"/>
                <w:bCs w:val="1"/>
                <w:color w:val="auto"/>
                <w:w w:val="91"/>
              </w:rPr>
              <w:t>Principal Amount Tendered</w:t>
            </w:r>
            <w:r>
              <w:rPr>
                <w:rFonts w:ascii="Arial" w:cs="Arial" w:eastAsia="Arial" w:hAnsi="Arial"/>
                <w:sz w:val="12"/>
                <w:szCs w:val="12"/>
                <w:color w:val="auto"/>
                <w:w w:val="91"/>
              </w:rPr>
              <w:t>(3)</w:t>
            </w:r>
          </w:p>
        </w:tc>
        <w:tc>
          <w:tcPr>
            <w:tcW w:w="220" w:type="dxa"/>
            <w:vAlign w:val="bottom"/>
            <w:tcBorders>
              <w:top w:val="single" w:sz="8" w:color="auto"/>
            </w:tcBorders>
          </w:tcPr>
          <w:p>
            <w:pPr>
              <w:spacing w:after="0"/>
              <w:rPr>
                <w:sz w:val="12"/>
                <w:szCs w:val="12"/>
                <w:color w:val="auto"/>
              </w:rPr>
            </w:pPr>
          </w:p>
        </w:tc>
        <w:tc>
          <w:tcPr>
            <w:tcW w:w="1840" w:type="dxa"/>
            <w:vAlign w:val="bottom"/>
            <w:tcBorders>
              <w:top w:val="single" w:sz="8" w:color="auto"/>
              <w:right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Principal Amount Accepted</w:t>
            </w:r>
            <w:r>
              <w:rPr>
                <w:rFonts w:ascii="Arial" w:cs="Arial" w:eastAsia="Arial" w:hAnsi="Arial"/>
                <w:sz w:val="12"/>
                <w:szCs w:val="12"/>
                <w:color w:val="auto"/>
                <w:w w:val="92"/>
              </w:rPr>
              <w:t>(3)</w:t>
            </w:r>
          </w:p>
        </w:tc>
        <w:tc>
          <w:tcPr>
            <w:tcW w:w="27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2"/>
                <w:szCs w:val="12"/>
                <w:b w:val="1"/>
                <w:bCs w:val="1"/>
                <w:color w:val="auto"/>
                <w:w w:val="89"/>
              </w:rPr>
              <w:t xml:space="preserve">Total Purchase Price </w:t>
            </w:r>
            <w:r>
              <w:rPr>
                <w:rFonts w:ascii="Arial" w:cs="Arial" w:eastAsia="Arial" w:hAnsi="Arial"/>
                <w:sz w:val="12"/>
                <w:szCs w:val="12"/>
                <w:color w:val="auto"/>
                <w:w w:val="89"/>
              </w:rPr>
              <w:t>(2)(3)</w:t>
            </w:r>
          </w:p>
        </w:tc>
      </w:tr>
      <w:tr>
        <w:trPr>
          <w:trHeight w:val="25"/>
        </w:trPr>
        <w:tc>
          <w:tcPr>
            <w:tcW w:w="40" w:type="dxa"/>
            <w:vAlign w:val="bottom"/>
            <w:tcBorders>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2"/>
                <w:szCs w:val="12"/>
                <w:color w:val="auto"/>
              </w:rPr>
              <w:t>9.625% Senior Notes due 2019</w:t>
            </w: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$485,196,000</w:t>
            </w:r>
          </w:p>
        </w:tc>
        <w:tc>
          <w:tcPr>
            <w:tcW w:w="760" w:type="dxa"/>
            <w:vAlign w:val="bottom"/>
            <w:tcBorders>
              <w:bottom w:val="single" w:sz="8" w:color="auto"/>
              <w:right w:val="single" w:sz="8" w:color="auto"/>
            </w:tcBorders>
          </w:tcPr>
          <w:p>
            <w:pPr>
              <w:spacing w:after="0"/>
              <w:rPr>
                <w:sz w:val="13"/>
                <w:szCs w:val="13"/>
                <w:color w:val="auto"/>
              </w:rPr>
            </w:pPr>
          </w:p>
        </w:tc>
        <w:tc>
          <w:tcPr>
            <w:tcW w:w="1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$425,102,000</w:t>
            </w:r>
          </w:p>
        </w:tc>
        <w:tc>
          <w:tcPr>
            <w:tcW w:w="5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$425,102,000</w:t>
            </w:r>
          </w:p>
        </w:tc>
        <w:tc>
          <w:tcPr>
            <w:tcW w:w="40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$454,434,038</w:t>
            </w:r>
          </w:p>
        </w:tc>
        <w:tc>
          <w:tcPr>
            <w:tcW w:w="1020" w:type="dxa"/>
            <w:vAlign w:val="bottom"/>
            <w:tcBorders>
              <w:bottom w:val="single" w:sz="8" w:color="auto"/>
              <w:right w:val="single" w:sz="8" w:color="auto"/>
            </w:tcBorders>
          </w:tcPr>
          <w:p>
            <w:pPr>
              <w:spacing w:after="0"/>
              <w:rPr>
                <w:sz w:val="13"/>
                <w:szCs w:val="13"/>
                <w:color w:val="auto"/>
              </w:rPr>
            </w:pPr>
          </w:p>
        </w:tc>
      </w:tr>
      <w:tr>
        <w:trPr>
          <w:trHeight w:val="143"/>
        </w:trPr>
        <w:tc>
          <w:tcPr>
            <w:tcW w:w="40" w:type="dxa"/>
            <w:vAlign w:val="bottom"/>
          </w:tcPr>
          <w:p>
            <w:pPr>
              <w:spacing w:after="0"/>
              <w:rPr>
                <w:sz w:val="12"/>
                <w:szCs w:val="12"/>
                <w:color w:val="auto"/>
              </w:rPr>
            </w:pPr>
          </w:p>
        </w:tc>
        <w:tc>
          <w:tcPr>
            <w:tcW w:w="2320" w:type="dxa"/>
            <w:vAlign w:val="bottom"/>
            <w:gridSpan w:val="4"/>
          </w:tcPr>
          <w:p>
            <w:pPr>
              <w:jc w:val="right"/>
              <w:ind w:right="80"/>
              <w:spacing w:after="0"/>
              <w:rPr>
                <w:sz w:val="20"/>
                <w:szCs w:val="20"/>
                <w:color w:val="auto"/>
              </w:rPr>
            </w:pPr>
            <w:r>
              <w:rPr>
                <w:rFonts w:ascii="Arial" w:cs="Arial" w:eastAsia="Arial" w:hAnsi="Arial"/>
                <w:sz w:val="12"/>
                <w:szCs w:val="12"/>
                <w:color w:val="auto"/>
                <w:w w:val="87"/>
              </w:rPr>
              <w:t>______________________________________</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ind w:left="168" w:hanging="168"/>
        <w:spacing w:after="0"/>
        <w:tabs>
          <w:tab w:leader="none" w:pos="168"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As of February 21, 2018, the date of commencement of the Tender Offer.</w:t>
      </w:r>
    </w:p>
    <w:p>
      <w:pPr>
        <w:spacing w:after="0" w:line="4" w:lineRule="exact"/>
        <w:rPr>
          <w:rFonts w:ascii="Arial" w:cs="Arial" w:eastAsia="Arial" w:hAnsi="Arial"/>
          <w:sz w:val="12"/>
          <w:szCs w:val="12"/>
          <w:color w:val="auto"/>
        </w:rPr>
      </w:pPr>
    </w:p>
    <w:p>
      <w:pPr>
        <w:ind w:left="168" w:hanging="168"/>
        <w:spacing w:after="0"/>
        <w:tabs>
          <w:tab w:leader="none" w:pos="168" w:val="left"/>
        </w:tabs>
        <w:numPr>
          <w:ilvl w:val="0"/>
          <w:numId w:val="138"/>
        </w:numPr>
        <w:rPr>
          <w:rFonts w:ascii="Arial" w:cs="Arial" w:eastAsia="Arial" w:hAnsi="Arial"/>
          <w:sz w:val="12"/>
          <w:szCs w:val="12"/>
          <w:color w:val="auto"/>
        </w:rPr>
      </w:pPr>
      <w:r>
        <w:rPr>
          <w:rFonts w:ascii="Arial" w:cs="Arial" w:eastAsia="Arial" w:hAnsi="Arial"/>
          <w:sz w:val="12"/>
          <w:szCs w:val="12"/>
          <w:color w:val="auto"/>
        </w:rPr>
        <w:t>Excludes accrued and unpaid interest.</w:t>
      </w:r>
    </w:p>
    <w:p>
      <w:pPr>
        <w:spacing w:after="0" w:line="6" w:lineRule="exact"/>
        <w:rPr>
          <w:rFonts w:ascii="Arial" w:cs="Arial" w:eastAsia="Arial" w:hAnsi="Arial"/>
          <w:sz w:val="12"/>
          <w:szCs w:val="12"/>
          <w:color w:val="auto"/>
        </w:rPr>
      </w:pPr>
    </w:p>
    <w:p>
      <w:pPr>
        <w:ind w:left="168" w:hanging="168"/>
        <w:spacing w:after="0"/>
        <w:tabs>
          <w:tab w:leader="none" w:pos="168" w:val="left"/>
        </w:tabs>
        <w:numPr>
          <w:ilvl w:val="0"/>
          <w:numId w:val="138"/>
        </w:numPr>
        <w:rPr>
          <w:rFonts w:ascii="Arial" w:cs="Arial" w:eastAsia="Arial" w:hAnsi="Arial"/>
          <w:sz w:val="12"/>
          <w:szCs w:val="12"/>
          <w:color w:val="auto"/>
        </w:rPr>
      </w:pPr>
      <w:r>
        <w:rPr>
          <w:rFonts w:ascii="Arial" w:cs="Arial" w:eastAsia="Arial" w:hAnsi="Arial"/>
          <w:sz w:val="12"/>
          <w:szCs w:val="12"/>
          <w:color w:val="auto"/>
        </w:rPr>
        <w:t>Excludes Notes that remain subject to guaranteed delivery procedures.</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Company expects to accept for payment all such Notes validly tendered and not validly withdrawn in the Tender Offer as of the Expiration Time and expects to make payment for such Notes on February 28, 2018, subject to the Company’s successful completion of its previously announced offering of senior notes that is also expected to close on February 28, 2018. The Company also expects to accept for payment all Notes that remain subject to guaranteed delivery procedures and to make payment for such Notes on March 2, 2018.</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This press release is for informational purposes only and is not an offer to buy, nor the solicitation of an offer to sell any of the Notes. The Tender Offer was made solely by the Offer to Purchase, dated February 21, 2018.</w:t>
      </w:r>
    </w:p>
    <w:p>
      <w:pPr>
        <w:spacing w:after="0" w:line="166"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 xml:space="preserve">Deutsche Bank Securities Inc., Citigroup Global Markets Inc., Morgan Stanley &amp; Co. LLC, J.P. Morgan Securities LLC, Wells Fargo Securities, LLC, Skandinaviska Enskilda Banken AB (publ), TD Securities (USA) LLC, RBC Capital Markets, LLC, Barclays Capital Inc., Standard Chartered Bank and UniCredit Capital Markets LLC are the dealer managers in the Tender Offer. D.F. King &amp; Co., Inc. was retained to serve as both the tender agent and the information agent for the Tender Offer. Persons with questions regarding the Tender Offer should contact Deutsche Bank Securities Inc. at (toll-free): (855) 287-1922 or (collect): (212) 250-7527. Requests for copies of the Offer to Purchase and other related materials should be directed to D.F. King &amp; Co., Inc. at (toll-free): (888) 541-9895 or by email to </w:t>
      </w:r>
      <w:r>
        <w:rPr>
          <w:rFonts w:ascii="Arial" w:cs="Arial" w:eastAsia="Arial" w:hAnsi="Arial"/>
          <w:sz w:val="11"/>
          <w:szCs w:val="11"/>
          <w:u w:val="single" w:color="auto"/>
          <w:color w:val="0000FF"/>
        </w:rPr>
        <w:t>weatherford@dfking.com</w:t>
      </w:r>
      <w:r>
        <w:rPr>
          <w:rFonts w:ascii="Arial" w:cs="Arial" w:eastAsia="Arial" w:hAnsi="Arial"/>
          <w:sz w:val="11"/>
          <w:szCs w:val="11"/>
          <w:color w:val="auto"/>
        </w:rPr>
        <w:t xml:space="preserve"> or via the following web address: www.dfking.com/weatherford.</w:t>
      </w:r>
    </w:p>
    <w:p>
      <w:pPr>
        <w:sectPr>
          <w:pgSz w:w="11900" w:h="16838" w:orient="portrait"/>
          <w:cols w:equalWidth="0" w:num="1">
            <w:col w:w="11488"/>
          </w:cols>
          <w:pgMar w:left="212" w:top="469" w:right="199" w:bottom="1440" w:gutter="0" w:footer="0" w:header="0"/>
        </w:sectPr>
      </w:pPr>
    </w:p>
    <w:bookmarkStart w:id="145" w:name="page146"/>
    <w:bookmarkEnd w:id="145"/>
    <w:p>
      <w:pPr>
        <w:spacing w:after="0"/>
        <w:rPr>
          <w:sz w:val="20"/>
          <w:szCs w:val="20"/>
          <w:color w:val="auto"/>
        </w:rPr>
      </w:pPr>
      <w:r>
        <w:rPr>
          <w:rFonts w:ascii="Arial" w:cs="Arial" w:eastAsia="Arial" w:hAnsi="Arial"/>
          <w:sz w:val="12"/>
          <w:szCs w:val="12"/>
          <w:b w:val="1"/>
          <w:bCs w:val="1"/>
          <w:color w:val="auto"/>
        </w:rPr>
        <w:t>ABOUT WEATHERFORD INTERNATIONAL PLC</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Weatherford is one of the largest multinational oilfield service companies providing innovative solutions, technology and services to the oil and gas industry. The Company operates in approximately 90 countries and has a network of approximately 880 locations, including manufacturing, service, research and development, and training facilities and employs approximately 29,200 people.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This press release includes forward-looking statements as defined under federal law, including those related to the Company’s tender offer.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forward looking statements and risk factors in the Company’s Annual Report on Form 10-K for the fiscal year ended December 31, 2017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359" w:lineRule="exact"/>
        <w:rPr>
          <w:sz w:val="20"/>
          <w:szCs w:val="20"/>
          <w:color w:val="auto"/>
        </w:rPr>
      </w:pPr>
    </w:p>
    <w:tbl>
      <w:tblPr>
        <w:tblLayout w:type="fixed"/>
        <w:tblInd w:w="140" w:type="dxa"/>
        <w:tblCellMar>
          <w:top w:w="0" w:type="dxa"/>
          <w:left w:w="0" w:type="dxa"/>
          <w:bottom w:w="0" w:type="dxa"/>
          <w:right w:w="0" w:type="dxa"/>
        </w:tblCellMar>
      </w:tblPr>
      <w:tr>
        <w:trPr>
          <w:trHeight w:val="157"/>
        </w:trPr>
        <w:tc>
          <w:tcPr>
            <w:tcW w:w="5020" w:type="dxa"/>
            <w:vAlign w:val="bottom"/>
          </w:tcPr>
          <w:p>
            <w:pPr>
              <w:spacing w:after="0"/>
              <w:rPr>
                <w:sz w:val="20"/>
                <w:szCs w:val="20"/>
                <w:color w:val="auto"/>
              </w:rPr>
            </w:pPr>
            <w:r>
              <w:rPr>
                <w:rFonts w:ascii="Arial" w:cs="Arial" w:eastAsia="Arial" w:hAnsi="Arial"/>
                <w:sz w:val="12"/>
                <w:szCs w:val="12"/>
                <w:b w:val="1"/>
                <w:bCs w:val="1"/>
                <w:color w:val="auto"/>
              </w:rPr>
              <w:t>Investor Contacts:</w:t>
            </w:r>
          </w:p>
        </w:tc>
        <w:tc>
          <w:tcPr>
            <w:tcW w:w="2540" w:type="dxa"/>
            <w:vAlign w:val="bottom"/>
          </w:tcPr>
          <w:p>
            <w:pPr>
              <w:spacing w:after="0"/>
              <w:rPr>
                <w:sz w:val="13"/>
                <w:szCs w:val="13"/>
                <w:color w:val="auto"/>
              </w:rPr>
            </w:pPr>
          </w:p>
        </w:tc>
      </w:tr>
      <w:tr>
        <w:trPr>
          <w:trHeight w:val="540"/>
        </w:trPr>
        <w:tc>
          <w:tcPr>
            <w:tcW w:w="5020" w:type="dxa"/>
            <w:vAlign w:val="bottom"/>
          </w:tcPr>
          <w:p>
            <w:pPr>
              <w:spacing w:after="0"/>
              <w:rPr>
                <w:sz w:val="20"/>
                <w:szCs w:val="20"/>
                <w:color w:val="auto"/>
              </w:rPr>
            </w:pPr>
            <w:r>
              <w:rPr>
                <w:rFonts w:ascii="Arial" w:cs="Arial" w:eastAsia="Arial" w:hAnsi="Arial"/>
                <w:sz w:val="12"/>
                <w:szCs w:val="12"/>
                <w:color w:val="auto"/>
              </w:rPr>
              <w:t>Christoph Bausch</w:t>
            </w:r>
          </w:p>
        </w:tc>
        <w:tc>
          <w:tcPr>
            <w:tcW w:w="2540" w:type="dxa"/>
            <w:vAlign w:val="bottom"/>
          </w:tcPr>
          <w:p>
            <w:pPr>
              <w:jc w:val="right"/>
              <w:spacing w:after="0"/>
              <w:rPr>
                <w:sz w:val="20"/>
                <w:szCs w:val="20"/>
                <w:color w:val="auto"/>
              </w:rPr>
            </w:pPr>
            <w:r>
              <w:rPr>
                <w:rFonts w:ascii="Arial" w:cs="Arial" w:eastAsia="Arial" w:hAnsi="Arial"/>
                <w:sz w:val="12"/>
                <w:szCs w:val="12"/>
                <w:color w:val="auto"/>
              </w:rPr>
              <w:t>+1.713.836.4615</w:t>
            </w:r>
          </w:p>
        </w:tc>
      </w:tr>
      <w:tr>
        <w:trPr>
          <w:trHeight w:val="180"/>
        </w:trPr>
        <w:tc>
          <w:tcPr>
            <w:tcW w:w="5020" w:type="dxa"/>
            <w:vAlign w:val="bottom"/>
          </w:tcPr>
          <w:p>
            <w:pPr>
              <w:spacing w:after="0"/>
              <w:rPr>
                <w:sz w:val="20"/>
                <w:szCs w:val="20"/>
                <w:color w:val="auto"/>
              </w:rPr>
            </w:pPr>
            <w:r>
              <w:rPr>
                <w:rFonts w:ascii="Arial" w:cs="Arial" w:eastAsia="Arial" w:hAnsi="Arial"/>
                <w:sz w:val="12"/>
                <w:szCs w:val="12"/>
                <w:color w:val="auto"/>
              </w:rPr>
              <w:t>Executive Vice President and Chief Financial Officer</w:t>
            </w:r>
          </w:p>
        </w:tc>
        <w:tc>
          <w:tcPr>
            <w:tcW w:w="2540" w:type="dxa"/>
            <w:vAlign w:val="bottom"/>
          </w:tcPr>
          <w:p>
            <w:pPr>
              <w:spacing w:after="0"/>
              <w:rPr>
                <w:sz w:val="15"/>
                <w:szCs w:val="15"/>
                <w:color w:val="auto"/>
              </w:rPr>
            </w:pPr>
          </w:p>
        </w:tc>
      </w:tr>
      <w:tr>
        <w:trPr>
          <w:trHeight w:val="540"/>
        </w:trPr>
        <w:tc>
          <w:tcPr>
            <w:tcW w:w="5020" w:type="dxa"/>
            <w:vAlign w:val="bottom"/>
          </w:tcPr>
          <w:p>
            <w:pPr>
              <w:spacing w:after="0"/>
              <w:rPr>
                <w:sz w:val="20"/>
                <w:szCs w:val="20"/>
                <w:color w:val="auto"/>
              </w:rPr>
            </w:pPr>
            <w:r>
              <w:rPr>
                <w:rFonts w:ascii="Arial" w:cs="Arial" w:eastAsia="Arial" w:hAnsi="Arial"/>
                <w:sz w:val="12"/>
                <w:szCs w:val="12"/>
                <w:color w:val="auto"/>
              </w:rPr>
              <w:t>Karen David-Green</w:t>
            </w:r>
          </w:p>
        </w:tc>
        <w:tc>
          <w:tcPr>
            <w:tcW w:w="2540" w:type="dxa"/>
            <w:vAlign w:val="bottom"/>
          </w:tcPr>
          <w:p>
            <w:pPr>
              <w:jc w:val="right"/>
              <w:spacing w:after="0"/>
              <w:rPr>
                <w:sz w:val="20"/>
                <w:szCs w:val="20"/>
                <w:color w:val="auto"/>
              </w:rPr>
            </w:pPr>
            <w:r>
              <w:rPr>
                <w:rFonts w:ascii="Arial" w:cs="Arial" w:eastAsia="Arial" w:hAnsi="Arial"/>
                <w:sz w:val="12"/>
                <w:szCs w:val="12"/>
                <w:color w:val="auto"/>
              </w:rPr>
              <w:t>+1.713.836.7430</w:t>
            </w:r>
          </w:p>
        </w:tc>
      </w:tr>
      <w:tr>
        <w:trPr>
          <w:trHeight w:val="180"/>
        </w:trPr>
        <w:tc>
          <w:tcPr>
            <w:tcW w:w="5020" w:type="dxa"/>
            <w:vAlign w:val="bottom"/>
          </w:tcPr>
          <w:p>
            <w:pPr>
              <w:spacing w:after="0"/>
              <w:rPr>
                <w:sz w:val="20"/>
                <w:szCs w:val="20"/>
                <w:color w:val="auto"/>
              </w:rPr>
            </w:pPr>
            <w:r>
              <w:rPr>
                <w:rFonts w:ascii="Arial" w:cs="Arial" w:eastAsia="Arial" w:hAnsi="Arial"/>
                <w:sz w:val="12"/>
                <w:szCs w:val="12"/>
                <w:color w:val="auto"/>
              </w:rPr>
              <w:t xml:space="preserve">Vice President </w:t>
            </w:r>
            <w:r>
              <w:rPr>
                <w:rFonts w:ascii="Arial" w:cs="Arial" w:eastAsia="Arial" w:hAnsi="Arial"/>
                <w:sz w:val="12"/>
                <w:szCs w:val="12"/>
                <w:b w:val="1"/>
                <w:bCs w:val="1"/>
                <w:color w:val="auto"/>
              </w:rPr>
              <w:t>-</w:t>
            </w:r>
            <w:r>
              <w:rPr>
                <w:rFonts w:ascii="Arial" w:cs="Arial" w:eastAsia="Arial" w:hAnsi="Arial"/>
                <w:sz w:val="12"/>
                <w:szCs w:val="12"/>
                <w:color w:val="auto"/>
              </w:rPr>
              <w:t xml:space="preserve"> Investor Relations, Marketing and Communications</w:t>
            </w:r>
          </w:p>
        </w:tc>
        <w:tc>
          <w:tcPr>
            <w:tcW w:w="2540" w:type="dxa"/>
            <w:vAlign w:val="bottom"/>
          </w:tcPr>
          <w:p>
            <w:pPr>
              <w:spacing w:after="0"/>
              <w:rPr>
                <w:sz w:val="15"/>
                <w:szCs w:val="15"/>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w:t>
      </w:r>
    </w:p>
    <w:sectPr>
      <w:pgSz w:w="11900" w:h="16838" w:orient="portrait"/>
      <w:cols w:equalWidth="0" w:num="1">
        <w:col w:w="11480"/>
      </w:cols>
      <w:pgMar w:left="220" w:top="4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1)"/>
      <w:numFmt w:val="lowerLetter"/>
      <w:start w:val="1"/>
    </w:lvl>
  </w:abstractNum>
  <w:abstractNum w:abstractNumId="2">
    <w:nsid w:val="98A3148"/>
    <w:multiLevelType w:val="hybridMultilevel"/>
    <w:lvl w:ilvl="0">
      <w:lvlJc w:val="left"/>
      <w:lvlText w:val="(%1)"/>
      <w:numFmt w:val="lowerLetter"/>
      <w:start w:val="8"/>
    </w:lvl>
  </w:abstractNum>
  <w:abstractNum w:abstractNumId="3">
    <w:nsid w:val="799D0247"/>
    <w:multiLevelType w:val="hybridMultilevel"/>
    <w:lvl w:ilvl="0">
      <w:lvlJc w:val="left"/>
      <w:lvlText w:val="(%1)"/>
      <w:numFmt w:val="decimal"/>
      <w:start w:val="1"/>
    </w:lvl>
  </w:abstractNum>
  <w:abstractNum w:abstractNumId="4">
    <w:nsid w:val="6B94764"/>
    <w:multiLevelType w:val="hybridMultilevel"/>
    <w:lvl w:ilvl="0">
      <w:lvlJc w:val="left"/>
      <w:lvlText w:val="(%1)"/>
      <w:numFmt w:val="decimal"/>
      <w:start w:val="3"/>
    </w:lvl>
  </w:abstractNum>
  <w:abstractNum w:abstractNumId="5">
    <w:nsid w:val="42C296BD"/>
    <w:multiLevelType w:val="hybridMultilevel"/>
    <w:lvl w:ilvl="0">
      <w:lvlJc w:val="left"/>
      <w:lvlText w:val="(%1)"/>
      <w:numFmt w:val="decimal"/>
      <w:start w:val="5"/>
    </w:lvl>
  </w:abstractNum>
  <w:abstractNum w:abstractNumId="6">
    <w:nsid w:val="168E121F"/>
    <w:multiLevelType w:val="hybridMultilevel"/>
    <w:lvl w:ilvl="0">
      <w:lvlJc w:val="left"/>
      <w:lvlText w:val="(%1)"/>
      <w:numFmt w:val="decimal"/>
      <w:start w:val="1"/>
    </w:lvl>
  </w:abstractNum>
  <w:abstractNum w:abstractNumId="7">
    <w:nsid w:val="1EBA5D23"/>
    <w:multiLevelType w:val="hybridMultilevel"/>
    <w:lvl w:ilvl="0">
      <w:lvlJc w:val="left"/>
      <w:lvlText w:val="(%1)"/>
      <w:numFmt w:val="decimal"/>
      <w:start w:val="1"/>
    </w:lvl>
  </w:abstractNum>
  <w:abstractNum w:abstractNumId="8">
    <w:nsid w:val="661E3F1E"/>
    <w:multiLevelType w:val="hybridMultilevel"/>
    <w:lvl w:ilvl="0">
      <w:lvlJc w:val="left"/>
      <w:lvlText w:val="(%1)"/>
      <w:numFmt w:val="decimal"/>
      <w:start w:val="1"/>
    </w:lvl>
    <w:lvl w:ilvl="1">
      <w:lvlJc w:val="left"/>
      <w:lvlText w:val="(%2)"/>
      <w:numFmt w:val="lowerLetter"/>
      <w:start w:val="1"/>
    </w:lvl>
  </w:abstractNum>
  <w:abstractNum w:abstractNumId="9">
    <w:nsid w:val="5DC79EA8"/>
    <w:multiLevelType w:val="hybridMultilevel"/>
    <w:lvl w:ilvl="0">
      <w:lvlJc w:val="left"/>
      <w:lvlText w:val="(%1)"/>
      <w:numFmt w:val="decimal"/>
      <w:start w:val="4"/>
    </w:lvl>
  </w:abstractNum>
  <w:abstractNum w:abstractNumId="10">
    <w:nsid w:val="540A471C"/>
    <w:multiLevelType w:val="hybridMultilevel"/>
    <w:lvl w:ilvl="0">
      <w:lvlJc w:val="left"/>
      <w:lvlText w:val="(%1)"/>
      <w:numFmt w:val="decimal"/>
      <w:start w:val="1"/>
    </w:lvl>
  </w:abstractNum>
  <w:abstractNum w:abstractNumId="11">
    <w:nsid w:val="7BD3EE7B"/>
    <w:multiLevelType w:val="hybridMultilevel"/>
    <w:lvl w:ilvl="0">
      <w:lvlJc w:val="left"/>
      <w:lvlText w:val="(%1)"/>
      <w:numFmt w:val="decimal"/>
      <w:start w:val="1"/>
    </w:lvl>
  </w:abstractNum>
  <w:abstractNum w:abstractNumId="12">
    <w:nsid w:val="51D9C564"/>
    <w:multiLevelType w:val="hybridMultilevel"/>
    <w:lvl w:ilvl="0">
      <w:lvlJc w:val="left"/>
      <w:lvlText w:val="(%1)"/>
      <w:numFmt w:val="decimal"/>
      <w:start w:val="1"/>
    </w:lvl>
  </w:abstractNum>
  <w:abstractNum w:abstractNumId="13">
    <w:nsid w:val="613EFDC5"/>
    <w:multiLevelType w:val="hybridMultilevel"/>
    <w:lvl w:ilvl="0">
      <w:lvlJc w:val="left"/>
      <w:lvlText w:val="%1"/>
      <w:numFmt w:val="lowerLetter"/>
      <w:start w:val="1"/>
    </w:lvl>
    <w:lvl w:ilvl="1">
      <w:lvlJc w:val="left"/>
      <w:lvlText w:val="(%2)"/>
      <w:numFmt w:val="decimal"/>
      <w:start w:val="1"/>
    </w:lvl>
  </w:abstractNum>
  <w:abstractNum w:abstractNumId="14">
    <w:nsid w:val="BF72B14"/>
    <w:multiLevelType w:val="hybridMultilevel"/>
    <w:lvl w:ilvl="0">
      <w:lvlJc w:val="left"/>
      <w:lvlText w:val="(%1)"/>
      <w:numFmt w:val="lowerLetter"/>
      <w:start w:val="1"/>
    </w:lvl>
    <w:lvl w:ilvl="1">
      <w:lvlJc w:val="left"/>
      <w:lvlText w:val="(%2)"/>
      <w:numFmt w:val="decimal"/>
      <w:start w:val="3"/>
    </w:lvl>
  </w:abstractNum>
  <w:abstractNum w:abstractNumId="15">
    <w:nsid w:val="11447B73"/>
    <w:multiLevelType w:val="hybridMultilevel"/>
    <w:lvl w:ilvl="0">
      <w:lvlJc w:val="left"/>
      <w:lvlText w:val="(%1)"/>
      <w:numFmt w:val="decimal"/>
      <w:start w:val="1"/>
    </w:lvl>
  </w:abstractNum>
  <w:abstractNum w:abstractNumId="16">
    <w:nsid w:val="42963E5A"/>
    <w:multiLevelType w:val="hybridMultilevel"/>
    <w:lvl w:ilvl="0">
      <w:lvlJc w:val="left"/>
      <w:lvlText w:val="(%1)"/>
      <w:numFmt w:val="decimal"/>
      <w:start w:val="9"/>
    </w:lvl>
  </w:abstractNum>
  <w:abstractNum w:abstractNumId="17">
    <w:nsid w:val="A0382C5"/>
    <w:multiLevelType w:val="hybridMultilevel"/>
    <w:lvl w:ilvl="0">
      <w:lvlJc w:val="left"/>
      <w:lvlText w:val="(%1)"/>
      <w:numFmt w:val="decimal"/>
      <w:start w:val="1"/>
    </w:lvl>
  </w:abstractNum>
  <w:abstractNum w:abstractNumId="18">
    <w:nsid w:val="8F2B15E"/>
    <w:multiLevelType w:val="hybridMultilevel"/>
    <w:lvl w:ilvl="0">
      <w:lvlJc w:val="left"/>
      <w:lvlText w:val="(%1)"/>
      <w:numFmt w:val="decimal"/>
      <w:start w:val="1"/>
    </w:lvl>
  </w:abstractNum>
  <w:abstractNum w:abstractNumId="19">
    <w:nsid w:val="1A32234B"/>
    <w:multiLevelType w:val="hybridMultilevel"/>
    <w:lvl w:ilvl="0">
      <w:lvlJc w:val="left"/>
      <w:lvlText w:val="(%1)"/>
      <w:numFmt w:val="decimal"/>
      <w:start w:val="1"/>
    </w:lvl>
  </w:abstractNum>
  <w:abstractNum w:abstractNumId="20">
    <w:nsid w:val="3B0FD379"/>
    <w:multiLevelType w:val="hybridMultilevel"/>
    <w:lvl w:ilvl="0">
      <w:lvlJc w:val="left"/>
      <w:lvlText w:val="(%1)"/>
      <w:numFmt w:val="decimal"/>
      <w:start w:val="1"/>
    </w:lvl>
  </w:abstractNum>
  <w:abstractNum w:abstractNumId="21">
    <w:nsid w:val="68EB2F63"/>
    <w:multiLevelType w:val="hybridMultilevel"/>
    <w:lvl w:ilvl="0">
      <w:lvlJc w:val="left"/>
      <w:lvlText w:val="(%1)"/>
      <w:numFmt w:val="decimal"/>
      <w:start w:val="13"/>
    </w:lvl>
  </w:abstractNum>
  <w:abstractNum w:abstractNumId="22">
    <w:nsid w:val="4962813B"/>
    <w:multiLevelType w:val="hybridMultilevel"/>
    <w:lvl w:ilvl="0">
      <w:lvlJc w:val="left"/>
      <w:lvlText w:val="(%1)"/>
      <w:numFmt w:val="decimal"/>
      <w:start w:val="2"/>
    </w:lvl>
  </w:abstractNum>
  <w:abstractNum w:abstractNumId="23">
    <w:nsid w:val="60B6DF70"/>
    <w:multiLevelType w:val="hybridMultilevel"/>
    <w:lvl w:ilvl="0">
      <w:lvlJc w:val="left"/>
      <w:lvlText w:val="(%1)"/>
      <w:numFmt w:val="lowerLetter"/>
      <w:start w:val="1"/>
    </w:lvl>
  </w:abstractNum>
  <w:abstractNum w:abstractNumId="24">
    <w:nsid w:val="6A5EE64"/>
    <w:multiLevelType w:val="hybridMultilevel"/>
    <w:lvl w:ilvl="0">
      <w:lvlJc w:val="left"/>
      <w:lvlText w:val="(%1)"/>
      <w:numFmt w:val="lowerLetter"/>
      <w:start w:val="24"/>
    </w:lvl>
  </w:abstractNum>
  <w:abstractNum w:abstractNumId="25">
    <w:nsid w:val="14330624"/>
    <w:multiLevelType w:val="hybridMultilevel"/>
    <w:lvl w:ilvl="0">
      <w:lvlJc w:val="left"/>
      <w:lvlText w:val="(%1)"/>
      <w:numFmt w:val="decimal"/>
      <w:start w:val="1"/>
    </w:lvl>
  </w:abstractNum>
  <w:abstractNum w:abstractNumId="26">
    <w:nsid w:val="7FFFCA11"/>
    <w:multiLevelType w:val="hybridMultilevel"/>
    <w:lvl w:ilvl="0">
      <w:lvlJc w:val="left"/>
      <w:lvlText w:val="(%1)"/>
      <w:numFmt w:val="decimal"/>
      <w:start w:val="1"/>
    </w:lvl>
  </w:abstractNum>
  <w:abstractNum w:abstractNumId="27">
    <w:nsid w:val="1A27709E"/>
    <w:multiLevelType w:val="hybridMultilevel"/>
    <w:lvl w:ilvl="0">
      <w:lvlJc w:val="left"/>
      <w:lvlText w:val="%1"/>
      <w:numFmt w:val="decimal"/>
      <w:start w:val="1"/>
    </w:lvl>
    <w:lvl w:ilvl="1">
      <w:lvlJc w:val="left"/>
      <w:lvlText w:val="(%2)"/>
      <w:numFmt w:val="lowerLetter"/>
      <w:start w:val="1"/>
    </w:lvl>
  </w:abstractNum>
  <w:abstractNum w:abstractNumId="28">
    <w:nsid w:val="71EA1109"/>
    <w:multiLevelType w:val="hybridMultilevel"/>
    <w:lvl w:ilvl="0">
      <w:lvlJc w:val="left"/>
      <w:lvlText w:val="(%1)"/>
      <w:numFmt w:val="decimal"/>
      <w:start w:val="2"/>
    </w:lvl>
    <w:lvl w:ilvl="1">
      <w:lvlJc w:val="left"/>
      <w:lvlText w:val="%2"/>
      <w:numFmt w:val="lowerLetter"/>
      <w:start w:val="1"/>
    </w:lvl>
  </w:abstractNum>
  <w:abstractNum w:abstractNumId="29">
    <w:nsid w:val="100F59DC"/>
    <w:multiLevelType w:val="hybridMultilevel"/>
    <w:lvl w:ilvl="0">
      <w:lvlJc w:val="left"/>
      <w:lvlText w:val="(%1)"/>
      <w:numFmt w:val="decimal"/>
      <w:start w:val="1"/>
    </w:lvl>
  </w:abstractNum>
  <w:abstractNum w:abstractNumId="30">
    <w:nsid w:val="7FB7E0AA"/>
    <w:multiLevelType w:val="hybridMultilevel"/>
    <w:lvl w:ilvl="0">
      <w:lvlJc w:val="left"/>
      <w:lvlText w:val="(%1)"/>
      <w:numFmt w:val="decimal"/>
      <w:start w:val="2"/>
    </w:lvl>
  </w:abstractNum>
  <w:abstractNum w:abstractNumId="31">
    <w:nsid w:val="6EB5BD4"/>
    <w:multiLevelType w:val="hybridMultilevel"/>
    <w:lvl w:ilvl="0">
      <w:lvlJc w:val="left"/>
      <w:lvlText w:val="(%1)"/>
      <w:numFmt w:val="decimal"/>
      <w:start w:val="1"/>
    </w:lvl>
  </w:abstractNum>
  <w:abstractNum w:abstractNumId="32">
    <w:nsid w:val="6F6DD9AC"/>
    <w:multiLevelType w:val="hybridMultilevel"/>
    <w:lvl w:ilvl="0">
      <w:lvlJc w:val="left"/>
      <w:lvlText w:val="(%1)"/>
      <w:numFmt w:val="decimal"/>
      <w:start w:val="1"/>
    </w:lvl>
  </w:abstractNum>
  <w:abstractNum w:abstractNumId="33">
    <w:nsid w:val="94211F2"/>
    <w:multiLevelType w:val="hybridMultilevel"/>
    <w:lvl w:ilvl="0">
      <w:lvlJc w:val="left"/>
      <w:lvlText w:val="(%1)"/>
      <w:numFmt w:val="decimal"/>
      <w:start w:val="1"/>
    </w:lvl>
  </w:abstractNum>
  <w:abstractNum w:abstractNumId="34">
    <w:nsid w:val="885E1B"/>
    <w:multiLevelType w:val="hybridMultilevel"/>
    <w:lvl w:ilvl="0">
      <w:lvlJc w:val="left"/>
      <w:lvlText w:val="(%1)"/>
      <w:numFmt w:val="upperLetter"/>
      <w:start w:val="5"/>
    </w:lvl>
  </w:abstractNum>
  <w:abstractNum w:abstractNumId="35">
    <w:nsid w:val="76272110"/>
    <w:multiLevelType w:val="hybridMultilevel"/>
    <w:lvl w:ilvl="0">
      <w:lvlJc w:val="left"/>
      <w:lvlText w:val="(%1)"/>
      <w:numFmt w:val="decimal"/>
      <w:start w:val="1"/>
    </w:lvl>
  </w:abstractNum>
  <w:abstractNum w:abstractNumId="36">
    <w:nsid w:val="4C04A8AF"/>
    <w:multiLevelType w:val="hybridMultilevel"/>
    <w:lvl w:ilvl="0">
      <w:lvlJc w:val="left"/>
      <w:lvlText w:val="(%1)"/>
      <w:numFmt w:val="decimal"/>
      <w:start w:val="5"/>
    </w:lvl>
  </w:abstractNum>
  <w:abstractNum w:abstractNumId="37">
    <w:nsid w:val="1716703B"/>
    <w:multiLevelType w:val="hybridMultilevel"/>
    <w:lvl w:ilvl="0">
      <w:lvlJc w:val="left"/>
      <w:lvlText w:val="(%1)"/>
      <w:numFmt w:val="lowerRoman"/>
      <w:start w:val="1"/>
    </w:lvl>
  </w:abstractNum>
  <w:abstractNum w:abstractNumId="38">
    <w:nsid w:val="14E17E33"/>
    <w:multiLevelType w:val="hybridMultilevel"/>
    <w:lvl w:ilvl="0">
      <w:lvlJc w:val="left"/>
      <w:lvlText w:val="(%1)"/>
      <w:numFmt w:val="decimal"/>
      <w:start w:val="1"/>
    </w:lvl>
  </w:abstractNum>
  <w:abstractNum w:abstractNumId="39">
    <w:nsid w:val="3222E7CD"/>
    <w:multiLevelType w:val="hybridMultilevel"/>
    <w:lvl w:ilvl="0">
      <w:lvlJc w:val="left"/>
      <w:lvlText w:val="(%1)"/>
      <w:numFmt w:val="decimal"/>
      <w:start w:val="2"/>
    </w:lvl>
  </w:abstractNum>
  <w:abstractNum w:abstractNumId="40">
    <w:nsid w:val="74DE0EE3"/>
    <w:multiLevelType w:val="hybridMultilevel"/>
    <w:lvl w:ilvl="0">
      <w:lvlJc w:val="left"/>
      <w:lvlText w:val="(%1)"/>
      <w:numFmt w:val="lowerRoman"/>
      <w:start w:val="1"/>
    </w:lvl>
  </w:abstractNum>
  <w:abstractNum w:abstractNumId="41">
    <w:nsid w:val="68EBC550"/>
    <w:multiLevelType w:val="hybridMultilevel"/>
    <w:lvl w:ilvl="0">
      <w:lvlJc w:val="left"/>
      <w:lvlText w:val="(%1)"/>
      <w:numFmt w:val="lowerRoman"/>
      <w:start w:val="3"/>
    </w:lvl>
  </w:abstractNum>
  <w:abstractNum w:abstractNumId="42">
    <w:nsid w:val="2DF6D648"/>
    <w:multiLevelType w:val="hybridMultilevel"/>
    <w:lvl w:ilvl="0">
      <w:lvlJc w:val="left"/>
      <w:lvlText w:val="(%1)"/>
      <w:numFmt w:val="lowerRoman"/>
      <w:start w:val="1"/>
    </w:lvl>
  </w:abstractNum>
  <w:abstractNum w:abstractNumId="43">
    <w:nsid w:val="46B7D447"/>
    <w:multiLevelType w:val="hybridMultilevel"/>
    <w:lvl w:ilvl="0">
      <w:lvlJc w:val="left"/>
      <w:lvlText w:val="(%1)"/>
      <w:numFmt w:val="lowerRoman"/>
      <w:start w:val="1"/>
    </w:lvl>
  </w:abstractNum>
  <w:abstractNum w:abstractNumId="44">
    <w:nsid w:val="4A2AC315"/>
    <w:multiLevelType w:val="hybridMultilevel"/>
    <w:lvl w:ilvl="0">
      <w:lvlJc w:val="left"/>
      <w:lvlText w:val="(%1)"/>
      <w:numFmt w:val="decimal"/>
      <w:start w:val="1"/>
    </w:lvl>
    <w:lvl w:ilvl="1">
      <w:lvlJc w:val="left"/>
      <w:lvlText w:val="(%2)"/>
      <w:numFmt w:val="lowerLetter"/>
      <w:start w:val="1"/>
    </w:lvl>
  </w:abstractNum>
  <w:abstractNum w:abstractNumId="45">
    <w:nsid w:val="39EE015C"/>
    <w:multiLevelType w:val="hybridMultilevel"/>
    <w:lvl w:ilvl="0">
      <w:lvlJc w:val="left"/>
      <w:lvlText w:val="(%1)"/>
      <w:numFmt w:val="lowerRoman"/>
      <w:start w:val="1"/>
    </w:lvl>
  </w:abstractNum>
  <w:abstractNum w:abstractNumId="46">
    <w:nsid w:val="57FC4FBB"/>
    <w:multiLevelType w:val="hybridMultilevel"/>
    <w:lvl w:ilvl="0">
      <w:lvlJc w:val="left"/>
      <w:lvlText w:val="(%1)"/>
      <w:numFmt w:val="decimal"/>
      <w:start w:val="2"/>
    </w:lvl>
  </w:abstractNum>
  <w:abstractNum w:abstractNumId="47">
    <w:nsid w:val="CC1016F"/>
    <w:multiLevelType w:val="hybridMultilevel"/>
    <w:lvl w:ilvl="0">
      <w:lvlJc w:val="left"/>
      <w:lvlText w:val="(%1)"/>
      <w:numFmt w:val="decimal"/>
      <w:start w:val="4"/>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1)"/>
      <w:numFmt w:val="lowerLetter"/>
      <w:start w:val="1"/>
    </w:lvl>
  </w:abstractNum>
  <w:abstractNum w:abstractNumId="50">
    <w:nsid w:val="26F324BA"/>
    <w:multiLevelType w:val="hybridMultilevel"/>
    <w:lvl w:ilvl="0">
      <w:lvlJc w:val="left"/>
      <w:lvlText w:val="(%1)"/>
      <w:numFmt w:val="decimal"/>
      <w:start w:val="6"/>
    </w:lvl>
  </w:abstractNum>
  <w:abstractNum w:abstractNumId="51">
    <w:nsid w:val="7F01579B"/>
    <w:multiLevelType w:val="hybridMultilevel"/>
    <w:lvl w:ilvl="0">
      <w:lvlJc w:val="left"/>
      <w:lvlText w:val="(%1)"/>
      <w:numFmt w:val="decimal"/>
      <w:start w:val="9"/>
    </w:lvl>
  </w:abstractNum>
  <w:abstractNum w:abstractNumId="52">
    <w:nsid w:val="49DA307D"/>
    <w:multiLevelType w:val="hybridMultilevel"/>
    <w:lvl w:ilvl="0">
      <w:lvlJc w:val="left"/>
      <w:lvlText w:val="(%1)"/>
      <w:numFmt w:val="lowerLetter"/>
      <w:start w:val="1"/>
    </w:lvl>
    <w:lvl w:ilvl="1">
      <w:lvlJc w:val="left"/>
      <w:lvlText w:val="(%2)"/>
      <w:numFmt w:val="upperLetter"/>
      <w:start w:val="1"/>
    </w:lvl>
  </w:abstractNum>
  <w:abstractNum w:abstractNumId="53">
    <w:nsid w:val="7055A5F5"/>
    <w:multiLevelType w:val="hybridMultilevel"/>
    <w:lvl w:ilvl="0">
      <w:lvlJc w:val="left"/>
      <w:lvlText w:val="(%1)"/>
      <w:numFmt w:val="lowerLetter"/>
      <w:start w:val="3"/>
    </w:lvl>
  </w:abstractNum>
  <w:abstractNum w:abstractNumId="54">
    <w:nsid w:val="5FB8370B"/>
    <w:multiLevelType w:val="hybridMultilevel"/>
    <w:lvl w:ilvl="0">
      <w:lvlJc w:val="left"/>
      <w:lvlText w:val="(%1)"/>
      <w:numFmt w:val="decimal"/>
      <w:start w:val="1"/>
    </w:lvl>
  </w:abstractNum>
  <w:abstractNum w:abstractNumId="55">
    <w:nsid w:val="50801EE1"/>
    <w:multiLevelType w:val="hybridMultilevel"/>
    <w:lvl w:ilvl="0">
      <w:lvlJc w:val="left"/>
      <w:lvlText w:val="(%1)"/>
      <w:numFmt w:val="decimal"/>
      <w:start w:val="1"/>
    </w:lvl>
  </w:abstractNum>
  <w:abstractNum w:abstractNumId="56">
    <w:nsid w:val="488AC1A"/>
    <w:multiLevelType w:val="hybridMultilevel"/>
    <w:lvl w:ilvl="0">
      <w:lvlJc w:val="left"/>
      <w:lvlText w:val="(%1)"/>
      <w:numFmt w:val="decimal"/>
      <w:start w:val="1"/>
    </w:lvl>
  </w:abstractNum>
  <w:abstractNum w:abstractNumId="57">
    <w:nsid w:val="5FB8011C"/>
    <w:multiLevelType w:val="hybridMultilevel"/>
    <w:lvl w:ilvl="0">
      <w:lvlJc w:val="left"/>
      <w:lvlText w:val="(%1)"/>
      <w:numFmt w:val="decimal"/>
      <w:start w:val="1"/>
    </w:lvl>
  </w:abstractNum>
  <w:abstractNum w:abstractNumId="58">
    <w:nsid w:val="6AA78F7F"/>
    <w:multiLevelType w:val="hybridMultilevel"/>
    <w:lvl w:ilvl="0">
      <w:lvlJc w:val="left"/>
      <w:lvlText w:val="(%1)"/>
      <w:numFmt w:val="decimal"/>
      <w:start w:val="10"/>
    </w:lvl>
  </w:abstractNum>
  <w:abstractNum w:abstractNumId="59">
    <w:nsid w:val="7672BD23"/>
    <w:multiLevelType w:val="hybridMultilevel"/>
    <w:lvl w:ilvl="0">
      <w:lvlJc w:val="left"/>
      <w:lvlText w:val="(%1)"/>
      <w:numFmt w:val="decimal"/>
      <w:start w:val="1"/>
    </w:lvl>
  </w:abstractNum>
  <w:abstractNum w:abstractNumId="60">
    <w:nsid w:val="6FC75AF8"/>
    <w:multiLevelType w:val="hybridMultilevel"/>
    <w:lvl w:ilvl="0">
      <w:lvlJc w:val="left"/>
      <w:lvlText w:val="(%1)"/>
      <w:numFmt w:val="decimal"/>
      <w:start w:val="3"/>
    </w:lvl>
  </w:abstractNum>
  <w:abstractNum w:abstractNumId="61">
    <w:nsid w:val="6A5F7029"/>
    <w:multiLevelType w:val="hybridMultilevel"/>
    <w:lvl w:ilvl="0">
      <w:lvlJc w:val="left"/>
      <w:lvlText w:val="(%1)"/>
      <w:numFmt w:val="decimal"/>
      <w:start w:val="1"/>
    </w:lvl>
  </w:abstractNum>
  <w:abstractNum w:abstractNumId="62">
    <w:nsid w:val="7D5E18F8"/>
    <w:multiLevelType w:val="hybridMultilevel"/>
    <w:lvl w:ilvl="0">
      <w:lvlJc w:val="left"/>
      <w:lvlText w:val="(%1)"/>
      <w:numFmt w:val="decimal"/>
      <w:start w:val="1"/>
    </w:lvl>
  </w:abstractNum>
  <w:abstractNum w:abstractNumId="63">
    <w:nsid w:val="5F3534A4"/>
    <w:multiLevelType w:val="hybridMultilevel"/>
    <w:lvl w:ilvl="0">
      <w:lvlJc w:val="left"/>
      <w:lvlText w:val="(%1)"/>
      <w:numFmt w:val="lowerLetter"/>
      <w:start w:val="1"/>
    </w:lvl>
    <w:lvl w:ilvl="1">
      <w:lvlJc w:val="left"/>
      <w:lvlText w:val="(%2)"/>
      <w:numFmt w:val="decimal"/>
      <w:start w:val="1"/>
    </w:lvl>
  </w:abstractNum>
  <w:abstractNum w:abstractNumId="64">
    <w:nsid w:val="73A1821B"/>
    <w:multiLevelType w:val="hybridMultilevel"/>
    <w:lvl w:ilvl="0">
      <w:lvlJc w:val="left"/>
      <w:lvlText w:val="(%1)"/>
      <w:numFmt w:val="lowerLetter"/>
      <w:start w:val="3"/>
    </w:lvl>
  </w:abstractNum>
  <w:abstractNum w:abstractNumId="65">
    <w:nsid w:val="7DE67713"/>
    <w:multiLevelType w:val="hybridMultilevel"/>
    <w:lvl w:ilvl="0">
      <w:lvlJc w:val="left"/>
      <w:lvlText w:val="(%1)"/>
      <w:numFmt w:val="decimal"/>
      <w:start w:val="1"/>
    </w:lvl>
  </w:abstractNum>
  <w:abstractNum w:abstractNumId="66">
    <w:nsid w:val="555C55B5"/>
    <w:multiLevelType w:val="hybridMultilevel"/>
    <w:lvl w:ilvl="0">
      <w:lvlJc w:val="left"/>
      <w:lvlText w:val="(%1)"/>
      <w:numFmt w:val="decimal"/>
      <w:start w:val="1"/>
    </w:lvl>
  </w:abstractNum>
  <w:abstractNum w:abstractNumId="67">
    <w:nsid w:val="3FA62ACA"/>
    <w:multiLevelType w:val="hybridMultilevel"/>
    <w:lvl w:ilvl="0">
      <w:lvlJc w:val="left"/>
      <w:lvlText w:val="(%1)"/>
      <w:numFmt w:val="decimal"/>
      <w:start w:val="4"/>
    </w:lvl>
  </w:abstractNum>
  <w:abstractNum w:abstractNumId="68">
    <w:nsid w:val="14FCE74E"/>
    <w:multiLevelType w:val="hybridMultilevel"/>
    <w:lvl w:ilvl="0">
      <w:lvlJc w:val="left"/>
      <w:lvlText w:val="(%1)"/>
      <w:numFmt w:val="decimal"/>
      <w:start w:val="1"/>
    </w:lvl>
  </w:abstractNum>
  <w:abstractNum w:abstractNumId="69">
    <w:nsid w:val="6A3DD3E8"/>
    <w:multiLevelType w:val="hybridMultilevel"/>
    <w:lvl w:ilvl="0">
      <w:lvlJc w:val="left"/>
      <w:lvlText w:val="(%1)"/>
      <w:numFmt w:val="lowerLetter"/>
      <w:start w:val="1"/>
    </w:lvl>
  </w:abstractNum>
  <w:abstractNum w:abstractNumId="70">
    <w:nsid w:val="71C91298"/>
    <w:multiLevelType w:val="hybridMultilevel"/>
    <w:lvl w:ilvl="0">
      <w:lvlJc w:val="left"/>
      <w:lvlText w:val="(%1)"/>
      <w:numFmt w:val="decimal"/>
      <w:start w:val="1"/>
    </w:lvl>
  </w:abstractNum>
  <w:abstractNum w:abstractNumId="71">
    <w:nsid w:val="9DAF632"/>
    <w:multiLevelType w:val="hybridMultilevel"/>
    <w:lvl w:ilvl="0">
      <w:lvlJc w:val="left"/>
      <w:lvlText w:val="(%1)"/>
      <w:numFmt w:val="decimal"/>
      <w:start w:val="1"/>
    </w:lvl>
  </w:abstractNum>
  <w:abstractNum w:abstractNumId="72">
    <w:nsid w:val="53299938"/>
    <w:multiLevelType w:val="hybridMultilevel"/>
    <w:lvl w:ilvl="0">
      <w:lvlJc w:val="left"/>
      <w:lvlText w:val="(%1)"/>
      <w:numFmt w:val="decimal"/>
      <w:start w:val="1"/>
    </w:lvl>
  </w:abstractNum>
  <w:abstractNum w:abstractNumId="73">
    <w:nsid w:val="1FBFE8E0"/>
    <w:multiLevelType w:val="hybridMultilevel"/>
    <w:lvl w:ilvl="0">
      <w:lvlJc w:val="left"/>
      <w:lvlText w:val="(%1)"/>
      <w:numFmt w:val="decimal"/>
      <w:start w:val="1"/>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1"/>
      <w:numFmt w:val="lowerRoman"/>
      <w:start w:val="1"/>
    </w:lvl>
    <w:lvl w:ilvl="1">
      <w:lvlJc w:val="left"/>
      <w:lvlText w:val="(%2)"/>
      <w:numFmt w:val="decimal"/>
      <w:start w:val="1"/>
    </w:lvl>
  </w:abstractNum>
  <w:abstractNum w:abstractNumId="76">
    <w:nsid w:val="59ADEA3D"/>
    <w:multiLevelType w:val="hybridMultilevel"/>
    <w:lvl w:ilvl="0">
      <w:lvlJc w:val="left"/>
      <w:lvlText w:val="(%1)"/>
      <w:numFmt w:val="lowerRoman"/>
      <w:start w:val="1"/>
    </w:lvl>
    <w:lvl w:ilvl="1">
      <w:lvlJc w:val="left"/>
      <w:lvlText w:val="(%2)"/>
      <w:numFmt w:val="decimal"/>
      <w:start w:val="2"/>
    </w:lvl>
  </w:abstractNum>
  <w:abstractNum w:abstractNumId="77">
    <w:nsid w:val="288F1A34"/>
    <w:multiLevelType w:val="hybridMultilevel"/>
    <w:lvl w:ilvl="0">
      <w:lvlJc w:val="left"/>
      <w:lvlText w:val="(%1)"/>
      <w:numFmt w:val="decimal"/>
      <w:start w:val="8"/>
    </w:lvl>
  </w:abstractNum>
  <w:abstractNum w:abstractNumId="78">
    <w:nsid w:val="2A155D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9">
    <w:nsid w:val="1D9F6E5F"/>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80">
    <w:nsid w:val="97E1B4E"/>
    <w:multiLevelType w:val="hybridMultilevel"/>
    <w:lvl w:ilvl="0">
      <w:lvlJc w:val="left"/>
      <w:lvlText w:val="(%1)"/>
      <w:numFmt w:val="decimal"/>
      <w:start w:val="1"/>
    </w:lvl>
  </w:abstractNum>
  <w:abstractNum w:abstractNumId="81">
    <w:nsid w:val="51088277"/>
    <w:multiLevelType w:val="hybridMultilevel"/>
    <w:lvl w:ilvl="0">
      <w:lvlJc w:val="left"/>
      <w:lvlText w:val="(%1)"/>
      <w:numFmt w:val="decimal"/>
      <w:start w:val="7"/>
    </w:lvl>
  </w:abstractNum>
  <w:abstractNum w:abstractNumId="82">
    <w:nsid w:val="1CA0C5FA"/>
    <w:multiLevelType w:val="hybridMultilevel"/>
    <w:lvl w:ilvl="0">
      <w:lvlJc w:val="left"/>
      <w:lvlText w:val="(%1)"/>
      <w:numFmt w:val="decimal"/>
      <w:start w:val="1"/>
    </w:lvl>
  </w:abstractNum>
  <w:abstractNum w:abstractNumId="83">
    <w:nsid w:val="53584BCB"/>
    <w:multiLevelType w:val="hybridMultilevel"/>
    <w:lvl w:ilvl="0">
      <w:lvlJc w:val="left"/>
      <w:lvlText w:val="(%1)"/>
      <w:numFmt w:val="lowerLetter"/>
      <w:start w:val="1"/>
    </w:lvl>
  </w:abstractNum>
  <w:abstractNum w:abstractNumId="84">
    <w:nsid w:val="415E286C"/>
    <w:multiLevelType w:val="hybridMultilevel"/>
    <w:lvl w:ilvl="0">
      <w:lvlJc w:val="left"/>
      <w:lvlText w:val="(%1)"/>
      <w:numFmt w:val="decimal"/>
      <w:start w:val="1"/>
    </w:lvl>
  </w:abstractNum>
  <w:abstractNum w:abstractNumId="85">
    <w:nsid w:val="7C58FD05"/>
    <w:multiLevelType w:val="hybridMultilevel"/>
    <w:lvl w:ilvl="0">
      <w:lvlJc w:val="left"/>
      <w:lvlText w:val="(%1)"/>
      <w:numFmt w:val="decimal"/>
      <w:start w:val="4"/>
    </w:lvl>
  </w:abstractNum>
  <w:abstractNum w:abstractNumId="86">
    <w:nsid w:val="23D86AAC"/>
    <w:multiLevelType w:val="hybridMultilevel"/>
    <w:lvl w:ilvl="0">
      <w:lvlJc w:val="left"/>
      <w:lvlText w:val="(%1)"/>
      <w:numFmt w:val="decimal"/>
      <w:start w:val="14"/>
    </w:lvl>
  </w:abstractNum>
  <w:abstractNum w:abstractNumId="87">
    <w:nsid w:val="45E6D486"/>
    <w:multiLevelType w:val="hybridMultilevel"/>
    <w:lvl w:ilvl="0">
      <w:lvlJc w:val="left"/>
      <w:lvlText w:val="(%1)"/>
      <w:numFmt w:val="lowerLetter"/>
      <w:start w:val="1"/>
    </w:lvl>
  </w:abstractNum>
  <w:abstractNum w:abstractNumId="88">
    <w:nsid w:val="5C10FE21"/>
    <w:multiLevelType w:val="hybridMultilevel"/>
    <w:lvl w:ilvl="0">
      <w:lvlJc w:val="left"/>
      <w:lvlText w:val="(%1)"/>
      <w:numFmt w:val="decimal"/>
      <w:start w:val="1"/>
    </w:lvl>
  </w:abstractNum>
  <w:abstractNum w:abstractNumId="89">
    <w:nsid w:val="E7FFA2B"/>
    <w:multiLevelType w:val="hybridMultilevel"/>
    <w:lvl w:ilvl="0">
      <w:lvlJc w:val="left"/>
      <w:lvlText w:val="(%1)"/>
      <w:numFmt w:val="decimal"/>
      <w:start w:val="1"/>
    </w:lvl>
  </w:abstractNum>
  <w:abstractNum w:abstractNumId="90">
    <w:nsid w:val="3C5991AA"/>
    <w:multiLevelType w:val="hybridMultilevel"/>
    <w:lvl w:ilvl="0">
      <w:lvlJc w:val="left"/>
      <w:lvlText w:val="(%1)"/>
      <w:numFmt w:val="decimal"/>
      <w:start w:val="5"/>
    </w:lvl>
  </w:abstractNum>
  <w:abstractNum w:abstractNumId="91">
    <w:nsid w:val="4BD8591A"/>
    <w:multiLevelType w:val="hybridMultilevel"/>
    <w:lvl w:ilvl="0">
      <w:lvlJc w:val="left"/>
      <w:lvlText w:val="(%1)"/>
      <w:numFmt w:val="lowerLetter"/>
      <w:start w:val="1"/>
    </w:lvl>
  </w:abstractNum>
  <w:abstractNum w:abstractNumId="92">
    <w:nsid w:val="78DF6A55"/>
    <w:multiLevelType w:val="hybridMultilevel"/>
    <w:lvl w:ilvl="0">
      <w:lvlJc w:val="left"/>
      <w:lvlText w:val="(%1)"/>
      <w:numFmt w:val="lowerLetter"/>
      <w:start w:val="3"/>
    </w:lvl>
  </w:abstractNum>
  <w:abstractNum w:abstractNumId="93">
    <w:nsid w:val="39B7AAA2"/>
    <w:multiLevelType w:val="hybridMultilevel"/>
    <w:lvl w:ilvl="0">
      <w:lvlJc w:val="left"/>
      <w:lvlText w:val="(%1)"/>
      <w:numFmt w:val="lowerLetter"/>
      <w:start w:val="6"/>
    </w:lvl>
  </w:abstractNum>
  <w:abstractNum w:abstractNumId="94">
    <w:nsid w:val="2B0D8DBE"/>
    <w:multiLevelType w:val="hybridMultilevel"/>
    <w:lvl w:ilvl="0">
      <w:lvlJc w:val="left"/>
      <w:lvlText w:val="(%1)"/>
      <w:numFmt w:val="decimal"/>
      <w:start w:val="4"/>
    </w:lvl>
  </w:abstractNum>
  <w:abstractNum w:abstractNumId="95">
    <w:nsid w:val="6C80EC70"/>
    <w:multiLevelType w:val="hybridMultilevel"/>
    <w:lvl w:ilvl="0">
      <w:lvlJc w:val="left"/>
      <w:lvlText w:val="(%1)"/>
      <w:numFmt w:val="decimal"/>
      <w:start w:val="2"/>
    </w:lvl>
  </w:abstractNum>
  <w:abstractNum w:abstractNumId="96">
    <w:nsid w:val="379E21B5"/>
    <w:multiLevelType w:val="hybridMultilevel"/>
    <w:lvl w:ilvl="0">
      <w:lvlJc w:val="left"/>
      <w:lvlText w:val="(%1)"/>
      <w:numFmt w:val="decimal"/>
      <w:start w:val="1"/>
    </w:lvl>
    <w:lvl w:ilvl="1">
      <w:lvlJc w:val="left"/>
      <w:lvlText w:val="(%2)"/>
      <w:numFmt w:val="lowerLetter"/>
      <w:start w:val="1"/>
    </w:lvl>
  </w:abstractNum>
  <w:abstractNum w:abstractNumId="97">
    <w:nsid w:val="69E373"/>
    <w:multiLevelType w:val="hybridMultilevel"/>
    <w:lvl w:ilvl="0">
      <w:lvlJc w:val="left"/>
      <w:lvlText w:val="(%1)"/>
      <w:numFmt w:val="decimal"/>
      <w:start w:val="3"/>
    </w:lvl>
  </w:abstractNum>
  <w:abstractNum w:abstractNumId="98">
    <w:nsid w:val="2C27173B"/>
    <w:multiLevelType w:val="hybridMultilevel"/>
    <w:lvl w:ilvl="0">
      <w:lvlJc w:val="left"/>
      <w:lvlText w:val="(%1)"/>
      <w:numFmt w:val="lowerLetter"/>
      <w:start w:val="1"/>
    </w:lvl>
  </w:abstractNum>
  <w:abstractNum w:abstractNumId="99">
    <w:nsid w:val="4C9B0904"/>
    <w:multiLevelType w:val="hybridMultilevel"/>
    <w:lvl w:ilvl="0">
      <w:lvlJc w:val="left"/>
      <w:lvlText w:val="(%1)"/>
      <w:numFmt w:val="lowerLetter"/>
      <w:start w:val="2"/>
    </w:lvl>
  </w:abstractNum>
  <w:abstractNum w:abstractNumId="100">
    <w:nsid w:val="6AA7B75C"/>
    <w:multiLevelType w:val="hybridMultilevel"/>
    <w:lvl w:ilvl="0">
      <w:lvlJc w:val="left"/>
      <w:lvlText w:val="(%1)"/>
      <w:numFmt w:val="upperLetter"/>
      <w:start w:val="2"/>
    </w:lvl>
    <w:lvl w:ilvl="1">
      <w:lvlJc w:val="left"/>
      <w:lvlText w:val="(%2)"/>
      <w:numFmt w:val="lowerLetter"/>
      <w:start w:val="5"/>
    </w:lvl>
  </w:abstractNum>
  <w:abstractNum w:abstractNumId="101">
    <w:nsid w:val="1DF029D3"/>
    <w:multiLevelType w:val="hybridMultilevel"/>
    <w:lvl w:ilvl="0">
      <w:lvlJc w:val="left"/>
      <w:lvlText w:val="(%1)"/>
      <w:numFmt w:val="lowerLetter"/>
      <w:start w:val="1"/>
    </w:lvl>
  </w:abstractNum>
  <w:abstractNum w:abstractNumId="102">
    <w:nsid w:val="5675FF3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3">
    <w:nsid w:val="3DD1509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04">
    <w:nsid w:val="3DB012B3"/>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05">
    <w:nsid w:val="2708C9AF"/>
    <w:multiLevelType w:val="hybridMultilevel"/>
    <w:lvl w:ilvl="0">
      <w:lvlJc w:val="left"/>
      <w:lvlText w:val="(%1)"/>
      <w:numFmt w:val="lowerLetter"/>
      <w:start w:val="3"/>
    </w:lvl>
  </w:abstractNum>
  <w:abstractNum w:abstractNumId="106">
    <w:nsid w:val="5B25ACE2"/>
    <w:multiLevelType w:val="hybridMultilevel"/>
    <w:lvl w:ilvl="0">
      <w:lvlJc w:val="left"/>
      <w:lvlText w:val="(%1)"/>
      <w:numFmt w:val="decimal"/>
      <w:start w:val="1"/>
    </w:lvl>
  </w:abstractNum>
  <w:abstractNum w:abstractNumId="107">
    <w:nsid w:val="175DFCF0"/>
    <w:multiLevelType w:val="hybridMultilevel"/>
    <w:lvl w:ilvl="0">
      <w:lvlJc w:val="left"/>
      <w:lvlText w:val="*"/>
      <w:numFmt w:val="bullet"/>
      <w:start w:val="1"/>
    </w:lvl>
  </w:abstractNum>
  <w:abstractNum w:abstractNumId="108">
    <w:nsid w:val="4F97E3E4"/>
    <w:multiLevelType w:val="hybridMultilevel"/>
    <w:lvl w:ilvl="0">
      <w:lvlJc w:val="left"/>
      <w:lvlText w:val="*"/>
      <w:numFmt w:val="bullet"/>
      <w:start w:val="1"/>
    </w:lvl>
  </w:abstractNum>
  <w:abstractNum w:abstractNumId="109">
    <w:nsid w:val="53B0A9E"/>
    <w:multiLevelType w:val="hybridMultilevel"/>
    <w:lvl w:ilvl="0">
      <w:lvlJc w:val="left"/>
      <w:lvlText w:val="*"/>
      <w:numFmt w:val="bullet"/>
      <w:start w:val="1"/>
    </w:lvl>
  </w:abstractNum>
  <w:abstractNum w:abstractNumId="110">
    <w:nsid w:val="34FD6B4F"/>
    <w:multiLevelType w:val="hybridMultilevel"/>
    <w:lvl w:ilvl="0">
      <w:lvlJc w:val="left"/>
      <w:lvlText w:val="%1."/>
      <w:numFmt w:val="decimal"/>
      <w:start w:val="1"/>
    </w:lvl>
  </w:abstractNum>
  <w:abstractNum w:abstractNumId="111">
    <w:nsid w:val="5915FF32"/>
    <w:multiLevelType w:val="hybridMultilevel"/>
    <w:lvl w:ilvl="0">
      <w:lvlJc w:val="left"/>
      <w:lvlText w:val="(%1)"/>
      <w:numFmt w:val="lowerLetter"/>
      <w:start w:val="3"/>
    </w:lvl>
  </w:abstractNum>
  <w:abstractNum w:abstractNumId="112">
    <w:nsid w:val="56438D15"/>
    <w:multiLevelType w:val="hybridMultilevel"/>
    <w:lvl w:ilvl="0">
      <w:lvlJc w:val="left"/>
      <w:lvlText w:val="(%1)"/>
      <w:numFmt w:val="lowerLetter"/>
      <w:start w:val="1"/>
    </w:lvl>
  </w:abstractNum>
  <w:abstractNum w:abstractNumId="113">
    <w:nsid w:val="519E3149"/>
    <w:multiLevelType w:val="hybridMultilevel"/>
    <w:lvl w:ilvl="0">
      <w:lvlJc w:val="left"/>
      <w:lvlText w:val="%1."/>
      <w:numFmt w:val="decimal"/>
      <w:start w:val="1"/>
    </w:lvl>
  </w:abstractNum>
  <w:abstractNum w:abstractNumId="114">
    <w:nsid w:val="2C6E4AFD"/>
    <w:multiLevelType w:val="hybridMultilevel"/>
    <w:lvl w:ilvl="0">
      <w:lvlJc w:val="left"/>
      <w:lvlText w:val="%1."/>
      <w:numFmt w:val="decimal"/>
      <w:start w:val="3"/>
    </w:lvl>
  </w:abstractNum>
  <w:abstractNum w:abstractNumId="115">
    <w:nsid w:val="17A1B582"/>
    <w:multiLevelType w:val="hybridMultilevel"/>
    <w:lvl w:ilvl="0">
      <w:lvlJc w:val="left"/>
      <w:lvlText w:val="%1."/>
      <w:numFmt w:val="decimal"/>
      <w:start w:val="1"/>
    </w:lvl>
  </w:abstractNum>
  <w:abstractNum w:abstractNumId="116">
    <w:nsid w:val="4DF72E4E"/>
    <w:multiLevelType w:val="hybridMultilevel"/>
    <w:lvl w:ilvl="0">
      <w:lvlJc w:val="left"/>
      <w:lvlText w:val="%1."/>
      <w:numFmt w:val="decimal"/>
      <w:start w:val="2"/>
    </w:lvl>
  </w:abstractNum>
  <w:abstractNum w:abstractNumId="117">
    <w:nsid w:val="5046B5A9"/>
    <w:multiLevelType w:val="hybridMultilevel"/>
    <w:lvl w:ilvl="0">
      <w:lvlJc w:val="left"/>
      <w:lvlText w:val="(%1)"/>
      <w:numFmt w:val="lowerRoman"/>
      <w:start w:val="1"/>
    </w:lvl>
  </w:abstractNum>
  <w:abstractNum w:abstractNumId="118">
    <w:nsid w:val="5D888A08"/>
    <w:multiLevelType w:val="hybridMultilevel"/>
    <w:lvl w:ilvl="0">
      <w:lvlJc w:val="left"/>
      <w:lvlText w:val="(%1)"/>
      <w:numFmt w:val="lowerRoman"/>
      <w:start w:val="1"/>
    </w:lvl>
  </w:abstractNum>
  <w:abstractNum w:abstractNumId="119">
    <w:nsid w:val="2A082C70"/>
    <w:multiLevelType w:val="hybridMultilevel"/>
    <w:lvl w:ilvl="0">
      <w:lvlJc w:val="left"/>
      <w:lvlText w:val="(%1)"/>
      <w:numFmt w:val="lowerRoman"/>
      <w:start w:val="2"/>
    </w:lvl>
  </w:abstractNum>
  <w:abstractNum w:abstractNumId="120">
    <w:nsid w:val="5EC6AFD4"/>
    <w:multiLevelType w:val="hybridMultilevel"/>
    <w:lvl w:ilvl="0">
      <w:lvlJc w:val="left"/>
      <w:lvlText w:val="(%1)"/>
      <w:numFmt w:val="lowerLetter"/>
      <w:start w:val="2"/>
    </w:lvl>
  </w:abstractNum>
  <w:abstractNum w:abstractNumId="121">
    <w:nsid w:val="19E21BB2"/>
    <w:multiLevelType w:val="hybridMultilevel"/>
    <w:lvl w:ilvl="0">
      <w:lvlJc w:val="left"/>
      <w:lvlText w:val="(%1)"/>
      <w:numFmt w:val="lowerLetter"/>
      <w:start w:val="3"/>
    </w:lvl>
  </w:abstractNum>
  <w:abstractNum w:abstractNumId="122">
    <w:nsid w:val="75E0858A"/>
    <w:multiLevelType w:val="hybridMultilevel"/>
    <w:lvl w:ilvl="0">
      <w:lvlJc w:val="left"/>
      <w:lvlText w:val="(%1)"/>
      <w:numFmt w:val="lowerLetter"/>
      <w:start w:val="5"/>
    </w:lvl>
  </w:abstractNum>
  <w:abstractNum w:abstractNumId="123">
    <w:nsid w:val="57A61A29"/>
    <w:multiLevelType w:val="hybridMultilevel"/>
    <w:lvl w:ilvl="0">
      <w:lvlJc w:val="left"/>
      <w:lvlText w:val="%1."/>
      <w:numFmt w:val="decimal"/>
      <w:start w:val="3"/>
    </w:lvl>
  </w:abstractNum>
  <w:abstractNum w:abstractNumId="124">
    <w:nsid w:val="5399C654"/>
    <w:multiLevelType w:val="hybridMultilevel"/>
    <w:lvl w:ilvl="0">
      <w:lvlJc w:val="left"/>
      <w:lvlText w:val="(%1)"/>
      <w:numFmt w:val="lowerRoman"/>
      <w:start w:val="1"/>
    </w:lvl>
  </w:abstractNum>
  <w:abstractNum w:abstractNumId="125">
    <w:nsid w:val="20EE1348"/>
    <w:multiLevelType w:val="hybridMultilevel"/>
    <w:lvl w:ilvl="0">
      <w:lvlJc w:val="left"/>
      <w:lvlText w:val="(%1)"/>
      <w:numFmt w:val="lowerRoman"/>
      <w:start w:val="5"/>
    </w:lvl>
  </w:abstractNum>
  <w:abstractNum w:abstractNumId="126">
    <w:nsid w:val="4427069A"/>
    <w:multiLevelType w:val="hybridMultilevel"/>
    <w:lvl w:ilvl="0">
      <w:lvlJc w:val="left"/>
      <w:lvlText w:val="(%1)"/>
      <w:numFmt w:val="lowerRoman"/>
      <w:start w:val="10"/>
    </w:lvl>
  </w:abstractNum>
  <w:abstractNum w:abstractNumId="127">
    <w:nsid w:val="B37E80A"/>
    <w:multiLevelType w:val="hybridMultilevel"/>
    <w:lvl w:ilvl="0">
      <w:lvlJc w:val="left"/>
      <w:lvlText w:val="(%1)"/>
      <w:numFmt w:val="lowerRoman"/>
      <w:start w:val="15"/>
    </w:lvl>
    <w:lvl w:ilvl="1">
      <w:lvlJc w:val="left"/>
      <w:lvlText w:val="(%2)"/>
      <w:numFmt w:val="lowerLetter"/>
      <w:start w:val="2"/>
    </w:lvl>
  </w:abstractNum>
  <w:abstractNum w:abstractNumId="128">
    <w:nsid w:val="2157F6BC"/>
    <w:multiLevelType w:val="hybridMultilevel"/>
    <w:lvl w:ilvl="0">
      <w:lvlJc w:val="left"/>
      <w:lvlText w:val="(%1)"/>
      <w:numFmt w:val="lowerLetter"/>
      <w:start w:val="4"/>
    </w:lvl>
  </w:abstractNum>
  <w:abstractNum w:abstractNumId="129">
    <w:nsid w:val="704E1DD5"/>
    <w:multiLevelType w:val="hybridMultilevel"/>
    <w:lvl w:ilvl="0">
      <w:lvlJc w:val="left"/>
      <w:lvlText w:val="%1."/>
      <w:numFmt w:val="decimal"/>
      <w:start w:val="4"/>
    </w:lvl>
  </w:abstractNum>
  <w:abstractNum w:abstractNumId="130">
    <w:nsid w:val="57D2F10E"/>
    <w:multiLevelType w:val="hybridMultilevel"/>
    <w:lvl w:ilvl="0">
      <w:lvlJc w:val="left"/>
      <w:lvlText w:val="(%1)"/>
      <w:numFmt w:val="lowerLetter"/>
      <w:start w:val="2"/>
    </w:lvl>
  </w:abstractNum>
  <w:abstractNum w:abstractNumId="131">
    <w:nsid w:val="BFFAE18"/>
    <w:multiLevelType w:val="hybridMultilevel"/>
    <w:lvl w:ilvl="0">
      <w:lvlJc w:val="left"/>
      <w:lvlText w:val="%1."/>
      <w:numFmt w:val="decimal"/>
      <w:start w:val="5"/>
    </w:lvl>
  </w:abstractNum>
  <w:abstractNum w:abstractNumId="132">
    <w:nsid w:val="E3E47A8"/>
    <w:multiLevelType w:val="hybridMultilevel"/>
    <w:lvl w:ilvl="0">
      <w:lvlJc w:val="left"/>
      <w:lvlText w:val="(%1)"/>
      <w:numFmt w:val="lowerLetter"/>
      <w:start w:val="2"/>
    </w:lvl>
  </w:abstractNum>
  <w:abstractNum w:abstractNumId="133">
    <w:nsid w:val="2E48F044"/>
    <w:multiLevelType w:val="hybridMultilevel"/>
    <w:lvl w:ilvl="0">
      <w:lvlJc w:val="left"/>
      <w:lvlText w:val="(%1)"/>
      <w:numFmt w:val="lowerLetter"/>
      <w:start w:val="5"/>
    </w:lvl>
  </w:abstractNum>
  <w:abstractNum w:abstractNumId="134">
    <w:nsid w:val="49D0FEAC"/>
    <w:multiLevelType w:val="hybridMultilevel"/>
    <w:lvl w:ilvl="0">
      <w:lvlJc w:val="left"/>
      <w:lvlText w:val="%1."/>
      <w:numFmt w:val="decimal"/>
      <w:start w:val="6"/>
    </w:lvl>
  </w:abstractNum>
  <w:abstractNum w:abstractNumId="135">
    <w:nsid w:val="4BEE5A5B"/>
    <w:multiLevelType w:val="hybridMultilevel"/>
    <w:lvl w:ilvl="0">
      <w:lvlJc w:val="left"/>
      <w:lvlText w:val="(%1)"/>
      <w:numFmt w:val="lowerLetter"/>
      <w:start w:val="1"/>
    </w:lvl>
  </w:abstractNum>
  <w:abstractNum w:abstractNumId="136">
    <w:nsid w:val="5551B9F3"/>
    <w:multiLevelType w:val="hybridMultilevel"/>
    <w:lvl w:ilvl="0">
      <w:lvlJc w:val="left"/>
      <w:lvlText w:val="(%1)"/>
      <w:numFmt w:val="lowerLetter"/>
      <w:start w:val="4"/>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2019-12-29T00:03:54Z</dcterms:created>
  <dcterms:modified xsi:type="dcterms:W3CDTF">2019-12-29T00:03:54Z</dcterms:modified>
</cp:coreProperties>
</file>