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828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2803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300"/>
            <w:col w:w="8520"/>
          </w:cols>
          <w:pgMar w:left="460" w:top="218" w:right="359" w:bottom="77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Mills Desmond J</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04/15/2022</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8"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68"/>
        <w:spacing w:after="0"/>
        <w:rPr>
          <w:sz w:val="20"/>
          <w:szCs w:val="20"/>
          <w:color w:val="auto"/>
        </w:rPr>
      </w:pPr>
      <w:r>
        <w:rPr>
          <w:rFonts w:ascii="Times New Roman" w:cs="Times New Roman" w:eastAsia="Times New Roman" w:hAnsi="Times New Roman"/>
          <w:sz w:val="17"/>
          <w:szCs w:val="17"/>
          <w:color w:val="0000FF"/>
        </w:rPr>
        <w:t>SVP &amp; Chief Accounting Officer</w:t>
      </w:r>
    </w:p>
    <w:p>
      <w:pPr>
        <w:spacing w:after="0" w:line="308" w:lineRule="exact"/>
        <w:rPr>
          <w:sz w:val="24"/>
          <w:szCs w:val="24"/>
          <w:color w:val="auto"/>
        </w:rPr>
      </w:pPr>
    </w:p>
    <w:p>
      <w:pPr>
        <w:sectPr>
          <w:pgSz w:w="11900" w:h="16838" w:orient="portrait"/>
          <w:cols w:equalWidth="0" w:num="3">
            <w:col w:w="3180" w:space="720"/>
            <w:col w:w="3220" w:space="612"/>
            <w:col w:w="3348"/>
          </w:cols>
          <w:pgMar w:left="460" w:top="218" w:right="359" w:bottom="772"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77056</w:t>
            </w: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1"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60" w:space="140"/>
            <w:col w:w="7180"/>
          </w:cols>
          <w:pgMar w:left="460" w:top="218" w:right="359" w:bottom="77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50"/>
              <w:spacing w:after="0"/>
              <w:rPr>
                <w:sz w:val="20"/>
                <w:szCs w:val="20"/>
                <w:color w:val="auto"/>
              </w:rPr>
            </w:pPr>
            <w:r>
              <w:rPr>
                <w:rFonts w:ascii="Times New Roman" w:cs="Times New Roman" w:eastAsia="Times New Roman" w:hAnsi="Times New Roman"/>
                <w:sz w:val="17"/>
                <w:szCs w:val="17"/>
                <w:color w:val="0000FF"/>
              </w:rPr>
              <w:t>04/15/2022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15,440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15,440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50"/>
              <w:spacing w:after="0"/>
              <w:rPr>
                <w:sz w:val="20"/>
                <w:szCs w:val="20"/>
                <w:color w:val="auto"/>
              </w:rPr>
            </w:pPr>
            <w:r>
              <w:rPr>
                <w:rFonts w:ascii="Times New Roman" w:cs="Times New Roman" w:eastAsia="Times New Roman" w:hAnsi="Times New Roman"/>
                <w:sz w:val="17"/>
                <w:szCs w:val="17"/>
                <w:color w:val="0000FF"/>
              </w:rPr>
              <w:t>04/15/2022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3,760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38.4</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11,680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50"/>
              <w:spacing w:after="0"/>
              <w:rPr>
                <w:sz w:val="20"/>
                <w:szCs w:val="20"/>
                <w:color w:val="auto"/>
              </w:rPr>
            </w:pPr>
            <w:r>
              <w:rPr>
                <w:rFonts w:ascii="Times New Roman" w:cs="Times New Roman" w:eastAsia="Times New Roman" w:hAnsi="Times New Roman"/>
                <w:sz w:val="17"/>
                <w:szCs w:val="17"/>
                <w:color w:val="0000FF"/>
              </w:rPr>
              <w:t>04/15/2022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7,625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19,305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50"/>
              <w:spacing w:after="0"/>
              <w:rPr>
                <w:sz w:val="20"/>
                <w:szCs w:val="20"/>
                <w:color w:val="auto"/>
              </w:rPr>
            </w:pPr>
            <w:r>
              <w:rPr>
                <w:rFonts w:ascii="Times New Roman" w:cs="Times New Roman" w:eastAsia="Times New Roman" w:hAnsi="Times New Roman"/>
                <w:sz w:val="17"/>
                <w:szCs w:val="17"/>
                <w:color w:val="0000FF"/>
              </w:rPr>
              <w:t>04/15/2022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7,625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34.0965</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11,680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3"/>
              </w:rPr>
              <w:t>Ordinary</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15,440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040" w:type="dxa"/>
            <w:vAlign w:val="bottom"/>
          </w:tcPr>
          <w:p>
            <w:pPr>
              <w:jc w:val="right"/>
              <w:ind w:right="139"/>
              <w:spacing w:after="0" w:line="129" w:lineRule="exact"/>
              <w:rPr>
                <w:sz w:val="20"/>
                <w:szCs w:val="20"/>
                <w:color w:val="auto"/>
              </w:rPr>
            </w:pPr>
            <w:r>
              <w:rPr>
                <w:rFonts w:ascii="Times New Roman" w:cs="Times New Roman" w:eastAsia="Times New Roman" w:hAnsi="Times New Roman"/>
                <w:sz w:val="13"/>
                <w:szCs w:val="13"/>
                <w:color w:val="0000FF"/>
              </w:rPr>
              <w:t>04/15/2022</w:t>
            </w:r>
          </w:p>
        </w:tc>
        <w:tc>
          <w:tcPr>
            <w:tcW w:w="1140" w:type="dxa"/>
            <w:vAlign w:val="bottom"/>
          </w:tcPr>
          <w:p>
            <w:pPr>
              <w:spacing w:after="0"/>
              <w:rPr>
                <w:sz w:val="11"/>
                <w:szCs w:val="11"/>
                <w:color w:val="auto"/>
              </w:rPr>
            </w:pPr>
          </w:p>
        </w:tc>
        <w:tc>
          <w:tcPr>
            <w:tcW w:w="4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15,440</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1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15,439</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04/15/2022</w:t>
            </w:r>
          </w:p>
        </w:tc>
        <w:tc>
          <w:tcPr>
            <w:tcW w:w="1140" w:type="dxa"/>
            <w:vAlign w:val="bottom"/>
          </w:tcPr>
          <w:p>
            <w:pPr>
              <w:spacing w:after="0"/>
              <w:rPr>
                <w:sz w:val="12"/>
                <w:szCs w:val="12"/>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7,625</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5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3"/>
              </w:rPr>
              <w:t>Ordinary</w:t>
            </w:r>
          </w:p>
        </w:tc>
        <w:tc>
          <w:tcPr>
            <w:tcW w:w="66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7,625</w:t>
            </w:r>
          </w:p>
        </w:tc>
        <w:tc>
          <w:tcPr>
            <w:tcW w:w="18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6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first installment of restricted share units ("RSUs") granted on April 15, 2021 pursuant to Issuer's Second Amended and Restated 2019 Equity Incentive Plan (the "2019 EIP"). The RSUs vest in two equal installments over the two-year period from the date of grant.</w:t>
      </w:r>
    </w:p>
    <w:p>
      <w:pPr>
        <w:spacing w:after="0" w:line="17"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withholding obligations upon vesting, pursuant to the award agreement and the 2019 EIP under which the award was granted.</w:t>
      </w:r>
    </w:p>
    <w:p>
      <w:pPr>
        <w:spacing w:after="0" w:line="17"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deemed acquisition of the ordinary shares underlying the vested portion of phantom restricted share units ("Phantom RSUs") as a result of the election by the Committee administering the 2019 EIP to settle the 2021 Phantom RSU awards entirely in cash (see footnote 6 below).</w:t>
      </w:r>
    </w:p>
    <w:p>
      <w:pPr>
        <w:spacing w:after="0" w:line="17"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deemed disposition to the issuer of the ordinary shares underlying the vested portion of Phantom RSUs as a result of the election by the Committee administering the 2019 EIP to settle the 2021 Phantom RSU awards entirely in cash (see footnote 6 below).</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represents the volume weighted price of the Company's ordinary shares averaged for the thirty trading days immediately preceding the vesting date.</w:t>
      </w:r>
    </w:p>
    <w:p>
      <w:pPr>
        <w:spacing w:after="0" w:line="44" w:lineRule="exact"/>
        <w:rPr>
          <w:rFonts w:ascii="Times New Roman" w:cs="Times New Roman" w:eastAsia="Times New Roman" w:hAnsi="Times New Roman"/>
          <w:sz w:val="13"/>
          <w:szCs w:val="13"/>
          <w:color w:val="008000"/>
        </w:rPr>
      </w:pPr>
    </w:p>
    <w:p>
      <w:pPr>
        <w:jc w:val="both"/>
        <w:ind w:left="40" w:right="20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Phantom RSUs granted on April 15, 2021 pursuant to the 2019 EIP. These Phantom RSUs vest in two equal installments over the two-year period from the date of grant and may be settled in cash, ordinary shares or any combination of cash and ordinary shares; provided that if settled in cash, the cumulative cash payout may not exceed a predetermined amount specified in the Reporting Person's offer letter (the "Maximum Cash Payout"). At the election of the Committee administering the 2019 EIP, it was determined that the 2021 Phantom RSU awards would be settled entirely in cash. As a result of the Maximum Cash Payout, the Reporting Person is reporting the vesting, deemed acquisition and deemed disposition of 7,625 ordinary shares. As a result of the Maximum Cash Payout having been satisfied, the remaining 15,023 ordinary shares underlying the 22,648 Phantom RSUs previously reported will not vest and have been cancelled.</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Jonathan B. Wolens by Power</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04/19/2022</w:t>
            </w:r>
          </w:p>
        </w:tc>
        <w:tc>
          <w:tcPr>
            <w:tcW w:w="0" w:type="dxa"/>
            <w:vAlign w:val="bottom"/>
          </w:tcPr>
          <w:p>
            <w:pPr>
              <w:spacing w:after="0"/>
              <w:rPr>
                <w:sz w:val="1"/>
                <w:szCs w:val="1"/>
                <w:color w:val="auto"/>
              </w:rPr>
            </w:pPr>
          </w:p>
        </w:tc>
      </w:tr>
      <w:tr>
        <w:trPr>
          <w:trHeight w:val="88"/>
        </w:trPr>
        <w:tc>
          <w:tcPr>
            <w:tcW w:w="7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6"/>
              </w:rPr>
              <w:t>of Attorney</w:t>
            </w:r>
          </w:p>
        </w:tc>
        <w:tc>
          <w:tcPr>
            <w:tcW w:w="1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80" w:type="dxa"/>
            <w:vAlign w:val="bottom"/>
            <w:tcBorders>
              <w:bottom w:val="single" w:sz="8" w:color="auto"/>
            </w:tcBorders>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7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196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2022-04-19T16:11:54Z</dcterms:created>
  <dcterms:modified xsi:type="dcterms:W3CDTF">2022-04-19T16:11:54Z</dcterms:modified>
</cp:coreProperties>
</file>