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362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3623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Saligram Girish</w:t>
              </w:r>
            </w:hyperlink>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0000EE"/>
            </w:tcBorders>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(Last)</w:t>
            </w:r>
          </w:p>
        </w:tc>
        <w:tc>
          <w:tcPr>
            <w:tcW w:w="980" w:type="dxa"/>
            <w:vAlign w:val="bottom"/>
          </w:tcPr>
          <w:p>
            <w:pPr>
              <w:ind w:left="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2000 ST. JAMES PLACE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60" w:type="dxa"/>
            <w:vAlign w:val="bottom"/>
            <w:gridSpan w:val="4"/>
          </w:tcPr>
          <w:p>
            <w:pPr>
              <w:spacing w:after="0"/>
              <w:rPr>
                <w:sz w:val="20"/>
                <w:szCs w:val="20"/>
                <w:color w:val="auto"/>
              </w:rPr>
            </w:pPr>
            <w:r>
              <w:rPr>
                <w:rFonts w:ascii="Arial" w:cs="Arial" w:eastAsia="Arial" w:hAnsi="Arial"/>
                <w:sz w:val="10"/>
                <w:szCs w:val="10"/>
                <w:color w:val="auto"/>
              </w:rPr>
              <w:t>(Street)</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0000FF"/>
              </w:rPr>
              <w:t>HOUSTON</w:t>
            </w:r>
          </w:p>
        </w:tc>
        <w:tc>
          <w:tcPr>
            <w:tcW w:w="980" w:type="dxa"/>
            <w:vAlign w:val="bottom"/>
          </w:tcPr>
          <w:p>
            <w:pPr>
              <w:ind w:left="20"/>
              <w:spacing w:after="0"/>
              <w:rPr>
                <w:sz w:val="20"/>
                <w:szCs w:val="20"/>
                <w:color w:val="auto"/>
              </w:rPr>
            </w:pPr>
            <w:r>
              <w:rPr>
                <w:rFonts w:ascii="Arial" w:cs="Arial" w:eastAsia="Arial" w:hAnsi="Arial"/>
                <w:sz w:val="13"/>
                <w:szCs w:val="13"/>
                <w:color w:val="0000FF"/>
              </w:rPr>
              <w:t>TX</w:t>
            </w:r>
          </w:p>
        </w:tc>
        <w:tc>
          <w:tcPr>
            <w:tcW w:w="1140" w:type="dxa"/>
            <w:vAlign w:val="bottom"/>
          </w:tcPr>
          <w:p>
            <w:pPr>
              <w:ind w:left="100"/>
              <w:spacing w:after="0"/>
              <w:rPr>
                <w:sz w:val="20"/>
                <w:szCs w:val="20"/>
                <w:color w:val="auto"/>
              </w:rPr>
            </w:pPr>
            <w:r>
              <w:rPr>
                <w:rFonts w:ascii="Arial" w:cs="Arial" w:eastAsia="Arial" w:hAnsi="Arial"/>
                <w:sz w:val="13"/>
                <w:szCs w:val="13"/>
                <w:color w:val="0000FF"/>
              </w:rPr>
              <w:t>77056</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200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Weatherford International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WFRD</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2C2C2C"/>
            </w:tcBorders>
          </w:tcPr>
          <w:p>
            <w:pPr>
              <w:spacing w:after="0"/>
              <w:rPr>
                <w:sz w:val="20"/>
                <w:szCs w:val="20"/>
                <w:color w:val="auto"/>
              </w:rPr>
            </w:pPr>
          </w:p>
        </w:tc>
        <w:tc>
          <w:tcPr>
            <w:tcW w:w="100" w:type="dxa"/>
            <w:vAlign w:val="bottom"/>
            <w:tcBorders>
              <w:top w:val="single" w:sz="8" w:color="0000EE"/>
              <w:bottom w:val="single" w:sz="8" w:color="2C2C2C"/>
            </w:tcBorders>
          </w:tcPr>
          <w:p>
            <w:pPr>
              <w:spacing w:after="0"/>
              <w:rPr>
                <w:sz w:val="20"/>
                <w:szCs w:val="20"/>
                <w:color w:val="auto"/>
              </w:rPr>
            </w:pPr>
          </w:p>
        </w:tc>
        <w:tc>
          <w:tcPr>
            <w:tcW w:w="300" w:type="dxa"/>
            <w:vAlign w:val="bottom"/>
            <w:tcBorders>
              <w:top w:val="single" w:sz="8" w:color="0000EE"/>
              <w:bottom w:val="single" w:sz="8" w:color="2C2C2C"/>
            </w:tcBorders>
          </w:tcPr>
          <w:p>
            <w:pPr>
              <w:spacing w:after="0"/>
              <w:rPr>
                <w:sz w:val="20"/>
                <w:szCs w:val="20"/>
                <w:color w:val="auto"/>
              </w:rPr>
            </w:pPr>
          </w:p>
        </w:tc>
        <w:tc>
          <w:tcPr>
            <w:tcW w:w="1480" w:type="dxa"/>
            <w:vAlign w:val="bottom"/>
            <w:tcBorders>
              <w:top w:val="single" w:sz="8" w:color="0000EE"/>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26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10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70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70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ind w:left="700"/>
              <w:spacing w:after="0"/>
              <w:rPr>
                <w:sz w:val="20"/>
                <w:szCs w:val="20"/>
                <w:color w:val="auto"/>
              </w:rPr>
            </w:pPr>
            <w:r>
              <w:rPr>
                <w:rFonts w:ascii="Arial" w:cs="Arial" w:eastAsia="Arial" w:hAnsi="Arial"/>
                <w:sz w:val="13"/>
                <w:szCs w:val="13"/>
                <w:color w:val="0000FF"/>
                <w:w w:val="87"/>
              </w:rPr>
              <w:t>President and CEO</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88"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Ordinary Shares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ind w:left="700"/>
              <w:spacing w:after="0"/>
              <w:rPr>
                <w:sz w:val="20"/>
                <w:szCs w:val="20"/>
                <w:color w:val="auto"/>
              </w:rPr>
            </w:pPr>
            <w:r>
              <w:rPr>
                <w:rFonts w:ascii="Arial" w:cs="Arial" w:eastAsia="Arial" w:hAnsi="Arial"/>
                <w:sz w:val="13"/>
                <w:szCs w:val="13"/>
                <w:color w:val="0000FF"/>
              </w:rPr>
              <w:t>102,797</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1620" w:type="dxa"/>
            <w:vAlign w:val="bottom"/>
            <w:gridSpan w:val="2"/>
          </w:tcPr>
          <w:p>
            <w:pPr>
              <w:jc w:val="right"/>
              <w:ind w:right="227"/>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169,491</w:t>
            </w:r>
          </w:p>
        </w:tc>
        <w:tc>
          <w:tcPr>
            <w:tcW w:w="720" w:type="dxa"/>
            <w:vAlign w:val="bottom"/>
          </w:tcPr>
          <w:p>
            <w:pPr>
              <w:ind w:left="340"/>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1620" w:type="dxa"/>
            <w:vAlign w:val="bottom"/>
            <w:gridSpan w:val="2"/>
          </w:tcPr>
          <w:p>
            <w:pPr>
              <w:jc w:val="right"/>
              <w:ind w:right="227"/>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249,852</w:t>
            </w:r>
          </w:p>
        </w:tc>
        <w:tc>
          <w:tcPr>
            <w:tcW w:w="720" w:type="dxa"/>
            <w:vAlign w:val="bottom"/>
          </w:tcPr>
          <w:p>
            <w:pPr>
              <w:ind w:left="340"/>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Performance Share Units</w:t>
            </w:r>
          </w:p>
        </w:tc>
        <w:tc>
          <w:tcPr>
            <w:tcW w:w="1620" w:type="dxa"/>
            <w:vAlign w:val="bottom"/>
            <w:gridSpan w:val="2"/>
          </w:tcPr>
          <w:p>
            <w:pPr>
              <w:jc w:val="right"/>
              <w:ind w:right="227"/>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499,703</w:t>
            </w:r>
          </w:p>
        </w:tc>
        <w:tc>
          <w:tcPr>
            <w:tcW w:w="720" w:type="dxa"/>
            <w:vAlign w:val="bottom"/>
          </w:tcPr>
          <w:p>
            <w:pPr>
              <w:ind w:left="340"/>
              <w:spacing w:after="0"/>
              <w:rPr>
                <w:sz w:val="20"/>
                <w:szCs w:val="20"/>
                <w:color w:val="auto"/>
              </w:rPr>
            </w:pPr>
            <w:r>
              <w:rPr>
                <w:rFonts w:ascii="Arial" w:cs="Arial" w:eastAsia="Arial" w:hAnsi="Arial"/>
                <w:sz w:val="8"/>
                <w:szCs w:val="8"/>
                <w:color w:val="008000"/>
              </w:rPr>
              <w:t>(3)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Phantom Restricted Share Units</w:t>
            </w:r>
          </w:p>
        </w:tc>
        <w:tc>
          <w:tcPr>
            <w:tcW w:w="1620" w:type="dxa"/>
            <w:vAlign w:val="bottom"/>
            <w:gridSpan w:val="2"/>
          </w:tcPr>
          <w:p>
            <w:pPr>
              <w:jc w:val="right"/>
              <w:ind w:right="227"/>
              <w:spacing w:after="0"/>
              <w:rPr>
                <w:sz w:val="20"/>
                <w:szCs w:val="20"/>
                <w:color w:val="auto"/>
              </w:rPr>
            </w:pPr>
            <w:r>
              <w:rPr>
                <w:rFonts w:ascii="Arial" w:cs="Arial" w:eastAsia="Arial" w:hAnsi="Arial"/>
                <w:sz w:val="8"/>
                <w:szCs w:val="8"/>
                <w:color w:val="008000"/>
              </w:rPr>
              <w:t>(4)</w:t>
            </w:r>
          </w:p>
        </w:tc>
        <w:tc>
          <w:tcPr>
            <w:tcW w:w="580" w:type="dxa"/>
            <w:vAlign w:val="bottom"/>
          </w:tcPr>
          <w:p>
            <w:pPr>
              <w:jc w:val="center"/>
              <w:spacing w:after="0"/>
              <w:rPr>
                <w:sz w:val="20"/>
                <w:szCs w:val="20"/>
                <w:color w:val="auto"/>
              </w:rPr>
            </w:pPr>
            <w:r>
              <w:rPr>
                <w:rFonts w:ascii="Arial" w:cs="Arial" w:eastAsia="Arial" w:hAnsi="Arial"/>
                <w:sz w:val="8"/>
                <w:szCs w:val="8"/>
                <w:color w:val="008000"/>
              </w:rPr>
              <w:t>(4)</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61,084</w:t>
            </w:r>
          </w:p>
        </w:tc>
        <w:tc>
          <w:tcPr>
            <w:tcW w:w="720" w:type="dxa"/>
            <w:vAlign w:val="bottom"/>
          </w:tcPr>
          <w:p>
            <w:pPr>
              <w:ind w:left="340"/>
              <w:spacing w:after="0"/>
              <w:rPr>
                <w:sz w:val="20"/>
                <w:szCs w:val="20"/>
                <w:color w:val="auto"/>
              </w:rPr>
            </w:pPr>
            <w:r>
              <w:rPr>
                <w:rFonts w:ascii="Arial" w:cs="Arial" w:eastAsia="Arial" w:hAnsi="Arial"/>
                <w:sz w:val="8"/>
                <w:szCs w:val="8"/>
                <w:color w:val="008000"/>
              </w:rPr>
              <w:t>(4)</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Represents restricted share units ("RSUs") granted on November 17, 2020 pursuant to Issuer's Second Amended and Restated 2019 Equity Incentive Plan (the "2019 EIP"). The RSUs vest in three equal installments on each of October 12, 2021, 2022 and 2023.</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RSUs granted on January 4, 2021 pursuant to the 2019 EIP. These RSUs vest in two equal installments over the two-year period from the date of grant.</w:t>
      </w:r>
    </w:p>
    <w:p>
      <w:pPr>
        <w:spacing w:after="0" w:line="35" w:lineRule="exact"/>
        <w:rPr>
          <w:rFonts w:ascii="Arial" w:cs="Arial" w:eastAsia="Arial" w:hAnsi="Arial"/>
          <w:sz w:val="10"/>
          <w:szCs w:val="10"/>
          <w:color w:val="008000"/>
        </w:rPr>
      </w:pPr>
    </w:p>
    <w:p>
      <w:pPr>
        <w:ind w:left="40" w:right="42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performance share units ("PSUs") granted on January 4, 2021 under the 2019 EIP. The number of PSUs reported is the target award and may be subject to a payout ranging from 0% to 200% of target award depending on the actual achievement of the performance goals at the end of the performance period. The performance period is the Issuer's fiscal year ending December 21, 2022.</w:t>
      </w:r>
    </w:p>
    <w:p>
      <w:pPr>
        <w:spacing w:after="0" w:line="15" w:lineRule="exact"/>
        <w:rPr>
          <w:rFonts w:ascii="Arial" w:cs="Arial" w:eastAsia="Arial" w:hAnsi="Arial"/>
          <w:sz w:val="10"/>
          <w:szCs w:val="10"/>
          <w:color w:val="008000"/>
        </w:rPr>
      </w:pPr>
    </w:p>
    <w:p>
      <w:pPr>
        <w:ind w:left="40" w:right="44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phantom restricted share units granted on January 4, 2021 pursuant to the 2019 EIP. These phantom restricted share units vest in two equal installments over the two-year period from the date of grant and may be settled in cash, ordinary shares or any combination of cash and ordinary shares.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Jonathan B. Wolens by Power of</w:t>
            </w:r>
          </w:p>
        </w:tc>
        <w:tc>
          <w:tcPr>
            <w:tcW w:w="1100" w:type="dxa"/>
            <w:vAlign w:val="bottom"/>
            <w:gridSpan w:val="2"/>
            <w:vMerge w:val="restart"/>
          </w:tcPr>
          <w:p>
            <w:pPr>
              <w:ind w:left="500"/>
              <w:spacing w:after="0"/>
              <w:rPr>
                <w:sz w:val="20"/>
                <w:szCs w:val="20"/>
                <w:color w:val="auto"/>
              </w:rPr>
            </w:pPr>
            <w:r>
              <w:rPr>
                <w:rFonts w:ascii="Arial" w:cs="Arial" w:eastAsia="Arial" w:hAnsi="Arial"/>
                <w:sz w:val="13"/>
                <w:szCs w:val="13"/>
                <w:color w:val="0000FF"/>
                <w:w w:val="89"/>
              </w:rPr>
              <w:t>06/10/2021</w:t>
            </w: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40" w:type="dxa"/>
            <w:vAlign w:val="bottom"/>
            <w:vMerge w:val="restart"/>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Scott C. Weatherholt, Christine M. Morrison and Jo</w:t>
      </w:r>
    </w:p>
    <w:p>
      <w:pPr>
        <w:spacing w:after="0" w:line="163" w:lineRule="exact"/>
        <w:rPr>
          <w:sz w:val="20"/>
          <w:szCs w:val="20"/>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3" w:lineRule="exact"/>
        <w:rPr>
          <w:rFonts w:ascii="Courier New" w:cs="Courier New" w:eastAsia="Courier New" w:hAnsi="Courier New"/>
          <w:sz w:val="13"/>
          <w:szCs w:val="13"/>
          <w:color w:val="auto"/>
        </w:rPr>
      </w:pPr>
    </w:p>
    <w:p>
      <w:pPr>
        <w:jc w:val="both"/>
        <w:ind w:left="320" w:firstLine="227"/>
        <w:spacing w:after="0" w:line="488" w:lineRule="auto"/>
        <w:tabs>
          <w:tab w:leader="none" w:pos="78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28th day of May, 2021.</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Girish K. Saligram</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Girish K. Saligram</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102545</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2885"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2021-06-10T17:46:16Z</dcterms:created>
  <dcterms:modified xsi:type="dcterms:W3CDTF">2021-06-10T17:46:16Z</dcterms:modified>
</cp:coreProperties>
</file>