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ind w:left="2960"/>
        <w:spacing w:after="0"/>
        <w:rPr>
          <w:sz w:val="20"/>
          <w:szCs w:val="20"/>
          <w:color w:val="auto"/>
        </w:rPr>
      </w:pPr>
      <w:r>
        <w:rPr>
          <w:rFonts w:ascii="Arial" w:cs="Arial" w:eastAsia="Arial" w:hAnsi="Arial"/>
          <w:sz w:val="20"/>
          <w:szCs w:val="20"/>
          <w:b w:val="1"/>
          <w:bCs w:val="1"/>
          <w:color w:val="auto"/>
        </w:rPr>
        <w:t>Under the Securities Exchange Act of 1934 (Amendment No. 2)*</w:t>
      </w:r>
    </w:p>
    <w:p>
      <w:pPr>
        <w:spacing w:after="0" w:line="205"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 xml:space="preserve">Weatherford International Limited </w:t>
      </w:r>
      <w:r>
        <w:rPr>
          <w:rFonts w:ascii="Arial" w:cs="Arial" w:eastAsia="Arial" w:hAnsi="Arial"/>
          <w:sz w:val="20"/>
          <w:szCs w:val="20"/>
          <w:color w:val="auto"/>
        </w:rPr>
        <w:t>(Name of Issuer)</w:t>
      </w:r>
    </w:p>
    <w:p>
      <w:pPr>
        <w:spacing w:after="0" w:line="205"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 xml:space="preserve">Common Stock </w:t>
      </w:r>
      <w:r>
        <w:rPr>
          <w:rFonts w:ascii="Arial" w:cs="Arial" w:eastAsia="Arial" w:hAnsi="Arial"/>
          <w:sz w:val="20"/>
          <w:szCs w:val="20"/>
          <w:color w:val="auto"/>
        </w:rPr>
        <w:t>(Title of Class of Securities)</w:t>
      </w:r>
    </w:p>
    <w:p>
      <w:pPr>
        <w:spacing w:after="0" w:line="205" w:lineRule="exact"/>
        <w:rPr>
          <w:sz w:val="24"/>
          <w:szCs w:val="24"/>
          <w:color w:val="auto"/>
        </w:rPr>
      </w:pPr>
    </w:p>
    <w:p>
      <w:pPr>
        <w:ind w:left="4540"/>
        <w:spacing w:after="0"/>
        <w:rPr>
          <w:sz w:val="20"/>
          <w:szCs w:val="20"/>
          <w:color w:val="auto"/>
        </w:rPr>
      </w:pPr>
      <w:r>
        <w:rPr>
          <w:rFonts w:ascii="Arial" w:cs="Arial" w:eastAsia="Arial" w:hAnsi="Arial"/>
          <w:sz w:val="20"/>
          <w:szCs w:val="20"/>
          <w:b w:val="1"/>
          <w:bCs w:val="1"/>
          <w:color w:val="auto"/>
        </w:rPr>
        <w:t xml:space="preserve">H27013103 </w:t>
      </w:r>
      <w:r>
        <w:rPr>
          <w:rFonts w:ascii="Arial" w:cs="Arial" w:eastAsia="Arial" w:hAnsi="Arial"/>
          <w:sz w:val="20"/>
          <w:szCs w:val="20"/>
          <w:color w:val="auto"/>
        </w:rPr>
        <w:t>(CUSIP Number)</w:t>
      </w:r>
    </w:p>
    <w:p>
      <w:pPr>
        <w:spacing w:after="0" w:line="205" w:lineRule="exact"/>
        <w:rPr>
          <w:sz w:val="24"/>
          <w:szCs w:val="24"/>
          <w:color w:val="auto"/>
        </w:rPr>
      </w:pPr>
    </w:p>
    <w:p>
      <w:pPr>
        <w:ind w:left="2620"/>
        <w:spacing w:after="0"/>
        <w:rPr>
          <w:sz w:val="20"/>
          <w:szCs w:val="20"/>
          <w:color w:val="auto"/>
        </w:rPr>
      </w:pPr>
      <w:r>
        <w:rPr>
          <w:rFonts w:ascii="Arial" w:cs="Arial" w:eastAsia="Arial" w:hAnsi="Arial"/>
          <w:sz w:val="20"/>
          <w:szCs w:val="20"/>
          <w:b w:val="1"/>
          <w:bCs w:val="1"/>
          <w:color w:val="auto"/>
        </w:rPr>
        <w:t xml:space="preserve">December 31, 2014 </w:t>
      </w:r>
      <w:r>
        <w:rPr>
          <w:rFonts w:ascii="Arial" w:cs="Arial" w:eastAsia="Arial" w:hAnsi="Arial"/>
          <w:sz w:val="20"/>
          <w:szCs w:val="20"/>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ind w:left="3820" w:hanging="342"/>
        <w:spacing w:after="0"/>
        <w:tabs>
          <w:tab w:leader="none" w:pos="382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13d-1(b) [  ] Rule 13d-1(c) [  ] Rule 13d-1(d)</w:t>
      </w:r>
    </w:p>
    <w:p>
      <w:pPr>
        <w:spacing w:after="0" w:line="205" w:lineRule="exact"/>
        <w:rPr>
          <w:rFonts w:ascii="Arial" w:cs="Arial" w:eastAsia="Arial" w:hAnsi="Arial"/>
          <w:sz w:val="20"/>
          <w:szCs w:val="20"/>
          <w:color w:val="auto"/>
        </w:rPr>
      </w:pPr>
    </w:p>
    <w:p>
      <w:pPr>
        <w:ind w:right="280"/>
        <w:spacing w:after="0" w:line="329"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H27013103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3599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5835" cy="3599180"/>
                    </a:xfrm>
                    <a:prstGeom prst="rect">
                      <a:avLst/>
                    </a:prstGeom>
                    <a:noFill/>
                  </pic:spPr>
                </pic:pic>
              </a:graphicData>
            </a:graphic>
          </wp:anchor>
        </w:drawing>
      </w:r>
    </w:p>
    <w:p>
      <w:pPr>
        <w:spacing w:after="0" w:line="264" w:lineRule="exact"/>
        <w:rPr>
          <w:sz w:val="24"/>
          <w:szCs w:val="24"/>
          <w:color w:val="auto"/>
        </w:rPr>
      </w:pPr>
    </w:p>
    <w:p>
      <w:pPr>
        <w:ind w:left="1380" w:right="740" w:hanging="776"/>
        <w:spacing w:after="0" w:line="256" w:lineRule="auto"/>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 Orbis Investment Management (U.S.), LLC ("OIMUS"); Orbis Investment Management Limited ("OIML"); Orbis Asset Management Limited ("OAML") I.R.S. IDENTIFICATION NO. OF ABOVE PERSON (ENTITIES ONLY) OIMUS: 26-0583752</w:t>
      </w:r>
    </w:p>
    <w:p>
      <w:pPr>
        <w:spacing w:after="0" w:line="96"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(a) [X] (b) [  ]</w:t>
      </w:r>
    </w:p>
    <w:p>
      <w:pPr>
        <w:spacing w:after="0" w:line="141"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3</w:t>
      </w:r>
      <w:r>
        <w:rPr>
          <w:rFonts w:ascii="Arial" w:cs="Arial" w:eastAsia="Arial" w:hAnsi="Arial"/>
          <w:sz w:val="18"/>
          <w:szCs w:val="18"/>
          <w:color w:val="auto"/>
        </w:rPr>
        <w:t>SEC USE ONLY</w:t>
      </w:r>
    </w:p>
    <w:p>
      <w:pPr>
        <w:spacing w:after="0" w:line="141" w:lineRule="exact"/>
        <w:rPr>
          <w:sz w:val="24"/>
          <w:szCs w:val="24"/>
          <w:color w:val="auto"/>
        </w:rPr>
      </w:pPr>
    </w:p>
    <w:p>
      <w:pPr>
        <w:ind w:left="1380" w:right="260" w:hanging="776"/>
        <w:spacing w:after="0" w:line="272" w:lineRule="auto"/>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 OIMUS is a company organised under the laws of Delaware, U.S.A.; OIML and OAML are companies organized under the laws of Bermuda.</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NUMBER OF</w:t>
            </w:r>
          </w:p>
        </w:tc>
        <w:tc>
          <w:tcPr>
            <w:tcW w:w="560" w:type="dxa"/>
            <w:vAlign w:val="bottom"/>
            <w:tcBorders>
              <w:top w:val="single" w:sz="8" w:color="auto"/>
              <w:right w:val="single" w:sz="8" w:color="auto"/>
            </w:tcBorders>
          </w:tcPr>
          <w:p>
            <w:pPr>
              <w:jc w:val="right"/>
              <w:ind w:right="138"/>
              <w:spacing w:after="0"/>
              <w:rPr>
                <w:sz w:val="20"/>
                <w:szCs w:val="20"/>
                <w:color w:val="auto"/>
              </w:rPr>
            </w:pPr>
            <w:r>
              <w:rPr>
                <w:rFonts w:ascii="Arial" w:cs="Arial" w:eastAsia="Arial" w:hAnsi="Arial"/>
                <w:sz w:val="20"/>
                <w:szCs w:val="20"/>
                <w:color w:val="auto"/>
              </w:rPr>
              <w:t>5</w:t>
            </w:r>
          </w:p>
        </w:tc>
        <w:tc>
          <w:tcPr>
            <w:tcW w:w="934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 33,986,339</w:t>
            </w:r>
          </w:p>
        </w:tc>
        <w:tc>
          <w:tcPr>
            <w:tcW w:w="0" w:type="dxa"/>
            <w:vAlign w:val="bottom"/>
          </w:tcPr>
          <w:p>
            <w:pPr>
              <w:spacing w:after="0"/>
              <w:rPr>
                <w:sz w:val="1"/>
                <w:szCs w:val="1"/>
                <w:color w:val="auto"/>
              </w:rPr>
            </w:pPr>
          </w:p>
        </w:tc>
      </w:tr>
      <w:tr>
        <w:trPr>
          <w:trHeight w:val="149"/>
        </w:trPr>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SHARES</w:t>
            </w:r>
          </w:p>
        </w:tc>
        <w:tc>
          <w:tcPr>
            <w:tcW w:w="560" w:type="dxa"/>
            <w:vAlign w:val="bottom"/>
            <w:tcBorders>
              <w:bottom w:val="single" w:sz="8" w:color="auto"/>
              <w:right w:val="single" w:sz="8" w:color="auto"/>
            </w:tcBorders>
          </w:tcPr>
          <w:p>
            <w:pPr>
              <w:spacing w:after="0"/>
              <w:rPr>
                <w:sz w:val="12"/>
                <w:szCs w:val="12"/>
                <w:color w:val="auto"/>
              </w:rPr>
            </w:pPr>
          </w:p>
        </w:tc>
        <w:tc>
          <w:tcPr>
            <w:tcW w:w="9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20"/>
                <w:szCs w:val="20"/>
                <w:color w:val="auto"/>
              </w:rPr>
              <w:t>6</w:t>
            </w:r>
          </w:p>
        </w:tc>
        <w:tc>
          <w:tcPr>
            <w:tcW w:w="9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BENEFICIALLY</w:t>
            </w:r>
          </w:p>
        </w:tc>
        <w:tc>
          <w:tcPr>
            <w:tcW w:w="560" w:type="dxa"/>
            <w:vAlign w:val="bottom"/>
            <w:tcBorders>
              <w:right w:val="single" w:sz="8" w:color="auto"/>
            </w:tcBorders>
            <w:vMerge w:val="continue"/>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SHARED VOTING POWER 0</w:t>
            </w: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OWNED BY</w:t>
            </w:r>
          </w:p>
        </w:tc>
        <w:tc>
          <w:tcPr>
            <w:tcW w:w="560" w:type="dxa"/>
            <w:vAlign w:val="bottom"/>
            <w:tcBorders>
              <w:bottom w:val="single" w:sz="8" w:color="auto"/>
              <w:right w:val="single" w:sz="8" w:color="auto"/>
            </w:tcBorders>
          </w:tcPr>
          <w:p>
            <w:pPr>
              <w:spacing w:after="0"/>
              <w:rPr>
                <w:sz w:val="10"/>
                <w:szCs w:val="10"/>
                <w:color w:val="auto"/>
              </w:rPr>
            </w:pPr>
          </w:p>
        </w:tc>
        <w:tc>
          <w:tcPr>
            <w:tcW w:w="9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6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20"/>
                <w:szCs w:val="20"/>
                <w:color w:val="auto"/>
              </w:rPr>
              <w:t>7</w:t>
            </w:r>
          </w:p>
        </w:tc>
        <w:tc>
          <w:tcPr>
            <w:tcW w:w="934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 33,986,339</w:t>
            </w:r>
          </w:p>
        </w:tc>
        <w:tc>
          <w:tcPr>
            <w:tcW w:w="0" w:type="dxa"/>
            <w:vAlign w:val="bottom"/>
          </w:tcPr>
          <w:p>
            <w:pPr>
              <w:spacing w:after="0"/>
              <w:rPr>
                <w:sz w:val="1"/>
                <w:szCs w:val="1"/>
                <w:color w:val="auto"/>
              </w:rPr>
            </w:pPr>
          </w:p>
        </w:tc>
      </w:tr>
      <w:tr>
        <w:trPr>
          <w:trHeight w:val="231"/>
        </w:trPr>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EACH</w:t>
            </w:r>
          </w:p>
        </w:tc>
        <w:tc>
          <w:tcPr>
            <w:tcW w:w="560" w:type="dxa"/>
            <w:vAlign w:val="bottom"/>
            <w:tcBorders>
              <w:right w:val="single" w:sz="8" w:color="auto"/>
            </w:tcBorders>
            <w:vMerge w:val="continue"/>
          </w:tcPr>
          <w:p>
            <w:pPr>
              <w:spacing w:after="0"/>
              <w:rPr>
                <w:sz w:val="20"/>
                <w:szCs w:val="20"/>
                <w:color w:val="auto"/>
              </w:rPr>
            </w:pPr>
          </w:p>
        </w:tc>
        <w:tc>
          <w:tcPr>
            <w:tcW w:w="9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REPORTING</w:t>
            </w:r>
          </w:p>
        </w:tc>
        <w:tc>
          <w:tcPr>
            <w:tcW w:w="56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2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20"/>
                <w:szCs w:val="20"/>
                <w:color w:val="auto"/>
              </w:rPr>
              <w:t>8</w:t>
            </w:r>
          </w:p>
        </w:tc>
        <w:tc>
          <w:tcPr>
            <w:tcW w:w="934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 0</w:t>
            </w:r>
          </w:p>
        </w:tc>
        <w:tc>
          <w:tcPr>
            <w:tcW w:w="0" w:type="dxa"/>
            <w:vAlign w:val="bottom"/>
          </w:tcPr>
          <w:p>
            <w:pPr>
              <w:spacing w:after="0"/>
              <w:rPr>
                <w:sz w:val="1"/>
                <w:szCs w:val="1"/>
                <w:color w:val="auto"/>
              </w:rPr>
            </w:pPr>
          </w:p>
        </w:tc>
      </w:tr>
      <w:tr>
        <w:trPr>
          <w:trHeight w:val="261"/>
        </w:trPr>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PERSON WITH</w:t>
            </w:r>
          </w:p>
        </w:tc>
        <w:tc>
          <w:tcPr>
            <w:tcW w:w="560" w:type="dxa"/>
            <w:vAlign w:val="bottom"/>
            <w:tcBorders>
              <w:right w:val="single" w:sz="8" w:color="auto"/>
            </w:tcBorders>
            <w:vMerge w:val="continue"/>
          </w:tcPr>
          <w:p>
            <w:pPr>
              <w:spacing w:after="0"/>
              <w:rPr>
                <w:sz w:val="22"/>
                <w:szCs w:val="22"/>
                <w:color w:val="auto"/>
              </w:rPr>
            </w:pPr>
          </w:p>
        </w:tc>
        <w:tc>
          <w:tcPr>
            <w:tcW w:w="9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6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1380" w:right="300" w:hanging="776"/>
        <w:spacing w:after="0" w:line="272"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OIML - 33,899,612OAML - 26,164OIMUS - 60,563</w:t>
      </w:r>
    </w:p>
    <w:p>
      <w:pPr>
        <w:spacing w:after="0" w:line="81" w:lineRule="exact"/>
        <w:rPr>
          <w:sz w:val="24"/>
          <w:szCs w:val="24"/>
          <w:color w:val="auto"/>
        </w:rPr>
      </w:pPr>
    </w:p>
    <w:p>
      <w:pPr>
        <w:ind w:left="1380" w:hanging="827"/>
        <w:spacing w:after="0"/>
        <w:tabs>
          <w:tab w:leader="none" w:pos="1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141" w:lineRule="exact"/>
        <w:rPr>
          <w:rFonts w:ascii="Arial" w:cs="Arial" w:eastAsia="Arial" w:hAnsi="Arial"/>
          <w:sz w:val="20"/>
          <w:szCs w:val="20"/>
          <w:color w:val="auto"/>
        </w:rPr>
      </w:pPr>
    </w:p>
    <w:p>
      <w:pPr>
        <w:ind w:left="1380" w:hanging="823"/>
        <w:spacing w:after="0"/>
        <w:tabs>
          <w:tab w:leader="none" w:pos="1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(9) 4.39%</w:t>
      </w:r>
    </w:p>
    <w:p>
      <w:pPr>
        <w:spacing w:after="0" w:line="141" w:lineRule="exact"/>
        <w:rPr>
          <w:rFonts w:ascii="Arial" w:cs="Arial" w:eastAsia="Arial" w:hAnsi="Arial"/>
          <w:sz w:val="20"/>
          <w:szCs w:val="20"/>
          <w:color w:val="auto"/>
        </w:rPr>
      </w:pPr>
    </w:p>
    <w:p>
      <w:pPr>
        <w:ind w:left="1380" w:hanging="827"/>
        <w:spacing w:after="0"/>
        <w:tabs>
          <w:tab w:leader="none" w:pos="1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 FI (OIML); OO (OIMUS and OAML)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315835" cy="25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5835" cy="254635"/>
                    </a:xfrm>
                    <a:prstGeom prst="rect">
                      <a:avLst/>
                    </a:prstGeom>
                    <a:noFill/>
                  </pic:spPr>
                </pic:pic>
              </a:graphicData>
            </a:graphic>
          </wp:anchor>
        </w:drawing>
      </w:r>
    </w:p>
    <w:p>
      <w:pPr>
        <w:spacing w:after="0" w:line="296"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H27013103</w:t>
      </w:r>
    </w:p>
    <w:p>
      <w:pPr>
        <w:spacing w:after="0" w:line="204" w:lineRule="exact"/>
        <w:rPr>
          <w:sz w:val="24"/>
          <w:szCs w:val="24"/>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4"/>
          <w:szCs w:val="24"/>
          <w:color w:val="auto"/>
        </w:rPr>
      </w:pPr>
    </w:p>
    <w:p>
      <w:pPr>
        <w:ind w:left="60"/>
        <w:spacing w:after="0"/>
        <w:rPr>
          <w:sz w:val="20"/>
          <w:szCs w:val="20"/>
          <w:color w:val="auto"/>
        </w:rPr>
      </w:pPr>
      <w:r>
        <w:rPr>
          <w:rFonts w:ascii="Arial" w:cs="Arial" w:eastAsia="Arial" w:hAnsi="Arial"/>
          <w:sz w:val="20"/>
          <w:szCs w:val="20"/>
          <w:color w:val="auto"/>
        </w:rPr>
        <w:t>Weatherford International Limited</w:t>
      </w:r>
    </w:p>
    <w:p>
      <w:pPr>
        <w:spacing w:after="0" w:line="189" w:lineRule="exact"/>
        <w:rPr>
          <w:sz w:val="24"/>
          <w:szCs w:val="24"/>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4"/>
          <w:szCs w:val="24"/>
          <w:color w:val="auto"/>
        </w:rPr>
      </w:pPr>
    </w:p>
    <w:p>
      <w:pPr>
        <w:ind w:left="60"/>
        <w:spacing w:after="0"/>
        <w:rPr>
          <w:sz w:val="20"/>
          <w:szCs w:val="20"/>
          <w:color w:val="auto"/>
        </w:rPr>
      </w:pPr>
      <w:r>
        <w:rPr>
          <w:rFonts w:ascii="Arial" w:cs="Arial" w:eastAsia="Arial" w:hAnsi="Arial"/>
          <w:sz w:val="20"/>
          <w:szCs w:val="20"/>
          <w:color w:val="auto"/>
        </w:rPr>
        <w:t>Weatherford2000 St. James PlaceHouston, TX 77056USA</w:t>
      </w:r>
    </w:p>
    <w:p>
      <w:pPr>
        <w:spacing w:after="0" w:line="189" w:lineRule="exact"/>
        <w:rPr>
          <w:sz w:val="24"/>
          <w:szCs w:val="24"/>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4"/>
          <w:szCs w:val="24"/>
          <w:color w:val="auto"/>
        </w:rPr>
      </w:pPr>
    </w:p>
    <w:p>
      <w:pPr>
        <w:ind w:left="60" w:right="1640"/>
        <w:spacing w:after="0" w:line="374" w:lineRule="auto"/>
        <w:rPr>
          <w:sz w:val="20"/>
          <w:szCs w:val="20"/>
          <w:color w:val="auto"/>
        </w:rPr>
      </w:pPr>
      <w:r>
        <w:rPr>
          <w:rFonts w:ascii="Arial" w:cs="Arial" w:eastAsia="Arial" w:hAnsi="Arial"/>
          <w:sz w:val="20"/>
          <w:szCs w:val="20"/>
          <w:color w:val="auto"/>
        </w:rPr>
        <w:t xml:space="preserve">Orbis Investment Management (U.S.), LLC; Orbis Investment Management Limited; Orbis Asset Management Limited </w:t>
      </w:r>
      <w:r>
        <w:rPr>
          <w:rFonts w:ascii="Arial" w:cs="Arial" w:eastAsia="Arial" w:hAnsi="Arial"/>
          <w:sz w:val="20"/>
          <w:szCs w:val="20"/>
          <w:b w:val="1"/>
          <w:bCs w:val="1"/>
          <w:color w:val="auto"/>
        </w:rPr>
        <w:t>ITEM 2(b). ADDRESS OF PRINCIPAL BUSINESS OFFICE OR, IF NONE, RESIDENCE:</w:t>
      </w:r>
    </w:p>
    <w:p>
      <w:pPr>
        <w:ind w:left="60" w:right="30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4"/>
          <w:szCs w:val="24"/>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ectPr>
          <w:pgSz w:w="11900" w:h="16838" w:orient="portrait"/>
          <w:cols w:equalWidth="0" w:num="1">
            <w:col w:w="11520"/>
          </w:cols>
          <w:pgMar w:left="240" w:top="370" w:right="139" w:bottom="0" w:gutter="0" w:footer="0" w:header="0"/>
        </w:sectPr>
      </w:pPr>
    </w:p>
    <w:bookmarkStart w:id="1" w:name="page2"/>
    <w:bookmarkEnd w:id="1"/>
    <w:p>
      <w:pPr>
        <w:ind w:left="40" w:right="660"/>
        <w:spacing w:after="0" w:line="271" w:lineRule="auto"/>
        <w:rPr>
          <w:sz w:val="20"/>
          <w:szCs w:val="20"/>
          <w:color w:val="auto"/>
        </w:rPr>
      </w:pPr>
      <w:r>
        <w:rPr>
          <w:rFonts w:ascii="Arial" w:cs="Arial" w:eastAsia="Arial" w:hAnsi="Arial"/>
          <w:sz w:val="20"/>
          <w:szCs w:val="20"/>
          <w:color w:val="auto"/>
        </w:rPr>
        <w:t>OIMUS is a company organised under the laws of Delaware, U.S.A.; OIML and OAML are companies organized under the laws of Bermuda.</w:t>
      </w:r>
    </w:p>
    <w:p>
      <w:pPr>
        <w:spacing w:after="0" w:line="12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H27013103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00" w:type="dxa"/>
            <w:vAlign w:val="bottom"/>
          </w:tcPr>
          <w:p>
            <w:pPr>
              <w:ind w:left="40"/>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3"/>
          </w:tcPr>
          <w:p>
            <w:pPr>
              <w:ind w:left="900"/>
              <w:spacing w:after="0"/>
              <w:rPr>
                <w:sz w:val="20"/>
                <w:szCs w:val="20"/>
                <w:color w:val="auto"/>
              </w:rPr>
            </w:pPr>
            <w:r>
              <w:rPr>
                <w:rFonts w:ascii="Arial" w:cs="Arial" w:eastAsia="Arial" w:hAnsi="Arial"/>
                <w:sz w:val="20"/>
                <w:szCs w:val="20"/>
                <w:b w:val="1"/>
                <w:bCs w:val="1"/>
                <w:color w:val="auto"/>
              </w:rPr>
              <w:t>IF THIS STATEMENT IS FILED PURSUANT TO SECTION 240.13d-1(b), or 13d-2(b) or (c)</w:t>
            </w:r>
          </w:p>
        </w:tc>
      </w:tr>
      <w:tr>
        <w:trPr>
          <w:trHeight w:val="265"/>
        </w:trPr>
        <w:tc>
          <w:tcPr>
            <w:tcW w:w="1700" w:type="dxa"/>
            <w:vAlign w:val="bottom"/>
          </w:tcPr>
          <w:p>
            <w:pPr>
              <w:spacing w:after="0"/>
              <w:rPr>
                <w:sz w:val="23"/>
                <w:szCs w:val="23"/>
                <w:color w:val="auto"/>
              </w:rPr>
            </w:pPr>
          </w:p>
        </w:tc>
        <w:tc>
          <w:tcPr>
            <w:tcW w:w="9760" w:type="dxa"/>
            <w:vAlign w:val="bottom"/>
            <w:gridSpan w:val="3"/>
          </w:tcPr>
          <w:p>
            <w:pPr>
              <w:ind w:left="900"/>
              <w:spacing w:after="0"/>
              <w:rPr>
                <w:sz w:val="20"/>
                <w:szCs w:val="20"/>
                <w:color w:val="auto"/>
              </w:rPr>
            </w:pPr>
            <w:r>
              <w:rPr>
                <w:rFonts w:ascii="Arial" w:cs="Arial" w:eastAsia="Arial" w:hAnsi="Arial"/>
                <w:sz w:val="20"/>
                <w:szCs w:val="20"/>
                <w:b w:val="1"/>
                <w:bCs w:val="1"/>
                <w:color w:val="auto"/>
              </w:rPr>
              <w:t>CHECK WHETHER THE PERSON FILING IS A:</w:t>
            </w:r>
          </w:p>
        </w:tc>
      </w:tr>
      <w:tr>
        <w:trPr>
          <w:trHeight w:val="320"/>
        </w:trPr>
        <w:tc>
          <w:tcPr>
            <w:tcW w:w="1700" w:type="dxa"/>
            <w:vAlign w:val="bottom"/>
          </w:tcPr>
          <w:p>
            <w:pPr>
              <w:spacing w:after="0"/>
              <w:rPr>
                <w:sz w:val="20"/>
                <w:szCs w:val="20"/>
                <w:color w:val="auto"/>
              </w:rPr>
            </w:pPr>
            <w:r>
              <w:rPr>
                <w:rFonts w:ascii="Arial" w:cs="Arial" w:eastAsia="Arial" w:hAnsi="Arial"/>
                <w:sz w:val="20"/>
                <w:szCs w:val="20"/>
                <w:color w:val="auto"/>
              </w:rPr>
              <w:t>(a)</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(b)</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(c)</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52"/>
        </w:trPr>
        <w:tc>
          <w:tcPr>
            <w:tcW w:w="1700" w:type="dxa"/>
            <w:vAlign w:val="bottom"/>
          </w:tcPr>
          <w:p>
            <w:pPr>
              <w:spacing w:after="0"/>
              <w:rPr>
                <w:sz w:val="20"/>
                <w:szCs w:val="20"/>
                <w:color w:val="auto"/>
              </w:rPr>
            </w:pPr>
            <w:r>
              <w:rPr>
                <w:rFonts w:ascii="Arial" w:cs="Arial" w:eastAsia="Arial" w:hAnsi="Arial"/>
                <w:sz w:val="20"/>
                <w:szCs w:val="20"/>
                <w:color w:val="auto"/>
              </w:rPr>
              <w:t>(d)</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w w:val="96"/>
              </w:rPr>
              <w:t>Investment company registered under Section 8 of the Investment Company Act of 1940 (15 U.S.C</w:t>
            </w:r>
          </w:p>
        </w:tc>
      </w:tr>
      <w:tr>
        <w:trPr>
          <w:trHeight w:val="261"/>
        </w:trPr>
        <w:tc>
          <w:tcPr>
            <w:tcW w:w="1700" w:type="dxa"/>
            <w:vAlign w:val="bottom"/>
          </w:tcPr>
          <w:p>
            <w:pPr>
              <w:spacing w:after="0"/>
              <w:rPr>
                <w:sz w:val="22"/>
                <w:szCs w:val="22"/>
                <w:color w:val="auto"/>
              </w:rPr>
            </w:pPr>
          </w:p>
        </w:tc>
        <w:tc>
          <w:tcPr>
            <w:tcW w:w="9760" w:type="dxa"/>
            <w:vAlign w:val="bottom"/>
            <w:gridSpan w:val="3"/>
          </w:tcPr>
          <w:p>
            <w:pPr>
              <w:ind w:left="940"/>
              <w:spacing w:after="0"/>
              <w:rPr>
                <w:sz w:val="20"/>
                <w:szCs w:val="20"/>
                <w:color w:val="auto"/>
              </w:rPr>
            </w:pPr>
            <w:r>
              <w:rPr>
                <w:rFonts w:ascii="Arial" w:cs="Arial" w:eastAsia="Arial" w:hAnsi="Arial"/>
                <w:sz w:val="20"/>
                <w:szCs w:val="20"/>
                <w:color w:val="auto"/>
              </w:rPr>
              <w:t>80a-8);</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(e)</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An investment adviser in accordance with 240.13d-1(b)(1)(ii)(E);</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(f)</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An employee benefit plan or endowment fund in accordance with 240.13d-1(b)(1)(ii)(F);</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(g)</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252"/>
        </w:trPr>
        <w:tc>
          <w:tcPr>
            <w:tcW w:w="1700" w:type="dxa"/>
            <w:vAlign w:val="bottom"/>
          </w:tcPr>
          <w:p>
            <w:pPr>
              <w:spacing w:after="0"/>
              <w:rPr>
                <w:sz w:val="20"/>
                <w:szCs w:val="20"/>
                <w:color w:val="auto"/>
              </w:rPr>
            </w:pPr>
            <w:r>
              <w:rPr>
                <w:rFonts w:ascii="Arial" w:cs="Arial" w:eastAsia="Arial" w:hAnsi="Arial"/>
                <w:sz w:val="20"/>
                <w:szCs w:val="20"/>
                <w:color w:val="auto"/>
              </w:rPr>
              <w:t>(h)</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w w:val="97"/>
              </w:rPr>
              <w:t>A savings associations as defined in Section 3(b) of the Federal Deposit Insurance Act (12 U.S.C.</w:t>
            </w:r>
          </w:p>
        </w:tc>
      </w:tr>
      <w:tr>
        <w:trPr>
          <w:trHeight w:val="261"/>
        </w:trPr>
        <w:tc>
          <w:tcPr>
            <w:tcW w:w="1700" w:type="dxa"/>
            <w:vAlign w:val="bottom"/>
          </w:tcPr>
          <w:p>
            <w:pPr>
              <w:spacing w:after="0"/>
              <w:rPr>
                <w:sz w:val="22"/>
                <w:szCs w:val="22"/>
                <w:color w:val="auto"/>
              </w:rPr>
            </w:pPr>
          </w:p>
        </w:tc>
        <w:tc>
          <w:tcPr>
            <w:tcW w:w="9760" w:type="dxa"/>
            <w:vAlign w:val="bottom"/>
            <w:gridSpan w:val="3"/>
          </w:tcPr>
          <w:p>
            <w:pPr>
              <w:ind w:left="940"/>
              <w:spacing w:after="0"/>
              <w:rPr>
                <w:sz w:val="20"/>
                <w:szCs w:val="20"/>
                <w:color w:val="auto"/>
              </w:rPr>
            </w:pPr>
            <w:r>
              <w:rPr>
                <w:rFonts w:ascii="Arial" w:cs="Arial" w:eastAsia="Arial" w:hAnsi="Arial"/>
                <w:sz w:val="20"/>
                <w:szCs w:val="20"/>
                <w:color w:val="auto"/>
              </w:rPr>
              <w:t>1813);</w:t>
            </w:r>
          </w:p>
        </w:tc>
      </w:tr>
      <w:tr>
        <w:trPr>
          <w:trHeight w:val="252"/>
        </w:trPr>
        <w:tc>
          <w:tcPr>
            <w:tcW w:w="1700" w:type="dxa"/>
            <w:vAlign w:val="bottom"/>
          </w:tcPr>
          <w:p>
            <w:pPr>
              <w:spacing w:after="0"/>
              <w:rPr>
                <w:sz w:val="20"/>
                <w:szCs w:val="20"/>
                <w:color w:val="auto"/>
              </w:rPr>
            </w:pPr>
            <w:r>
              <w:rPr>
                <w:rFonts w:ascii="Arial" w:cs="Arial" w:eastAsia="Arial" w:hAnsi="Arial"/>
                <w:sz w:val="20"/>
                <w:szCs w:val="20"/>
                <w:color w:val="auto"/>
              </w:rPr>
              <w:t>(i)</w:t>
            </w:r>
          </w:p>
        </w:tc>
        <w:tc>
          <w:tcPr>
            <w:tcW w:w="1080" w:type="dxa"/>
            <w:vAlign w:val="bottom"/>
          </w:tcPr>
          <w:p>
            <w:pPr>
              <w:ind w:left="9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500" w:type="dxa"/>
            <w:vAlign w:val="bottom"/>
          </w:tcPr>
          <w:p>
            <w:pPr>
              <w:ind w:left="60"/>
              <w:spacing w:after="0"/>
              <w:rPr>
                <w:sz w:val="20"/>
                <w:szCs w:val="20"/>
                <w:color w:val="auto"/>
              </w:rPr>
            </w:pPr>
            <w:r>
              <w:rPr>
                <w:rFonts w:ascii="Arial" w:cs="Arial" w:eastAsia="Arial" w:hAnsi="Arial"/>
                <w:sz w:val="20"/>
                <w:szCs w:val="20"/>
                <w:color w:val="auto"/>
                <w:w w:val="93"/>
              </w:rPr>
              <w:t>A church plan that is excluded from the definition of an investment company under Section 3(c)(14) of</w:t>
            </w:r>
          </w:p>
        </w:tc>
      </w:tr>
      <w:tr>
        <w:trPr>
          <w:trHeight w:val="261"/>
        </w:trPr>
        <w:tc>
          <w:tcPr>
            <w:tcW w:w="1700" w:type="dxa"/>
            <w:vAlign w:val="bottom"/>
          </w:tcPr>
          <w:p>
            <w:pPr>
              <w:spacing w:after="0"/>
              <w:rPr>
                <w:sz w:val="22"/>
                <w:szCs w:val="22"/>
                <w:color w:val="auto"/>
              </w:rPr>
            </w:pPr>
          </w:p>
        </w:tc>
        <w:tc>
          <w:tcPr>
            <w:tcW w:w="9760" w:type="dxa"/>
            <w:vAlign w:val="bottom"/>
            <w:gridSpan w:val="3"/>
          </w:tcPr>
          <w:p>
            <w:pPr>
              <w:ind w:left="940"/>
              <w:spacing w:after="0"/>
              <w:rPr>
                <w:sz w:val="20"/>
                <w:szCs w:val="20"/>
                <w:color w:val="auto"/>
              </w:rPr>
            </w:pPr>
            <w:r>
              <w:rPr>
                <w:rFonts w:ascii="Arial" w:cs="Arial" w:eastAsia="Arial" w:hAnsi="Arial"/>
                <w:sz w:val="20"/>
                <w:szCs w:val="20"/>
                <w:color w:val="auto"/>
              </w:rPr>
              <w:t>the Investment Company Act of 1940 (15 U.S.C. 80a-3);</w:t>
            </w:r>
          </w:p>
        </w:tc>
      </w:tr>
      <w:tr>
        <w:trPr>
          <w:trHeight w:val="282"/>
        </w:trPr>
        <w:tc>
          <w:tcPr>
            <w:tcW w:w="1700" w:type="dxa"/>
            <w:vAlign w:val="bottom"/>
          </w:tcPr>
          <w:p>
            <w:pPr>
              <w:spacing w:after="0"/>
              <w:rPr>
                <w:sz w:val="20"/>
                <w:szCs w:val="20"/>
                <w:color w:val="auto"/>
              </w:rPr>
            </w:pPr>
            <w:r>
              <w:rPr>
                <w:rFonts w:ascii="Arial" w:cs="Arial" w:eastAsia="Arial" w:hAnsi="Arial"/>
                <w:sz w:val="20"/>
                <w:szCs w:val="20"/>
                <w:color w:val="auto"/>
              </w:rPr>
              <w:t>(j)</w:t>
            </w:r>
          </w:p>
        </w:tc>
        <w:tc>
          <w:tcPr>
            <w:tcW w:w="9760" w:type="dxa"/>
            <w:vAlign w:val="bottom"/>
            <w:gridSpan w:val="3"/>
          </w:tcPr>
          <w:p>
            <w:pPr>
              <w:ind w:left="940"/>
              <w:spacing w:after="0"/>
              <w:rPr>
                <w:sz w:val="20"/>
                <w:szCs w:val="20"/>
                <w:color w:val="auto"/>
              </w:rPr>
            </w:pPr>
            <w:r>
              <w:rPr>
                <w:rFonts w:ascii="Arial" w:cs="Arial" w:eastAsia="Arial" w:hAnsi="Arial"/>
                <w:sz w:val="20"/>
                <w:szCs w:val="20"/>
                <w:color w:val="auto"/>
              </w:rPr>
              <w:t>[X] A non-U.S. institution in accordance with 240.13d-1(b)(1)(ii)(J); for OIML</w:t>
            </w:r>
          </w:p>
        </w:tc>
      </w:tr>
      <w:tr>
        <w:trPr>
          <w:trHeight w:val="252"/>
        </w:trPr>
        <w:tc>
          <w:tcPr>
            <w:tcW w:w="1700" w:type="dxa"/>
            <w:vAlign w:val="bottom"/>
          </w:tcPr>
          <w:p>
            <w:pPr>
              <w:spacing w:after="0"/>
              <w:rPr>
                <w:sz w:val="20"/>
                <w:szCs w:val="20"/>
                <w:color w:val="auto"/>
              </w:rPr>
            </w:pPr>
            <w:r>
              <w:rPr>
                <w:rFonts w:ascii="Arial" w:cs="Arial" w:eastAsia="Arial" w:hAnsi="Arial"/>
                <w:sz w:val="20"/>
                <w:szCs w:val="20"/>
                <w:color w:val="auto"/>
              </w:rPr>
              <w:t>(k)</w:t>
            </w:r>
          </w:p>
        </w:tc>
        <w:tc>
          <w:tcPr>
            <w:tcW w:w="1260" w:type="dxa"/>
            <w:vAlign w:val="bottom"/>
            <w:gridSpan w:val="2"/>
          </w:tcPr>
          <w:p>
            <w:pPr>
              <w:ind w:left="940"/>
              <w:spacing w:after="0"/>
              <w:rPr>
                <w:sz w:val="20"/>
                <w:szCs w:val="20"/>
                <w:color w:val="auto"/>
              </w:rPr>
            </w:pPr>
            <w:r>
              <w:rPr>
                <w:rFonts w:ascii="Arial" w:cs="Arial" w:eastAsia="Arial" w:hAnsi="Arial"/>
                <w:sz w:val="20"/>
                <w:szCs w:val="20"/>
                <w:color w:val="auto"/>
              </w:rPr>
              <w:t>[X]</w:t>
            </w:r>
          </w:p>
        </w:tc>
        <w:tc>
          <w:tcPr>
            <w:tcW w:w="8500" w:type="dxa"/>
            <w:vAlign w:val="bottom"/>
          </w:tcPr>
          <w:p>
            <w:pPr>
              <w:ind w:left="60"/>
              <w:spacing w:after="0"/>
              <w:rPr>
                <w:sz w:val="20"/>
                <w:szCs w:val="20"/>
                <w:color w:val="auto"/>
              </w:rPr>
            </w:pPr>
            <w:r>
              <w:rPr>
                <w:rFonts w:ascii="Arial" w:cs="Arial" w:eastAsia="Arial" w:hAnsi="Arial"/>
                <w:sz w:val="20"/>
                <w:szCs w:val="20"/>
                <w:color w:val="auto"/>
                <w:w w:val="95"/>
              </w:rPr>
              <w:t>Group, in accordance with 240.13d-1(b)(1)(ii)(K). If filing as a non-U.S. institution in accordance with</w:t>
            </w:r>
          </w:p>
        </w:tc>
      </w:tr>
      <w:tr>
        <w:trPr>
          <w:trHeight w:val="261"/>
        </w:trPr>
        <w:tc>
          <w:tcPr>
            <w:tcW w:w="1700" w:type="dxa"/>
            <w:vAlign w:val="bottom"/>
          </w:tcPr>
          <w:p>
            <w:pPr>
              <w:spacing w:after="0"/>
              <w:rPr>
                <w:sz w:val="22"/>
                <w:szCs w:val="22"/>
                <w:color w:val="auto"/>
              </w:rPr>
            </w:pPr>
          </w:p>
        </w:tc>
        <w:tc>
          <w:tcPr>
            <w:tcW w:w="9760" w:type="dxa"/>
            <w:vAlign w:val="bottom"/>
            <w:gridSpan w:val="3"/>
          </w:tcPr>
          <w:p>
            <w:pPr>
              <w:ind w:left="940"/>
              <w:spacing w:after="0"/>
              <w:rPr>
                <w:sz w:val="20"/>
                <w:szCs w:val="20"/>
                <w:color w:val="auto"/>
              </w:rPr>
            </w:pPr>
            <w:r>
              <w:rPr>
                <w:rFonts w:ascii="Arial" w:cs="Arial" w:eastAsia="Arial" w:hAnsi="Arial"/>
                <w:sz w:val="20"/>
                <w:szCs w:val="20"/>
                <w:color w:val="auto"/>
              </w:rPr>
              <w:t>240.13d1(b)(1)(ii)(J), please specify the type of institution: equivalent to IA (only for OIML)</w:t>
            </w:r>
          </w:p>
        </w:tc>
      </w:tr>
      <w:tr>
        <w:trPr>
          <w:trHeight w:val="384"/>
        </w:trPr>
        <w:tc>
          <w:tcPr>
            <w:tcW w:w="1700" w:type="dxa"/>
            <w:vAlign w:val="bottom"/>
          </w:tcPr>
          <w:p>
            <w:pPr>
              <w:ind w:left="40"/>
              <w:spacing w:after="0"/>
              <w:rPr>
                <w:sz w:val="20"/>
                <w:szCs w:val="20"/>
                <w:color w:val="auto"/>
              </w:rPr>
            </w:pPr>
            <w:r>
              <w:rPr>
                <w:rFonts w:ascii="Arial" w:cs="Arial" w:eastAsia="Arial" w:hAnsi="Arial"/>
                <w:sz w:val="20"/>
                <w:szCs w:val="20"/>
                <w:b w:val="1"/>
                <w:bCs w:val="1"/>
                <w:color w:val="auto"/>
              </w:rPr>
              <w:t>ITEM 4.</w:t>
            </w:r>
          </w:p>
        </w:tc>
        <w:tc>
          <w:tcPr>
            <w:tcW w:w="9760" w:type="dxa"/>
            <w:vAlign w:val="bottom"/>
            <w:gridSpan w:val="3"/>
          </w:tcPr>
          <w:p>
            <w:pPr>
              <w:ind w:left="900"/>
              <w:spacing w:after="0"/>
              <w:rPr>
                <w:sz w:val="20"/>
                <w:szCs w:val="20"/>
                <w:color w:val="auto"/>
              </w:rPr>
            </w:pPr>
            <w:r>
              <w:rPr>
                <w:rFonts w:ascii="Arial" w:cs="Arial" w:eastAsia="Arial" w:hAnsi="Arial"/>
                <w:sz w:val="20"/>
                <w:szCs w:val="20"/>
                <w:b w:val="1"/>
                <w:bCs w:val="1"/>
                <w:color w:val="auto"/>
              </w:rPr>
              <w:t>OWNERSHIP:</w:t>
            </w:r>
          </w:p>
        </w:tc>
      </w:tr>
    </w:tbl>
    <w:p>
      <w:pPr>
        <w:spacing w:after="0" w:line="6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ectPr>
          <w:pgSz w:w="11900" w:h="16838" w:orient="portrait"/>
          <w:cols w:equalWidth="0" w:num="1">
            <w:col w:w="11500"/>
          </w:cols>
          <w:pgMar w:left="260" w:top="120" w:right="139" w:bottom="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Amount beneficially owned:</w:t>
      </w:r>
    </w:p>
    <w:p>
      <w:pPr>
        <w:spacing w:after="0" w:line="63" w:lineRule="exact"/>
        <w:rPr>
          <w:sz w:val="20"/>
          <w:szCs w:val="20"/>
          <w:color w:val="auto"/>
        </w:rPr>
      </w:pPr>
    </w:p>
    <w:p>
      <w:pPr>
        <w:sectPr>
          <w:pgSz w:w="11900" w:h="16838" w:orient="portrait"/>
          <w:cols w:equalWidth="0" w:num="2">
            <w:col w:w="1920" w:space="720"/>
            <w:col w:w="8860"/>
          </w:cols>
          <w:pgMar w:left="260" w:top="120" w:right="139" w:bottom="0" w:gutter="0" w:footer="0" w:header="0"/>
          <w:type w:val="continuous"/>
        </w:sectPr>
      </w:pPr>
    </w:p>
    <w:p>
      <w:pPr>
        <w:spacing w:after="0"/>
        <w:rPr>
          <w:sz w:val="20"/>
          <w:szCs w:val="20"/>
          <w:color w:val="auto"/>
        </w:rPr>
      </w:pPr>
      <w:r>
        <w:rPr>
          <w:rFonts w:ascii="Arial" w:cs="Arial" w:eastAsia="Arial" w:hAnsi="Arial"/>
          <w:sz w:val="19"/>
          <w:szCs w:val="19"/>
          <w:color w:val="auto"/>
        </w:rPr>
        <w:t>OIML - 33,899,612OAML -</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26,164OIMUS - 60,563</w:t>
      </w:r>
    </w:p>
    <w:p>
      <w:pPr>
        <w:sectPr>
          <w:pgSz w:w="11900" w:h="16838" w:orient="portrait"/>
          <w:cols w:equalWidth="0" w:num="1">
            <w:col w:w="11500"/>
          </w:cols>
          <w:pgMar w:left="260" w:top="120" w:right="1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w:t>
      </w:r>
    </w:p>
    <w:p>
      <w:pPr>
        <w:spacing w:after="0" w:line="74" w:lineRule="exact"/>
        <w:rPr>
          <w:sz w:val="20"/>
          <w:szCs w:val="20"/>
          <w:color w:val="auto"/>
        </w:rPr>
      </w:pPr>
    </w:p>
    <w:p>
      <w:pPr>
        <w:sectPr>
          <w:pgSz w:w="11900" w:h="16838" w:orient="portrait"/>
          <w:cols w:equalWidth="0" w:num="2">
            <w:col w:w="1920" w:space="720"/>
            <w:col w:w="8860"/>
          </w:cols>
          <w:pgMar w:left="260" w:top="120" w:right="139" w:bottom="0" w:gutter="0" w:footer="0" w:header="0"/>
          <w:type w:val="continuous"/>
        </w:sectPr>
      </w:pPr>
    </w:p>
    <w:p>
      <w:pPr>
        <w:spacing w:after="0"/>
        <w:rPr>
          <w:sz w:val="20"/>
          <w:szCs w:val="20"/>
          <w:color w:val="auto"/>
        </w:rPr>
      </w:pPr>
      <w:r>
        <w:rPr>
          <w:rFonts w:ascii="Arial" w:cs="Arial" w:eastAsia="Arial" w:hAnsi="Arial"/>
          <w:sz w:val="19"/>
          <w:szCs w:val="19"/>
          <w:color w:val="auto"/>
        </w:rPr>
        <w:t>4.39%</w:t>
      </w:r>
    </w:p>
    <w:p>
      <w:pPr>
        <w:sectPr>
          <w:pgSz w:w="11900" w:h="16838" w:orient="portrait"/>
          <w:cols w:equalWidth="0" w:num="1">
            <w:col w:w="11500"/>
          </w:cols>
          <w:pgMar w:left="260" w:top="120" w:right="139" w:bottom="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as to which the person has:</w:t>
      </w:r>
    </w:p>
    <w:p>
      <w:pPr>
        <w:spacing w:after="0" w:line="53" w:lineRule="exact"/>
        <w:rPr>
          <w:sz w:val="20"/>
          <w:szCs w:val="20"/>
          <w:color w:val="auto"/>
        </w:rPr>
      </w:pPr>
    </w:p>
    <w:p>
      <w:pPr>
        <w:sectPr>
          <w:pgSz w:w="11900" w:h="16838" w:orient="portrait"/>
          <w:cols w:equalWidth="0" w:num="2">
            <w:col w:w="1920" w:space="720"/>
            <w:col w:w="8860"/>
          </w:cols>
          <w:pgMar w:left="260" w:top="120" w:right="139" w:bottom="0" w:gutter="0" w:footer="0" w:header="0"/>
          <w:type w:val="continuous"/>
        </w:sectPr>
      </w:pPr>
    </w:p>
    <w:p>
      <w:pPr>
        <w:ind w:right="9160" w:firstLine="8"/>
        <w:spacing w:after="0" w:line="253" w:lineRule="auto"/>
        <w:tabs>
          <w:tab w:leader="none" w:pos="347"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1"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33,986,339</w:t>
      </w:r>
    </w:p>
    <w:p>
      <w:pPr>
        <w:spacing w:after="0" w:line="26" w:lineRule="exact"/>
        <w:rPr>
          <w:rFonts w:ascii="Arial" w:cs="Arial" w:eastAsia="Arial" w:hAnsi="Arial"/>
          <w:sz w:val="20"/>
          <w:szCs w:val="20"/>
          <w:color w:val="auto"/>
        </w:rPr>
      </w:pPr>
    </w:p>
    <w:p>
      <w:pPr>
        <w:ind w:right="8960" w:firstLine="8"/>
        <w:spacing w:after="0" w:line="253" w:lineRule="auto"/>
        <w:tabs>
          <w:tab w:leader="none" w:pos="353"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1"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0</w:t>
      </w:r>
    </w:p>
    <w:p>
      <w:pPr>
        <w:spacing w:after="0" w:line="26" w:lineRule="exact"/>
        <w:rPr>
          <w:rFonts w:ascii="Arial" w:cs="Arial" w:eastAsia="Arial" w:hAnsi="Arial"/>
          <w:sz w:val="20"/>
          <w:szCs w:val="20"/>
          <w:color w:val="auto"/>
        </w:rPr>
      </w:pPr>
    </w:p>
    <w:p>
      <w:pPr>
        <w:ind w:right="9100" w:firstLine="8"/>
        <w:spacing w:after="0" w:line="282" w:lineRule="auto"/>
        <w:tabs>
          <w:tab w:leader="none" w:pos="35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ind w:left="400"/>
        <w:spacing w:after="0"/>
        <w:rPr>
          <w:rFonts w:ascii="Arial" w:cs="Arial" w:eastAsia="Arial" w:hAnsi="Arial"/>
          <w:sz w:val="18"/>
          <w:szCs w:val="18"/>
          <w:color w:val="auto"/>
        </w:rPr>
      </w:pPr>
      <w:r>
        <w:rPr>
          <w:rFonts w:ascii="Arial" w:cs="Arial" w:eastAsia="Arial" w:hAnsi="Arial"/>
          <w:sz w:val="20"/>
          <w:szCs w:val="20"/>
          <w:color w:val="auto"/>
        </w:rPr>
        <w:t>33,986,339</w:t>
      </w:r>
    </w:p>
    <w:p>
      <w:pPr>
        <w:spacing w:after="0" w:line="26" w:lineRule="exact"/>
        <w:rPr>
          <w:rFonts w:ascii="Arial" w:cs="Arial" w:eastAsia="Arial" w:hAnsi="Arial"/>
          <w:sz w:val="18"/>
          <w:szCs w:val="18"/>
          <w:color w:val="auto"/>
        </w:rPr>
      </w:pPr>
    </w:p>
    <w:p>
      <w:pPr>
        <w:ind w:right="9060" w:firstLine="8"/>
        <w:spacing w:after="0" w:line="282"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ind w:left="400"/>
        <w:spacing w:after="0"/>
        <w:rPr>
          <w:rFonts w:ascii="Arial" w:cs="Arial" w:eastAsia="Arial" w:hAnsi="Arial"/>
          <w:sz w:val="18"/>
          <w:szCs w:val="18"/>
          <w:color w:val="auto"/>
        </w:rPr>
      </w:pPr>
      <w:r>
        <w:rPr>
          <w:rFonts w:ascii="Arial" w:cs="Arial" w:eastAsia="Arial" w:hAnsi="Arial"/>
          <w:sz w:val="20"/>
          <w:szCs w:val="20"/>
          <w:color w:val="auto"/>
        </w:rPr>
        <w:t>0</w:t>
      </w:r>
    </w:p>
    <w:p>
      <w:pPr>
        <w:spacing w:after="0" w:line="12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OWNERSHIP OF FIVE PERCENT OR LESS OF A CLASS:</w:t>
      </w:r>
    </w:p>
    <w:p>
      <w:pPr>
        <w:spacing w:after="0" w:line="69" w:lineRule="exact"/>
        <w:rPr>
          <w:sz w:val="20"/>
          <w:szCs w:val="20"/>
          <w:color w:val="auto"/>
        </w:rPr>
      </w:pPr>
    </w:p>
    <w:p>
      <w:pPr>
        <w:ind w:left="40" w:right="40"/>
        <w:spacing w:after="0" w:line="272"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12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OWNERSHIP OF MORE THAN FIVE PERCENT ON BEHALF OF ANOTHER PERSON:</w:t>
      </w:r>
    </w:p>
    <w:p>
      <w:pPr>
        <w:spacing w:after="0" w:line="200" w:lineRule="exact"/>
        <w:rPr>
          <w:sz w:val="20"/>
          <w:szCs w:val="20"/>
          <w:color w:val="auto"/>
        </w:rPr>
      </w:pPr>
    </w:p>
    <w:p>
      <w:pPr>
        <w:spacing w:after="0" w:line="287" w:lineRule="exact"/>
        <w:rPr>
          <w:sz w:val="20"/>
          <w:szCs w:val="20"/>
          <w:color w:val="auto"/>
        </w:rPr>
      </w:pPr>
    </w:p>
    <w:p>
      <w:pPr>
        <w:ind w:left="1360" w:right="420" w:hanging="1305"/>
        <w:spacing w:after="0" w:line="276" w:lineRule="auto"/>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27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69" w:lineRule="exact"/>
        <w:rPr>
          <w:sz w:val="20"/>
          <w:szCs w:val="20"/>
          <w:color w:val="auto"/>
        </w:rPr>
      </w:pPr>
    </w:p>
    <w:p>
      <w:pPr>
        <w:ind w:left="40"/>
        <w:spacing w:after="0" w:line="279" w:lineRule="auto"/>
        <w:rPr>
          <w:sz w:val="20"/>
          <w:szCs w:val="20"/>
          <w:color w:val="auto"/>
        </w:rPr>
      </w:pPr>
      <w:r>
        <w:rPr>
          <w:rFonts w:ascii="Arial" w:cs="Arial" w:eastAsia="Arial" w:hAnsi="Arial"/>
          <w:sz w:val="18"/>
          <w:szCs w:val="18"/>
          <w:color w:val="auto"/>
        </w:rPr>
        <w:t>OIMUS, OIML and OAML are together making this filing because they may be deemed to constitute a "group" for the purposes of Section 13(d)(3) of the Securities Exchange Act of 1934, as amended. Information with respect to each of OIMUS, OIML and OAML (collectively, the "Reporting Persons") is given solely by each such Reporting Person and no Reporting Person has responsibility for the accuracy or completeness of information supplied by the other Reporting Person. OIMUS is the beneficial owner of 60,563 shares of common stock or 0.01% of the 773,833,345 shares of common stock of Weatherford International Limited believed to be outstanding. OIML is the beneficial owner of 33,899,612 shares of common stock or 4.38% of the 773,833,345 shares of common stock of Weatherford International Limited</w:t>
      </w:r>
    </w:p>
    <w:p>
      <w:pPr>
        <w:sectPr>
          <w:pgSz w:w="11900" w:h="16838" w:orient="portrait"/>
          <w:cols w:equalWidth="0" w:num="1">
            <w:col w:w="11500"/>
          </w:cols>
          <w:pgMar w:left="260" w:top="120" w:right="139" w:bottom="0" w:gutter="0" w:footer="0" w:header="0"/>
          <w:type w:val="continuous"/>
        </w:sectPr>
      </w:pPr>
    </w:p>
    <w:bookmarkStart w:id="2" w:name="page3"/>
    <w:bookmarkEnd w:id="2"/>
    <w:p>
      <w:pPr>
        <w:ind w:left="60" w:right="480"/>
        <w:spacing w:after="0" w:line="271" w:lineRule="auto"/>
        <w:rPr>
          <w:sz w:val="20"/>
          <w:szCs w:val="20"/>
          <w:color w:val="auto"/>
        </w:rPr>
      </w:pPr>
      <w:r>
        <w:rPr>
          <w:rFonts w:ascii="Arial" w:cs="Arial" w:eastAsia="Arial" w:hAnsi="Arial"/>
          <w:sz w:val="20"/>
          <w:szCs w:val="20"/>
          <w:color w:val="auto"/>
        </w:rPr>
        <w:t>believed to be outstanding. OAML is the beneficial owner of 26,164 shares of common stock or 0.003% of the 773,833,345 shares of common stock of Weatherford International Limited believed to be outstanding.</w:t>
      </w:r>
    </w:p>
    <w:p>
      <w:pPr>
        <w:spacing w:after="0" w:line="128"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NOTICE OF DISSOLUTION OF GROUP:</w:t>
      </w: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69" w:lineRule="exact"/>
        <w:rPr>
          <w:sz w:val="20"/>
          <w:szCs w:val="20"/>
          <w:color w:val="auto"/>
        </w:rPr>
      </w:pPr>
    </w:p>
    <w:p>
      <w:pPr>
        <w:ind w:left="60"/>
        <w:spacing w:after="0" w:line="260"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240.14a-11.By signing below I certify that, to the best of my knowledge and belief, the foreign regulatory scheme applicable to Orbis Investment Management Limited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SIGNATURE</w:t>
      </w:r>
    </w:p>
    <w:p>
      <w:pPr>
        <w:spacing w:after="0" w:line="200" w:lineRule="exact"/>
        <w:rPr>
          <w:sz w:val="20"/>
          <w:szCs w:val="20"/>
          <w:color w:val="auto"/>
        </w:rPr>
      </w:pPr>
    </w:p>
    <w:p>
      <w:pPr>
        <w:spacing w:after="0" w:line="308" w:lineRule="exact"/>
        <w:rPr>
          <w:sz w:val="20"/>
          <w:szCs w:val="20"/>
          <w:color w:val="auto"/>
        </w:rPr>
      </w:pPr>
    </w:p>
    <w:p>
      <w:pPr>
        <w:ind w:left="2180" w:right="2280"/>
        <w:spacing w:after="0" w:line="272"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February 17, 2015</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Date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Orbis Investment Management (U.S.), LLC; Orbis Investment Management Limited; Orbis Asset Management Limited</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/s/James Dorr</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James Dorr , General Counsel of Orbis Investment Management Limited and Orbis Asset Management Limited; Director of North Rock</w:t>
      </w:r>
    </w:p>
    <w:p>
      <w:pPr>
        <w:spacing w:after="0" w:line="2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Holdings Corp., a member of Orbis Investment Management (U.S.), LLC</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Name/Title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sectPr>
      <w:pgSz w:w="11900" w:h="16838" w:orient="portrait"/>
      <w:cols w:equalWidth="0" w:num="1">
        <w:col w:w="11480"/>
      </w:cols>
      <w:pgMar w:left="240" w:top="12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9"/>
      <w:numFmt w:val="bullet"/>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2019-12-09T04:09:11Z</dcterms:created>
  <dcterms:modified xsi:type="dcterms:W3CDTF">2019-12-09T04:09:11Z</dcterms:modified>
</cp:coreProperties>
</file>