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26, 2017</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 w:name="page2"/>
    <w:bookmarkEnd w:id="1"/>
    <w:p>
      <w:pPr>
        <w:ind w:left="40"/>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June 26, 2017, Weatherford International plc (the “Company”) announced that Weatherford International Ltd., a Bermuda exempted company and an indirect, wholly owned subsidiary of the Company (“Weatherford Bermuda”), launched a private offering of an additional $250 million aggregate principal amount of its 9.875% senior notes due 2024 (the “Senior Notes”) to qualified institutional buyers pursuant to Rule 144A under the Securities Act of 1933, as amended (the “Securities Act”), and to certain non-U.S. persons in accordance with Regulation S under the Securities Act. The Senior Notes will be fully and unconditionally guaranteed by the Company and Weatherford International, LLC, a Delaware limited liability company and an indirect subsidiary of Weatherford Bermuda. A copy of the press release is furnished herewith as Exhibit 99.1 and is incorporated herein by reference.</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information provided pursuant to this Item 7.01, including Exhibit 99.1, is “furnished” and shall not be deemed to be “filed” with the Securities and Exchange Commission or incorporated by reference in any filing under the Securities Exchange Act of 1934, as amended, or the Securities Act, except as shall be expressly set forth by specific reference in any such filings.</w:t>
      </w:r>
    </w:p>
    <w:p>
      <w:pPr>
        <w:spacing w:after="0" w:line="33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Items.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2017, the Company identified an immaterial error, with no cash flow impact, of approximately $28 million, net, related to the recognition of revenue with a customer, Petróleos de Venezuela, S.A. (“PDVSA”) in its previously reported 2016 Annual Report on Form 10-K and Quarterly Reports on Form 10-Q for the periods ended September 30, 2016 and March 31, 2017. The Company has concluded that beginning in the third quarter of 2016, the duration of time expected to collect revenue earned with PDVSA significantly exceeds the contractual payment terms and represents an implied financing arrangement. This has required the Company to recognize revenue at a discount reflecting the time value of money and accrete the discount as interest income over the expected collection period using the effective interest method.</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immaterial error resulted in the overstatement of both accounts receivable and revenue of approximately $22 million and $23 million, respectively, as of and for the year ended December 31, 2016 and $6 million and $8 million, respectively, as of and for the three-month period ended March 31, 2017.</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connection with this development, the Company will correct this immaterial error in its Quarterly Report on Form 10-Q for the three and six month periods ended June 30, 2017. The impact of the correction will decrease revenue and increase interest income by approximately $31 million and $3 million, respectively, for the three and six month periods ended June 30, 2017 and reduce accounts receivable by approximately $28 million as of June 30, 2017.</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impact of this error, had it been recorded in the prior periods described above, would have no impact on our previously reported compliance with financial covenants under our senior revolving and term loan credit facilities. There is also no impact to cash flow from operating activities or any other cash flow measures.</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This Item 8.01 contains forward-looking statements. These forward-looking statements include, among other things, the Company’s expectations about future results and are also generally identified by the words “believe,” “project,” “expect,” “anticipate,” “estimate,” “outlook,” “intend,” “plan,” “guidance,” “may,” “should,” “could,” “will,” “would,” “will be,” “will continue,” “will likely result,” and similar expressions, although not all forward-looking statements contain these identifying words. Such statements are based upon the current beliefs of the Company’s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400"/>
          </w:cols>
          <w:pgMar w:left="240" w:top="742" w:right="259" w:bottom="1440" w:gutter="0" w:footer="0" w:header="0"/>
        </w:sectPr>
      </w:pPr>
    </w:p>
    <w:bookmarkStart w:id="2" w:name="page3"/>
    <w:bookmarkEnd w:id="2"/>
    <w:p>
      <w:pPr>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ind w:left="1600" w:hanging="938"/>
        <w:spacing w:after="0"/>
        <w:tabs>
          <w:tab w:leader="none" w:pos="1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920" w:type="dxa"/>
            <w:vAlign w:val="bottom"/>
          </w:tcPr>
          <w:p>
            <w:pPr>
              <w:ind w:left="180"/>
              <w:spacing w:after="0"/>
              <w:rPr>
                <w:sz w:val="20"/>
                <w:szCs w:val="20"/>
                <w:color w:val="auto"/>
              </w:rPr>
            </w:pPr>
            <w:r>
              <w:rPr>
                <w:rFonts w:ascii="Arial" w:cs="Arial" w:eastAsia="Arial" w:hAnsi="Arial"/>
                <w:sz w:val="18"/>
                <w:szCs w:val="18"/>
                <w:color w:val="auto"/>
              </w:rPr>
              <w:t>Press release, dated June 26, 2017, related to the offering of Senior Notes.</w:t>
            </w:r>
          </w:p>
        </w:tc>
      </w:tr>
    </w:tbl>
    <w:p>
      <w:pPr>
        <w:sectPr>
          <w:pgSz w:w="11900" w:h="16838" w:orient="portrait"/>
          <w:cols w:equalWidth="0" w:num="1">
            <w:col w:w="11360"/>
          </w:cols>
          <w:pgMar w:left="280" w:top="742"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26, 2017</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940"/>
          </w:cols>
          <w:pgMar w:left="240" w:top="58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920" w:type="dxa"/>
            <w:vAlign w:val="bottom"/>
          </w:tcPr>
          <w:p>
            <w:pPr>
              <w:ind w:left="180"/>
              <w:spacing w:after="0"/>
              <w:rPr>
                <w:sz w:val="20"/>
                <w:szCs w:val="20"/>
                <w:color w:val="auto"/>
              </w:rPr>
            </w:pPr>
            <w:r>
              <w:rPr>
                <w:rFonts w:ascii="Arial" w:cs="Arial" w:eastAsia="Arial" w:hAnsi="Arial"/>
                <w:sz w:val="18"/>
                <w:szCs w:val="18"/>
                <w:color w:val="auto"/>
              </w:rPr>
              <w:t>Press release, dated June 26, 2017, related to the offering of Senior Notes.</w:t>
            </w:r>
          </w:p>
        </w:tc>
      </w:tr>
    </w:tbl>
    <w:p>
      <w:pPr>
        <w:sectPr>
          <w:pgSz w:w="11900" w:h="16838" w:orient="portrait"/>
          <w:cols w:equalWidth="0" w:num="1">
            <w:col w:w="11360"/>
          </w:cols>
          <w:pgMar w:left="280" w:top="58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Announces Private Offering of $250 Million of Senior Notes</w:t>
      </w:r>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Baar, Switzerland, June 26, 2017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today the launch of a private offering (the “Offering”) of an additional $250 million aggregate principal amount of its 9.875% senior notes due 2024 (the “New Notes”) to qualified institutional buyers pursuant to Rule 144A under the Securities Act of 1933, as amended (the “Securities Act”), and to certain non-U.S. persons in accordance with Regulation S under the Securities Act. The New Notes will be senior, unsecured obligations of Weatherford International Ltd. (“Weatherford Bermuda”), a Bermuda exempted company and indirect, wholly owned subsidiary of the Company. The New Notes will be fully and unconditionally guaranteed, on a senior, unsecured basis, by the Company and by Weatherford International, LLC, a Delaware limited liability company and indirect subsidiary of Weatherford Bermuda.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Notes will be issued as additional securities under an indenture pursuant to which Weatherford Bermuda previously issued $540 million aggregate principal amount of its 9.875% senior notes due 2024 (the “Initial Notes”, and together with the New Notes, the “Notes”). The New Notes will have identical terms, other than the issue date, as the Initial Notes, and the New Notes and the Initial Notes will be treated as a single class of securities under the indenture governing the Notes.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purpose of the Offering is to repay amounts outstanding under the Company’s revolving credit facility, give the Company additional liquidity throughout 2017, and provide assurance it will comply with the financial covenants set forth in its senior revolving and term loan credit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Notes will not be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2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90 countries and has a network of approximately 880 locations, including manufacturing, service, research and development, and training facilities and employs approximately 29,500 people.</w:t>
      </w:r>
    </w:p>
    <w:p>
      <w:pPr>
        <w:sectPr>
          <w:pgSz w:w="11900" w:h="16838" w:orient="portrait"/>
          <w:cols w:equalWidth="0" w:num="1">
            <w:col w:w="11420"/>
          </w:cols>
          <w:pgMar w:left="240" w:top="63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includes forward-looking statements, including those related to the Company’s anticipated compliance with the financial covenants in its revolving and term loan credit facilities after the Offering and the use of proceeds therefrom.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Company’s Annual Report on Form 10-K for the fiscal year ended December 31, 2016, Quarterly Reports on Form 10-Q for the subsequent quarterly periods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720" w:type="dxa"/>
            <w:vAlign w:val="bottom"/>
          </w:tcPr>
          <w:p>
            <w:pPr>
              <w:spacing w:after="0"/>
              <w:rPr>
                <w:sz w:val="20"/>
                <w:szCs w:val="20"/>
                <w:color w:val="auto"/>
              </w:rPr>
            </w:pPr>
          </w:p>
        </w:tc>
      </w:tr>
      <w:tr>
        <w:trPr>
          <w:trHeight w:val="594"/>
        </w:trPr>
        <w:tc>
          <w:tcPr>
            <w:tcW w:w="7580" w:type="dxa"/>
            <w:vAlign w:val="bottom"/>
          </w:tcPr>
          <w:p>
            <w:pPr>
              <w:ind w:left="1140"/>
              <w:spacing w:after="0"/>
              <w:rPr>
                <w:sz w:val="20"/>
                <w:szCs w:val="20"/>
                <w:color w:val="auto"/>
              </w:rPr>
            </w:pPr>
            <w:r>
              <w:rPr>
                <w:rFonts w:ascii="Arial" w:cs="Arial" w:eastAsia="Arial" w:hAnsi="Arial"/>
                <w:sz w:val="18"/>
                <w:szCs w:val="18"/>
                <w:color w:val="auto"/>
              </w:rPr>
              <w:t>Christoph Bausch</w:t>
            </w:r>
          </w:p>
        </w:tc>
        <w:tc>
          <w:tcPr>
            <w:tcW w:w="27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580" w:type="dxa"/>
            <w:vAlign w:val="bottom"/>
          </w:tcPr>
          <w:p>
            <w:pPr>
              <w:ind w:left="1140"/>
              <w:spacing w:after="0"/>
              <w:rPr>
                <w:sz w:val="20"/>
                <w:szCs w:val="20"/>
                <w:color w:val="auto"/>
              </w:rPr>
            </w:pPr>
            <w:r>
              <w:rPr>
                <w:rFonts w:ascii="Arial" w:cs="Arial" w:eastAsia="Arial" w:hAnsi="Arial"/>
                <w:sz w:val="18"/>
                <w:szCs w:val="18"/>
                <w:color w:val="auto"/>
              </w:rPr>
              <w:t>Executive Vice President and Chief Financial Officer</w:t>
            </w:r>
          </w:p>
        </w:tc>
        <w:tc>
          <w:tcPr>
            <w:tcW w:w="2720" w:type="dxa"/>
            <w:vAlign w:val="bottom"/>
          </w:tcPr>
          <w:p>
            <w:pPr>
              <w:spacing w:after="0"/>
              <w:rPr>
                <w:sz w:val="23"/>
                <w:szCs w:val="23"/>
                <w:color w:val="auto"/>
              </w:rPr>
            </w:pPr>
          </w:p>
        </w:tc>
      </w:tr>
      <w:tr>
        <w:trPr>
          <w:trHeight w:val="540"/>
        </w:trPr>
        <w:tc>
          <w:tcPr>
            <w:tcW w:w="7580" w:type="dxa"/>
            <w:vAlign w:val="bottom"/>
          </w:tcPr>
          <w:p>
            <w:pPr>
              <w:ind w:left="1140"/>
              <w:spacing w:after="0"/>
              <w:rPr>
                <w:sz w:val="20"/>
                <w:szCs w:val="20"/>
                <w:color w:val="auto"/>
              </w:rPr>
            </w:pPr>
            <w:r>
              <w:rPr>
                <w:rFonts w:ascii="Arial" w:cs="Arial" w:eastAsia="Arial" w:hAnsi="Arial"/>
                <w:sz w:val="18"/>
                <w:szCs w:val="18"/>
                <w:color w:val="auto"/>
              </w:rPr>
              <w:t>Karen David-Green</w:t>
            </w:r>
          </w:p>
        </w:tc>
        <w:tc>
          <w:tcPr>
            <w:tcW w:w="27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580" w:type="dxa"/>
            <w:vAlign w:val="bottom"/>
          </w:tcPr>
          <w:p>
            <w:pPr>
              <w:ind w:left="1140"/>
              <w:spacing w:after="0"/>
              <w:rPr>
                <w:sz w:val="20"/>
                <w:szCs w:val="20"/>
                <w:color w:val="auto"/>
              </w:rPr>
            </w:pPr>
            <w:r>
              <w:rPr>
                <w:rFonts w:ascii="Arial" w:cs="Arial" w:eastAsia="Arial" w:hAnsi="Arial"/>
                <w:sz w:val="18"/>
                <w:szCs w:val="18"/>
                <w:color w:val="auto"/>
              </w:rPr>
              <w:t>Vice President – Investor Relations, Marketing and Communications</w:t>
            </w:r>
          </w:p>
        </w:tc>
        <w:tc>
          <w:tcPr>
            <w:tcW w:w="2720" w:type="dxa"/>
            <w:vAlign w:val="bottom"/>
          </w:tcPr>
          <w:p>
            <w:pPr>
              <w:spacing w:after="0"/>
              <w:rPr>
                <w:sz w:val="23"/>
                <w:szCs w:val="23"/>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2019-12-07T23:27:19Z</dcterms:created>
  <dcterms:modified xsi:type="dcterms:W3CDTF">2019-12-07T23:27:19Z</dcterms:modified>
</cp:coreProperties>
</file>