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173990</wp:posOffset>
            </wp:positionH>
            <wp:positionV relativeFrom="paragraph">
              <wp:posOffset>210185</wp:posOffset>
            </wp:positionV>
            <wp:extent cx="6917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252730</wp:posOffset>
            </wp:positionV>
            <wp:extent cx="69176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UNITED STATES</w:t>
      </w:r>
    </w:p>
    <w:p>
      <w:pPr>
        <w:spacing w:after="0" w:line="23"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230505</wp:posOffset>
            </wp:positionV>
            <wp:extent cx="14497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SCHEDULE 14A</w:t>
      </w:r>
    </w:p>
    <w:p>
      <w:pPr>
        <w:spacing w:after="0" w:line="220" w:lineRule="exact"/>
        <w:rPr>
          <w:sz w:val="24"/>
          <w:szCs w:val="24"/>
          <w:color w:val="auto"/>
        </w:rPr>
      </w:pPr>
    </w:p>
    <w:p>
      <w:pPr>
        <w:jc w:val="center"/>
        <w:ind w:right="-35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3" w:lineRule="exact"/>
        <w:rPr>
          <w:sz w:val="24"/>
          <w:szCs w:val="24"/>
          <w:color w:val="auto"/>
        </w:rPr>
      </w:pPr>
    </w:p>
    <w:p>
      <w:pPr>
        <w:jc w:val="center"/>
        <w:ind w:right="-359"/>
        <w:spacing w:after="0"/>
        <w:rPr>
          <w:sz w:val="20"/>
          <w:szCs w:val="20"/>
          <w:color w:val="auto"/>
        </w:rPr>
      </w:pPr>
      <w:r>
        <w:rPr>
          <w:rFonts w:ascii="Arial" w:cs="Arial" w:eastAsia="Arial" w:hAnsi="Arial"/>
          <w:sz w:val="21"/>
          <w:szCs w:val="21"/>
          <w:b w:val="1"/>
          <w:bCs w:val="1"/>
          <w:color w:val="auto"/>
        </w:rPr>
        <w:t>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221615</wp:posOffset>
            </wp:positionV>
            <wp:extent cx="14497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ind w:left="260"/>
        <w:spacing w:after="0" w:line="207" w:lineRule="exact"/>
        <w:tabs>
          <w:tab w:leader="none" w:pos="34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3" w:lineRule="exact"/>
        <w:rPr>
          <w:sz w:val="24"/>
          <w:szCs w:val="24"/>
          <w:color w:val="auto"/>
        </w:rPr>
      </w:pPr>
    </w:p>
    <w:p>
      <w:pPr>
        <w:ind w:left="260"/>
        <w:spacing w:after="0"/>
        <w:rPr>
          <w:sz w:val="20"/>
          <w:szCs w:val="20"/>
          <w:color w:val="auto"/>
        </w:rPr>
      </w:pPr>
      <w:r>
        <w:rPr>
          <w:rFonts w:ascii="Arial" w:cs="Arial" w:eastAsia="Arial" w:hAnsi="Arial"/>
          <w:sz w:val="18"/>
          <w:szCs w:val="18"/>
          <w:color w:val="auto"/>
        </w:rPr>
        <w:t>Check the appropriate box:</w:t>
      </w:r>
    </w:p>
    <w:p>
      <w:pPr>
        <w:spacing w:after="0" w:line="127" w:lineRule="exact"/>
        <w:rPr>
          <w:sz w:val="24"/>
          <w:szCs w:val="24"/>
          <w:color w:val="auto"/>
        </w:rPr>
      </w:pPr>
    </w:p>
    <w:p>
      <w:pPr>
        <w:ind w:left="820" w:hanging="553"/>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9" w:lineRule="exact"/>
        <w:rPr>
          <w:rFonts w:ascii="MS PGothic" w:cs="MS PGothic" w:eastAsia="MS PGothic" w:hAnsi="MS PGothic"/>
          <w:sz w:val="18"/>
          <w:szCs w:val="18"/>
          <w:color w:val="auto"/>
        </w:rPr>
      </w:pPr>
    </w:p>
    <w:p>
      <w:pPr>
        <w:ind w:left="820" w:hanging="553"/>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17" w:lineRule="exact"/>
        <w:rPr>
          <w:sz w:val="24"/>
          <w:szCs w:val="24"/>
          <w:color w:val="auto"/>
        </w:rPr>
      </w:pPr>
    </w:p>
    <w:p>
      <w:pPr>
        <w:ind w:left="820" w:hanging="553"/>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3" w:lineRule="exact"/>
        <w:rPr>
          <w:sz w:val="24"/>
          <w:szCs w:val="24"/>
          <w:color w:val="auto"/>
        </w:rPr>
      </w:pPr>
    </w:p>
    <w:p>
      <w:pPr>
        <w:ind w:left="820" w:hanging="553"/>
        <w:spacing w:after="0"/>
        <w:tabs>
          <w:tab w:leader="none" w:pos="8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3" w:lineRule="exact"/>
        <w:rPr>
          <w:rFonts w:ascii="MS PGothic" w:cs="MS PGothic" w:eastAsia="MS PGothic" w:hAnsi="MS PGothic"/>
          <w:sz w:val="18"/>
          <w:szCs w:val="18"/>
          <w:color w:val="auto"/>
        </w:rPr>
      </w:pPr>
    </w:p>
    <w:p>
      <w:pPr>
        <w:ind w:left="820" w:hanging="553"/>
        <w:spacing w:after="0"/>
        <w:tabs>
          <w:tab w:leader="none" w:pos="8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241935</wp:posOffset>
            </wp:positionV>
            <wp:extent cx="1169670" cy="525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9670" cy="525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359"/>
        <w:spacing w:after="0"/>
        <w:rPr>
          <w:sz w:val="20"/>
          <w:szCs w:val="20"/>
          <w:color w:val="auto"/>
        </w:rPr>
      </w:pPr>
      <w:r>
        <w:rPr>
          <w:rFonts w:ascii="Arial" w:cs="Arial" w:eastAsia="Arial" w:hAnsi="Arial"/>
          <w:sz w:val="39"/>
          <w:szCs w:val="39"/>
          <w:b w:val="1"/>
          <w:bCs w:val="1"/>
          <w:color w:val="auto"/>
        </w:rPr>
        <w:t>Weatherford International plc</w:t>
      </w:r>
    </w:p>
    <w:p>
      <w:pPr>
        <w:spacing w:after="0" w:line="40"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3"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1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Payment of Filing Fee (Check the appropriate box):</w:t>
      </w:r>
    </w:p>
    <w:p>
      <w:pPr>
        <w:spacing w:after="0" w:line="220" w:lineRule="exact"/>
        <w:rPr>
          <w:sz w:val="24"/>
          <w:szCs w:val="24"/>
          <w:color w:val="auto"/>
        </w:rPr>
      </w:pPr>
    </w:p>
    <w:p>
      <w:pPr>
        <w:ind w:left="820" w:hanging="553"/>
        <w:spacing w:after="0"/>
        <w:tabs>
          <w:tab w:leader="none" w:pos="8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0" w:lineRule="exact"/>
        <w:rPr>
          <w:sz w:val="24"/>
          <w:szCs w:val="24"/>
          <w:color w:val="auto"/>
        </w:rPr>
      </w:pPr>
    </w:p>
    <w:p>
      <w:pPr>
        <w:ind w:left="820" w:hanging="553"/>
        <w:spacing w:after="0"/>
        <w:tabs>
          <w:tab w:leader="none" w:pos="8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0" w:lineRule="exact"/>
        <w:rPr>
          <w:rFonts w:ascii="MS PGothic" w:cs="MS PGothic" w:eastAsia="MS PGothic" w:hAnsi="MS PGothic"/>
          <w:sz w:val="18"/>
          <w:szCs w:val="18"/>
          <w:color w:val="auto"/>
        </w:rPr>
      </w:pPr>
    </w:p>
    <w:p>
      <w:pPr>
        <w:ind w:left="1360" w:hanging="532"/>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ind w:left="1360" w:hanging="532"/>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ind w:left="1360" w:hanging="532"/>
        <w:spacing w:after="0" w:line="270" w:lineRule="auto"/>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1360" w:hanging="532"/>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ind w:left="1360" w:hanging="532"/>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820" w:hanging="553"/>
        <w:spacing w:after="0"/>
        <w:tabs>
          <w:tab w:leader="none" w:pos="8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27" w:lineRule="exact"/>
        <w:rPr>
          <w:rFonts w:ascii="MS PGothic" w:cs="MS PGothic" w:eastAsia="MS PGothic" w:hAnsi="MS PGothic"/>
          <w:sz w:val="18"/>
          <w:szCs w:val="18"/>
          <w:color w:val="auto"/>
        </w:rPr>
      </w:pPr>
    </w:p>
    <w:p>
      <w:pPr>
        <w:ind w:left="820" w:right="180" w:hanging="553"/>
        <w:spacing w:after="0" w:line="334" w:lineRule="auto"/>
        <w:tabs>
          <w:tab w:leader="none" w:pos="8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5" w:lineRule="exact"/>
        <w:rPr>
          <w:rFonts w:ascii="MS PGothic" w:cs="MS PGothic" w:eastAsia="MS PGothic" w:hAnsi="MS PGothic"/>
          <w:sz w:val="16"/>
          <w:szCs w:val="16"/>
          <w:color w:val="auto"/>
        </w:rPr>
      </w:pPr>
    </w:p>
    <w:p>
      <w:pPr>
        <w:ind w:left="1360" w:hanging="532"/>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869315</wp:posOffset>
            </wp:positionH>
            <wp:positionV relativeFrom="paragraph">
              <wp:posOffset>-3054985</wp:posOffset>
            </wp:positionV>
            <wp:extent cx="62223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22365" cy="825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-2614295</wp:posOffset>
            </wp:positionV>
            <wp:extent cx="62223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22365" cy="825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-2037715</wp:posOffset>
            </wp:positionV>
            <wp:extent cx="6222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22365" cy="825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-1597025</wp:posOffset>
            </wp:positionV>
            <wp:extent cx="62223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22365" cy="825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-1155700</wp:posOffset>
            </wp:positionV>
            <wp:extent cx="62223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22365" cy="825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301625</wp:posOffset>
            </wp:positionV>
            <wp:extent cx="62223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22365" cy="8255"/>
                    </a:xfrm>
                    <a:prstGeom prst="rect">
                      <a:avLst/>
                    </a:prstGeom>
                    <a:noFill/>
                  </pic:spPr>
                </pic:pic>
              </a:graphicData>
            </a:graphic>
          </wp:anchor>
        </w:drawing>
      </w:r>
    </w:p>
    <w:p>
      <w:pPr>
        <w:sectPr>
          <w:pgSz w:w="11900" w:h="16838" w:orient="portrait"/>
          <w:cols w:equalWidth="0" w:num="1">
            <w:col w:w="11060"/>
          </w:cols>
          <w:pgMar w:left="240" w:top="229" w:right="599" w:bottom="135" w:gutter="0" w:footer="0" w:header="0"/>
        </w:sectPr>
      </w:pPr>
    </w:p>
    <w:bookmarkStart w:id="1" w:name="page2"/>
    <w:bookmarkEnd w:id="1"/>
    <w:p>
      <w:pPr>
        <w:ind w:left="532" w:hanging="532"/>
        <w:spacing w:after="0"/>
        <w:tabs>
          <w:tab w:leader="none" w:pos="532"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0" w:lineRule="exact"/>
        <w:rPr>
          <w:rFonts w:ascii="Arial" w:cs="Arial" w:eastAsia="Arial" w:hAnsi="Arial"/>
          <w:sz w:val="16"/>
          <w:szCs w:val="16"/>
          <w:color w:val="auto"/>
        </w:rPr>
      </w:pPr>
    </w:p>
    <w:p>
      <w:pPr>
        <w:ind w:left="532" w:hanging="532"/>
        <w:spacing w:after="0"/>
        <w:tabs>
          <w:tab w:leader="none" w:pos="532"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ind w:left="532" w:hanging="532"/>
        <w:spacing w:after="0"/>
        <w:tabs>
          <w:tab w:leader="none" w:pos="532"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-579755</wp:posOffset>
            </wp:positionV>
            <wp:extent cx="62223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22365" cy="8255"/>
                    </a:xfrm>
                    <a:prstGeom prst="rect">
                      <a:avLst/>
                    </a:prstGeom>
                    <a:noFill/>
                  </pic:spPr>
                </pic:pic>
              </a:graphicData>
            </a:graphic>
          </wp:anchor>
        </w:drawing>
        <w:drawing>
          <wp:anchor simplePos="0" relativeHeight="251657728" behindDoc="1" locked="0" layoutInCell="0" allowOverlap="1">
            <wp:simplePos x="0" y="0"/>
            <wp:positionH relativeFrom="column">
              <wp:posOffset>343535</wp:posOffset>
            </wp:positionH>
            <wp:positionV relativeFrom="paragraph">
              <wp:posOffset>-138430</wp:posOffset>
            </wp:positionV>
            <wp:extent cx="62223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22365" cy="8255"/>
                    </a:xfrm>
                    <a:prstGeom prst="rect">
                      <a:avLst/>
                    </a:prstGeom>
                    <a:noFill/>
                  </pic:spPr>
                </pic:pic>
              </a:graphicData>
            </a:graphic>
          </wp:anchor>
        </w:drawing>
        <w:drawing>
          <wp:anchor simplePos="0" relativeHeight="251657728" behindDoc="1" locked="0" layoutInCell="0" allowOverlap="1">
            <wp:simplePos x="0" y="0"/>
            <wp:positionH relativeFrom="column">
              <wp:posOffset>343535</wp:posOffset>
            </wp:positionH>
            <wp:positionV relativeFrom="paragraph">
              <wp:posOffset>301625</wp:posOffset>
            </wp:positionV>
            <wp:extent cx="62223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2236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479425</wp:posOffset>
            </wp:positionV>
            <wp:extent cx="69176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521970</wp:posOffset>
            </wp:positionV>
            <wp:extent cx="69176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ectPr>
          <w:pgSz w:w="11900" w:h="16838" w:orient="portrait"/>
          <w:cols w:equalWidth="0" w:num="1">
            <w:col w:w="9391"/>
          </w:cols>
          <w:pgMar w:left="1068" w:top="138"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60"/>
        <w:spacing w:after="0"/>
        <w:rPr>
          <w:sz w:val="20"/>
          <w:szCs w:val="20"/>
          <w:color w:val="auto"/>
        </w:rPr>
      </w:pPr>
      <w:r>
        <w:rPr>
          <w:rFonts w:ascii="Arial" w:cs="Arial" w:eastAsia="Arial" w:hAnsi="Arial"/>
          <w:sz w:val="28"/>
          <w:szCs w:val="28"/>
          <w:color w:val="CA0538"/>
        </w:rPr>
        <w:t>Weatherford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-188595</wp:posOffset>
            </wp:positionV>
            <wp:extent cx="364490" cy="2374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4490" cy="2374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158115</wp:posOffset>
            </wp:positionV>
            <wp:extent cx="6216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166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060"/>
        <w:spacing w:after="0"/>
        <w:rPr>
          <w:sz w:val="20"/>
          <w:szCs w:val="20"/>
          <w:color w:val="auto"/>
        </w:rPr>
      </w:pPr>
      <w:r>
        <w:rPr>
          <w:rFonts w:ascii="Arial" w:cs="Arial" w:eastAsia="Arial" w:hAnsi="Arial"/>
          <w:sz w:val="45"/>
          <w:szCs w:val="45"/>
          <w:b w:val="1"/>
          <w:bCs w:val="1"/>
          <w:color w:val="CA0538"/>
        </w:rPr>
        <w:t xml:space="preserve">PROXY STATEMENT </w:t>
      </w:r>
      <w:r>
        <w:rPr>
          <w:rFonts w:ascii="Arial" w:cs="Arial" w:eastAsia="Arial" w:hAnsi="Arial"/>
          <w:sz w:val="45"/>
          <w:szCs w:val="45"/>
          <w:color w:val="CA0538"/>
        </w:rPr>
        <w:t>2018</w:t>
      </w:r>
    </w:p>
    <w:p>
      <w:pPr>
        <w:spacing w:after="0" w:line="312" w:lineRule="exact"/>
        <w:rPr>
          <w:sz w:val="20"/>
          <w:szCs w:val="20"/>
          <w:color w:val="auto"/>
        </w:rPr>
      </w:pPr>
    </w:p>
    <w:p>
      <w:pPr>
        <w:ind w:left="1060"/>
        <w:spacing w:after="0"/>
        <w:rPr>
          <w:sz w:val="20"/>
          <w:szCs w:val="20"/>
          <w:color w:val="auto"/>
        </w:rPr>
      </w:pPr>
      <w:r>
        <w:rPr>
          <w:rFonts w:ascii="Arial" w:cs="Arial" w:eastAsia="Arial" w:hAnsi="Arial"/>
          <w:sz w:val="28"/>
          <w:szCs w:val="28"/>
          <w:color w:val="CA0538"/>
        </w:rPr>
        <w:t>NOTICE OF ANNUAL GENERAL</w:t>
      </w:r>
    </w:p>
    <w:p>
      <w:pPr>
        <w:spacing w:after="0" w:line="36" w:lineRule="exact"/>
        <w:rPr>
          <w:sz w:val="20"/>
          <w:szCs w:val="20"/>
          <w:color w:val="auto"/>
        </w:rPr>
      </w:pPr>
    </w:p>
    <w:p>
      <w:pPr>
        <w:ind w:left="1060"/>
        <w:spacing w:after="0"/>
        <w:rPr>
          <w:sz w:val="20"/>
          <w:szCs w:val="20"/>
          <w:color w:val="auto"/>
        </w:rPr>
      </w:pPr>
      <w:r>
        <w:rPr>
          <w:rFonts w:ascii="Arial" w:cs="Arial" w:eastAsia="Arial" w:hAnsi="Arial"/>
          <w:sz w:val="28"/>
          <w:szCs w:val="28"/>
          <w:color w:val="CA0538"/>
        </w:rPr>
        <w:t>MEETING OF SHAREHOLDERS</w:t>
      </w:r>
    </w:p>
    <w:p>
      <w:pPr>
        <w:spacing w:after="0" w:line="260" w:lineRule="exact"/>
        <w:rPr>
          <w:sz w:val="20"/>
          <w:szCs w:val="20"/>
          <w:color w:val="auto"/>
        </w:rPr>
      </w:pPr>
    </w:p>
    <w:p>
      <w:pPr>
        <w:ind w:left="1060"/>
        <w:spacing w:after="0"/>
        <w:rPr>
          <w:sz w:val="20"/>
          <w:szCs w:val="20"/>
          <w:color w:val="auto"/>
        </w:rPr>
      </w:pPr>
      <w:r>
        <w:rPr>
          <w:rFonts w:ascii="Arial" w:cs="Arial" w:eastAsia="Arial" w:hAnsi="Arial"/>
          <w:sz w:val="28"/>
          <w:szCs w:val="28"/>
          <w:b w:val="1"/>
          <w:bCs w:val="1"/>
          <w:color w:val="CA0538"/>
        </w:rPr>
        <w:t>To be held on April 27, 2018</w:t>
      </w:r>
    </w:p>
    <w:p>
      <w:pPr>
        <w:sectPr>
          <w:pgSz w:w="11900" w:h="16838" w:orient="portrait"/>
          <w:cols w:equalWidth="0" w:num="1">
            <w:col w:w="10219"/>
          </w:cols>
          <w:pgMar w:left="240" w:top="455"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231140</wp:posOffset>
            </wp:positionV>
            <wp:extent cx="5306695" cy="6866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06695" cy="6866890"/>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61" w:lineRule="exact"/>
        <w:rPr>
          <w:sz w:val="20"/>
          <w:szCs w:val="20"/>
          <w:color w:val="auto"/>
        </w:rPr>
      </w:pPr>
    </w:p>
    <w:p>
      <w:pPr>
        <w:ind w:left="260"/>
        <w:spacing w:after="0"/>
        <w:rPr>
          <w:sz w:val="20"/>
          <w:szCs w:val="20"/>
          <w:color w:val="auto"/>
        </w:rPr>
      </w:pPr>
      <w:r>
        <w:rPr>
          <w:rFonts w:ascii="Arial" w:cs="Arial" w:eastAsia="Arial" w:hAnsi="Arial"/>
          <w:sz w:val="64"/>
          <w:szCs w:val="64"/>
          <w:b w:val="1"/>
          <w:bCs w:val="1"/>
          <w:color w:val="CA0538"/>
        </w:rPr>
        <w:t>VOTING INSTRUCTIONS</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36"/>
          <w:szCs w:val="36"/>
          <w:color w:val="3C3C45"/>
        </w:rPr>
        <w:t>Agenda items for your vote</w:t>
      </w:r>
    </w:p>
    <w:p>
      <w:pPr>
        <w:spacing w:after="0" w:line="225"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2860" w:type="dxa"/>
            <w:vAlign w:val="bottom"/>
            <w:gridSpan w:val="3"/>
          </w:tcPr>
          <w:p>
            <w:pPr>
              <w:spacing w:after="0"/>
              <w:rPr>
                <w:sz w:val="20"/>
                <w:szCs w:val="20"/>
                <w:color w:val="auto"/>
              </w:rPr>
            </w:pPr>
            <w:r>
              <w:rPr>
                <w:rFonts w:ascii="Arial" w:cs="Arial" w:eastAsia="Arial" w:hAnsi="Arial"/>
                <w:sz w:val="15"/>
                <w:szCs w:val="15"/>
                <w:b w:val="1"/>
                <w:bCs w:val="1"/>
                <w:color w:val="575756"/>
              </w:rPr>
              <w:t>Items</w:t>
            </w:r>
          </w:p>
        </w:tc>
        <w:tc>
          <w:tcPr>
            <w:tcW w:w="2140" w:type="dxa"/>
            <w:vAlign w:val="bottom"/>
          </w:tcPr>
          <w:p>
            <w:pPr>
              <w:ind w:left="100"/>
              <w:spacing w:after="0"/>
              <w:rPr>
                <w:sz w:val="20"/>
                <w:szCs w:val="20"/>
                <w:color w:val="auto"/>
              </w:rPr>
            </w:pPr>
            <w:r>
              <w:rPr>
                <w:rFonts w:ascii="Arial" w:cs="Arial" w:eastAsia="Arial" w:hAnsi="Arial"/>
                <w:sz w:val="15"/>
                <w:szCs w:val="15"/>
                <w:b w:val="1"/>
                <w:bCs w:val="1"/>
                <w:color w:val="575756"/>
              </w:rPr>
              <w:t>Board Recommendation</w:t>
            </w:r>
          </w:p>
        </w:tc>
        <w:tc>
          <w:tcPr>
            <w:tcW w:w="4960" w:type="dxa"/>
            <w:vAlign w:val="bottom"/>
          </w:tcPr>
          <w:p>
            <w:pPr>
              <w:ind w:left="460"/>
              <w:spacing w:after="0"/>
              <w:rPr>
                <w:sz w:val="20"/>
                <w:szCs w:val="20"/>
                <w:color w:val="auto"/>
              </w:rPr>
            </w:pPr>
            <w:r>
              <w:rPr>
                <w:rFonts w:ascii="Arial" w:cs="Arial" w:eastAsia="Arial" w:hAnsi="Arial"/>
                <w:sz w:val="15"/>
                <w:szCs w:val="15"/>
                <w:b w:val="1"/>
                <w:bCs w:val="1"/>
                <w:color w:val="575756"/>
              </w:rPr>
              <w:t>Reason for Recommendation</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575756"/>
              </w:rPr>
              <w:t>Proxy Page</w:t>
            </w:r>
          </w:p>
        </w:tc>
      </w:tr>
      <w:tr>
        <w:trPr>
          <w:trHeight w:val="36"/>
        </w:trPr>
        <w:tc>
          <w:tcPr>
            <w:tcW w:w="200" w:type="dxa"/>
            <w:vAlign w:val="bottom"/>
            <w:tcBorders>
              <w:bottom w:val="single" w:sz="8" w:color="C6C6C6"/>
            </w:tcBorders>
            <w:gridSpan w:val="2"/>
          </w:tcPr>
          <w:p>
            <w:pPr>
              <w:spacing w:after="0"/>
              <w:rPr>
                <w:sz w:val="3"/>
                <w:szCs w:val="3"/>
                <w:color w:val="auto"/>
              </w:rPr>
            </w:pPr>
          </w:p>
        </w:tc>
        <w:tc>
          <w:tcPr>
            <w:tcW w:w="2660" w:type="dxa"/>
            <w:vAlign w:val="bottom"/>
            <w:tcBorders>
              <w:bottom w:val="single" w:sz="8" w:color="C6C6C6"/>
            </w:tcBorders>
          </w:tcPr>
          <w:p>
            <w:pPr>
              <w:spacing w:after="0"/>
              <w:rPr>
                <w:sz w:val="3"/>
                <w:szCs w:val="3"/>
                <w:color w:val="auto"/>
              </w:rPr>
            </w:pPr>
          </w:p>
        </w:tc>
        <w:tc>
          <w:tcPr>
            <w:tcW w:w="2140" w:type="dxa"/>
            <w:vAlign w:val="bottom"/>
            <w:tcBorders>
              <w:bottom w:val="single" w:sz="8" w:color="C6C6C6"/>
            </w:tcBorders>
          </w:tcPr>
          <w:p>
            <w:pPr>
              <w:spacing w:after="0"/>
              <w:rPr>
                <w:sz w:val="3"/>
                <w:szCs w:val="3"/>
                <w:color w:val="auto"/>
              </w:rPr>
            </w:pPr>
          </w:p>
        </w:tc>
        <w:tc>
          <w:tcPr>
            <w:tcW w:w="4960" w:type="dxa"/>
            <w:vAlign w:val="bottom"/>
            <w:tcBorders>
              <w:bottom w:val="single" w:sz="8" w:color="C6C6C6"/>
            </w:tcBorders>
          </w:tcPr>
          <w:p>
            <w:pPr>
              <w:spacing w:after="0"/>
              <w:rPr>
                <w:sz w:val="3"/>
                <w:szCs w:val="3"/>
                <w:color w:val="auto"/>
              </w:rPr>
            </w:pPr>
          </w:p>
        </w:tc>
        <w:tc>
          <w:tcPr>
            <w:tcW w:w="940" w:type="dxa"/>
            <w:vAlign w:val="bottom"/>
            <w:tcBorders>
              <w:bottom w:val="single" w:sz="8" w:color="C6C6C6"/>
            </w:tcBorders>
          </w:tcPr>
          <w:p>
            <w:pPr>
              <w:spacing w:after="0"/>
              <w:rPr>
                <w:sz w:val="3"/>
                <w:szCs w:val="3"/>
                <w:color w:val="auto"/>
              </w:rPr>
            </w:pPr>
          </w:p>
        </w:tc>
      </w:tr>
      <w:tr>
        <w:trPr>
          <w:trHeight w:val="233"/>
        </w:trPr>
        <w:tc>
          <w:tcPr>
            <w:tcW w:w="200" w:type="dxa"/>
            <w:vAlign w:val="bottom"/>
            <w:gridSpan w:val="2"/>
          </w:tcPr>
          <w:p>
            <w:pPr>
              <w:spacing w:after="0"/>
              <w:rPr>
                <w:sz w:val="20"/>
                <w:szCs w:val="20"/>
                <w:color w:val="auto"/>
              </w:rPr>
            </w:pPr>
            <w:r>
              <w:rPr>
                <w:rFonts w:ascii="Arial" w:cs="Arial" w:eastAsia="Arial" w:hAnsi="Arial"/>
                <w:sz w:val="18"/>
                <w:szCs w:val="18"/>
                <w:b w:val="1"/>
                <w:bCs w:val="1"/>
                <w:color w:val="CA0538"/>
              </w:rPr>
              <w:t>1.</w:t>
            </w:r>
          </w:p>
        </w:tc>
        <w:tc>
          <w:tcPr>
            <w:tcW w:w="2660" w:type="dxa"/>
            <w:vAlign w:val="bottom"/>
          </w:tcPr>
          <w:p>
            <w:pPr>
              <w:ind w:left="40"/>
              <w:spacing w:after="0"/>
              <w:rPr>
                <w:sz w:val="20"/>
                <w:szCs w:val="20"/>
                <w:color w:val="auto"/>
              </w:rPr>
            </w:pPr>
            <w:r>
              <w:rPr>
                <w:rFonts w:ascii="Arial" w:cs="Arial" w:eastAsia="Arial" w:hAnsi="Arial"/>
                <w:sz w:val="18"/>
                <w:szCs w:val="18"/>
                <w:color w:val="6B6B6B"/>
              </w:rPr>
              <w:t>Election of Directors</w:t>
            </w:r>
          </w:p>
        </w:tc>
        <w:tc>
          <w:tcPr>
            <w:tcW w:w="2140" w:type="dxa"/>
            <w:vAlign w:val="bottom"/>
          </w:tcPr>
          <w:p>
            <w:pPr>
              <w:ind w:left="100"/>
              <w:spacing w:after="0"/>
              <w:rPr>
                <w:sz w:val="20"/>
                <w:szCs w:val="20"/>
                <w:color w:val="auto"/>
              </w:rPr>
            </w:pPr>
            <w:r>
              <w:rPr>
                <w:rFonts w:ascii="Arial" w:cs="Arial" w:eastAsia="Arial" w:hAnsi="Arial"/>
                <w:sz w:val="18"/>
                <w:szCs w:val="18"/>
                <w:b w:val="1"/>
                <w:bCs w:val="1"/>
                <w:color w:val="CA0538"/>
              </w:rPr>
              <w:t xml:space="preserve">FOR </w:t>
            </w:r>
            <w:r>
              <w:rPr>
                <w:rFonts w:ascii="Arial" w:cs="Arial" w:eastAsia="Arial" w:hAnsi="Arial"/>
                <w:sz w:val="18"/>
                <w:szCs w:val="18"/>
                <w:color w:val="6B6B6B"/>
              </w:rPr>
              <w:t>each nominee</w:t>
            </w:r>
          </w:p>
        </w:tc>
        <w:tc>
          <w:tcPr>
            <w:tcW w:w="4960" w:type="dxa"/>
            <w:vAlign w:val="bottom"/>
          </w:tcPr>
          <w:p>
            <w:pPr>
              <w:ind w:left="460"/>
              <w:spacing w:after="0"/>
              <w:rPr>
                <w:sz w:val="20"/>
                <w:szCs w:val="20"/>
                <w:color w:val="auto"/>
              </w:rPr>
            </w:pPr>
            <w:r>
              <w:rPr>
                <w:rFonts w:ascii="Arial" w:cs="Arial" w:eastAsia="Arial" w:hAnsi="Arial"/>
                <w:sz w:val="18"/>
                <w:szCs w:val="18"/>
                <w:color w:val="6B6B6B"/>
                <w:w w:val="95"/>
              </w:rPr>
              <w:t>The Board believes its members collectively have the skills</w:t>
            </w:r>
          </w:p>
        </w:tc>
        <w:tc>
          <w:tcPr>
            <w:tcW w:w="940" w:type="dxa"/>
            <w:vAlign w:val="bottom"/>
          </w:tcPr>
          <w:p>
            <w:pPr>
              <w:jc w:val="right"/>
              <w:spacing w:after="0"/>
              <w:rPr>
                <w:sz w:val="20"/>
                <w:szCs w:val="20"/>
                <w:color w:val="auto"/>
              </w:rPr>
            </w:pPr>
            <w:r>
              <w:rPr>
                <w:rFonts w:ascii="Arial" w:cs="Arial" w:eastAsia="Arial" w:hAnsi="Arial"/>
                <w:sz w:val="18"/>
                <w:szCs w:val="18"/>
                <w:color w:val="6B6B6B"/>
              </w:rPr>
              <w:t>4</w:t>
            </w:r>
          </w:p>
        </w:tc>
      </w:tr>
      <w:tr>
        <w:trPr>
          <w:trHeight w:val="214"/>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6B6B6B"/>
                <w:w w:val="91"/>
              </w:rPr>
              <w:t>and expertise needed to successfully continue to oversee the</w:t>
            </w:r>
          </w:p>
        </w:tc>
        <w:tc>
          <w:tcPr>
            <w:tcW w:w="9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6B6B6B"/>
              </w:rPr>
              <w:t>implementation of Weatherford’s strategic plan for the</w:t>
            </w:r>
          </w:p>
        </w:tc>
        <w:tc>
          <w:tcPr>
            <w:tcW w:w="940" w:type="dxa"/>
            <w:vAlign w:val="bottom"/>
          </w:tcPr>
          <w:p>
            <w:pPr>
              <w:spacing w:after="0"/>
              <w:rPr>
                <w:sz w:val="18"/>
                <w:szCs w:val="18"/>
                <w:color w:val="auto"/>
              </w:rPr>
            </w:pPr>
          </w:p>
        </w:tc>
      </w:tr>
      <w:tr>
        <w:trPr>
          <w:trHeight w:val="235"/>
        </w:trPr>
        <w:tc>
          <w:tcPr>
            <w:tcW w:w="20" w:type="dxa"/>
            <w:vAlign w:val="bottom"/>
          </w:tcPr>
          <w:p>
            <w:pPr>
              <w:spacing w:after="0"/>
              <w:rPr>
                <w:sz w:val="20"/>
                <w:szCs w:val="20"/>
                <w:color w:val="auto"/>
              </w:rPr>
            </w:pPr>
          </w:p>
        </w:tc>
        <w:tc>
          <w:tcPr>
            <w:tcW w:w="180" w:type="dxa"/>
            <w:vAlign w:val="bottom"/>
            <w:tcBorders>
              <w:bottom w:val="single" w:sz="8" w:color="C6C6C6"/>
            </w:tcBorders>
          </w:tcPr>
          <w:p>
            <w:pPr>
              <w:spacing w:after="0"/>
              <w:rPr>
                <w:sz w:val="20"/>
                <w:szCs w:val="20"/>
                <w:color w:val="auto"/>
              </w:rPr>
            </w:pPr>
          </w:p>
        </w:tc>
        <w:tc>
          <w:tcPr>
            <w:tcW w:w="2660" w:type="dxa"/>
            <w:vAlign w:val="bottom"/>
            <w:tcBorders>
              <w:bottom w:val="single" w:sz="8" w:color="C6C6C6"/>
            </w:tcBorders>
          </w:tcPr>
          <w:p>
            <w:pPr>
              <w:spacing w:after="0"/>
              <w:rPr>
                <w:sz w:val="20"/>
                <w:szCs w:val="20"/>
                <w:color w:val="auto"/>
              </w:rPr>
            </w:pPr>
          </w:p>
        </w:tc>
        <w:tc>
          <w:tcPr>
            <w:tcW w:w="2140" w:type="dxa"/>
            <w:vAlign w:val="bottom"/>
            <w:tcBorders>
              <w:bottom w:val="single" w:sz="8" w:color="C6C6C6"/>
            </w:tcBorders>
          </w:tcPr>
          <w:p>
            <w:pPr>
              <w:spacing w:after="0"/>
              <w:rPr>
                <w:sz w:val="20"/>
                <w:szCs w:val="20"/>
                <w:color w:val="auto"/>
              </w:rPr>
            </w:pPr>
          </w:p>
        </w:tc>
        <w:tc>
          <w:tcPr>
            <w:tcW w:w="4960" w:type="dxa"/>
            <w:vAlign w:val="bottom"/>
            <w:tcBorders>
              <w:bottom w:val="single" w:sz="8" w:color="C6C6C6"/>
            </w:tcBorders>
          </w:tcPr>
          <w:p>
            <w:pPr>
              <w:ind w:left="460"/>
              <w:spacing w:after="0"/>
              <w:rPr>
                <w:sz w:val="20"/>
                <w:szCs w:val="20"/>
                <w:color w:val="auto"/>
              </w:rPr>
            </w:pPr>
            <w:r>
              <w:rPr>
                <w:rFonts w:ascii="Arial" w:cs="Arial" w:eastAsia="Arial" w:hAnsi="Arial"/>
                <w:sz w:val="18"/>
                <w:szCs w:val="18"/>
                <w:color w:val="6B6B6B"/>
                <w:w w:val="94"/>
              </w:rPr>
              <w:t>benefit of shareholders, employees, and other stakeholders</w:t>
            </w:r>
          </w:p>
        </w:tc>
        <w:tc>
          <w:tcPr>
            <w:tcW w:w="940" w:type="dxa"/>
            <w:vAlign w:val="bottom"/>
            <w:tcBorders>
              <w:bottom w:val="single" w:sz="8" w:color="C6C6C6"/>
            </w:tcBorders>
          </w:tcPr>
          <w:p>
            <w:pPr>
              <w:spacing w:after="0"/>
              <w:rPr>
                <w:sz w:val="20"/>
                <w:szCs w:val="20"/>
                <w:color w:val="auto"/>
              </w:rPr>
            </w:pPr>
          </w:p>
        </w:tc>
      </w:tr>
      <w:tr>
        <w:trPr>
          <w:trHeight w:val="239"/>
        </w:trPr>
        <w:tc>
          <w:tcPr>
            <w:tcW w:w="200" w:type="dxa"/>
            <w:vAlign w:val="bottom"/>
            <w:gridSpan w:val="2"/>
          </w:tcPr>
          <w:p>
            <w:pPr>
              <w:spacing w:after="0"/>
              <w:rPr>
                <w:sz w:val="20"/>
                <w:szCs w:val="20"/>
                <w:color w:val="auto"/>
              </w:rPr>
            </w:pPr>
            <w:r>
              <w:rPr>
                <w:rFonts w:ascii="Arial" w:cs="Arial" w:eastAsia="Arial" w:hAnsi="Arial"/>
                <w:sz w:val="18"/>
                <w:szCs w:val="18"/>
                <w:b w:val="1"/>
                <w:bCs w:val="1"/>
                <w:color w:val="CA0538"/>
              </w:rPr>
              <w:t>2.</w:t>
            </w:r>
          </w:p>
        </w:tc>
        <w:tc>
          <w:tcPr>
            <w:tcW w:w="2660" w:type="dxa"/>
            <w:vAlign w:val="bottom"/>
          </w:tcPr>
          <w:p>
            <w:pPr>
              <w:ind w:left="40"/>
              <w:spacing w:after="0"/>
              <w:rPr>
                <w:sz w:val="20"/>
                <w:szCs w:val="20"/>
                <w:color w:val="auto"/>
              </w:rPr>
            </w:pPr>
            <w:r>
              <w:rPr>
                <w:rFonts w:ascii="Arial" w:cs="Arial" w:eastAsia="Arial" w:hAnsi="Arial"/>
                <w:sz w:val="18"/>
                <w:szCs w:val="18"/>
                <w:color w:val="6B6B6B"/>
                <w:w w:val="94"/>
              </w:rPr>
              <w:t>Ratify appointment of Independent</w:t>
            </w:r>
          </w:p>
        </w:tc>
        <w:tc>
          <w:tcPr>
            <w:tcW w:w="2140" w:type="dxa"/>
            <w:vAlign w:val="bottom"/>
          </w:tcPr>
          <w:p>
            <w:pPr>
              <w:ind w:left="100"/>
              <w:spacing w:after="0"/>
              <w:rPr>
                <w:sz w:val="20"/>
                <w:szCs w:val="20"/>
                <w:color w:val="auto"/>
              </w:rPr>
            </w:pPr>
            <w:r>
              <w:rPr>
                <w:rFonts w:ascii="Arial" w:cs="Arial" w:eastAsia="Arial" w:hAnsi="Arial"/>
                <w:sz w:val="18"/>
                <w:szCs w:val="18"/>
                <w:b w:val="1"/>
                <w:bCs w:val="1"/>
                <w:color w:val="CA0538"/>
              </w:rPr>
              <w:t>FOR</w:t>
            </w:r>
          </w:p>
        </w:tc>
        <w:tc>
          <w:tcPr>
            <w:tcW w:w="4960" w:type="dxa"/>
            <w:vAlign w:val="bottom"/>
          </w:tcPr>
          <w:p>
            <w:pPr>
              <w:ind w:left="460"/>
              <w:spacing w:after="0"/>
              <w:rPr>
                <w:sz w:val="20"/>
                <w:szCs w:val="20"/>
                <w:color w:val="auto"/>
              </w:rPr>
            </w:pPr>
            <w:r>
              <w:rPr>
                <w:rFonts w:ascii="Arial" w:cs="Arial" w:eastAsia="Arial" w:hAnsi="Arial"/>
                <w:sz w:val="18"/>
                <w:szCs w:val="18"/>
                <w:color w:val="6B6B6B"/>
              </w:rPr>
              <w:t>Based on the recommendation of the Audit Committee</w:t>
            </w:r>
          </w:p>
        </w:tc>
        <w:tc>
          <w:tcPr>
            <w:tcW w:w="940" w:type="dxa"/>
            <w:vAlign w:val="bottom"/>
          </w:tcPr>
          <w:p>
            <w:pPr>
              <w:jc w:val="right"/>
              <w:spacing w:after="0"/>
              <w:rPr>
                <w:sz w:val="20"/>
                <w:szCs w:val="20"/>
                <w:color w:val="auto"/>
              </w:rPr>
            </w:pPr>
            <w:r>
              <w:rPr>
                <w:rFonts w:ascii="Arial" w:cs="Arial" w:eastAsia="Arial" w:hAnsi="Arial"/>
                <w:sz w:val="18"/>
                <w:szCs w:val="18"/>
                <w:color w:val="6B6B6B"/>
              </w:rPr>
              <w:t>16</w:t>
            </w:r>
          </w:p>
        </w:tc>
      </w:tr>
      <w:tr>
        <w:trPr>
          <w:trHeight w:val="214"/>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tcPr>
          <w:p>
            <w:pPr>
              <w:ind w:left="40"/>
              <w:spacing w:after="0"/>
              <w:rPr>
                <w:sz w:val="20"/>
                <w:szCs w:val="20"/>
                <w:color w:val="auto"/>
              </w:rPr>
            </w:pPr>
            <w:r>
              <w:rPr>
                <w:rFonts w:ascii="Arial" w:cs="Arial" w:eastAsia="Arial" w:hAnsi="Arial"/>
                <w:sz w:val="18"/>
                <w:szCs w:val="18"/>
                <w:color w:val="6B6B6B"/>
              </w:rPr>
              <w:t>Auditors and authorize auditors’</w:t>
            </w:r>
          </w:p>
        </w:tc>
        <w:tc>
          <w:tcPr>
            <w:tcW w:w="21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5"/>
        </w:trPr>
        <w:tc>
          <w:tcPr>
            <w:tcW w:w="20" w:type="dxa"/>
            <w:vAlign w:val="bottom"/>
          </w:tcPr>
          <w:p>
            <w:pPr>
              <w:spacing w:after="0"/>
              <w:rPr>
                <w:sz w:val="20"/>
                <w:szCs w:val="20"/>
                <w:color w:val="auto"/>
              </w:rPr>
            </w:pPr>
          </w:p>
        </w:tc>
        <w:tc>
          <w:tcPr>
            <w:tcW w:w="180" w:type="dxa"/>
            <w:vAlign w:val="bottom"/>
            <w:tcBorders>
              <w:bottom w:val="single" w:sz="8" w:color="C6C6C6"/>
            </w:tcBorders>
          </w:tcPr>
          <w:p>
            <w:pPr>
              <w:spacing w:after="0"/>
              <w:rPr>
                <w:sz w:val="20"/>
                <w:szCs w:val="20"/>
                <w:color w:val="auto"/>
              </w:rPr>
            </w:pPr>
          </w:p>
        </w:tc>
        <w:tc>
          <w:tcPr>
            <w:tcW w:w="2660" w:type="dxa"/>
            <w:vAlign w:val="bottom"/>
            <w:tcBorders>
              <w:bottom w:val="single" w:sz="8" w:color="C6C6C6"/>
            </w:tcBorders>
          </w:tcPr>
          <w:p>
            <w:pPr>
              <w:ind w:left="40"/>
              <w:spacing w:after="0"/>
              <w:rPr>
                <w:sz w:val="20"/>
                <w:szCs w:val="20"/>
                <w:color w:val="auto"/>
              </w:rPr>
            </w:pPr>
            <w:r>
              <w:rPr>
                <w:rFonts w:ascii="Arial" w:cs="Arial" w:eastAsia="Arial" w:hAnsi="Arial"/>
                <w:sz w:val="18"/>
                <w:szCs w:val="18"/>
                <w:color w:val="6B6B6B"/>
              </w:rPr>
              <w:t>remuneration</w:t>
            </w:r>
          </w:p>
        </w:tc>
        <w:tc>
          <w:tcPr>
            <w:tcW w:w="2140" w:type="dxa"/>
            <w:vAlign w:val="bottom"/>
            <w:tcBorders>
              <w:bottom w:val="single" w:sz="8" w:color="C6C6C6"/>
            </w:tcBorders>
          </w:tcPr>
          <w:p>
            <w:pPr>
              <w:spacing w:after="0"/>
              <w:rPr>
                <w:sz w:val="20"/>
                <w:szCs w:val="20"/>
                <w:color w:val="auto"/>
              </w:rPr>
            </w:pPr>
          </w:p>
        </w:tc>
        <w:tc>
          <w:tcPr>
            <w:tcW w:w="4960" w:type="dxa"/>
            <w:vAlign w:val="bottom"/>
            <w:tcBorders>
              <w:bottom w:val="single" w:sz="8" w:color="C6C6C6"/>
            </w:tcBorders>
          </w:tcPr>
          <w:p>
            <w:pPr>
              <w:spacing w:after="0"/>
              <w:rPr>
                <w:sz w:val="20"/>
                <w:szCs w:val="20"/>
                <w:color w:val="auto"/>
              </w:rPr>
            </w:pPr>
          </w:p>
        </w:tc>
        <w:tc>
          <w:tcPr>
            <w:tcW w:w="940" w:type="dxa"/>
            <w:vAlign w:val="bottom"/>
            <w:tcBorders>
              <w:bottom w:val="single" w:sz="8" w:color="C6C6C6"/>
            </w:tcBorders>
          </w:tcPr>
          <w:p>
            <w:pPr>
              <w:spacing w:after="0"/>
              <w:rPr>
                <w:sz w:val="20"/>
                <w:szCs w:val="20"/>
                <w:color w:val="auto"/>
              </w:rPr>
            </w:pPr>
          </w:p>
        </w:tc>
      </w:tr>
      <w:tr>
        <w:trPr>
          <w:trHeight w:val="239"/>
        </w:trPr>
        <w:tc>
          <w:tcPr>
            <w:tcW w:w="200" w:type="dxa"/>
            <w:vAlign w:val="bottom"/>
            <w:gridSpan w:val="2"/>
          </w:tcPr>
          <w:p>
            <w:pPr>
              <w:spacing w:after="0"/>
              <w:rPr>
                <w:sz w:val="20"/>
                <w:szCs w:val="20"/>
                <w:color w:val="auto"/>
              </w:rPr>
            </w:pPr>
            <w:r>
              <w:rPr>
                <w:rFonts w:ascii="Arial" w:cs="Arial" w:eastAsia="Arial" w:hAnsi="Arial"/>
                <w:sz w:val="18"/>
                <w:szCs w:val="18"/>
                <w:b w:val="1"/>
                <w:bCs w:val="1"/>
                <w:color w:val="CA0538"/>
              </w:rPr>
              <w:t>3.</w:t>
            </w:r>
          </w:p>
        </w:tc>
        <w:tc>
          <w:tcPr>
            <w:tcW w:w="2660" w:type="dxa"/>
            <w:vAlign w:val="bottom"/>
          </w:tcPr>
          <w:p>
            <w:pPr>
              <w:ind w:left="40"/>
              <w:spacing w:after="0"/>
              <w:rPr>
                <w:sz w:val="20"/>
                <w:szCs w:val="20"/>
                <w:color w:val="auto"/>
              </w:rPr>
            </w:pPr>
            <w:r>
              <w:rPr>
                <w:rFonts w:ascii="Arial" w:cs="Arial" w:eastAsia="Arial" w:hAnsi="Arial"/>
                <w:sz w:val="18"/>
                <w:szCs w:val="18"/>
                <w:color w:val="6B6B6B"/>
                <w:w w:val="98"/>
              </w:rPr>
              <w:t>Approve executive compensation</w:t>
            </w:r>
          </w:p>
        </w:tc>
        <w:tc>
          <w:tcPr>
            <w:tcW w:w="2140" w:type="dxa"/>
            <w:vAlign w:val="bottom"/>
          </w:tcPr>
          <w:p>
            <w:pPr>
              <w:ind w:left="100"/>
              <w:spacing w:after="0"/>
              <w:rPr>
                <w:sz w:val="20"/>
                <w:szCs w:val="20"/>
                <w:color w:val="auto"/>
              </w:rPr>
            </w:pPr>
            <w:r>
              <w:rPr>
                <w:rFonts w:ascii="Arial" w:cs="Arial" w:eastAsia="Arial" w:hAnsi="Arial"/>
                <w:sz w:val="18"/>
                <w:szCs w:val="18"/>
                <w:b w:val="1"/>
                <w:bCs w:val="1"/>
                <w:color w:val="CA0538"/>
              </w:rPr>
              <w:t>FOR</w:t>
            </w:r>
          </w:p>
        </w:tc>
        <w:tc>
          <w:tcPr>
            <w:tcW w:w="4960" w:type="dxa"/>
            <w:vAlign w:val="bottom"/>
          </w:tcPr>
          <w:p>
            <w:pPr>
              <w:ind w:left="460"/>
              <w:spacing w:after="0"/>
              <w:rPr>
                <w:sz w:val="20"/>
                <w:szCs w:val="20"/>
                <w:color w:val="auto"/>
              </w:rPr>
            </w:pPr>
            <w:r>
              <w:rPr>
                <w:rFonts w:ascii="Arial" w:cs="Arial" w:eastAsia="Arial" w:hAnsi="Arial"/>
                <w:sz w:val="18"/>
                <w:szCs w:val="18"/>
                <w:color w:val="6B6B6B"/>
                <w:w w:val="95"/>
              </w:rPr>
              <w:t>The Board believes Weatherford’s executive compensation</w:t>
            </w:r>
          </w:p>
        </w:tc>
        <w:tc>
          <w:tcPr>
            <w:tcW w:w="940" w:type="dxa"/>
            <w:vAlign w:val="bottom"/>
          </w:tcPr>
          <w:p>
            <w:pPr>
              <w:jc w:val="right"/>
              <w:spacing w:after="0"/>
              <w:rPr>
                <w:sz w:val="20"/>
                <w:szCs w:val="20"/>
                <w:color w:val="auto"/>
              </w:rPr>
            </w:pPr>
            <w:r>
              <w:rPr>
                <w:rFonts w:ascii="Arial" w:cs="Arial" w:eastAsia="Arial" w:hAnsi="Arial"/>
                <w:sz w:val="18"/>
                <w:szCs w:val="18"/>
                <w:color w:val="6B6B6B"/>
              </w:rPr>
              <w:t>18</w:t>
            </w:r>
          </w:p>
        </w:tc>
      </w:tr>
      <w:tr>
        <w:trPr>
          <w:trHeight w:val="214"/>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8"/>
                <w:szCs w:val="18"/>
                <w:color w:val="6B6B6B"/>
              </w:rPr>
              <w:t>program effectively aligns executive compensation with</w:t>
            </w:r>
          </w:p>
        </w:tc>
        <w:tc>
          <w:tcPr>
            <w:tcW w:w="940" w:type="dxa"/>
            <w:vAlign w:val="bottom"/>
          </w:tcPr>
          <w:p>
            <w:pPr>
              <w:spacing w:after="0"/>
              <w:rPr>
                <w:sz w:val="18"/>
                <w:szCs w:val="18"/>
                <w:color w:val="auto"/>
              </w:rPr>
            </w:pPr>
          </w:p>
        </w:tc>
      </w:tr>
      <w:tr>
        <w:trPr>
          <w:trHeight w:val="235"/>
        </w:trPr>
        <w:tc>
          <w:tcPr>
            <w:tcW w:w="20" w:type="dxa"/>
            <w:vAlign w:val="bottom"/>
          </w:tcPr>
          <w:p>
            <w:pPr>
              <w:spacing w:after="0"/>
              <w:rPr>
                <w:sz w:val="20"/>
                <w:szCs w:val="20"/>
                <w:color w:val="auto"/>
              </w:rPr>
            </w:pPr>
          </w:p>
        </w:tc>
        <w:tc>
          <w:tcPr>
            <w:tcW w:w="180" w:type="dxa"/>
            <w:vAlign w:val="bottom"/>
            <w:tcBorders>
              <w:bottom w:val="single" w:sz="8" w:color="C6C6C6"/>
            </w:tcBorders>
          </w:tcPr>
          <w:p>
            <w:pPr>
              <w:spacing w:after="0"/>
              <w:rPr>
                <w:sz w:val="20"/>
                <w:szCs w:val="20"/>
                <w:color w:val="auto"/>
              </w:rPr>
            </w:pPr>
          </w:p>
        </w:tc>
        <w:tc>
          <w:tcPr>
            <w:tcW w:w="2660" w:type="dxa"/>
            <w:vAlign w:val="bottom"/>
            <w:tcBorders>
              <w:bottom w:val="single" w:sz="8" w:color="C6C6C6"/>
            </w:tcBorders>
          </w:tcPr>
          <w:p>
            <w:pPr>
              <w:spacing w:after="0"/>
              <w:rPr>
                <w:sz w:val="20"/>
                <w:szCs w:val="20"/>
                <w:color w:val="auto"/>
              </w:rPr>
            </w:pPr>
          </w:p>
        </w:tc>
        <w:tc>
          <w:tcPr>
            <w:tcW w:w="2140" w:type="dxa"/>
            <w:vAlign w:val="bottom"/>
            <w:tcBorders>
              <w:bottom w:val="single" w:sz="8" w:color="C6C6C6"/>
            </w:tcBorders>
          </w:tcPr>
          <w:p>
            <w:pPr>
              <w:spacing w:after="0"/>
              <w:rPr>
                <w:sz w:val="20"/>
                <w:szCs w:val="20"/>
                <w:color w:val="auto"/>
              </w:rPr>
            </w:pPr>
          </w:p>
        </w:tc>
        <w:tc>
          <w:tcPr>
            <w:tcW w:w="4960" w:type="dxa"/>
            <w:vAlign w:val="bottom"/>
            <w:tcBorders>
              <w:bottom w:val="single" w:sz="8" w:color="C6C6C6"/>
            </w:tcBorders>
          </w:tcPr>
          <w:p>
            <w:pPr>
              <w:ind w:left="460"/>
              <w:spacing w:after="0"/>
              <w:rPr>
                <w:sz w:val="20"/>
                <w:szCs w:val="20"/>
                <w:color w:val="auto"/>
              </w:rPr>
            </w:pPr>
            <w:r>
              <w:rPr>
                <w:rFonts w:ascii="Arial" w:cs="Arial" w:eastAsia="Arial" w:hAnsi="Arial"/>
                <w:sz w:val="18"/>
                <w:szCs w:val="18"/>
                <w:color w:val="6B6B6B"/>
              </w:rPr>
              <w:t>performance</w:t>
            </w:r>
          </w:p>
        </w:tc>
        <w:tc>
          <w:tcPr>
            <w:tcW w:w="940" w:type="dxa"/>
            <w:vAlign w:val="bottom"/>
            <w:tcBorders>
              <w:bottom w:val="single" w:sz="8" w:color="C6C6C6"/>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152400</wp:posOffset>
            </wp:positionV>
            <wp:extent cx="6917690" cy="703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17690" cy="703580"/>
                    </a:xfrm>
                    <a:prstGeom prst="rect">
                      <a:avLst/>
                    </a:prstGeom>
                    <a:noFill/>
                  </pic:spPr>
                </pic:pic>
              </a:graphicData>
            </a:graphic>
          </wp:anchor>
        </w:drawing>
      </w:r>
    </w:p>
    <w:p>
      <w:pPr>
        <w:spacing w:after="0" w:line="339" w:lineRule="exact"/>
        <w:rPr>
          <w:sz w:val="20"/>
          <w:szCs w:val="20"/>
          <w:color w:val="auto"/>
        </w:rPr>
      </w:pPr>
    </w:p>
    <w:p>
      <w:pPr>
        <w:ind w:left="500"/>
        <w:spacing w:after="0"/>
        <w:rPr>
          <w:sz w:val="20"/>
          <w:szCs w:val="20"/>
          <w:color w:val="auto"/>
        </w:rPr>
      </w:pPr>
      <w:r>
        <w:rPr>
          <w:rFonts w:ascii="Arial" w:cs="Arial" w:eastAsia="Arial" w:hAnsi="Arial"/>
          <w:sz w:val="43"/>
          <w:szCs w:val="43"/>
          <w:b w:val="1"/>
          <w:bCs w:val="1"/>
          <w:color w:val="FFFFFF"/>
        </w:rPr>
        <w:t>VOTING DEADLINE</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FFFFFF"/>
        </w:rPr>
        <w:t>5:59 a.m. Central European Time on April 26, 2018 (11:59 p.m. Eastern Time on April 25, 2018)</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33"/>
          <w:szCs w:val="33"/>
          <w:color w:val="575756"/>
        </w:rPr>
        <w:t>Voting instructions for shareholders of record and beneficial shareholders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7"/>
          <w:szCs w:val="17"/>
          <w:color w:val="575756"/>
        </w:rPr>
        <w:t>You may vote using one of the following options. In all cases, have your proxy card or voting instructions form in hand and follow the instructions.</w:t>
      </w:r>
    </w:p>
    <w:p>
      <w:pPr>
        <w:sectPr>
          <w:pgSz w:w="11900" w:h="16838" w:orient="portrait"/>
          <w:cols w:equalWidth="0" w:num="1">
            <w:col w:w="11160"/>
          </w:cols>
          <w:pgMar w:left="240" w:top="455" w:right="499" w:bottom="1440" w:gutter="0" w:footer="0" w:header="0"/>
        </w:sectPr>
      </w:pPr>
    </w:p>
    <w:p>
      <w:pPr>
        <w:spacing w:after="0" w:line="241" w:lineRule="exact"/>
        <w:rPr>
          <w:sz w:val="20"/>
          <w:szCs w:val="20"/>
          <w:color w:val="auto"/>
        </w:rPr>
      </w:pPr>
    </w:p>
    <w:p>
      <w:pPr>
        <w:ind w:left="1160"/>
        <w:spacing w:after="0"/>
        <w:rPr>
          <w:sz w:val="20"/>
          <w:szCs w:val="20"/>
          <w:color w:val="auto"/>
        </w:rPr>
      </w:pPr>
      <w:r>
        <w:rPr>
          <w:rFonts w:ascii="Arial" w:cs="Arial" w:eastAsia="Arial" w:hAnsi="Arial"/>
          <w:sz w:val="28"/>
          <w:szCs w:val="28"/>
          <w:b w:val="1"/>
          <w:bCs w:val="1"/>
          <w:color w:val="CA0538"/>
        </w:rPr>
        <w:t>By mail</w:t>
      </w:r>
    </w:p>
    <w:p>
      <w:pPr>
        <w:spacing w:after="0" w:line="110" w:lineRule="exact"/>
        <w:rPr>
          <w:sz w:val="20"/>
          <w:szCs w:val="20"/>
          <w:color w:val="auto"/>
        </w:rPr>
      </w:pPr>
    </w:p>
    <w:p>
      <w:pPr>
        <w:ind w:left="1160" w:right="260"/>
        <w:spacing w:after="0" w:line="334" w:lineRule="auto"/>
        <w:rPr>
          <w:sz w:val="20"/>
          <w:szCs w:val="20"/>
          <w:color w:val="auto"/>
        </w:rPr>
      </w:pPr>
      <w:r>
        <w:rPr>
          <w:rFonts w:ascii="Arial" w:cs="Arial" w:eastAsia="Arial" w:hAnsi="Arial"/>
          <w:sz w:val="16"/>
          <w:szCs w:val="16"/>
          <w:color w:val="575756"/>
        </w:rPr>
        <w:t>Follow the instructions to mark, sign, and date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-306705</wp:posOffset>
            </wp:positionV>
            <wp:extent cx="466090" cy="449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6090" cy="449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28"/>
          <w:szCs w:val="28"/>
          <w:b w:val="1"/>
          <w:bCs w:val="1"/>
          <w:color w:val="CA0538"/>
        </w:rPr>
        <w:t>By phone</w:t>
      </w:r>
    </w:p>
    <w:p>
      <w:pPr>
        <w:spacing w:after="0" w:line="110" w:lineRule="exact"/>
        <w:rPr>
          <w:sz w:val="20"/>
          <w:szCs w:val="20"/>
          <w:color w:val="auto"/>
        </w:rPr>
      </w:pPr>
    </w:p>
    <w:p>
      <w:pPr>
        <w:ind w:right="1180"/>
        <w:spacing w:after="0" w:line="259" w:lineRule="auto"/>
        <w:rPr>
          <w:sz w:val="20"/>
          <w:szCs w:val="20"/>
          <w:color w:val="auto"/>
        </w:rPr>
      </w:pPr>
      <w:r>
        <w:rPr>
          <w:rFonts w:ascii="Arial" w:cs="Arial" w:eastAsia="Arial" w:hAnsi="Arial"/>
          <w:sz w:val="18"/>
          <w:szCs w:val="18"/>
          <w:color w:val="575756"/>
        </w:rPr>
        <w:t>Use any touch-tone telephone to transmit your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-415925</wp:posOffset>
            </wp:positionV>
            <wp:extent cx="262890" cy="4578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2890" cy="45783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25"/>
          <w:szCs w:val="25"/>
          <w:b w:val="1"/>
          <w:bCs w:val="1"/>
          <w:color w:val="CA0538"/>
        </w:rPr>
        <w:t>1-800-690-6903</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28"/>
          <w:szCs w:val="28"/>
          <w:b w:val="1"/>
          <w:bCs w:val="1"/>
          <w:color w:val="CA0538"/>
        </w:rPr>
        <w:t>By internet</w:t>
      </w:r>
    </w:p>
    <w:p>
      <w:pPr>
        <w:spacing w:after="0" w:line="110" w:lineRule="exact"/>
        <w:rPr>
          <w:sz w:val="20"/>
          <w:szCs w:val="20"/>
          <w:color w:val="auto"/>
        </w:rPr>
      </w:pPr>
    </w:p>
    <w:p>
      <w:pPr>
        <w:ind w:right="420"/>
        <w:spacing w:after="0" w:line="270" w:lineRule="auto"/>
        <w:rPr>
          <w:sz w:val="20"/>
          <w:szCs w:val="20"/>
          <w:color w:val="auto"/>
        </w:rPr>
      </w:pPr>
      <w:r>
        <w:rPr>
          <w:rFonts w:ascii="Arial" w:cs="Arial" w:eastAsia="Arial" w:hAnsi="Arial"/>
          <w:sz w:val="18"/>
          <w:szCs w:val="18"/>
          <w:color w:val="6B6B6B"/>
        </w:rPr>
        <w:t>Use the internet to transmit your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-277495</wp:posOffset>
            </wp:positionV>
            <wp:extent cx="754380" cy="449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54380" cy="44958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23"/>
          <w:szCs w:val="23"/>
          <w:b w:val="1"/>
          <w:bCs w:val="1"/>
          <w:color w:val="CA0538"/>
        </w:rPr>
        <w:t>www.proxyvote.com</w:t>
      </w:r>
    </w:p>
    <w:p>
      <w:pPr>
        <w:spacing w:after="0" w:line="436" w:lineRule="exact"/>
        <w:rPr>
          <w:sz w:val="20"/>
          <w:szCs w:val="20"/>
          <w:color w:val="auto"/>
        </w:rPr>
      </w:pPr>
    </w:p>
    <w:p>
      <w:pPr>
        <w:sectPr>
          <w:pgSz w:w="11900" w:h="16838" w:orient="portrait"/>
          <w:cols w:equalWidth="0" w:num="3">
            <w:col w:w="3700" w:space="720"/>
            <w:col w:w="3300" w:space="720"/>
            <w:col w:w="2720"/>
          </w:cols>
          <w:pgMar w:left="240" w:top="455" w:right="499" w:bottom="1440" w:gutter="0" w:footer="0" w:header="0"/>
          <w:type w:val="continuous"/>
        </w:sectPr>
      </w:pPr>
    </w:p>
    <w:p>
      <w:pPr>
        <w:spacing w:after="0" w:line="41" w:lineRule="exact"/>
        <w:rPr>
          <w:sz w:val="20"/>
          <w:szCs w:val="20"/>
          <w:color w:val="auto"/>
        </w:rPr>
      </w:pPr>
    </w:p>
    <w:p>
      <w:pPr>
        <w:ind w:left="260"/>
        <w:spacing w:after="0"/>
        <w:rPr>
          <w:sz w:val="20"/>
          <w:szCs w:val="20"/>
          <w:color w:val="auto"/>
        </w:rPr>
      </w:pPr>
      <w:r>
        <w:rPr>
          <w:rFonts w:ascii="Arial" w:cs="Arial" w:eastAsia="Arial" w:hAnsi="Arial"/>
          <w:sz w:val="36"/>
          <w:szCs w:val="36"/>
          <w:color w:val="575756"/>
        </w:rPr>
        <w:t>Shareholder Feedback</w:t>
      </w:r>
    </w:p>
    <w:p>
      <w:pPr>
        <w:spacing w:after="0" w:line="81" w:lineRule="exact"/>
        <w:rPr>
          <w:sz w:val="20"/>
          <w:szCs w:val="20"/>
          <w:color w:val="auto"/>
        </w:rPr>
      </w:pPr>
    </w:p>
    <w:p>
      <w:pPr>
        <w:jc w:val="both"/>
        <w:ind w:left="260" w:right="180"/>
        <w:spacing w:after="0" w:line="259" w:lineRule="auto"/>
        <w:rPr>
          <w:sz w:val="20"/>
          <w:szCs w:val="20"/>
          <w:color w:val="auto"/>
        </w:rPr>
      </w:pPr>
      <w:r>
        <w:rPr>
          <w:rFonts w:ascii="Arial" w:cs="Arial" w:eastAsia="Arial" w:hAnsi="Arial"/>
          <w:sz w:val="18"/>
          <w:szCs w:val="18"/>
          <w:color w:val="575756"/>
        </w:rPr>
        <w:t xml:space="preserve">Feedback from our shareholders is important to us and considered carefully. Your Board will be available at the Annual General Meeting to respond to any questions shareholders may raise regarding our activities. Once again, we invite interested parties to submit feedback through our Annual General Meeting website, </w:t>
      </w:r>
      <w:r>
        <w:rPr>
          <w:rFonts w:ascii="Arial" w:cs="Arial" w:eastAsia="Arial" w:hAnsi="Arial"/>
          <w:sz w:val="18"/>
          <w:szCs w:val="18"/>
          <w:b w:val="1"/>
          <w:bCs w:val="1"/>
          <w:color w:val="575756"/>
        </w:rPr>
        <w:t>www.weatherfordannualmeeting.com</w:t>
      </w:r>
      <w:r>
        <w:rPr>
          <w:rFonts w:ascii="Arial" w:cs="Arial" w:eastAsia="Arial" w:hAnsi="Arial"/>
          <w:sz w:val="18"/>
          <w:szCs w:val="18"/>
          <w:color w:val="57575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92075</wp:posOffset>
            </wp:positionV>
            <wp:extent cx="69176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4"/>
          <w:szCs w:val="14"/>
          <w:color w:val="878787"/>
        </w:rPr>
        <w:t xml:space="preserve">Weatherford International plc – 2018 Proxy Statement </w:t>
      </w:r>
      <w:r>
        <w:rPr>
          <w:rFonts w:ascii="Arial" w:cs="Arial" w:eastAsia="Arial" w:hAnsi="Arial"/>
          <w:sz w:val="14"/>
          <w:szCs w:val="14"/>
          <w:b w:val="1"/>
          <w:bCs w:val="1"/>
          <w:color w:val="878787"/>
        </w:rPr>
        <w:t>III</w:t>
      </w:r>
    </w:p>
    <w:p>
      <w:pPr>
        <w:sectPr>
          <w:pgSz w:w="11900" w:h="16838" w:orient="portrait"/>
          <w:cols w:equalWidth="0" w:num="1">
            <w:col w:w="11160"/>
          </w:cols>
          <w:pgMar w:left="240" w:top="455" w:right="49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79" w:lineRule="exact"/>
        <w:rPr>
          <w:sz w:val="20"/>
          <w:szCs w:val="20"/>
          <w:color w:val="auto"/>
        </w:rPr>
      </w:pPr>
    </w:p>
    <w:p>
      <w:pPr>
        <w:ind w:left="260"/>
        <w:spacing w:after="0"/>
        <w:rPr>
          <w:sz w:val="20"/>
          <w:szCs w:val="20"/>
          <w:color w:val="auto"/>
        </w:rPr>
      </w:pPr>
      <w:r>
        <w:rPr>
          <w:rFonts w:ascii="Arial" w:cs="Arial" w:eastAsia="Arial" w:hAnsi="Arial"/>
          <w:sz w:val="64"/>
          <w:szCs w:val="64"/>
          <w:color w:val="3C3C45"/>
        </w:rPr>
        <w:t>A MESSAGE FROM YOUR</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64"/>
          <w:szCs w:val="64"/>
          <w:b w:val="1"/>
          <w:bCs w:val="1"/>
          <w:color w:val="3C3C45"/>
        </w:rPr>
        <w:t>BOARD OF DIRECTORS</w:t>
      </w:r>
    </w:p>
    <w:p>
      <w:pPr>
        <w:spacing w:after="0" w:line="261" w:lineRule="exact"/>
        <w:rPr>
          <w:sz w:val="20"/>
          <w:szCs w:val="20"/>
          <w:color w:val="auto"/>
        </w:rPr>
      </w:pPr>
    </w:p>
    <w:p>
      <w:pPr>
        <w:ind w:left="260"/>
        <w:spacing w:after="0"/>
        <w:rPr>
          <w:sz w:val="20"/>
          <w:szCs w:val="20"/>
          <w:color w:val="auto"/>
        </w:rPr>
      </w:pPr>
      <w:r>
        <w:rPr>
          <w:rFonts w:ascii="Arial" w:cs="Arial" w:eastAsia="Arial" w:hAnsi="Arial"/>
          <w:sz w:val="37"/>
          <w:szCs w:val="37"/>
          <w:b w:val="1"/>
          <w:bCs w:val="1"/>
          <w:color w:val="CA0538"/>
        </w:rPr>
        <w:t>To our Fellow Shareholders,</w:t>
      </w:r>
    </w:p>
    <w:p>
      <w:pPr>
        <w:spacing w:after="0" w:line="133" w:lineRule="exact"/>
        <w:rPr>
          <w:sz w:val="20"/>
          <w:szCs w:val="20"/>
          <w:color w:val="auto"/>
        </w:rPr>
      </w:pPr>
    </w:p>
    <w:p>
      <w:pPr>
        <w:ind w:left="260" w:right="240"/>
        <w:spacing w:after="0" w:line="311" w:lineRule="auto"/>
        <w:rPr>
          <w:sz w:val="20"/>
          <w:szCs w:val="20"/>
          <w:color w:val="auto"/>
        </w:rPr>
      </w:pPr>
      <w:r>
        <w:rPr>
          <w:rFonts w:ascii="Arial" w:cs="Arial" w:eastAsia="Arial" w:hAnsi="Arial"/>
          <w:sz w:val="17"/>
          <w:szCs w:val="17"/>
          <w:color w:val="575756"/>
        </w:rPr>
        <w:t>2017 has been an important year for Weatherford. We have taken significant steps to strengthen our organization, welcomed new management and directors, and laid the foundation to achieve sustainable growth. Weatherford’s ongoing transformation has kept the Board busy, and the Company has responded with energy, skill, and application. Together, we have already made considerable progress.</w:t>
      </w:r>
    </w:p>
    <w:p>
      <w:pPr>
        <w:sectPr>
          <w:pgSz w:w="11900" w:h="16838" w:orient="portrait"/>
          <w:cols w:equalWidth="0" w:num="1">
            <w:col w:w="11140"/>
          </w:cols>
          <w:pgMar w:left="240" w:top="455" w:right="519" w:bottom="1440" w:gutter="0" w:footer="0" w:header="0"/>
        </w:sectPr>
      </w:pPr>
    </w:p>
    <w:p>
      <w:pPr>
        <w:spacing w:after="0" w:line="107" w:lineRule="exact"/>
        <w:rPr>
          <w:sz w:val="20"/>
          <w:szCs w:val="20"/>
          <w:color w:val="auto"/>
        </w:rPr>
      </w:pPr>
    </w:p>
    <w:p>
      <w:pPr>
        <w:ind w:left="260"/>
        <w:spacing w:after="0"/>
        <w:rPr>
          <w:sz w:val="20"/>
          <w:szCs w:val="20"/>
          <w:color w:val="auto"/>
        </w:rPr>
      </w:pPr>
      <w:r>
        <w:rPr>
          <w:rFonts w:ascii="Arial" w:cs="Arial" w:eastAsia="Arial" w:hAnsi="Arial"/>
          <w:sz w:val="37"/>
          <w:szCs w:val="37"/>
          <w:color w:val="3C3C3B"/>
        </w:rPr>
        <w:t>New Leadership</w:t>
      </w:r>
    </w:p>
    <w:p>
      <w:pPr>
        <w:spacing w:after="0" w:line="163" w:lineRule="exact"/>
        <w:rPr>
          <w:sz w:val="20"/>
          <w:szCs w:val="20"/>
          <w:color w:val="auto"/>
        </w:rPr>
      </w:pPr>
    </w:p>
    <w:p>
      <w:pPr>
        <w:ind w:left="260"/>
        <w:spacing w:after="0" w:line="270" w:lineRule="auto"/>
        <w:rPr>
          <w:sz w:val="20"/>
          <w:szCs w:val="20"/>
          <w:color w:val="auto"/>
        </w:rPr>
      </w:pPr>
      <w:r>
        <w:rPr>
          <w:rFonts w:ascii="Arial" w:cs="Arial" w:eastAsia="Arial" w:hAnsi="Arial"/>
          <w:sz w:val="18"/>
          <w:szCs w:val="18"/>
          <w:color w:val="575756"/>
        </w:rPr>
        <w:t>In April 2017, Mark A. McCollum took over as President and Chief Executive Officer. In short order, he began reshaping Weatherford’s culture, management team, and structure to create a more cost-efficient, process-oriented, standardized, and disciplined organization. Mark’s appointment is the most visible of a series of substantial changes aimed at strengthening and enhancing our Company to ensure long-term stability, profitability, and growth.</w:t>
      </w:r>
    </w:p>
    <w:p>
      <w:pPr>
        <w:spacing w:after="0" w:line="100" w:lineRule="exact"/>
        <w:rPr>
          <w:sz w:val="20"/>
          <w:szCs w:val="20"/>
          <w:color w:val="auto"/>
        </w:rPr>
      </w:pPr>
    </w:p>
    <w:p>
      <w:pPr>
        <w:ind w:left="260" w:right="20"/>
        <w:spacing w:after="0" w:line="269" w:lineRule="auto"/>
        <w:rPr>
          <w:sz w:val="20"/>
          <w:szCs w:val="20"/>
          <w:color w:val="auto"/>
        </w:rPr>
      </w:pPr>
      <w:r>
        <w:rPr>
          <w:rFonts w:ascii="Arial" w:cs="Arial" w:eastAsia="Arial" w:hAnsi="Arial"/>
          <w:sz w:val="18"/>
          <w:szCs w:val="18"/>
          <w:color w:val="575756"/>
        </w:rPr>
        <w:t>At some point, most companies go through periods of transition, and a capacity to evolve and develop is fundamental to successful world-class organizations. The critical issue for leaders is to identify the necessary improvements, acknowledge the scale of required change, and manage these adjustments in a measurable and timely fashion. With our capable management team, which, under Mark’s leadership, is infused with renewed focus and drive, we look forward to aligning our top priorities with our vision for the future success of our Company.</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37"/>
          <w:szCs w:val="37"/>
          <w:color w:val="3C3C3B"/>
        </w:rPr>
        <w:t>Board Refreshment</w:t>
      </w:r>
    </w:p>
    <w:p>
      <w:pPr>
        <w:spacing w:after="0" w:line="16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575756"/>
        </w:rPr>
        <w:t>In line with the Company’s ongoing transformation, the structure of Weatherford’s Board changed significantly over the past year. Concurrent with the departure of our former CEO, we separated the roles of Chairman and CEO and appointed William E. Macaulay as the Independent Chairman of the Board. We believe these decisions will increase our Board’s independence and lead to stronger monitoring and oversight.</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8"/>
          <w:szCs w:val="18"/>
          <w:color w:val="575756"/>
        </w:rPr>
        <w:t>Additionally, we were pleased to welcome Roxanne J. Decyk, David S. King, and Angela A. Minas as Independent Directors in 2017 and 2018. They bring valuable industry and leadership experience to our Board, as well as fresh perspective. Since 2013, we have appointed eight new Directors to our Board and as a result, the average tenure of the Director nominees at our 2018 Annual Meeting is 4.4 years. Current directors David Butters and Robert Moses will not be standing for re-election in 2018. We are grateful for all they have contributed to Weatherford during their many years of service.</w:t>
      </w:r>
    </w:p>
    <w:p>
      <w:pPr>
        <w:spacing w:after="0" w:line="203" w:lineRule="exact"/>
        <w:rPr>
          <w:sz w:val="20"/>
          <w:szCs w:val="20"/>
          <w:color w:val="auto"/>
        </w:rPr>
      </w:pPr>
    </w:p>
    <w:p>
      <w:pPr>
        <w:sectPr>
          <w:pgSz w:w="11900" w:h="16838" w:orient="portrait"/>
          <w:cols w:equalWidth="0" w:num="2">
            <w:col w:w="5460" w:space="360"/>
            <w:col w:w="5320"/>
          </w:cols>
          <w:pgMar w:left="240" w:top="455" w:right="519" w:bottom="1440" w:gutter="0" w:footer="0" w:header="0"/>
          <w:type w:val="continuous"/>
        </w:sectPr>
      </w:pPr>
    </w:p>
    <w:p>
      <w:pPr>
        <w:spacing w:after="0" w:line="20" w:lineRule="exact"/>
        <w:rPr>
          <w:sz w:val="20"/>
          <w:szCs w:val="20"/>
          <w:color w:val="auto"/>
        </w:rPr>
      </w:pPr>
    </w:p>
    <w:p>
      <w:pPr>
        <w:ind w:left="260"/>
        <w:spacing w:after="0"/>
        <w:rPr>
          <w:sz w:val="20"/>
          <w:szCs w:val="20"/>
          <w:color w:val="auto"/>
        </w:rPr>
      </w:pPr>
      <w:r>
        <w:rPr>
          <w:rFonts w:ascii="Arial" w:cs="Arial" w:eastAsia="Arial" w:hAnsi="Arial"/>
          <w:sz w:val="37"/>
          <w:szCs w:val="37"/>
          <w:color w:val="3C3C3B"/>
        </w:rPr>
        <w:t>2017 Strategic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173355</wp:posOffset>
            </wp:positionV>
            <wp:extent cx="516890" cy="6953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6890" cy="69532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182245</wp:posOffset>
            </wp:positionV>
            <wp:extent cx="720725" cy="686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725" cy="686435"/>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283845</wp:posOffset>
            </wp:positionV>
            <wp:extent cx="695325" cy="5848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5325" cy="584835"/>
                    </a:xfrm>
                    <a:prstGeom prst="rect">
                      <a:avLst/>
                    </a:prstGeom>
                    <a:noFill/>
                  </pic:spPr>
                </pic:pic>
              </a:graphicData>
            </a:graphic>
          </wp:anchor>
        </w:drawing>
        <w:drawing>
          <wp:anchor simplePos="0" relativeHeight="251657728" behindDoc="1" locked="0" layoutInCell="0" allowOverlap="1">
            <wp:simplePos x="0" y="0"/>
            <wp:positionH relativeFrom="column">
              <wp:posOffset>4810760</wp:posOffset>
            </wp:positionH>
            <wp:positionV relativeFrom="paragraph">
              <wp:posOffset>266700</wp:posOffset>
            </wp:positionV>
            <wp:extent cx="703580" cy="601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3580" cy="601980"/>
                    </a:xfrm>
                    <a:prstGeom prst="rect">
                      <a:avLst/>
                    </a:prstGeom>
                    <a:noFill/>
                  </pic:spPr>
                </pic:pic>
              </a:graphicData>
            </a:graphic>
          </wp:anchor>
        </w:drawing>
        <w:drawing>
          <wp:anchor simplePos="0" relativeHeight="251657728" behindDoc="1" locked="0" layoutInCell="0" allowOverlap="1">
            <wp:simplePos x="0" y="0"/>
            <wp:positionH relativeFrom="column">
              <wp:posOffset>6141720</wp:posOffset>
            </wp:positionH>
            <wp:positionV relativeFrom="paragraph">
              <wp:posOffset>182245</wp:posOffset>
            </wp:positionV>
            <wp:extent cx="720725" cy="686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725" cy="686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1780" w:type="dxa"/>
            <w:vAlign w:val="bottom"/>
          </w:tcPr>
          <w:p>
            <w:pPr>
              <w:jc w:val="center"/>
              <w:ind w:right="282"/>
              <w:spacing w:after="0"/>
              <w:rPr>
                <w:sz w:val="20"/>
                <w:szCs w:val="20"/>
                <w:color w:val="auto"/>
              </w:rPr>
            </w:pPr>
            <w:r>
              <w:rPr>
                <w:rFonts w:ascii="Arial" w:cs="Arial" w:eastAsia="Arial" w:hAnsi="Arial"/>
                <w:sz w:val="20"/>
                <w:szCs w:val="20"/>
                <w:b w:val="1"/>
                <w:bCs w:val="1"/>
                <w:color w:val="575756"/>
              </w:rPr>
              <w:t>WELCOMED</w:t>
            </w:r>
          </w:p>
        </w:tc>
        <w:tc>
          <w:tcPr>
            <w:tcW w:w="2420" w:type="dxa"/>
            <w:vAlign w:val="bottom"/>
          </w:tcPr>
          <w:p>
            <w:pPr>
              <w:jc w:val="center"/>
              <w:ind w:left="31"/>
              <w:spacing w:after="0"/>
              <w:rPr>
                <w:sz w:val="20"/>
                <w:szCs w:val="20"/>
                <w:color w:val="auto"/>
              </w:rPr>
            </w:pPr>
            <w:r>
              <w:rPr>
                <w:rFonts w:ascii="Arial" w:cs="Arial" w:eastAsia="Arial" w:hAnsi="Arial"/>
                <w:sz w:val="20"/>
                <w:szCs w:val="20"/>
                <w:b w:val="1"/>
                <w:bCs w:val="1"/>
                <w:color w:val="CA0538"/>
                <w:w w:val="99"/>
              </w:rPr>
              <w:t>REDUCED</w:t>
            </w:r>
          </w:p>
        </w:tc>
        <w:tc>
          <w:tcPr>
            <w:tcW w:w="2240" w:type="dxa"/>
            <w:vAlign w:val="bottom"/>
          </w:tcPr>
          <w:p>
            <w:pPr>
              <w:jc w:val="center"/>
              <w:ind w:right="42"/>
              <w:spacing w:after="0"/>
              <w:rPr>
                <w:sz w:val="20"/>
                <w:szCs w:val="20"/>
                <w:color w:val="auto"/>
              </w:rPr>
            </w:pPr>
            <w:r>
              <w:rPr>
                <w:rFonts w:ascii="Arial" w:cs="Arial" w:eastAsia="Arial" w:hAnsi="Arial"/>
                <w:sz w:val="20"/>
                <w:szCs w:val="20"/>
                <w:b w:val="1"/>
                <w:bCs w:val="1"/>
                <w:color w:val="575756"/>
              </w:rPr>
              <w:t>COMPLETED</w:t>
            </w:r>
          </w:p>
        </w:tc>
        <w:tc>
          <w:tcPr>
            <w:tcW w:w="1980" w:type="dxa"/>
            <w:vAlign w:val="bottom"/>
          </w:tcPr>
          <w:p>
            <w:pPr>
              <w:jc w:val="center"/>
              <w:spacing w:after="0"/>
              <w:rPr>
                <w:sz w:val="20"/>
                <w:szCs w:val="20"/>
                <w:color w:val="auto"/>
              </w:rPr>
            </w:pPr>
            <w:r>
              <w:rPr>
                <w:rFonts w:ascii="Arial" w:cs="Arial" w:eastAsia="Arial" w:hAnsi="Arial"/>
                <w:sz w:val="20"/>
                <w:szCs w:val="20"/>
                <w:b w:val="1"/>
                <w:bCs w:val="1"/>
                <w:color w:val="575756"/>
                <w:w w:val="98"/>
              </w:rPr>
              <w:t>ENHANCED</w:t>
            </w:r>
          </w:p>
        </w:tc>
        <w:tc>
          <w:tcPr>
            <w:tcW w:w="1740" w:type="dxa"/>
            <w:vAlign w:val="bottom"/>
          </w:tcPr>
          <w:p>
            <w:pPr>
              <w:jc w:val="center"/>
              <w:ind w:left="362"/>
              <w:spacing w:after="0"/>
              <w:rPr>
                <w:sz w:val="20"/>
                <w:szCs w:val="20"/>
                <w:color w:val="auto"/>
              </w:rPr>
            </w:pPr>
            <w:r>
              <w:rPr>
                <w:rFonts w:ascii="Arial" w:cs="Arial" w:eastAsia="Arial" w:hAnsi="Arial"/>
                <w:sz w:val="20"/>
                <w:szCs w:val="20"/>
                <w:b w:val="1"/>
                <w:bCs w:val="1"/>
                <w:color w:val="575756"/>
              </w:rPr>
              <w:t>COMPLETED</w:t>
            </w:r>
          </w:p>
        </w:tc>
      </w:tr>
      <w:tr>
        <w:trPr>
          <w:trHeight w:val="227"/>
        </w:trPr>
        <w:tc>
          <w:tcPr>
            <w:tcW w:w="1780" w:type="dxa"/>
            <w:vAlign w:val="bottom"/>
          </w:tcPr>
          <w:p>
            <w:pPr>
              <w:jc w:val="center"/>
              <w:ind w:right="302"/>
              <w:spacing w:after="0" w:line="227" w:lineRule="exact"/>
              <w:rPr>
                <w:sz w:val="20"/>
                <w:szCs w:val="20"/>
                <w:color w:val="auto"/>
              </w:rPr>
            </w:pPr>
            <w:r>
              <w:rPr>
                <w:rFonts w:ascii="Arial" w:cs="Arial" w:eastAsia="Arial" w:hAnsi="Arial"/>
                <w:sz w:val="20"/>
                <w:szCs w:val="20"/>
                <w:b w:val="1"/>
                <w:bCs w:val="1"/>
                <w:color w:val="575756"/>
                <w:w w:val="98"/>
              </w:rPr>
              <w:t>A NEW</w:t>
            </w:r>
          </w:p>
        </w:tc>
        <w:tc>
          <w:tcPr>
            <w:tcW w:w="2420" w:type="dxa"/>
            <w:vAlign w:val="bottom"/>
          </w:tcPr>
          <w:p>
            <w:pPr>
              <w:jc w:val="center"/>
              <w:ind w:left="31"/>
              <w:spacing w:after="0" w:line="227" w:lineRule="exact"/>
              <w:rPr>
                <w:sz w:val="20"/>
                <w:szCs w:val="20"/>
                <w:color w:val="auto"/>
              </w:rPr>
            </w:pPr>
            <w:r>
              <w:rPr>
                <w:rFonts w:ascii="Arial" w:cs="Arial" w:eastAsia="Arial" w:hAnsi="Arial"/>
                <w:sz w:val="20"/>
                <w:szCs w:val="20"/>
                <w:b w:val="1"/>
                <w:bCs w:val="1"/>
                <w:color w:val="CA0538"/>
                <w:w w:val="99"/>
              </w:rPr>
              <w:t>NONPRODUCTIVE</w:t>
            </w:r>
          </w:p>
        </w:tc>
        <w:tc>
          <w:tcPr>
            <w:tcW w:w="2240" w:type="dxa"/>
            <w:vAlign w:val="bottom"/>
          </w:tcPr>
          <w:p>
            <w:pPr>
              <w:jc w:val="center"/>
              <w:ind w:right="62"/>
              <w:spacing w:after="0" w:line="227" w:lineRule="exact"/>
              <w:rPr>
                <w:sz w:val="20"/>
                <w:szCs w:val="20"/>
                <w:color w:val="auto"/>
              </w:rPr>
            </w:pPr>
            <w:r>
              <w:rPr>
                <w:rFonts w:ascii="Arial" w:cs="Arial" w:eastAsia="Arial" w:hAnsi="Arial"/>
                <w:sz w:val="20"/>
                <w:szCs w:val="20"/>
                <w:b w:val="1"/>
                <w:bCs w:val="1"/>
                <w:color w:val="CA0538"/>
              </w:rPr>
              <w:t>ORGANIZATION</w:t>
            </w:r>
          </w:p>
        </w:tc>
        <w:tc>
          <w:tcPr>
            <w:tcW w:w="1980" w:type="dxa"/>
            <w:vAlign w:val="bottom"/>
          </w:tcPr>
          <w:p>
            <w:pPr>
              <w:jc w:val="center"/>
              <w:spacing w:after="0" w:line="227" w:lineRule="exact"/>
              <w:rPr>
                <w:sz w:val="20"/>
                <w:szCs w:val="20"/>
                <w:color w:val="auto"/>
              </w:rPr>
            </w:pPr>
            <w:r>
              <w:rPr>
                <w:rFonts w:ascii="Arial" w:cs="Arial" w:eastAsia="Arial" w:hAnsi="Arial"/>
                <w:sz w:val="20"/>
                <w:szCs w:val="20"/>
                <w:b w:val="1"/>
                <w:bCs w:val="1"/>
                <w:color w:val="CA0538"/>
                <w:w w:val="95"/>
              </w:rPr>
              <w:t>BOARD</w:t>
            </w:r>
          </w:p>
        </w:tc>
        <w:tc>
          <w:tcPr>
            <w:tcW w:w="1740" w:type="dxa"/>
            <w:vAlign w:val="bottom"/>
          </w:tcPr>
          <w:p>
            <w:pPr>
              <w:jc w:val="center"/>
              <w:ind w:left="362"/>
              <w:spacing w:after="0" w:line="227" w:lineRule="exact"/>
              <w:rPr>
                <w:sz w:val="20"/>
                <w:szCs w:val="20"/>
                <w:color w:val="auto"/>
              </w:rPr>
            </w:pPr>
            <w:r>
              <w:rPr>
                <w:rFonts w:ascii="Arial" w:cs="Arial" w:eastAsia="Arial" w:hAnsi="Arial"/>
                <w:sz w:val="20"/>
                <w:szCs w:val="20"/>
                <w:b w:val="1"/>
                <w:bCs w:val="1"/>
                <w:color w:val="CA0538"/>
                <w:w w:val="99"/>
              </w:rPr>
              <w:t>NON-CORE</w:t>
            </w:r>
          </w:p>
        </w:tc>
      </w:tr>
      <w:tr>
        <w:trPr>
          <w:trHeight w:val="236"/>
        </w:trPr>
        <w:tc>
          <w:tcPr>
            <w:tcW w:w="1780" w:type="dxa"/>
            <w:vAlign w:val="bottom"/>
          </w:tcPr>
          <w:p>
            <w:pPr>
              <w:jc w:val="center"/>
              <w:ind w:right="282"/>
              <w:spacing w:after="0"/>
              <w:rPr>
                <w:sz w:val="20"/>
                <w:szCs w:val="20"/>
                <w:color w:val="auto"/>
              </w:rPr>
            </w:pPr>
            <w:r>
              <w:rPr>
                <w:rFonts w:ascii="Arial" w:cs="Arial" w:eastAsia="Arial" w:hAnsi="Arial"/>
                <w:sz w:val="20"/>
                <w:szCs w:val="20"/>
                <w:b w:val="1"/>
                <w:bCs w:val="1"/>
                <w:color w:val="CA0538"/>
                <w:w w:val="97"/>
              </w:rPr>
              <w:t>CEO AND COO</w:t>
            </w:r>
          </w:p>
        </w:tc>
        <w:tc>
          <w:tcPr>
            <w:tcW w:w="2420" w:type="dxa"/>
            <w:vAlign w:val="bottom"/>
          </w:tcPr>
          <w:p>
            <w:pPr>
              <w:jc w:val="center"/>
              <w:ind w:left="31"/>
              <w:spacing w:after="0"/>
              <w:rPr>
                <w:sz w:val="20"/>
                <w:szCs w:val="20"/>
                <w:color w:val="auto"/>
              </w:rPr>
            </w:pPr>
            <w:r>
              <w:rPr>
                <w:rFonts w:ascii="Arial" w:cs="Arial" w:eastAsia="Arial" w:hAnsi="Arial"/>
                <w:sz w:val="20"/>
                <w:szCs w:val="20"/>
                <w:b w:val="1"/>
                <w:bCs w:val="1"/>
                <w:color w:val="CA0538"/>
              </w:rPr>
              <w:t>TIME 23% YOY</w:t>
            </w:r>
          </w:p>
        </w:tc>
        <w:tc>
          <w:tcPr>
            <w:tcW w:w="2240" w:type="dxa"/>
            <w:vAlign w:val="bottom"/>
          </w:tcPr>
          <w:p>
            <w:pPr>
              <w:jc w:val="center"/>
              <w:ind w:right="42"/>
              <w:spacing w:after="0"/>
              <w:rPr>
                <w:sz w:val="20"/>
                <w:szCs w:val="20"/>
                <w:color w:val="auto"/>
              </w:rPr>
            </w:pPr>
            <w:r>
              <w:rPr>
                <w:rFonts w:ascii="Arial" w:cs="Arial" w:eastAsia="Arial" w:hAnsi="Arial"/>
                <w:sz w:val="20"/>
                <w:szCs w:val="20"/>
                <w:b w:val="1"/>
                <w:bCs w:val="1"/>
                <w:color w:val="CA0538"/>
              </w:rPr>
              <w:t>REALIGNMENT</w:t>
            </w:r>
          </w:p>
        </w:tc>
        <w:tc>
          <w:tcPr>
            <w:tcW w:w="1980" w:type="dxa"/>
            <w:vAlign w:val="bottom"/>
          </w:tcPr>
          <w:p>
            <w:pPr>
              <w:jc w:val="center"/>
              <w:spacing w:after="0"/>
              <w:rPr>
                <w:sz w:val="20"/>
                <w:szCs w:val="20"/>
                <w:color w:val="auto"/>
              </w:rPr>
            </w:pPr>
            <w:r>
              <w:rPr>
                <w:rFonts w:ascii="Arial" w:cs="Arial" w:eastAsia="Arial" w:hAnsi="Arial"/>
                <w:sz w:val="20"/>
                <w:szCs w:val="20"/>
                <w:b w:val="1"/>
                <w:bCs w:val="1"/>
                <w:color w:val="CA0538"/>
              </w:rPr>
              <w:t>DIVERSITY</w:t>
            </w:r>
          </w:p>
        </w:tc>
        <w:tc>
          <w:tcPr>
            <w:tcW w:w="1740" w:type="dxa"/>
            <w:vAlign w:val="bottom"/>
          </w:tcPr>
          <w:p>
            <w:pPr>
              <w:jc w:val="center"/>
              <w:ind w:left="342"/>
              <w:spacing w:after="0"/>
              <w:rPr>
                <w:sz w:val="20"/>
                <w:szCs w:val="20"/>
                <w:color w:val="auto"/>
              </w:rPr>
            </w:pPr>
            <w:r>
              <w:rPr>
                <w:rFonts w:ascii="Arial" w:cs="Arial" w:eastAsia="Arial" w:hAnsi="Arial"/>
                <w:sz w:val="20"/>
                <w:szCs w:val="20"/>
                <w:b w:val="1"/>
                <w:bCs w:val="1"/>
                <w:color w:val="CA0538"/>
                <w:w w:val="93"/>
              </w:rPr>
              <w:t>ASSET SALE</w:t>
            </w:r>
          </w:p>
        </w:tc>
      </w:tr>
      <w:tr>
        <w:trPr>
          <w:trHeight w:val="157"/>
        </w:trPr>
        <w:tc>
          <w:tcPr>
            <w:tcW w:w="1780" w:type="dxa"/>
            <w:vAlign w:val="bottom"/>
          </w:tcPr>
          <w:p>
            <w:pPr>
              <w:spacing w:after="0"/>
              <w:rPr>
                <w:sz w:val="13"/>
                <w:szCs w:val="13"/>
                <w:color w:val="auto"/>
              </w:rPr>
            </w:pPr>
          </w:p>
        </w:tc>
        <w:tc>
          <w:tcPr>
            <w:tcW w:w="2420" w:type="dxa"/>
            <w:vAlign w:val="bottom"/>
          </w:tcPr>
          <w:p>
            <w:pPr>
              <w:jc w:val="center"/>
              <w:ind w:left="31"/>
              <w:spacing w:after="0"/>
              <w:rPr>
                <w:sz w:val="20"/>
                <w:szCs w:val="20"/>
                <w:color w:val="auto"/>
              </w:rPr>
            </w:pPr>
            <w:r>
              <w:rPr>
                <w:rFonts w:ascii="Arial" w:cs="Arial" w:eastAsia="Arial" w:hAnsi="Arial"/>
                <w:sz w:val="12"/>
                <w:szCs w:val="12"/>
                <w:color w:val="575756"/>
                <w:w w:val="94"/>
              </w:rPr>
              <w:t>(Per 1,000 operating hours)</w:t>
            </w:r>
          </w:p>
        </w:tc>
        <w:tc>
          <w:tcPr>
            <w:tcW w:w="22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7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113030</wp:posOffset>
            </wp:positionV>
            <wp:extent cx="69176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82" w:lineRule="exact"/>
        <w:rPr>
          <w:sz w:val="20"/>
          <w:szCs w:val="20"/>
          <w:color w:val="auto"/>
        </w:rPr>
      </w:pPr>
    </w:p>
    <w:p>
      <w:pPr>
        <w:ind w:left="260"/>
        <w:spacing w:after="0"/>
        <w:rPr>
          <w:sz w:val="20"/>
          <w:szCs w:val="20"/>
          <w:color w:val="auto"/>
        </w:rPr>
      </w:pPr>
      <w:r>
        <w:rPr>
          <w:rFonts w:ascii="Arial" w:cs="Arial" w:eastAsia="Arial" w:hAnsi="Arial"/>
          <w:sz w:val="14"/>
          <w:szCs w:val="14"/>
          <w:color w:val="878787"/>
        </w:rPr>
        <w:t xml:space="preserve">Weatherford International plc – 2018 Proxy Statement </w:t>
      </w:r>
      <w:r>
        <w:rPr>
          <w:rFonts w:ascii="Arial" w:cs="Arial" w:eastAsia="Arial" w:hAnsi="Arial"/>
          <w:sz w:val="14"/>
          <w:szCs w:val="14"/>
          <w:b w:val="1"/>
          <w:bCs w:val="1"/>
          <w:color w:val="878787"/>
        </w:rPr>
        <w:t>IV</w:t>
      </w:r>
    </w:p>
    <w:p>
      <w:pPr>
        <w:sectPr>
          <w:pgSz w:w="11900" w:h="16838" w:orient="portrait"/>
          <w:cols w:equalWidth="0" w:num="1">
            <w:col w:w="11140"/>
          </w:cols>
          <w:pgMar w:left="240" w:top="455" w:right="519" w:bottom="1440" w:gutter="0" w:footer="0" w:header="0"/>
          <w:type w:val="continuous"/>
        </w:sectPr>
      </w:pPr>
    </w:p>
    <w:bookmarkStart w:id="6" w:name="page7"/>
    <w:bookmarkEnd w:id="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160"/>
          </w:cols>
          <w:pgMar w:left="240" w:top="45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0"/>
        <w:spacing w:after="0"/>
        <w:rPr>
          <w:sz w:val="20"/>
          <w:szCs w:val="20"/>
          <w:color w:val="auto"/>
        </w:rPr>
      </w:pPr>
      <w:r>
        <w:rPr>
          <w:rFonts w:ascii="Arial" w:cs="Arial" w:eastAsia="Arial" w:hAnsi="Arial"/>
          <w:sz w:val="37"/>
          <w:szCs w:val="37"/>
          <w:color w:val="3C3C3B"/>
        </w:rPr>
        <w:t>Living by Our Core Values</w:t>
      </w:r>
    </w:p>
    <w:p>
      <w:pPr>
        <w:spacing w:after="0" w:line="96" w:lineRule="exact"/>
        <w:rPr>
          <w:sz w:val="20"/>
          <w:szCs w:val="20"/>
          <w:color w:val="auto"/>
        </w:rPr>
      </w:pPr>
    </w:p>
    <w:p>
      <w:pPr>
        <w:ind w:left="260"/>
        <w:spacing w:after="0" w:line="267" w:lineRule="auto"/>
        <w:rPr>
          <w:sz w:val="20"/>
          <w:szCs w:val="20"/>
          <w:color w:val="auto"/>
        </w:rPr>
      </w:pPr>
      <w:r>
        <w:rPr>
          <w:rFonts w:ascii="Arial" w:cs="Arial" w:eastAsia="Arial" w:hAnsi="Arial"/>
          <w:sz w:val="18"/>
          <w:szCs w:val="18"/>
          <w:color w:val="575756"/>
        </w:rPr>
        <w:t>Values are central to the direction and strength of a company and provide the guiding principles to inspire employees and promote engagement. Last year, we took a pivotal step in enhancing our organizational health by introducing our Company’s mission and core values, reinvigorating the “One Weatherford” spirit. Our core values unite employees around a common culture, and the One Weatherford mentality encourages them to put these values into action and work as a united team. From the office to the field, you will hear employees affirm “individually, we are impressive but together we are unstoppable — we are One Weatherford.” We are encouraged to see these concepts become embedded in our business. Our mission, core values, and One Weatherford spirit are presented in more detail in the following proxy summary.</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37"/>
          <w:szCs w:val="37"/>
          <w:color w:val="3C3C3B"/>
        </w:rPr>
        <w:t>The Weatherford Opportunity</w:t>
      </w:r>
    </w:p>
    <w:p>
      <w:pPr>
        <w:spacing w:after="0" w:line="83" w:lineRule="exact"/>
        <w:rPr>
          <w:sz w:val="20"/>
          <w:szCs w:val="20"/>
          <w:color w:val="auto"/>
        </w:rPr>
      </w:pPr>
    </w:p>
    <w:p>
      <w:pPr>
        <w:ind w:left="260" w:right="60"/>
        <w:spacing w:after="0" w:line="275" w:lineRule="auto"/>
        <w:rPr>
          <w:sz w:val="20"/>
          <w:szCs w:val="20"/>
          <w:color w:val="auto"/>
        </w:rPr>
      </w:pPr>
      <w:r>
        <w:rPr>
          <w:rFonts w:ascii="Arial" w:cs="Arial" w:eastAsia="Arial" w:hAnsi="Arial"/>
          <w:sz w:val="18"/>
          <w:szCs w:val="18"/>
          <w:color w:val="575756"/>
        </w:rPr>
        <w:t>Ours is a technology-adept company with outstanding operational effectiveness and a competitive portfolio that we can extend into key markets. We understand what it means to orient a business around our customers, with whom we share strong collaborative relationships across the world.</w:t>
      </w:r>
    </w:p>
    <w:p>
      <w:pPr>
        <w:spacing w:after="0" w:line="16" w:lineRule="exact"/>
        <w:rPr>
          <w:sz w:val="20"/>
          <w:szCs w:val="20"/>
          <w:color w:val="auto"/>
        </w:rPr>
      </w:pPr>
    </w:p>
    <w:p>
      <w:pPr>
        <w:ind w:left="260" w:right="220"/>
        <w:spacing w:after="0" w:line="243" w:lineRule="auto"/>
        <w:rPr>
          <w:sz w:val="20"/>
          <w:szCs w:val="20"/>
          <w:color w:val="auto"/>
        </w:rPr>
      </w:pPr>
      <w:r>
        <w:rPr>
          <w:rFonts w:ascii="Arial" w:cs="Arial" w:eastAsia="Arial" w:hAnsi="Arial"/>
          <w:sz w:val="20"/>
          <w:szCs w:val="20"/>
          <w:color w:val="575756"/>
        </w:rPr>
        <w:t>There is a tremendous amount of opportunity to unlock within Weatherford. We recognize the value of being adaptable and we embrace change — a characteristic essential to our long-term 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575756"/>
        </w:rPr>
        <w:t>We are not waiting for a macro-level economic shift to strengthen our results; rather, we are focused on improving our financial performance independent of market conditions. Our top priority is to strengthen our balance sheet, with a goal to cut our debt ratios in half by the end of 2019. This achievement will allow us to seize opportunities and grow as a company.</w:t>
      </w:r>
    </w:p>
    <w:p>
      <w:pPr>
        <w:spacing w:after="0" w:line="34"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575756"/>
        </w:rPr>
        <w:t>Accordingly, we have a detailed strategy to generate $1 billion in improved earnings over the next 18 to 24 months. As a part of this strategy, we are redefining the way our business operates across operations, supply chain, manufacturing, sales, and functional support. We are also undertaking a significant evaluation of all of our product and service lines to align our portfolio with our long-term vision. Going forward, Weatherford will be a more focused and streamlined organization, with a culture defined by quality performance, discipline, and accountability. Although such transformational work takes time, it is yielding tangible results, and we remain committed to maximizing returns for our shareholders.</w:t>
      </w:r>
    </w:p>
    <w:p>
      <w:pPr>
        <w:spacing w:after="0" w:line="56" w:lineRule="exact"/>
        <w:rPr>
          <w:sz w:val="20"/>
          <w:szCs w:val="20"/>
          <w:color w:val="auto"/>
        </w:rPr>
      </w:pPr>
    </w:p>
    <w:p>
      <w:pPr>
        <w:spacing w:after="0"/>
        <w:rPr>
          <w:sz w:val="20"/>
          <w:szCs w:val="20"/>
          <w:color w:val="auto"/>
        </w:rPr>
      </w:pPr>
      <w:r>
        <w:rPr>
          <w:rFonts w:ascii="Arial" w:cs="Arial" w:eastAsia="Arial" w:hAnsi="Arial"/>
          <w:sz w:val="37"/>
          <w:szCs w:val="37"/>
          <w:color w:val="3C3C3B"/>
        </w:rPr>
        <w:t>Our Commitment</w:t>
      </w:r>
    </w:p>
    <w:p>
      <w:pPr>
        <w:spacing w:after="0" w:line="8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575756"/>
        </w:rPr>
        <w:t>Weatherford delivers innovative technologies and services designed to meet the world’s current and future energy needs in a safe, ethical, and sustainable manner. The services we offer are vital to many of the world’s leading energy companies. You can be assured that as stewards of your Company, we will utilize Weatherford’s unique resources and assets to deliver sustainable and profitable growth for all of our stakeholders.</w:t>
      </w:r>
    </w:p>
    <w:p>
      <w:pPr>
        <w:spacing w:after="0" w:line="216" w:lineRule="exact"/>
        <w:rPr>
          <w:sz w:val="20"/>
          <w:szCs w:val="20"/>
          <w:color w:val="auto"/>
        </w:rPr>
      </w:pPr>
    </w:p>
    <w:p>
      <w:pPr>
        <w:sectPr>
          <w:pgSz w:w="11900" w:h="16838" w:orient="portrait"/>
          <w:cols w:equalWidth="0" w:num="2">
            <w:col w:w="5480" w:space="340"/>
            <w:col w:w="5340"/>
          </w:cols>
          <w:pgMar w:left="240" w:top="455" w:right="499" w:bottom="1440" w:gutter="0" w:footer="0" w:header="0"/>
          <w:type w:val="continuous"/>
        </w:sectPr>
      </w:pPr>
    </w:p>
    <w:p>
      <w:pPr>
        <w:spacing w:after="0" w:line="327" w:lineRule="exact"/>
        <w:rPr>
          <w:sz w:val="20"/>
          <w:szCs w:val="20"/>
          <w:color w:val="auto"/>
        </w:rPr>
      </w:pPr>
    </w:p>
    <w:p>
      <w:pPr>
        <w:ind w:left="1840"/>
        <w:spacing w:after="0"/>
        <w:rPr>
          <w:sz w:val="20"/>
          <w:szCs w:val="20"/>
          <w:color w:val="auto"/>
        </w:rPr>
      </w:pPr>
      <w:r>
        <w:rPr>
          <w:rFonts w:ascii="Arial" w:cs="Arial" w:eastAsia="Arial" w:hAnsi="Arial"/>
          <w:sz w:val="21"/>
          <w:szCs w:val="21"/>
          <w:b w:val="1"/>
          <w:bCs w:val="1"/>
          <w:color w:val="575756"/>
        </w:rPr>
        <w:t>We thank you for your support and we look forward to our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398145</wp:posOffset>
            </wp:positionV>
            <wp:extent cx="932815" cy="1949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2815" cy="194945"/>
                    </a:xfrm>
                    <a:prstGeom prst="rect">
                      <a:avLst/>
                    </a:prstGeom>
                    <a:noFill/>
                  </pic:spPr>
                </pic:pic>
              </a:graphicData>
            </a:graphic>
          </wp:anchor>
        </w:drawing>
        <w:drawing>
          <wp:anchor simplePos="0" relativeHeight="251657728" behindDoc="1" locked="0" layoutInCell="0" allowOverlap="1">
            <wp:simplePos x="0" y="0"/>
            <wp:positionH relativeFrom="column">
              <wp:posOffset>2573020</wp:posOffset>
            </wp:positionH>
            <wp:positionV relativeFrom="paragraph">
              <wp:posOffset>245745</wp:posOffset>
            </wp:positionV>
            <wp:extent cx="4382770" cy="3473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82770" cy="34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0"/>
        <w:spacing w:after="0"/>
        <w:tabs>
          <w:tab w:leader="none" w:pos="2260" w:val="left"/>
          <w:tab w:leader="none" w:pos="4060" w:val="left"/>
          <w:tab w:leader="none" w:pos="6060" w:val="left"/>
          <w:tab w:leader="none" w:pos="7800" w:val="left"/>
          <w:tab w:leader="none" w:pos="9680" w:val="left"/>
        </w:tabs>
        <w:rPr>
          <w:sz w:val="20"/>
          <w:szCs w:val="20"/>
          <w:color w:val="auto"/>
        </w:rPr>
      </w:pPr>
      <w:r>
        <w:rPr>
          <w:rFonts w:ascii="Arial" w:cs="Arial" w:eastAsia="Arial" w:hAnsi="Arial"/>
          <w:sz w:val="16"/>
          <w:szCs w:val="16"/>
          <w:color w:val="CA0538"/>
        </w:rPr>
        <w:t>Mohamed A. Awad</w:t>
      </w:r>
      <w:r>
        <w:rPr>
          <w:sz w:val="20"/>
          <w:szCs w:val="20"/>
          <w:color w:val="auto"/>
        </w:rPr>
        <w:tab/>
      </w:r>
      <w:r>
        <w:rPr>
          <w:rFonts w:ascii="Arial" w:cs="Arial" w:eastAsia="Arial" w:hAnsi="Arial"/>
          <w:sz w:val="16"/>
          <w:szCs w:val="16"/>
          <w:color w:val="CA0538"/>
        </w:rPr>
        <w:t>David J. Butters</w:t>
      </w:r>
      <w:r>
        <w:rPr>
          <w:sz w:val="20"/>
          <w:szCs w:val="20"/>
          <w:color w:val="auto"/>
        </w:rPr>
        <w:tab/>
      </w:r>
      <w:r>
        <w:rPr>
          <w:rFonts w:ascii="Arial" w:cs="Arial" w:eastAsia="Arial" w:hAnsi="Arial"/>
          <w:sz w:val="16"/>
          <w:szCs w:val="16"/>
          <w:color w:val="CA0538"/>
        </w:rPr>
        <w:t>Roxanne J. Decyk</w:t>
      </w:r>
      <w:r>
        <w:rPr>
          <w:sz w:val="20"/>
          <w:szCs w:val="20"/>
          <w:color w:val="auto"/>
        </w:rPr>
        <w:tab/>
      </w:r>
      <w:r>
        <w:rPr>
          <w:rFonts w:ascii="Arial" w:cs="Arial" w:eastAsia="Arial" w:hAnsi="Arial"/>
          <w:sz w:val="16"/>
          <w:szCs w:val="16"/>
          <w:color w:val="CA0538"/>
        </w:rPr>
        <w:t>John D. Gass</w:t>
      </w:r>
      <w:r>
        <w:rPr>
          <w:sz w:val="20"/>
          <w:szCs w:val="20"/>
          <w:color w:val="auto"/>
        </w:rPr>
        <w:tab/>
      </w:r>
      <w:r>
        <w:rPr>
          <w:rFonts w:ascii="Arial" w:cs="Arial" w:eastAsia="Arial" w:hAnsi="Arial"/>
          <w:sz w:val="16"/>
          <w:szCs w:val="16"/>
          <w:color w:val="CA0538"/>
        </w:rPr>
        <w:t>Emyr Jones Parry</w:t>
      </w:r>
      <w:r>
        <w:rPr>
          <w:sz w:val="20"/>
          <w:szCs w:val="20"/>
          <w:color w:val="auto"/>
        </w:rPr>
        <w:tab/>
      </w:r>
      <w:r>
        <w:rPr>
          <w:rFonts w:ascii="Arial" w:cs="Arial" w:eastAsia="Arial" w:hAnsi="Arial"/>
          <w:sz w:val="14"/>
          <w:szCs w:val="14"/>
          <w:color w:val="CA0538"/>
        </w:rPr>
        <w:t>Francis S. Kalman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92710</wp:posOffset>
            </wp:positionV>
            <wp:extent cx="6527800" cy="440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27800" cy="44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80"/>
        <w:spacing w:after="0"/>
        <w:tabs>
          <w:tab w:leader="none" w:pos="2100" w:val="left"/>
          <w:tab w:leader="none" w:pos="4000" w:val="left"/>
          <w:tab w:leader="none" w:pos="5940" w:val="left"/>
          <w:tab w:leader="none" w:pos="7720" w:val="left"/>
          <w:tab w:leader="none" w:pos="9760" w:val="left"/>
        </w:tabs>
        <w:rPr>
          <w:sz w:val="20"/>
          <w:szCs w:val="20"/>
          <w:color w:val="auto"/>
        </w:rPr>
      </w:pPr>
      <w:r>
        <w:rPr>
          <w:rFonts w:ascii="Arial" w:cs="Arial" w:eastAsia="Arial" w:hAnsi="Arial"/>
          <w:sz w:val="16"/>
          <w:szCs w:val="16"/>
          <w:color w:val="CA0538"/>
        </w:rPr>
        <w:t>David S. King</w:t>
      </w:r>
      <w:r>
        <w:rPr>
          <w:sz w:val="20"/>
          <w:szCs w:val="20"/>
          <w:color w:val="auto"/>
        </w:rPr>
        <w:tab/>
      </w:r>
      <w:r>
        <w:rPr>
          <w:rFonts w:ascii="Arial" w:cs="Arial" w:eastAsia="Arial" w:hAnsi="Arial"/>
          <w:sz w:val="16"/>
          <w:szCs w:val="16"/>
          <w:color w:val="CA0538"/>
        </w:rPr>
        <w:t>William E. Macaulay</w:t>
      </w:r>
      <w:r>
        <w:rPr>
          <w:sz w:val="20"/>
          <w:szCs w:val="20"/>
          <w:color w:val="auto"/>
        </w:rPr>
        <w:tab/>
      </w:r>
      <w:r>
        <w:rPr>
          <w:rFonts w:ascii="Arial" w:cs="Arial" w:eastAsia="Arial" w:hAnsi="Arial"/>
          <w:sz w:val="16"/>
          <w:szCs w:val="16"/>
          <w:color w:val="CA0538"/>
        </w:rPr>
        <w:t>Mark A. McCollum</w:t>
      </w:r>
      <w:r>
        <w:rPr>
          <w:sz w:val="20"/>
          <w:szCs w:val="20"/>
          <w:color w:val="auto"/>
        </w:rPr>
        <w:tab/>
      </w:r>
      <w:r>
        <w:rPr>
          <w:rFonts w:ascii="Arial" w:cs="Arial" w:eastAsia="Arial" w:hAnsi="Arial"/>
          <w:sz w:val="16"/>
          <w:szCs w:val="16"/>
          <w:color w:val="CA0538"/>
        </w:rPr>
        <w:t>Angela A. Minas</w:t>
      </w:r>
      <w:r>
        <w:rPr>
          <w:sz w:val="20"/>
          <w:szCs w:val="20"/>
          <w:color w:val="auto"/>
        </w:rPr>
        <w:tab/>
      </w:r>
      <w:r>
        <w:rPr>
          <w:rFonts w:ascii="Arial" w:cs="Arial" w:eastAsia="Arial" w:hAnsi="Arial"/>
          <w:sz w:val="16"/>
          <w:szCs w:val="16"/>
          <w:color w:val="CA0538"/>
        </w:rPr>
        <w:t>Robert K. Moses, Jr.</w:t>
      </w:r>
      <w:r>
        <w:rPr>
          <w:sz w:val="20"/>
          <w:szCs w:val="20"/>
          <w:color w:val="auto"/>
        </w:rPr>
        <w:tab/>
      </w:r>
      <w:r>
        <w:rPr>
          <w:rFonts w:ascii="Arial" w:cs="Arial" w:eastAsia="Arial" w:hAnsi="Arial"/>
          <w:sz w:val="15"/>
          <w:szCs w:val="15"/>
          <w:color w:val="CA0538"/>
        </w:rPr>
        <w:t>Guillermo Ortiz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118110</wp:posOffset>
            </wp:positionV>
            <wp:extent cx="69176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color w:val="878787"/>
        </w:rPr>
        <w:t xml:space="preserve">Weatherford International plc – 2018 Proxy Statement </w:t>
      </w:r>
      <w:r>
        <w:rPr>
          <w:rFonts w:ascii="Arial" w:cs="Arial" w:eastAsia="Arial" w:hAnsi="Arial"/>
          <w:sz w:val="14"/>
          <w:szCs w:val="14"/>
          <w:b w:val="1"/>
          <w:bCs w:val="1"/>
          <w:color w:val="878787"/>
        </w:rPr>
        <w:t>V</w:t>
      </w:r>
    </w:p>
    <w:p>
      <w:pPr>
        <w:sectPr>
          <w:pgSz w:w="11900" w:h="16838" w:orient="portrait"/>
          <w:cols w:equalWidth="0" w:num="1">
            <w:col w:w="11160"/>
          </w:cols>
          <w:pgMar w:left="240" w:top="455" w:right="49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77"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CA0538"/>
        </w:rPr>
        <w:t>PROXY SUMMARY</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36"/>
          <w:szCs w:val="36"/>
          <w:color w:val="3C3C3B"/>
        </w:rPr>
        <w:t>Setting the Stage for Our Future</w:t>
      </w:r>
    </w:p>
    <w:p>
      <w:pPr>
        <w:spacing w:after="0" w:line="121" w:lineRule="exact"/>
        <w:rPr>
          <w:sz w:val="20"/>
          <w:szCs w:val="20"/>
          <w:color w:val="auto"/>
        </w:rPr>
      </w:pPr>
    </w:p>
    <w:p>
      <w:pPr>
        <w:ind w:left="260" w:right="540"/>
        <w:spacing w:after="0" w:line="270" w:lineRule="auto"/>
        <w:rPr>
          <w:sz w:val="20"/>
          <w:szCs w:val="20"/>
          <w:color w:val="auto"/>
        </w:rPr>
      </w:pPr>
      <w:r>
        <w:rPr>
          <w:rFonts w:ascii="Arial" w:cs="Arial" w:eastAsia="Arial" w:hAnsi="Arial"/>
          <w:sz w:val="18"/>
          <w:szCs w:val="18"/>
          <w:color w:val="575756"/>
        </w:rPr>
        <w:t>The year was marked by significant focus on planning and delivering tangible results to reinforce our Company’s position as a strong, viable, and innovative industry leader.</w:t>
      </w:r>
    </w:p>
    <w:p>
      <w:pPr>
        <w:spacing w:after="0" w:line="216" w:lineRule="exact"/>
        <w:rPr>
          <w:sz w:val="20"/>
          <w:szCs w:val="20"/>
          <w:color w:val="auto"/>
        </w:rPr>
      </w:pPr>
    </w:p>
    <w:tbl>
      <w:tblPr>
        <w:tblLayout w:type="fixed"/>
        <w:tblInd w:w="280" w:type="dxa"/>
        <w:tblCellMar>
          <w:top w:w="0" w:type="dxa"/>
          <w:left w:w="0" w:type="dxa"/>
          <w:bottom w:w="0" w:type="dxa"/>
          <w:right w:w="0" w:type="dxa"/>
        </w:tblCellMar>
      </w:tblPr>
      <w:tr>
        <w:trPr>
          <w:trHeight w:val="280"/>
        </w:trPr>
        <w:tc>
          <w:tcPr>
            <w:tcW w:w="2120" w:type="dxa"/>
            <w:vAlign w:val="bottom"/>
            <w:tcBorders>
              <w:bottom w:val="single" w:sz="8" w:color="E3E3E3"/>
            </w:tcBorders>
            <w:gridSpan w:val="2"/>
            <w:shd w:val="clear" w:color="auto" w:fill="E3E3E3"/>
          </w:tcPr>
          <w:p>
            <w:pPr>
              <w:ind w:left="180"/>
              <w:spacing w:after="0"/>
              <w:rPr>
                <w:sz w:val="20"/>
                <w:szCs w:val="20"/>
                <w:color w:val="auto"/>
              </w:rPr>
            </w:pPr>
            <w:r>
              <w:rPr>
                <w:rFonts w:ascii="Arial" w:cs="Arial" w:eastAsia="Arial" w:hAnsi="Arial"/>
                <w:sz w:val="15"/>
                <w:szCs w:val="15"/>
                <w:b w:val="1"/>
                <w:bCs w:val="1"/>
                <w:color w:val="575756"/>
              </w:rPr>
              <w:t>ACTIONS</w:t>
            </w:r>
          </w:p>
        </w:tc>
        <w:tc>
          <w:tcPr>
            <w:tcW w:w="8760" w:type="dxa"/>
            <w:vAlign w:val="bottom"/>
          </w:tcPr>
          <w:p>
            <w:pPr>
              <w:ind w:left="120"/>
              <w:spacing w:after="0"/>
              <w:rPr>
                <w:sz w:val="20"/>
                <w:szCs w:val="20"/>
                <w:color w:val="auto"/>
              </w:rPr>
            </w:pPr>
            <w:r>
              <w:rPr>
                <w:rFonts w:ascii="Arial" w:cs="Arial" w:eastAsia="Arial" w:hAnsi="Arial"/>
                <w:sz w:val="15"/>
                <w:szCs w:val="15"/>
                <w:b w:val="1"/>
                <w:bCs w:val="1"/>
                <w:color w:val="575756"/>
              </w:rPr>
              <w:t>RESULTS</w:t>
            </w:r>
          </w:p>
        </w:tc>
        <w:tc>
          <w:tcPr>
            <w:tcW w:w="0" w:type="dxa"/>
            <w:vAlign w:val="bottom"/>
          </w:tcPr>
          <w:p>
            <w:pPr>
              <w:spacing w:after="0"/>
              <w:rPr>
                <w:sz w:val="1"/>
                <w:szCs w:val="1"/>
                <w:color w:val="auto"/>
              </w:rPr>
            </w:pPr>
          </w:p>
        </w:tc>
      </w:tr>
      <w:tr>
        <w:trPr>
          <w:trHeight w:val="246"/>
        </w:trPr>
        <w:tc>
          <w:tcPr>
            <w:tcW w:w="180" w:type="dxa"/>
            <w:vAlign w:val="bottom"/>
            <w:tcBorders>
              <w:top w:val="single" w:sz="8" w:color="auto"/>
            </w:tcBorders>
            <w:shd w:val="clear" w:color="auto" w:fill="E3E3E3"/>
          </w:tcPr>
          <w:p>
            <w:pPr>
              <w:spacing w:after="0"/>
              <w:rPr>
                <w:sz w:val="21"/>
                <w:szCs w:val="21"/>
                <w:color w:val="auto"/>
              </w:rPr>
            </w:pPr>
          </w:p>
        </w:tc>
        <w:tc>
          <w:tcPr>
            <w:tcW w:w="1940" w:type="dxa"/>
            <w:vAlign w:val="bottom"/>
            <w:tcBorders>
              <w:top w:val="single" w:sz="8" w:color="auto"/>
            </w:tcBorders>
            <w:shd w:val="clear" w:color="auto" w:fill="E3E3E3"/>
          </w:tcPr>
          <w:p>
            <w:pPr>
              <w:spacing w:after="0"/>
              <w:rPr>
                <w:sz w:val="20"/>
                <w:szCs w:val="20"/>
                <w:color w:val="auto"/>
              </w:rPr>
            </w:pPr>
            <w:r>
              <w:rPr>
                <w:rFonts w:ascii="Arial" w:cs="Arial" w:eastAsia="Arial" w:hAnsi="Arial"/>
                <w:sz w:val="18"/>
                <w:szCs w:val="18"/>
                <w:b w:val="1"/>
                <w:bCs w:val="1"/>
                <w:color w:val="CA0538"/>
              </w:rPr>
              <w:t>MARCH 2017</w:t>
            </w:r>
          </w:p>
        </w:tc>
        <w:tc>
          <w:tcPr>
            <w:tcW w:w="876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6B6B6B"/>
              </w:rPr>
              <w:t>Gained an accomplished and respected leader with:</w:t>
            </w:r>
          </w:p>
        </w:tc>
        <w:tc>
          <w:tcPr>
            <w:tcW w:w="0" w:type="dxa"/>
            <w:vAlign w:val="bottom"/>
          </w:tcPr>
          <w:p>
            <w:pPr>
              <w:spacing w:after="0"/>
              <w:rPr>
                <w:sz w:val="1"/>
                <w:szCs w:val="1"/>
                <w:color w:val="auto"/>
              </w:rPr>
            </w:pPr>
          </w:p>
        </w:tc>
      </w:tr>
      <w:tr>
        <w:trPr>
          <w:trHeight w:val="281"/>
        </w:trPr>
        <w:tc>
          <w:tcPr>
            <w:tcW w:w="180" w:type="dxa"/>
            <w:vAlign w:val="bottom"/>
            <w:shd w:val="clear" w:color="auto" w:fill="E3E3E3"/>
          </w:tcPr>
          <w:p>
            <w:pPr>
              <w:spacing w:after="0"/>
              <w:rPr>
                <w:sz w:val="24"/>
                <w:szCs w:val="24"/>
                <w:color w:val="auto"/>
              </w:rPr>
            </w:pPr>
          </w:p>
        </w:tc>
        <w:tc>
          <w:tcPr>
            <w:tcW w:w="1940" w:type="dxa"/>
            <w:vAlign w:val="bottom"/>
            <w:shd w:val="clear" w:color="auto" w:fill="E3E3E3"/>
          </w:tcPr>
          <w:p>
            <w:pPr>
              <w:spacing w:after="0"/>
              <w:rPr>
                <w:sz w:val="20"/>
                <w:szCs w:val="20"/>
                <w:color w:val="auto"/>
              </w:rPr>
            </w:pPr>
            <w:r>
              <w:rPr>
                <w:rFonts w:ascii="Arial" w:cs="Arial" w:eastAsia="Arial" w:hAnsi="Arial"/>
                <w:sz w:val="18"/>
                <w:szCs w:val="18"/>
                <w:color w:val="6B6B6B"/>
              </w:rPr>
              <w:t>Announced new</w:t>
            </w:r>
          </w:p>
        </w:tc>
        <w:tc>
          <w:tcPr>
            <w:tcW w:w="8760" w:type="dxa"/>
            <w:vAlign w:val="bottom"/>
          </w:tcPr>
          <w:p>
            <w:pPr>
              <w:ind w:left="12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Extensive financial and executive leadership experience in the oilfield industry</w:t>
            </w:r>
          </w:p>
        </w:tc>
        <w:tc>
          <w:tcPr>
            <w:tcW w:w="0" w:type="dxa"/>
            <w:vAlign w:val="bottom"/>
          </w:tcPr>
          <w:p>
            <w:pPr>
              <w:spacing w:after="0"/>
              <w:rPr>
                <w:sz w:val="1"/>
                <w:szCs w:val="1"/>
                <w:color w:val="auto"/>
              </w:rPr>
            </w:pPr>
          </w:p>
        </w:tc>
      </w:tr>
      <w:tr>
        <w:trPr>
          <w:trHeight w:val="228"/>
        </w:trPr>
        <w:tc>
          <w:tcPr>
            <w:tcW w:w="180" w:type="dxa"/>
            <w:vAlign w:val="bottom"/>
            <w:shd w:val="clear" w:color="auto" w:fill="E3E3E3"/>
          </w:tcPr>
          <w:p>
            <w:pPr>
              <w:spacing w:after="0"/>
              <w:rPr>
                <w:sz w:val="19"/>
                <w:szCs w:val="19"/>
                <w:color w:val="auto"/>
              </w:rPr>
            </w:pPr>
          </w:p>
        </w:tc>
        <w:tc>
          <w:tcPr>
            <w:tcW w:w="1940" w:type="dxa"/>
            <w:vAlign w:val="bottom"/>
            <w:shd w:val="clear" w:color="auto" w:fill="E3E3E3"/>
          </w:tcPr>
          <w:p>
            <w:pPr>
              <w:spacing w:after="0"/>
              <w:rPr>
                <w:sz w:val="20"/>
                <w:szCs w:val="20"/>
                <w:color w:val="auto"/>
              </w:rPr>
            </w:pPr>
            <w:r>
              <w:rPr>
                <w:rFonts w:ascii="Arial" w:cs="Arial" w:eastAsia="Arial" w:hAnsi="Arial"/>
                <w:sz w:val="18"/>
                <w:szCs w:val="18"/>
                <w:color w:val="6B6B6B"/>
              </w:rPr>
              <w:t>President and CEO,</w:t>
            </w:r>
          </w:p>
        </w:tc>
        <w:tc>
          <w:tcPr>
            <w:tcW w:w="8760" w:type="dxa"/>
            <w:vAlign w:val="bottom"/>
          </w:tcPr>
          <w:p>
            <w:pPr>
              <w:ind w:left="12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Deep knowledge of the oilfield services market and how to navigate its challenges</w:t>
            </w:r>
          </w:p>
        </w:tc>
        <w:tc>
          <w:tcPr>
            <w:tcW w:w="0" w:type="dxa"/>
            <w:vAlign w:val="bottom"/>
          </w:tcPr>
          <w:p>
            <w:pPr>
              <w:spacing w:after="0"/>
              <w:rPr>
                <w:sz w:val="1"/>
                <w:szCs w:val="1"/>
                <w:color w:val="auto"/>
              </w:rPr>
            </w:pPr>
          </w:p>
        </w:tc>
      </w:tr>
      <w:tr>
        <w:trPr>
          <w:trHeight w:val="231"/>
        </w:trPr>
        <w:tc>
          <w:tcPr>
            <w:tcW w:w="180" w:type="dxa"/>
            <w:vAlign w:val="bottom"/>
            <w:shd w:val="clear" w:color="auto" w:fill="E3E3E3"/>
          </w:tcPr>
          <w:p>
            <w:pPr>
              <w:spacing w:after="0"/>
              <w:rPr>
                <w:sz w:val="20"/>
                <w:szCs w:val="20"/>
                <w:color w:val="auto"/>
              </w:rPr>
            </w:pPr>
          </w:p>
        </w:tc>
        <w:tc>
          <w:tcPr>
            <w:tcW w:w="1940" w:type="dxa"/>
            <w:vAlign w:val="bottom"/>
            <w:shd w:val="clear" w:color="auto" w:fill="E3E3E3"/>
          </w:tcPr>
          <w:p>
            <w:pPr>
              <w:spacing w:after="0"/>
              <w:rPr>
                <w:sz w:val="20"/>
                <w:szCs w:val="20"/>
                <w:color w:val="auto"/>
              </w:rPr>
            </w:pPr>
            <w:r>
              <w:rPr>
                <w:rFonts w:ascii="Arial" w:cs="Arial" w:eastAsia="Arial" w:hAnsi="Arial"/>
                <w:sz w:val="18"/>
                <w:szCs w:val="18"/>
                <w:b w:val="1"/>
                <w:bCs w:val="1"/>
                <w:color w:val="6B6B6B"/>
              </w:rPr>
              <w:t>Mark A. McCollum</w:t>
            </w:r>
          </w:p>
        </w:tc>
        <w:tc>
          <w:tcPr>
            <w:tcW w:w="8760" w:type="dxa"/>
            <w:vAlign w:val="bottom"/>
            <w:vMerge w:val="restart"/>
          </w:tcPr>
          <w:p>
            <w:pPr>
              <w:ind w:left="12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Strong commitment to driving financial discipline and improving organizational health</w:t>
            </w:r>
          </w:p>
        </w:tc>
        <w:tc>
          <w:tcPr>
            <w:tcW w:w="0" w:type="dxa"/>
            <w:vAlign w:val="bottom"/>
          </w:tcPr>
          <w:p>
            <w:pPr>
              <w:spacing w:after="0"/>
              <w:rPr>
                <w:sz w:val="1"/>
                <w:szCs w:val="1"/>
                <w:color w:val="auto"/>
              </w:rPr>
            </w:pPr>
          </w:p>
        </w:tc>
      </w:tr>
      <w:tr>
        <w:trPr>
          <w:trHeight w:val="110"/>
        </w:trPr>
        <w:tc>
          <w:tcPr>
            <w:tcW w:w="180" w:type="dxa"/>
            <w:vAlign w:val="bottom"/>
            <w:tcBorders>
              <w:bottom w:val="single" w:sz="8" w:color="C6C6C6"/>
            </w:tcBorders>
            <w:shd w:val="clear" w:color="auto" w:fill="E3E3E3"/>
          </w:tcPr>
          <w:p>
            <w:pPr>
              <w:spacing w:after="0"/>
              <w:rPr>
                <w:sz w:val="9"/>
                <w:szCs w:val="9"/>
                <w:color w:val="auto"/>
              </w:rPr>
            </w:pPr>
          </w:p>
        </w:tc>
        <w:tc>
          <w:tcPr>
            <w:tcW w:w="1940" w:type="dxa"/>
            <w:vAlign w:val="bottom"/>
            <w:tcBorders>
              <w:bottom w:val="single" w:sz="8" w:color="C6C6C6"/>
            </w:tcBorders>
            <w:shd w:val="clear" w:color="auto" w:fill="E3E3E3"/>
          </w:tcPr>
          <w:p>
            <w:pPr>
              <w:spacing w:after="0"/>
              <w:rPr>
                <w:sz w:val="9"/>
                <w:szCs w:val="9"/>
                <w:color w:val="auto"/>
              </w:rPr>
            </w:pPr>
          </w:p>
        </w:tc>
        <w:tc>
          <w:tcPr>
            <w:tcW w:w="8760" w:type="dxa"/>
            <w:vAlign w:val="bottom"/>
            <w:tcBorders>
              <w:bottom w:val="single" w:sz="8" w:color="C6C6C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180" w:type="dxa"/>
            <w:vAlign w:val="bottom"/>
            <w:shd w:val="clear" w:color="auto" w:fill="E3E3E3"/>
          </w:tcPr>
          <w:p>
            <w:pPr>
              <w:spacing w:after="0"/>
              <w:rPr>
                <w:sz w:val="21"/>
                <w:szCs w:val="21"/>
                <w:color w:val="auto"/>
              </w:rPr>
            </w:pPr>
          </w:p>
        </w:tc>
        <w:tc>
          <w:tcPr>
            <w:tcW w:w="1940" w:type="dxa"/>
            <w:vAlign w:val="bottom"/>
            <w:shd w:val="clear" w:color="auto" w:fill="E3E3E3"/>
          </w:tcPr>
          <w:p>
            <w:pPr>
              <w:spacing w:after="0"/>
              <w:rPr>
                <w:sz w:val="20"/>
                <w:szCs w:val="20"/>
                <w:color w:val="auto"/>
              </w:rPr>
            </w:pPr>
            <w:r>
              <w:rPr>
                <w:rFonts w:ascii="Arial" w:cs="Arial" w:eastAsia="Arial" w:hAnsi="Arial"/>
                <w:sz w:val="18"/>
                <w:szCs w:val="18"/>
                <w:b w:val="1"/>
                <w:bCs w:val="1"/>
                <w:color w:val="CA0538"/>
              </w:rPr>
              <w:t>APRIL 2017</w:t>
            </w:r>
          </w:p>
        </w:tc>
        <w:tc>
          <w:tcPr>
            <w:tcW w:w="8760" w:type="dxa"/>
            <w:vAlign w:val="bottom"/>
          </w:tcPr>
          <w:p>
            <w:pPr>
              <w:ind w:left="120"/>
              <w:spacing w:after="0"/>
              <w:rPr>
                <w:sz w:val="20"/>
                <w:szCs w:val="20"/>
                <w:color w:val="auto"/>
              </w:rPr>
            </w:pPr>
            <w:r>
              <w:rPr>
                <w:rFonts w:ascii="Arial" w:cs="Arial" w:eastAsia="Arial" w:hAnsi="Arial"/>
                <w:sz w:val="18"/>
                <w:szCs w:val="18"/>
                <w:b w:val="1"/>
                <w:bCs w:val="1"/>
                <w:color w:val="6B6B6B"/>
              </w:rPr>
              <w:t>Re-energized and united our workforce by building a common One Weatherford culture focused on:</w:t>
            </w:r>
          </w:p>
        </w:tc>
        <w:tc>
          <w:tcPr>
            <w:tcW w:w="0" w:type="dxa"/>
            <w:vAlign w:val="bottom"/>
          </w:tcPr>
          <w:p>
            <w:pPr>
              <w:spacing w:after="0"/>
              <w:rPr>
                <w:sz w:val="1"/>
                <w:szCs w:val="1"/>
                <w:color w:val="auto"/>
              </w:rPr>
            </w:pPr>
          </w:p>
        </w:tc>
      </w:tr>
      <w:tr>
        <w:trPr>
          <w:trHeight w:val="277"/>
        </w:trPr>
        <w:tc>
          <w:tcPr>
            <w:tcW w:w="180" w:type="dxa"/>
            <w:vAlign w:val="bottom"/>
            <w:shd w:val="clear" w:color="auto" w:fill="E3E3E3"/>
          </w:tcPr>
          <w:p>
            <w:pPr>
              <w:spacing w:after="0"/>
              <w:rPr>
                <w:sz w:val="24"/>
                <w:szCs w:val="24"/>
                <w:color w:val="auto"/>
              </w:rPr>
            </w:pPr>
          </w:p>
        </w:tc>
        <w:tc>
          <w:tcPr>
            <w:tcW w:w="1940" w:type="dxa"/>
            <w:vAlign w:val="bottom"/>
            <w:shd w:val="clear" w:color="auto" w:fill="E3E3E3"/>
          </w:tcPr>
          <w:p>
            <w:pPr>
              <w:spacing w:after="0"/>
              <w:rPr>
                <w:sz w:val="20"/>
                <w:szCs w:val="20"/>
                <w:color w:val="auto"/>
              </w:rPr>
            </w:pPr>
            <w:r>
              <w:rPr>
                <w:rFonts w:ascii="Arial" w:cs="Arial" w:eastAsia="Arial" w:hAnsi="Arial"/>
                <w:sz w:val="18"/>
                <w:szCs w:val="18"/>
                <w:color w:val="6B6B6B"/>
              </w:rPr>
              <w:t>Established our</w:t>
            </w:r>
          </w:p>
        </w:tc>
        <w:tc>
          <w:tcPr>
            <w:tcW w:w="8760" w:type="dxa"/>
            <w:vAlign w:val="bottom"/>
          </w:tcPr>
          <w:p>
            <w:pPr>
              <w:ind w:left="12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Ethics and integrity</w:t>
            </w:r>
          </w:p>
        </w:tc>
        <w:tc>
          <w:tcPr>
            <w:tcW w:w="0" w:type="dxa"/>
            <w:vAlign w:val="bottom"/>
          </w:tcPr>
          <w:p>
            <w:pPr>
              <w:spacing w:after="0"/>
              <w:rPr>
                <w:sz w:val="1"/>
                <w:szCs w:val="1"/>
                <w:color w:val="auto"/>
              </w:rPr>
            </w:pPr>
          </w:p>
        </w:tc>
      </w:tr>
      <w:tr>
        <w:trPr>
          <w:trHeight w:val="232"/>
        </w:trPr>
        <w:tc>
          <w:tcPr>
            <w:tcW w:w="180" w:type="dxa"/>
            <w:vAlign w:val="bottom"/>
            <w:shd w:val="clear" w:color="auto" w:fill="E3E3E3"/>
          </w:tcPr>
          <w:p>
            <w:pPr>
              <w:spacing w:after="0"/>
              <w:rPr>
                <w:sz w:val="20"/>
                <w:szCs w:val="20"/>
                <w:color w:val="auto"/>
              </w:rPr>
            </w:pPr>
          </w:p>
        </w:tc>
        <w:tc>
          <w:tcPr>
            <w:tcW w:w="1940" w:type="dxa"/>
            <w:vAlign w:val="bottom"/>
            <w:shd w:val="clear" w:color="auto" w:fill="E3E3E3"/>
          </w:tcPr>
          <w:p>
            <w:pPr>
              <w:spacing w:after="0"/>
              <w:rPr>
                <w:sz w:val="20"/>
                <w:szCs w:val="20"/>
                <w:color w:val="auto"/>
              </w:rPr>
            </w:pPr>
            <w:r>
              <w:rPr>
                <w:rFonts w:ascii="Arial" w:cs="Arial" w:eastAsia="Arial" w:hAnsi="Arial"/>
                <w:sz w:val="18"/>
                <w:szCs w:val="18"/>
                <w:b w:val="1"/>
                <w:bCs w:val="1"/>
                <w:color w:val="6B6B6B"/>
              </w:rPr>
              <w:t>mission and</w:t>
            </w:r>
          </w:p>
        </w:tc>
        <w:tc>
          <w:tcPr>
            <w:tcW w:w="8760" w:type="dxa"/>
            <w:vAlign w:val="bottom"/>
          </w:tcPr>
          <w:p>
            <w:pPr>
              <w:ind w:left="12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Discipline and accountability</w:t>
            </w:r>
          </w:p>
        </w:tc>
        <w:tc>
          <w:tcPr>
            <w:tcW w:w="0" w:type="dxa"/>
            <w:vAlign w:val="bottom"/>
          </w:tcPr>
          <w:p>
            <w:pPr>
              <w:spacing w:after="0"/>
              <w:rPr>
                <w:sz w:val="1"/>
                <w:szCs w:val="1"/>
                <w:color w:val="auto"/>
              </w:rPr>
            </w:pPr>
          </w:p>
        </w:tc>
      </w:tr>
      <w:tr>
        <w:trPr>
          <w:trHeight w:val="231"/>
        </w:trPr>
        <w:tc>
          <w:tcPr>
            <w:tcW w:w="180" w:type="dxa"/>
            <w:vAlign w:val="bottom"/>
            <w:shd w:val="clear" w:color="auto" w:fill="E3E3E3"/>
          </w:tcPr>
          <w:p>
            <w:pPr>
              <w:spacing w:after="0"/>
              <w:rPr>
                <w:sz w:val="20"/>
                <w:szCs w:val="20"/>
                <w:color w:val="auto"/>
              </w:rPr>
            </w:pPr>
          </w:p>
        </w:tc>
        <w:tc>
          <w:tcPr>
            <w:tcW w:w="1940" w:type="dxa"/>
            <w:vAlign w:val="bottom"/>
            <w:shd w:val="clear" w:color="auto" w:fill="E3E3E3"/>
          </w:tcPr>
          <w:p>
            <w:pPr>
              <w:spacing w:after="0"/>
              <w:rPr>
                <w:sz w:val="20"/>
                <w:szCs w:val="20"/>
                <w:color w:val="auto"/>
              </w:rPr>
            </w:pPr>
            <w:r>
              <w:rPr>
                <w:rFonts w:ascii="Arial" w:cs="Arial" w:eastAsia="Arial" w:hAnsi="Arial"/>
                <w:sz w:val="18"/>
                <w:szCs w:val="18"/>
                <w:b w:val="1"/>
                <w:bCs w:val="1"/>
                <w:color w:val="6B6B6B"/>
              </w:rPr>
              <w:t>core values</w:t>
            </w:r>
          </w:p>
        </w:tc>
        <w:tc>
          <w:tcPr>
            <w:tcW w:w="8760" w:type="dxa"/>
            <w:vAlign w:val="bottom"/>
            <w:vMerge w:val="restart"/>
          </w:tcPr>
          <w:p>
            <w:pPr>
              <w:ind w:left="12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Flawless execution</w:t>
            </w:r>
          </w:p>
        </w:tc>
        <w:tc>
          <w:tcPr>
            <w:tcW w:w="0" w:type="dxa"/>
            <w:vAlign w:val="bottom"/>
          </w:tcPr>
          <w:p>
            <w:pPr>
              <w:spacing w:after="0"/>
              <w:rPr>
                <w:sz w:val="1"/>
                <w:szCs w:val="1"/>
                <w:color w:val="auto"/>
              </w:rPr>
            </w:pPr>
          </w:p>
        </w:tc>
      </w:tr>
      <w:tr>
        <w:trPr>
          <w:trHeight w:val="102"/>
        </w:trPr>
        <w:tc>
          <w:tcPr>
            <w:tcW w:w="180" w:type="dxa"/>
            <w:vAlign w:val="bottom"/>
            <w:shd w:val="clear" w:color="auto" w:fill="E3E3E3"/>
          </w:tcPr>
          <w:p>
            <w:pPr>
              <w:spacing w:after="0"/>
              <w:rPr>
                <w:sz w:val="8"/>
                <w:szCs w:val="8"/>
                <w:color w:val="auto"/>
              </w:rPr>
            </w:pPr>
          </w:p>
        </w:tc>
        <w:tc>
          <w:tcPr>
            <w:tcW w:w="1940" w:type="dxa"/>
            <w:vAlign w:val="bottom"/>
            <w:shd w:val="clear" w:color="auto" w:fill="E3E3E3"/>
          </w:tcPr>
          <w:p>
            <w:pPr>
              <w:spacing w:after="0"/>
              <w:rPr>
                <w:sz w:val="8"/>
                <w:szCs w:val="8"/>
                <w:color w:val="auto"/>
              </w:rPr>
            </w:pPr>
          </w:p>
        </w:tc>
        <w:tc>
          <w:tcPr>
            <w:tcW w:w="8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180" w:type="dxa"/>
            <w:vAlign w:val="bottom"/>
            <w:shd w:val="clear" w:color="auto" w:fill="E3E3E3"/>
          </w:tcPr>
          <w:p>
            <w:pPr>
              <w:spacing w:after="0"/>
              <w:rPr>
                <w:sz w:val="24"/>
                <w:szCs w:val="24"/>
                <w:color w:val="auto"/>
              </w:rPr>
            </w:pPr>
          </w:p>
        </w:tc>
        <w:tc>
          <w:tcPr>
            <w:tcW w:w="1940" w:type="dxa"/>
            <w:vAlign w:val="bottom"/>
            <w:shd w:val="clear" w:color="auto" w:fill="E3E3E3"/>
          </w:tcPr>
          <w:p>
            <w:pPr>
              <w:spacing w:after="0"/>
              <w:rPr>
                <w:sz w:val="24"/>
                <w:szCs w:val="24"/>
                <w:color w:val="auto"/>
              </w:rPr>
            </w:pPr>
          </w:p>
        </w:tc>
        <w:tc>
          <w:tcPr>
            <w:tcW w:w="8760" w:type="dxa"/>
            <w:vAlign w:val="bottom"/>
          </w:tcPr>
          <w:p>
            <w:pPr>
              <w:ind w:left="12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Collaboration and partnership</w:t>
            </w:r>
          </w:p>
        </w:tc>
        <w:tc>
          <w:tcPr>
            <w:tcW w:w="0" w:type="dxa"/>
            <w:vAlign w:val="bottom"/>
          </w:tcPr>
          <w:p>
            <w:pPr>
              <w:spacing w:after="0"/>
              <w:rPr>
                <w:sz w:val="1"/>
                <w:szCs w:val="1"/>
                <w:color w:val="auto"/>
              </w:rPr>
            </w:pPr>
          </w:p>
        </w:tc>
      </w:tr>
      <w:tr>
        <w:trPr>
          <w:trHeight w:val="280"/>
        </w:trPr>
        <w:tc>
          <w:tcPr>
            <w:tcW w:w="180" w:type="dxa"/>
            <w:vAlign w:val="bottom"/>
            <w:shd w:val="clear" w:color="auto" w:fill="E3E3E3"/>
          </w:tcPr>
          <w:p>
            <w:pPr>
              <w:spacing w:after="0"/>
              <w:rPr>
                <w:sz w:val="24"/>
                <w:szCs w:val="24"/>
                <w:color w:val="auto"/>
              </w:rPr>
            </w:pPr>
          </w:p>
        </w:tc>
        <w:tc>
          <w:tcPr>
            <w:tcW w:w="1940" w:type="dxa"/>
            <w:vAlign w:val="bottom"/>
            <w:shd w:val="clear" w:color="auto" w:fill="E3E3E3"/>
          </w:tcPr>
          <w:p>
            <w:pPr>
              <w:spacing w:after="0"/>
              <w:rPr>
                <w:sz w:val="24"/>
                <w:szCs w:val="24"/>
                <w:color w:val="auto"/>
              </w:rPr>
            </w:pPr>
          </w:p>
        </w:tc>
        <w:tc>
          <w:tcPr>
            <w:tcW w:w="8760" w:type="dxa"/>
            <w:vAlign w:val="bottom"/>
          </w:tcPr>
          <w:p>
            <w:pPr>
              <w:ind w:left="12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Innovation and technology leadership</w:t>
            </w:r>
          </w:p>
        </w:tc>
        <w:tc>
          <w:tcPr>
            <w:tcW w:w="0" w:type="dxa"/>
            <w:vAlign w:val="bottom"/>
          </w:tcPr>
          <w:p>
            <w:pPr>
              <w:spacing w:after="0"/>
              <w:rPr>
                <w:sz w:val="1"/>
                <w:szCs w:val="1"/>
                <w:color w:val="auto"/>
              </w:rPr>
            </w:pPr>
          </w:p>
        </w:tc>
      </w:tr>
      <w:tr>
        <w:trPr>
          <w:trHeight w:val="288"/>
        </w:trPr>
        <w:tc>
          <w:tcPr>
            <w:tcW w:w="180" w:type="dxa"/>
            <w:vAlign w:val="bottom"/>
            <w:tcBorders>
              <w:bottom w:val="single" w:sz="8" w:color="C6C6C6"/>
            </w:tcBorders>
            <w:shd w:val="clear" w:color="auto" w:fill="E3E3E3"/>
          </w:tcPr>
          <w:p>
            <w:pPr>
              <w:spacing w:after="0"/>
              <w:rPr>
                <w:sz w:val="24"/>
                <w:szCs w:val="24"/>
                <w:color w:val="auto"/>
              </w:rPr>
            </w:pPr>
          </w:p>
        </w:tc>
        <w:tc>
          <w:tcPr>
            <w:tcW w:w="1940" w:type="dxa"/>
            <w:vAlign w:val="bottom"/>
            <w:tcBorders>
              <w:bottom w:val="single" w:sz="8" w:color="C6C6C6"/>
            </w:tcBorders>
            <w:shd w:val="clear" w:color="auto" w:fill="E3E3E3"/>
          </w:tcPr>
          <w:p>
            <w:pPr>
              <w:spacing w:after="0"/>
              <w:rPr>
                <w:sz w:val="24"/>
                <w:szCs w:val="24"/>
                <w:color w:val="auto"/>
              </w:rPr>
            </w:pPr>
          </w:p>
        </w:tc>
        <w:tc>
          <w:tcPr>
            <w:tcW w:w="8760" w:type="dxa"/>
            <w:vAlign w:val="bottom"/>
            <w:tcBorders>
              <w:bottom w:val="single" w:sz="8" w:color="C6C6C6"/>
            </w:tcBorders>
          </w:tcPr>
          <w:p>
            <w:pPr>
              <w:ind w:left="12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Commitment to sustainability</w:t>
            </w:r>
          </w:p>
        </w:tc>
        <w:tc>
          <w:tcPr>
            <w:tcW w:w="0" w:type="dxa"/>
            <w:vAlign w:val="bottom"/>
          </w:tcPr>
          <w:p>
            <w:pPr>
              <w:spacing w:after="0"/>
              <w:rPr>
                <w:sz w:val="1"/>
                <w:szCs w:val="1"/>
                <w:color w:val="auto"/>
              </w:rPr>
            </w:pPr>
          </w:p>
        </w:tc>
      </w:tr>
      <w:tr>
        <w:trPr>
          <w:trHeight w:val="252"/>
        </w:trPr>
        <w:tc>
          <w:tcPr>
            <w:tcW w:w="180" w:type="dxa"/>
            <w:vAlign w:val="bottom"/>
            <w:shd w:val="clear" w:color="auto" w:fill="E3E3E3"/>
          </w:tcPr>
          <w:p>
            <w:pPr>
              <w:spacing w:after="0"/>
              <w:rPr>
                <w:sz w:val="21"/>
                <w:szCs w:val="21"/>
                <w:color w:val="auto"/>
              </w:rPr>
            </w:pPr>
          </w:p>
        </w:tc>
        <w:tc>
          <w:tcPr>
            <w:tcW w:w="1940" w:type="dxa"/>
            <w:vAlign w:val="bottom"/>
            <w:shd w:val="clear" w:color="auto" w:fill="E3E3E3"/>
          </w:tcPr>
          <w:p>
            <w:pPr>
              <w:spacing w:after="0"/>
              <w:rPr>
                <w:sz w:val="20"/>
                <w:szCs w:val="20"/>
                <w:color w:val="auto"/>
              </w:rPr>
            </w:pPr>
            <w:r>
              <w:rPr>
                <w:rFonts w:ascii="Arial" w:cs="Arial" w:eastAsia="Arial" w:hAnsi="Arial"/>
                <w:sz w:val="18"/>
                <w:szCs w:val="18"/>
                <w:b w:val="1"/>
                <w:bCs w:val="1"/>
                <w:color w:val="CA0538"/>
              </w:rPr>
              <w:t>AUGUST 2017</w:t>
            </w:r>
          </w:p>
        </w:tc>
        <w:tc>
          <w:tcPr>
            <w:tcW w:w="8760" w:type="dxa"/>
            <w:vAlign w:val="bottom"/>
          </w:tcPr>
          <w:p>
            <w:pPr>
              <w:ind w:left="120"/>
              <w:spacing w:after="0"/>
              <w:rPr>
                <w:sz w:val="20"/>
                <w:szCs w:val="20"/>
                <w:color w:val="auto"/>
              </w:rPr>
            </w:pPr>
            <w:r>
              <w:rPr>
                <w:rFonts w:ascii="Arial" w:cs="Arial" w:eastAsia="Arial" w:hAnsi="Arial"/>
                <w:sz w:val="18"/>
                <w:szCs w:val="18"/>
                <w:b w:val="1"/>
                <w:bCs w:val="1"/>
                <w:color w:val="6B6B6B"/>
              </w:rPr>
              <w:t>Unified previously siloed segments of the business under a leader with:</w:t>
            </w:r>
          </w:p>
        </w:tc>
        <w:tc>
          <w:tcPr>
            <w:tcW w:w="0" w:type="dxa"/>
            <w:vAlign w:val="bottom"/>
          </w:tcPr>
          <w:p>
            <w:pPr>
              <w:spacing w:after="0"/>
              <w:rPr>
                <w:sz w:val="1"/>
                <w:szCs w:val="1"/>
                <w:color w:val="auto"/>
              </w:rPr>
            </w:pPr>
          </w:p>
        </w:tc>
      </w:tr>
      <w:tr>
        <w:trPr>
          <w:trHeight w:val="281"/>
        </w:trPr>
        <w:tc>
          <w:tcPr>
            <w:tcW w:w="180" w:type="dxa"/>
            <w:vAlign w:val="bottom"/>
            <w:shd w:val="clear" w:color="auto" w:fill="E3E3E3"/>
          </w:tcPr>
          <w:p>
            <w:pPr>
              <w:spacing w:after="0"/>
              <w:rPr>
                <w:sz w:val="24"/>
                <w:szCs w:val="24"/>
                <w:color w:val="auto"/>
              </w:rPr>
            </w:pPr>
          </w:p>
        </w:tc>
        <w:tc>
          <w:tcPr>
            <w:tcW w:w="1940" w:type="dxa"/>
            <w:vAlign w:val="bottom"/>
            <w:shd w:val="clear" w:color="auto" w:fill="E3E3E3"/>
          </w:tcPr>
          <w:p>
            <w:pPr>
              <w:spacing w:after="0"/>
              <w:rPr>
                <w:sz w:val="20"/>
                <w:szCs w:val="20"/>
                <w:color w:val="auto"/>
              </w:rPr>
            </w:pPr>
            <w:r>
              <w:rPr>
                <w:rFonts w:ascii="Arial" w:cs="Arial" w:eastAsia="Arial" w:hAnsi="Arial"/>
                <w:sz w:val="18"/>
                <w:szCs w:val="18"/>
                <w:color w:val="6B6B6B"/>
                <w:w w:val="93"/>
              </w:rPr>
              <w:t>Welcomed new Executive</w:t>
            </w:r>
          </w:p>
        </w:tc>
        <w:tc>
          <w:tcPr>
            <w:tcW w:w="8760" w:type="dxa"/>
            <w:vAlign w:val="bottom"/>
          </w:tcPr>
          <w:p>
            <w:pPr>
              <w:ind w:left="12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More than 35 years of experience in the oilfield services sector</w:t>
            </w:r>
          </w:p>
        </w:tc>
        <w:tc>
          <w:tcPr>
            <w:tcW w:w="0" w:type="dxa"/>
            <w:vAlign w:val="bottom"/>
          </w:tcPr>
          <w:p>
            <w:pPr>
              <w:spacing w:after="0"/>
              <w:rPr>
                <w:sz w:val="1"/>
                <w:szCs w:val="1"/>
                <w:color w:val="auto"/>
              </w:rPr>
            </w:pPr>
          </w:p>
        </w:tc>
      </w:tr>
      <w:tr>
        <w:trPr>
          <w:trHeight w:val="228"/>
        </w:trPr>
        <w:tc>
          <w:tcPr>
            <w:tcW w:w="180" w:type="dxa"/>
            <w:vAlign w:val="bottom"/>
            <w:shd w:val="clear" w:color="auto" w:fill="E3E3E3"/>
          </w:tcPr>
          <w:p>
            <w:pPr>
              <w:spacing w:after="0"/>
              <w:rPr>
                <w:sz w:val="19"/>
                <w:szCs w:val="19"/>
                <w:color w:val="auto"/>
              </w:rPr>
            </w:pPr>
          </w:p>
        </w:tc>
        <w:tc>
          <w:tcPr>
            <w:tcW w:w="1940" w:type="dxa"/>
            <w:vAlign w:val="bottom"/>
            <w:shd w:val="clear" w:color="auto" w:fill="E3E3E3"/>
          </w:tcPr>
          <w:p>
            <w:pPr>
              <w:spacing w:after="0"/>
              <w:rPr>
                <w:sz w:val="20"/>
                <w:szCs w:val="20"/>
                <w:color w:val="auto"/>
              </w:rPr>
            </w:pPr>
            <w:r>
              <w:rPr>
                <w:rFonts w:ascii="Arial" w:cs="Arial" w:eastAsia="Arial" w:hAnsi="Arial"/>
                <w:sz w:val="18"/>
                <w:szCs w:val="18"/>
                <w:color w:val="6B6B6B"/>
                <w:w w:val="96"/>
              </w:rPr>
              <w:t>Vice President and Chief</w:t>
            </w:r>
          </w:p>
        </w:tc>
        <w:tc>
          <w:tcPr>
            <w:tcW w:w="8760" w:type="dxa"/>
            <w:vAlign w:val="bottom"/>
          </w:tcPr>
          <w:p>
            <w:pPr>
              <w:ind w:left="120"/>
              <w:spacing w:after="0"/>
              <w:rPr>
                <w:sz w:val="20"/>
                <w:szCs w:val="20"/>
                <w:color w:val="auto"/>
              </w:rPr>
            </w:pPr>
            <w:r>
              <w:rPr>
                <w:rFonts w:ascii="Arial" w:cs="Arial" w:eastAsia="Arial" w:hAnsi="Arial"/>
                <w:sz w:val="18"/>
                <w:szCs w:val="18"/>
                <w:color w:val="CA0538"/>
                <w:w w:val="95"/>
              </w:rPr>
              <w:t xml:space="preserve">· </w:t>
            </w:r>
            <w:r>
              <w:rPr>
                <w:rFonts w:ascii="Arial" w:cs="Arial" w:eastAsia="Arial" w:hAnsi="Arial"/>
                <w:sz w:val="18"/>
                <w:szCs w:val="18"/>
                <w:color w:val="000000"/>
                <w:w w:val="95"/>
              </w:rPr>
              <w:t>Extensive track record of delivering operational excellence, strong financial performance, and disciplined growth</w:t>
            </w:r>
          </w:p>
        </w:tc>
        <w:tc>
          <w:tcPr>
            <w:tcW w:w="0" w:type="dxa"/>
            <w:vAlign w:val="bottom"/>
          </w:tcPr>
          <w:p>
            <w:pPr>
              <w:spacing w:after="0"/>
              <w:rPr>
                <w:sz w:val="1"/>
                <w:szCs w:val="1"/>
                <w:color w:val="auto"/>
              </w:rPr>
            </w:pPr>
          </w:p>
        </w:tc>
      </w:tr>
      <w:tr>
        <w:trPr>
          <w:trHeight w:val="195"/>
        </w:trPr>
        <w:tc>
          <w:tcPr>
            <w:tcW w:w="180" w:type="dxa"/>
            <w:vAlign w:val="bottom"/>
            <w:shd w:val="clear" w:color="auto" w:fill="E3E3E3"/>
          </w:tcPr>
          <w:p>
            <w:pPr>
              <w:spacing w:after="0"/>
              <w:rPr>
                <w:sz w:val="16"/>
                <w:szCs w:val="16"/>
                <w:color w:val="auto"/>
              </w:rPr>
            </w:pPr>
          </w:p>
        </w:tc>
        <w:tc>
          <w:tcPr>
            <w:tcW w:w="1940" w:type="dxa"/>
            <w:vAlign w:val="bottom"/>
            <w:shd w:val="clear" w:color="auto" w:fill="E3E3E3"/>
          </w:tcPr>
          <w:p>
            <w:pPr>
              <w:spacing w:after="0" w:line="195" w:lineRule="exact"/>
              <w:rPr>
                <w:sz w:val="20"/>
                <w:szCs w:val="20"/>
                <w:color w:val="auto"/>
              </w:rPr>
            </w:pPr>
            <w:r>
              <w:rPr>
                <w:rFonts w:ascii="Arial" w:cs="Arial" w:eastAsia="Arial" w:hAnsi="Arial"/>
                <w:sz w:val="18"/>
                <w:szCs w:val="18"/>
                <w:color w:val="6B6B6B"/>
              </w:rPr>
              <w:t>Operating Officer,</w:t>
            </w:r>
          </w:p>
        </w:tc>
        <w:tc>
          <w:tcPr>
            <w:tcW w:w="8760" w:type="dxa"/>
            <w:vAlign w:val="bottom"/>
            <w:vMerge w:val="restart"/>
          </w:tcPr>
          <w:p>
            <w:pPr>
              <w:ind w:left="12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Deep understanding of how to capitalize on technology portfolios</w:t>
            </w:r>
          </w:p>
        </w:tc>
        <w:tc>
          <w:tcPr>
            <w:tcW w:w="0" w:type="dxa"/>
            <w:vAlign w:val="bottom"/>
          </w:tcPr>
          <w:p>
            <w:pPr>
              <w:spacing w:after="0"/>
              <w:rPr>
                <w:sz w:val="1"/>
                <w:szCs w:val="1"/>
                <w:color w:val="auto"/>
              </w:rPr>
            </w:pPr>
          </w:p>
        </w:tc>
      </w:tr>
      <w:tr>
        <w:trPr>
          <w:trHeight w:val="137"/>
        </w:trPr>
        <w:tc>
          <w:tcPr>
            <w:tcW w:w="180" w:type="dxa"/>
            <w:vAlign w:val="bottom"/>
            <w:shd w:val="clear" w:color="auto" w:fill="E3E3E3"/>
          </w:tcPr>
          <w:p>
            <w:pPr>
              <w:spacing w:after="0"/>
              <w:rPr>
                <w:sz w:val="11"/>
                <w:szCs w:val="11"/>
                <w:color w:val="auto"/>
              </w:rPr>
            </w:pPr>
          </w:p>
        </w:tc>
        <w:tc>
          <w:tcPr>
            <w:tcW w:w="1940" w:type="dxa"/>
            <w:vAlign w:val="bottom"/>
            <w:vMerge w:val="restart"/>
            <w:shd w:val="clear" w:color="auto" w:fill="E3E3E3"/>
          </w:tcPr>
          <w:p>
            <w:pPr>
              <w:spacing w:after="0"/>
              <w:rPr>
                <w:sz w:val="20"/>
                <w:szCs w:val="20"/>
                <w:color w:val="auto"/>
              </w:rPr>
            </w:pPr>
            <w:r>
              <w:rPr>
                <w:rFonts w:ascii="Arial" w:cs="Arial" w:eastAsia="Arial" w:hAnsi="Arial"/>
                <w:sz w:val="18"/>
                <w:szCs w:val="18"/>
                <w:b w:val="1"/>
                <w:bCs w:val="1"/>
                <w:color w:val="6B6B6B"/>
              </w:rPr>
              <w:t>Karl Blanchard</w:t>
            </w:r>
          </w:p>
        </w:tc>
        <w:tc>
          <w:tcPr>
            <w:tcW w:w="8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80" w:type="dxa"/>
            <w:vAlign w:val="bottom"/>
            <w:tcBorders>
              <w:bottom w:val="single" w:sz="8" w:color="C6C6C6"/>
            </w:tcBorders>
            <w:shd w:val="clear" w:color="auto" w:fill="E3E3E3"/>
          </w:tcPr>
          <w:p>
            <w:pPr>
              <w:spacing w:after="0"/>
              <w:rPr>
                <w:sz w:val="8"/>
                <w:szCs w:val="8"/>
                <w:color w:val="auto"/>
              </w:rPr>
            </w:pPr>
          </w:p>
        </w:tc>
        <w:tc>
          <w:tcPr>
            <w:tcW w:w="1940" w:type="dxa"/>
            <w:vAlign w:val="bottom"/>
            <w:tcBorders>
              <w:bottom w:val="single" w:sz="8" w:color="C6C6C6"/>
            </w:tcBorders>
            <w:vMerge w:val="continue"/>
            <w:shd w:val="clear" w:color="auto" w:fill="E3E3E3"/>
          </w:tcPr>
          <w:p>
            <w:pPr>
              <w:spacing w:after="0"/>
              <w:rPr>
                <w:sz w:val="8"/>
                <w:szCs w:val="8"/>
                <w:color w:val="auto"/>
              </w:rPr>
            </w:pPr>
          </w:p>
        </w:tc>
        <w:tc>
          <w:tcPr>
            <w:tcW w:w="8760" w:type="dxa"/>
            <w:vAlign w:val="bottom"/>
            <w:tcBorders>
              <w:bottom w:val="single" w:sz="8" w:color="C6C6C6"/>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80" w:type="dxa"/>
            <w:vAlign w:val="bottom"/>
            <w:shd w:val="clear" w:color="auto" w:fill="E3E3E3"/>
          </w:tcPr>
          <w:p>
            <w:pPr>
              <w:spacing w:after="0"/>
              <w:rPr>
                <w:sz w:val="21"/>
                <w:szCs w:val="21"/>
                <w:color w:val="auto"/>
              </w:rPr>
            </w:pPr>
          </w:p>
        </w:tc>
        <w:tc>
          <w:tcPr>
            <w:tcW w:w="1940" w:type="dxa"/>
            <w:vAlign w:val="bottom"/>
            <w:shd w:val="clear" w:color="auto" w:fill="E3E3E3"/>
          </w:tcPr>
          <w:p>
            <w:pPr>
              <w:spacing w:after="0"/>
              <w:rPr>
                <w:sz w:val="20"/>
                <w:szCs w:val="20"/>
                <w:color w:val="auto"/>
              </w:rPr>
            </w:pPr>
            <w:r>
              <w:rPr>
                <w:rFonts w:ascii="Arial" w:cs="Arial" w:eastAsia="Arial" w:hAnsi="Arial"/>
                <w:sz w:val="18"/>
                <w:szCs w:val="18"/>
                <w:b w:val="1"/>
                <w:bCs w:val="1"/>
                <w:color w:val="CA0538"/>
              </w:rPr>
              <w:t>NOVEMBER 2017</w:t>
            </w:r>
          </w:p>
        </w:tc>
        <w:tc>
          <w:tcPr>
            <w:tcW w:w="8760" w:type="dxa"/>
            <w:vAlign w:val="bottom"/>
          </w:tcPr>
          <w:p>
            <w:pPr>
              <w:ind w:left="120"/>
              <w:spacing w:after="0"/>
              <w:rPr>
                <w:sz w:val="20"/>
                <w:szCs w:val="20"/>
                <w:color w:val="auto"/>
              </w:rPr>
            </w:pPr>
            <w:r>
              <w:rPr>
                <w:rFonts w:ascii="Arial" w:cs="Arial" w:eastAsia="Arial" w:hAnsi="Arial"/>
                <w:sz w:val="18"/>
                <w:szCs w:val="18"/>
                <w:b w:val="1"/>
                <w:bCs w:val="1"/>
                <w:color w:val="6B6B6B"/>
              </w:rPr>
              <w:t>Marked the start of our transformation, which will:</w:t>
            </w:r>
          </w:p>
        </w:tc>
        <w:tc>
          <w:tcPr>
            <w:tcW w:w="0" w:type="dxa"/>
            <w:vAlign w:val="bottom"/>
          </w:tcPr>
          <w:p>
            <w:pPr>
              <w:spacing w:after="0"/>
              <w:rPr>
                <w:sz w:val="1"/>
                <w:szCs w:val="1"/>
                <w:color w:val="auto"/>
              </w:rPr>
            </w:pPr>
          </w:p>
        </w:tc>
      </w:tr>
      <w:tr>
        <w:trPr>
          <w:trHeight w:val="267"/>
        </w:trPr>
        <w:tc>
          <w:tcPr>
            <w:tcW w:w="180" w:type="dxa"/>
            <w:vAlign w:val="bottom"/>
            <w:shd w:val="clear" w:color="auto" w:fill="E3E3E3"/>
          </w:tcPr>
          <w:p>
            <w:pPr>
              <w:spacing w:after="0"/>
              <w:rPr>
                <w:sz w:val="23"/>
                <w:szCs w:val="23"/>
                <w:color w:val="auto"/>
              </w:rPr>
            </w:pPr>
          </w:p>
        </w:tc>
        <w:tc>
          <w:tcPr>
            <w:tcW w:w="1940" w:type="dxa"/>
            <w:vAlign w:val="bottom"/>
            <w:shd w:val="clear" w:color="auto" w:fill="E3E3E3"/>
          </w:tcPr>
          <w:p>
            <w:pPr>
              <w:spacing w:after="0"/>
              <w:rPr>
                <w:sz w:val="20"/>
                <w:szCs w:val="20"/>
                <w:color w:val="auto"/>
              </w:rPr>
            </w:pPr>
            <w:r>
              <w:rPr>
                <w:rFonts w:ascii="Arial" w:cs="Arial" w:eastAsia="Arial" w:hAnsi="Arial"/>
                <w:sz w:val="18"/>
                <w:szCs w:val="18"/>
                <w:color w:val="6B6B6B"/>
                <w:w w:val="94"/>
              </w:rPr>
              <w:t>Completed organizational</w:t>
            </w:r>
          </w:p>
        </w:tc>
        <w:tc>
          <w:tcPr>
            <w:tcW w:w="8760" w:type="dxa"/>
            <w:vAlign w:val="bottom"/>
          </w:tcPr>
          <w:p>
            <w:pPr>
              <w:ind w:left="120"/>
              <w:spacing w:after="0"/>
              <w:rPr>
                <w:sz w:val="20"/>
                <w:szCs w:val="20"/>
                <w:color w:val="auto"/>
              </w:rPr>
            </w:pPr>
            <w:r>
              <w:rPr>
                <w:rFonts w:ascii="Arial" w:cs="Arial" w:eastAsia="Arial" w:hAnsi="Arial"/>
                <w:sz w:val="18"/>
                <w:szCs w:val="18"/>
                <w:color w:val="CA0538"/>
                <w:w w:val="90"/>
              </w:rPr>
              <w:t xml:space="preserve">· </w:t>
            </w:r>
            <w:r>
              <w:rPr>
                <w:rFonts w:ascii="Arial" w:cs="Arial" w:eastAsia="Arial" w:hAnsi="Arial"/>
                <w:sz w:val="18"/>
                <w:szCs w:val="18"/>
                <w:color w:val="000000"/>
                <w:w w:val="90"/>
              </w:rPr>
              <w:t>Redefine the way we operate from a number of aspects, including operations, supply chain, manufacturing, sales, and</w:t>
            </w:r>
          </w:p>
        </w:tc>
        <w:tc>
          <w:tcPr>
            <w:tcW w:w="0" w:type="dxa"/>
            <w:vAlign w:val="bottom"/>
          </w:tcPr>
          <w:p>
            <w:pPr>
              <w:spacing w:after="0"/>
              <w:rPr>
                <w:sz w:val="1"/>
                <w:szCs w:val="1"/>
                <w:color w:val="auto"/>
              </w:rPr>
            </w:pPr>
          </w:p>
        </w:tc>
      </w:tr>
      <w:tr>
        <w:trPr>
          <w:trHeight w:val="227"/>
        </w:trPr>
        <w:tc>
          <w:tcPr>
            <w:tcW w:w="180" w:type="dxa"/>
            <w:vAlign w:val="bottom"/>
            <w:shd w:val="clear" w:color="auto" w:fill="E3E3E3"/>
          </w:tcPr>
          <w:p>
            <w:pPr>
              <w:spacing w:after="0"/>
              <w:rPr>
                <w:sz w:val="19"/>
                <w:szCs w:val="19"/>
                <w:color w:val="auto"/>
              </w:rPr>
            </w:pPr>
          </w:p>
        </w:tc>
        <w:tc>
          <w:tcPr>
            <w:tcW w:w="1940" w:type="dxa"/>
            <w:vAlign w:val="bottom"/>
            <w:shd w:val="clear" w:color="auto" w:fill="E3E3E3"/>
          </w:tcPr>
          <w:p>
            <w:pPr>
              <w:spacing w:after="0"/>
              <w:rPr>
                <w:sz w:val="20"/>
                <w:szCs w:val="20"/>
                <w:color w:val="auto"/>
              </w:rPr>
            </w:pPr>
            <w:r>
              <w:rPr>
                <w:rFonts w:ascii="Arial" w:cs="Arial" w:eastAsia="Arial" w:hAnsi="Arial"/>
                <w:sz w:val="18"/>
                <w:szCs w:val="18"/>
                <w:color w:val="6B6B6B"/>
              </w:rPr>
              <w:t>realignment, paving the</w:t>
            </w:r>
          </w:p>
        </w:tc>
        <w:tc>
          <w:tcPr>
            <w:tcW w:w="8760" w:type="dxa"/>
            <w:vAlign w:val="bottom"/>
          </w:tcPr>
          <w:p>
            <w:pPr>
              <w:ind w:left="280"/>
              <w:spacing w:after="0"/>
              <w:rPr>
                <w:sz w:val="20"/>
                <w:szCs w:val="20"/>
                <w:color w:val="auto"/>
              </w:rPr>
            </w:pPr>
            <w:r>
              <w:rPr>
                <w:rFonts w:ascii="Arial" w:cs="Arial" w:eastAsia="Arial" w:hAnsi="Arial"/>
                <w:sz w:val="18"/>
                <w:szCs w:val="18"/>
                <w:color w:val="auto"/>
              </w:rPr>
              <w:t>functional support</w:t>
            </w:r>
          </w:p>
        </w:tc>
        <w:tc>
          <w:tcPr>
            <w:tcW w:w="0" w:type="dxa"/>
            <w:vAlign w:val="bottom"/>
          </w:tcPr>
          <w:p>
            <w:pPr>
              <w:spacing w:after="0"/>
              <w:rPr>
                <w:sz w:val="1"/>
                <w:szCs w:val="1"/>
                <w:color w:val="auto"/>
              </w:rPr>
            </w:pPr>
          </w:p>
        </w:tc>
      </w:tr>
      <w:tr>
        <w:trPr>
          <w:trHeight w:val="228"/>
        </w:trPr>
        <w:tc>
          <w:tcPr>
            <w:tcW w:w="180" w:type="dxa"/>
            <w:vAlign w:val="bottom"/>
            <w:shd w:val="clear" w:color="auto" w:fill="E3E3E3"/>
          </w:tcPr>
          <w:p>
            <w:pPr>
              <w:spacing w:after="0"/>
              <w:rPr>
                <w:sz w:val="19"/>
                <w:szCs w:val="19"/>
                <w:color w:val="auto"/>
              </w:rPr>
            </w:pPr>
          </w:p>
        </w:tc>
        <w:tc>
          <w:tcPr>
            <w:tcW w:w="1940" w:type="dxa"/>
            <w:vAlign w:val="bottom"/>
            <w:shd w:val="clear" w:color="auto" w:fill="E3E3E3"/>
          </w:tcPr>
          <w:p>
            <w:pPr>
              <w:spacing w:after="0"/>
              <w:rPr>
                <w:sz w:val="20"/>
                <w:szCs w:val="20"/>
                <w:color w:val="auto"/>
              </w:rPr>
            </w:pPr>
            <w:r>
              <w:rPr>
                <w:rFonts w:ascii="Arial" w:cs="Arial" w:eastAsia="Arial" w:hAnsi="Arial"/>
                <w:sz w:val="18"/>
                <w:szCs w:val="18"/>
                <w:color w:val="6B6B6B"/>
                <w:w w:val="99"/>
              </w:rPr>
              <w:t>way for a transformation</w:t>
            </w:r>
          </w:p>
        </w:tc>
        <w:tc>
          <w:tcPr>
            <w:tcW w:w="8760" w:type="dxa"/>
            <w:vAlign w:val="bottom"/>
          </w:tcPr>
          <w:p>
            <w:pPr>
              <w:ind w:left="120"/>
              <w:spacing w:after="0"/>
              <w:rPr>
                <w:sz w:val="20"/>
                <w:szCs w:val="20"/>
                <w:color w:val="auto"/>
              </w:rPr>
            </w:pPr>
            <w:r>
              <w:rPr>
                <w:rFonts w:ascii="Arial" w:cs="Arial" w:eastAsia="Arial" w:hAnsi="Arial"/>
                <w:sz w:val="18"/>
                <w:szCs w:val="18"/>
                <w:color w:val="CA0538"/>
                <w:w w:val="94"/>
              </w:rPr>
              <w:t xml:space="preserve">· </w:t>
            </w:r>
            <w:r>
              <w:rPr>
                <w:rFonts w:ascii="Arial" w:cs="Arial" w:eastAsia="Arial" w:hAnsi="Arial"/>
                <w:sz w:val="18"/>
                <w:szCs w:val="18"/>
                <w:color w:val="000000"/>
                <w:w w:val="94"/>
              </w:rPr>
              <w:t>Improve profits by further lowering our support-cost ratio, rationalizing our manufacturing footprint, enabling more</w:t>
            </w:r>
          </w:p>
        </w:tc>
        <w:tc>
          <w:tcPr>
            <w:tcW w:w="0" w:type="dxa"/>
            <w:vAlign w:val="bottom"/>
          </w:tcPr>
          <w:p>
            <w:pPr>
              <w:spacing w:after="0"/>
              <w:rPr>
                <w:sz w:val="1"/>
                <w:szCs w:val="1"/>
                <w:color w:val="auto"/>
              </w:rPr>
            </w:pPr>
          </w:p>
        </w:tc>
      </w:tr>
      <w:tr>
        <w:trPr>
          <w:trHeight w:val="214"/>
        </w:trPr>
        <w:tc>
          <w:tcPr>
            <w:tcW w:w="180" w:type="dxa"/>
            <w:vAlign w:val="bottom"/>
            <w:shd w:val="clear" w:color="auto" w:fill="E3E3E3"/>
          </w:tcPr>
          <w:p>
            <w:pPr>
              <w:spacing w:after="0"/>
              <w:rPr>
                <w:sz w:val="18"/>
                <w:szCs w:val="18"/>
                <w:color w:val="auto"/>
              </w:rPr>
            </w:pPr>
          </w:p>
        </w:tc>
        <w:tc>
          <w:tcPr>
            <w:tcW w:w="1940" w:type="dxa"/>
            <w:vAlign w:val="bottom"/>
            <w:shd w:val="clear" w:color="auto" w:fill="E3E3E3"/>
          </w:tcPr>
          <w:p>
            <w:pPr>
              <w:spacing w:after="0"/>
              <w:rPr>
                <w:sz w:val="20"/>
                <w:szCs w:val="20"/>
                <w:color w:val="auto"/>
              </w:rPr>
            </w:pPr>
            <w:r>
              <w:rPr>
                <w:rFonts w:ascii="Arial" w:cs="Arial" w:eastAsia="Arial" w:hAnsi="Arial"/>
                <w:sz w:val="18"/>
                <w:szCs w:val="18"/>
                <w:color w:val="6B6B6B"/>
              </w:rPr>
              <w:t>that is targeted to yield</w:t>
            </w:r>
          </w:p>
        </w:tc>
        <w:tc>
          <w:tcPr>
            <w:tcW w:w="8760" w:type="dxa"/>
            <w:vAlign w:val="bottom"/>
          </w:tcPr>
          <w:p>
            <w:pPr>
              <w:ind w:left="280"/>
              <w:spacing w:after="0"/>
              <w:rPr>
                <w:sz w:val="20"/>
                <w:szCs w:val="20"/>
                <w:color w:val="auto"/>
              </w:rPr>
            </w:pPr>
            <w:r>
              <w:rPr>
                <w:rFonts w:ascii="Arial" w:cs="Arial" w:eastAsia="Arial" w:hAnsi="Arial"/>
                <w:sz w:val="18"/>
                <w:szCs w:val="18"/>
                <w:color w:val="auto"/>
              </w:rPr>
              <w:t>disciplined supplier management, realizing field efficiencies, and gaining additional market share</w:t>
            </w:r>
          </w:p>
        </w:tc>
        <w:tc>
          <w:tcPr>
            <w:tcW w:w="0" w:type="dxa"/>
            <w:vAlign w:val="bottom"/>
          </w:tcPr>
          <w:p>
            <w:pPr>
              <w:spacing w:after="0"/>
              <w:rPr>
                <w:sz w:val="1"/>
                <w:szCs w:val="1"/>
                <w:color w:val="auto"/>
              </w:rPr>
            </w:pPr>
          </w:p>
        </w:tc>
      </w:tr>
      <w:tr>
        <w:trPr>
          <w:trHeight w:val="195"/>
        </w:trPr>
        <w:tc>
          <w:tcPr>
            <w:tcW w:w="180" w:type="dxa"/>
            <w:vAlign w:val="bottom"/>
            <w:shd w:val="clear" w:color="auto" w:fill="E3E3E3"/>
          </w:tcPr>
          <w:p>
            <w:pPr>
              <w:spacing w:after="0"/>
              <w:rPr>
                <w:sz w:val="16"/>
                <w:szCs w:val="16"/>
                <w:color w:val="auto"/>
              </w:rPr>
            </w:pPr>
          </w:p>
        </w:tc>
        <w:tc>
          <w:tcPr>
            <w:tcW w:w="1940" w:type="dxa"/>
            <w:vAlign w:val="bottom"/>
            <w:shd w:val="clear" w:color="auto" w:fill="E3E3E3"/>
          </w:tcPr>
          <w:p>
            <w:pPr>
              <w:spacing w:after="0" w:line="195" w:lineRule="exact"/>
              <w:rPr>
                <w:sz w:val="20"/>
                <w:szCs w:val="20"/>
                <w:color w:val="auto"/>
              </w:rPr>
            </w:pPr>
            <w:r>
              <w:rPr>
                <w:rFonts w:ascii="Arial" w:cs="Arial" w:eastAsia="Arial" w:hAnsi="Arial"/>
                <w:sz w:val="18"/>
                <w:szCs w:val="18"/>
                <w:b w:val="1"/>
                <w:bCs w:val="1"/>
                <w:color w:val="6B6B6B"/>
              </w:rPr>
              <w:t>$1B in improved</w:t>
            </w:r>
          </w:p>
        </w:tc>
        <w:tc>
          <w:tcPr>
            <w:tcW w:w="8760" w:type="dxa"/>
            <w:vAlign w:val="bottom"/>
            <w:vMerge w:val="restart"/>
          </w:tcPr>
          <w:p>
            <w:pPr>
              <w:ind w:left="12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Encourage integration and create synergies</w:t>
            </w:r>
          </w:p>
        </w:tc>
        <w:tc>
          <w:tcPr>
            <w:tcW w:w="0" w:type="dxa"/>
            <w:vAlign w:val="bottom"/>
          </w:tcPr>
          <w:p>
            <w:pPr>
              <w:spacing w:after="0"/>
              <w:rPr>
                <w:sz w:val="1"/>
                <w:szCs w:val="1"/>
                <w:color w:val="auto"/>
              </w:rPr>
            </w:pPr>
          </w:p>
        </w:tc>
      </w:tr>
      <w:tr>
        <w:trPr>
          <w:trHeight w:val="137"/>
        </w:trPr>
        <w:tc>
          <w:tcPr>
            <w:tcW w:w="180" w:type="dxa"/>
            <w:vAlign w:val="bottom"/>
            <w:shd w:val="clear" w:color="auto" w:fill="E3E3E3"/>
          </w:tcPr>
          <w:p>
            <w:pPr>
              <w:spacing w:after="0"/>
              <w:rPr>
                <w:sz w:val="11"/>
                <w:szCs w:val="11"/>
                <w:color w:val="auto"/>
              </w:rPr>
            </w:pPr>
          </w:p>
        </w:tc>
        <w:tc>
          <w:tcPr>
            <w:tcW w:w="1940" w:type="dxa"/>
            <w:vAlign w:val="bottom"/>
            <w:vMerge w:val="restart"/>
            <w:shd w:val="clear" w:color="auto" w:fill="E3E3E3"/>
          </w:tcPr>
          <w:p>
            <w:pPr>
              <w:spacing w:after="0"/>
              <w:rPr>
                <w:sz w:val="20"/>
                <w:szCs w:val="20"/>
                <w:color w:val="auto"/>
              </w:rPr>
            </w:pPr>
            <w:r>
              <w:rPr>
                <w:rFonts w:ascii="Arial" w:cs="Arial" w:eastAsia="Arial" w:hAnsi="Arial"/>
                <w:sz w:val="18"/>
                <w:szCs w:val="18"/>
                <w:b w:val="1"/>
                <w:bCs w:val="1"/>
                <w:color w:val="6B6B6B"/>
              </w:rPr>
              <w:t xml:space="preserve">earnings </w:t>
            </w:r>
            <w:r>
              <w:rPr>
                <w:rFonts w:ascii="Arial" w:cs="Arial" w:eastAsia="Arial" w:hAnsi="Arial"/>
                <w:sz w:val="18"/>
                <w:szCs w:val="18"/>
                <w:color w:val="6B6B6B"/>
              </w:rPr>
              <w:t>within 18–24</w:t>
            </w:r>
          </w:p>
        </w:tc>
        <w:tc>
          <w:tcPr>
            <w:tcW w:w="8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80" w:type="dxa"/>
            <w:vAlign w:val="bottom"/>
            <w:shd w:val="clear" w:color="auto" w:fill="E3E3E3"/>
          </w:tcPr>
          <w:p>
            <w:pPr>
              <w:spacing w:after="0"/>
              <w:rPr>
                <w:sz w:val="6"/>
                <w:szCs w:val="6"/>
                <w:color w:val="auto"/>
              </w:rPr>
            </w:pPr>
          </w:p>
        </w:tc>
        <w:tc>
          <w:tcPr>
            <w:tcW w:w="1940" w:type="dxa"/>
            <w:vAlign w:val="bottom"/>
            <w:vMerge w:val="continue"/>
            <w:shd w:val="clear" w:color="auto" w:fill="E3E3E3"/>
          </w:tcPr>
          <w:p>
            <w:pPr>
              <w:spacing w:after="0"/>
              <w:rPr>
                <w:sz w:val="6"/>
                <w:szCs w:val="6"/>
                <w:color w:val="auto"/>
              </w:rPr>
            </w:pPr>
          </w:p>
        </w:tc>
        <w:tc>
          <w:tcPr>
            <w:tcW w:w="8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180" w:type="dxa"/>
            <w:vAlign w:val="bottom"/>
            <w:tcBorders>
              <w:bottom w:val="single" w:sz="8" w:color="C6C6C6"/>
            </w:tcBorders>
            <w:shd w:val="clear" w:color="auto" w:fill="E3E3E3"/>
          </w:tcPr>
          <w:p>
            <w:pPr>
              <w:spacing w:after="0"/>
              <w:rPr>
                <w:sz w:val="20"/>
                <w:szCs w:val="20"/>
                <w:color w:val="auto"/>
              </w:rPr>
            </w:pPr>
          </w:p>
        </w:tc>
        <w:tc>
          <w:tcPr>
            <w:tcW w:w="1940" w:type="dxa"/>
            <w:vAlign w:val="bottom"/>
            <w:tcBorders>
              <w:bottom w:val="single" w:sz="8" w:color="C6C6C6"/>
            </w:tcBorders>
            <w:shd w:val="clear" w:color="auto" w:fill="E3E3E3"/>
          </w:tcPr>
          <w:p>
            <w:pPr>
              <w:spacing w:after="0"/>
              <w:rPr>
                <w:sz w:val="20"/>
                <w:szCs w:val="20"/>
                <w:color w:val="auto"/>
              </w:rPr>
            </w:pPr>
            <w:r>
              <w:rPr>
                <w:rFonts w:ascii="Arial" w:cs="Arial" w:eastAsia="Arial" w:hAnsi="Arial"/>
                <w:sz w:val="18"/>
                <w:szCs w:val="18"/>
                <w:color w:val="6B6B6B"/>
              </w:rPr>
              <w:t>months</w:t>
            </w:r>
          </w:p>
        </w:tc>
        <w:tc>
          <w:tcPr>
            <w:tcW w:w="8760" w:type="dxa"/>
            <w:vAlign w:val="bottom"/>
            <w:tcBorders>
              <w:bottom w:val="single" w:sz="8" w:color="C6C6C6"/>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80" w:type="dxa"/>
            <w:vAlign w:val="bottom"/>
            <w:shd w:val="clear" w:color="auto" w:fill="E3E3E3"/>
          </w:tcPr>
          <w:p>
            <w:pPr>
              <w:spacing w:after="0"/>
              <w:rPr>
                <w:sz w:val="20"/>
                <w:szCs w:val="20"/>
                <w:color w:val="auto"/>
              </w:rPr>
            </w:pPr>
          </w:p>
        </w:tc>
        <w:tc>
          <w:tcPr>
            <w:tcW w:w="1940" w:type="dxa"/>
            <w:vAlign w:val="bottom"/>
            <w:shd w:val="clear" w:color="auto" w:fill="E3E3E3"/>
          </w:tcPr>
          <w:p>
            <w:pPr>
              <w:spacing w:after="0"/>
              <w:rPr>
                <w:sz w:val="20"/>
                <w:szCs w:val="20"/>
                <w:color w:val="auto"/>
              </w:rPr>
            </w:pPr>
            <w:r>
              <w:rPr>
                <w:rFonts w:ascii="Arial" w:cs="Arial" w:eastAsia="Arial" w:hAnsi="Arial"/>
                <w:sz w:val="18"/>
                <w:szCs w:val="18"/>
                <w:b w:val="1"/>
                <w:bCs w:val="1"/>
                <w:color w:val="CA0538"/>
              </w:rPr>
              <w:t>NOVEMBER 2017 —</w:t>
            </w:r>
          </w:p>
        </w:tc>
        <w:tc>
          <w:tcPr>
            <w:tcW w:w="8760" w:type="dxa"/>
            <w:vAlign w:val="bottom"/>
          </w:tcPr>
          <w:p>
            <w:pPr>
              <w:ind w:left="120"/>
              <w:spacing w:after="0"/>
              <w:rPr>
                <w:sz w:val="20"/>
                <w:szCs w:val="20"/>
                <w:color w:val="auto"/>
              </w:rPr>
            </w:pPr>
            <w:r>
              <w:rPr>
                <w:rFonts w:ascii="Arial" w:cs="Arial" w:eastAsia="Arial" w:hAnsi="Arial"/>
                <w:sz w:val="18"/>
                <w:szCs w:val="18"/>
                <w:b w:val="1"/>
                <w:bCs w:val="1"/>
                <w:color w:val="6B6B6B"/>
              </w:rPr>
              <w:t>Created a comprehensive corporate transformation plan that includes:</w:t>
            </w:r>
          </w:p>
        </w:tc>
        <w:tc>
          <w:tcPr>
            <w:tcW w:w="0" w:type="dxa"/>
            <w:vAlign w:val="bottom"/>
          </w:tcPr>
          <w:p>
            <w:pPr>
              <w:spacing w:after="0"/>
              <w:rPr>
                <w:sz w:val="1"/>
                <w:szCs w:val="1"/>
                <w:color w:val="auto"/>
              </w:rPr>
            </w:pPr>
          </w:p>
        </w:tc>
      </w:tr>
      <w:tr>
        <w:trPr>
          <w:trHeight w:val="231"/>
        </w:trPr>
        <w:tc>
          <w:tcPr>
            <w:tcW w:w="180" w:type="dxa"/>
            <w:vAlign w:val="bottom"/>
            <w:shd w:val="clear" w:color="auto" w:fill="E3E3E3"/>
          </w:tcPr>
          <w:p>
            <w:pPr>
              <w:spacing w:after="0"/>
              <w:rPr>
                <w:sz w:val="20"/>
                <w:szCs w:val="20"/>
                <w:color w:val="auto"/>
              </w:rPr>
            </w:pPr>
          </w:p>
        </w:tc>
        <w:tc>
          <w:tcPr>
            <w:tcW w:w="1940" w:type="dxa"/>
            <w:vAlign w:val="bottom"/>
            <w:shd w:val="clear" w:color="auto" w:fill="E3E3E3"/>
          </w:tcPr>
          <w:p>
            <w:pPr>
              <w:spacing w:after="0"/>
              <w:rPr>
                <w:sz w:val="20"/>
                <w:szCs w:val="20"/>
                <w:color w:val="auto"/>
              </w:rPr>
            </w:pPr>
            <w:r>
              <w:rPr>
                <w:rFonts w:ascii="Arial" w:cs="Arial" w:eastAsia="Arial" w:hAnsi="Arial"/>
                <w:sz w:val="18"/>
                <w:szCs w:val="18"/>
                <w:b w:val="1"/>
                <w:bCs w:val="1"/>
                <w:color w:val="CA0538"/>
              </w:rPr>
              <w:t>NOVEMBER 2019</w:t>
            </w:r>
          </w:p>
        </w:tc>
        <w:tc>
          <w:tcPr>
            <w:tcW w:w="8760" w:type="dxa"/>
            <w:vAlign w:val="bottom"/>
            <w:vMerge w:val="restart"/>
          </w:tcPr>
          <w:p>
            <w:pPr>
              <w:ind w:left="12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Sale of U.S. hydraulic fracturing business —</w:t>
            </w:r>
            <w:r>
              <w:rPr>
                <w:rFonts w:ascii="Arial" w:cs="Arial" w:eastAsia="Arial" w:hAnsi="Arial"/>
                <w:sz w:val="18"/>
                <w:szCs w:val="18"/>
                <w:color w:val="CA0538"/>
              </w:rPr>
              <w:t xml:space="preserve"> </w:t>
            </w:r>
            <w:r>
              <w:rPr>
                <w:rFonts w:ascii="Arial" w:cs="Arial" w:eastAsia="Arial" w:hAnsi="Arial"/>
                <w:sz w:val="18"/>
                <w:szCs w:val="18"/>
                <w:i w:val="1"/>
                <w:iCs w:val="1"/>
                <w:color w:val="000000"/>
              </w:rPr>
              <w:t>$430M (complete)</w:t>
            </w:r>
          </w:p>
        </w:tc>
        <w:tc>
          <w:tcPr>
            <w:tcW w:w="0" w:type="dxa"/>
            <w:vAlign w:val="bottom"/>
          </w:tcPr>
          <w:p>
            <w:pPr>
              <w:spacing w:after="0"/>
              <w:rPr>
                <w:sz w:val="1"/>
                <w:szCs w:val="1"/>
                <w:color w:val="auto"/>
              </w:rPr>
            </w:pPr>
          </w:p>
        </w:tc>
      </w:tr>
      <w:tr>
        <w:trPr>
          <w:trHeight w:val="67"/>
        </w:trPr>
        <w:tc>
          <w:tcPr>
            <w:tcW w:w="180" w:type="dxa"/>
            <w:vAlign w:val="bottom"/>
            <w:shd w:val="clear" w:color="auto" w:fill="E3E3E3"/>
          </w:tcPr>
          <w:p>
            <w:pPr>
              <w:spacing w:after="0"/>
              <w:rPr>
                <w:sz w:val="5"/>
                <w:szCs w:val="5"/>
                <w:color w:val="auto"/>
              </w:rPr>
            </w:pPr>
          </w:p>
        </w:tc>
        <w:tc>
          <w:tcPr>
            <w:tcW w:w="1940" w:type="dxa"/>
            <w:vAlign w:val="bottom"/>
            <w:shd w:val="clear" w:color="auto" w:fill="E3E3E3"/>
          </w:tcPr>
          <w:p>
            <w:pPr>
              <w:spacing w:after="0"/>
              <w:rPr>
                <w:sz w:val="5"/>
                <w:szCs w:val="5"/>
                <w:color w:val="auto"/>
              </w:rPr>
            </w:pPr>
          </w:p>
        </w:tc>
        <w:tc>
          <w:tcPr>
            <w:tcW w:w="8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80" w:type="dxa"/>
            <w:vAlign w:val="bottom"/>
            <w:shd w:val="clear" w:color="auto" w:fill="E3E3E3"/>
          </w:tcPr>
          <w:p>
            <w:pPr>
              <w:spacing w:after="0"/>
              <w:rPr>
                <w:sz w:val="19"/>
                <w:szCs w:val="19"/>
                <w:color w:val="auto"/>
              </w:rPr>
            </w:pPr>
          </w:p>
        </w:tc>
        <w:tc>
          <w:tcPr>
            <w:tcW w:w="1940" w:type="dxa"/>
            <w:vAlign w:val="bottom"/>
            <w:shd w:val="clear" w:color="auto" w:fill="E3E3E3"/>
          </w:tcPr>
          <w:p>
            <w:pPr>
              <w:spacing w:after="0"/>
              <w:rPr>
                <w:sz w:val="20"/>
                <w:szCs w:val="20"/>
                <w:color w:val="auto"/>
              </w:rPr>
            </w:pPr>
            <w:r>
              <w:rPr>
                <w:rFonts w:ascii="Arial" w:cs="Arial" w:eastAsia="Arial" w:hAnsi="Arial"/>
                <w:sz w:val="18"/>
                <w:szCs w:val="18"/>
                <w:color w:val="6B6B6B"/>
              </w:rPr>
              <w:t>Define our path to</w:t>
            </w:r>
          </w:p>
        </w:tc>
        <w:tc>
          <w:tcPr>
            <w:tcW w:w="8760" w:type="dxa"/>
            <w:vAlign w:val="bottom"/>
          </w:tcPr>
          <w:p>
            <w:pPr>
              <w:ind w:left="12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Sale of land drilling rigs business</w:t>
            </w:r>
          </w:p>
        </w:tc>
        <w:tc>
          <w:tcPr>
            <w:tcW w:w="0" w:type="dxa"/>
            <w:vAlign w:val="bottom"/>
          </w:tcPr>
          <w:p>
            <w:pPr>
              <w:spacing w:after="0"/>
              <w:rPr>
                <w:sz w:val="1"/>
                <w:szCs w:val="1"/>
                <w:color w:val="auto"/>
              </w:rPr>
            </w:pPr>
          </w:p>
        </w:tc>
      </w:tr>
      <w:tr>
        <w:trPr>
          <w:trHeight w:val="231"/>
        </w:trPr>
        <w:tc>
          <w:tcPr>
            <w:tcW w:w="180" w:type="dxa"/>
            <w:vAlign w:val="bottom"/>
            <w:shd w:val="clear" w:color="auto" w:fill="E3E3E3"/>
          </w:tcPr>
          <w:p>
            <w:pPr>
              <w:spacing w:after="0"/>
              <w:rPr>
                <w:sz w:val="20"/>
                <w:szCs w:val="20"/>
                <w:color w:val="auto"/>
              </w:rPr>
            </w:pPr>
          </w:p>
        </w:tc>
        <w:tc>
          <w:tcPr>
            <w:tcW w:w="1940" w:type="dxa"/>
            <w:vAlign w:val="bottom"/>
            <w:shd w:val="clear" w:color="auto" w:fill="E3E3E3"/>
          </w:tcPr>
          <w:p>
            <w:pPr>
              <w:spacing w:after="0"/>
              <w:rPr>
                <w:sz w:val="20"/>
                <w:szCs w:val="20"/>
                <w:color w:val="auto"/>
              </w:rPr>
            </w:pPr>
            <w:r>
              <w:rPr>
                <w:rFonts w:ascii="Arial" w:cs="Arial" w:eastAsia="Arial" w:hAnsi="Arial"/>
                <w:sz w:val="18"/>
                <w:szCs w:val="18"/>
                <w:b w:val="1"/>
                <w:bCs w:val="1"/>
                <w:color w:val="6B6B6B"/>
              </w:rPr>
              <w:t>sustainable growth</w:t>
            </w:r>
          </w:p>
        </w:tc>
        <w:tc>
          <w:tcPr>
            <w:tcW w:w="8760" w:type="dxa"/>
            <w:vAlign w:val="bottom"/>
            <w:vMerge w:val="restart"/>
          </w:tcPr>
          <w:p>
            <w:pPr>
              <w:ind w:left="12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Further non-core divestitures</w:t>
            </w:r>
          </w:p>
        </w:tc>
        <w:tc>
          <w:tcPr>
            <w:tcW w:w="0" w:type="dxa"/>
            <w:vAlign w:val="bottom"/>
          </w:tcPr>
          <w:p>
            <w:pPr>
              <w:spacing w:after="0"/>
              <w:rPr>
                <w:sz w:val="1"/>
                <w:szCs w:val="1"/>
                <w:color w:val="auto"/>
              </w:rPr>
            </w:pPr>
          </w:p>
        </w:tc>
      </w:tr>
      <w:tr>
        <w:trPr>
          <w:trHeight w:val="102"/>
        </w:trPr>
        <w:tc>
          <w:tcPr>
            <w:tcW w:w="180" w:type="dxa"/>
            <w:vAlign w:val="bottom"/>
            <w:shd w:val="clear" w:color="auto" w:fill="E3E3E3"/>
          </w:tcPr>
          <w:p>
            <w:pPr>
              <w:spacing w:after="0"/>
              <w:rPr>
                <w:sz w:val="8"/>
                <w:szCs w:val="8"/>
                <w:color w:val="auto"/>
              </w:rPr>
            </w:pPr>
          </w:p>
        </w:tc>
        <w:tc>
          <w:tcPr>
            <w:tcW w:w="1940" w:type="dxa"/>
            <w:vAlign w:val="bottom"/>
            <w:shd w:val="clear" w:color="auto" w:fill="E3E3E3"/>
          </w:tcPr>
          <w:p>
            <w:pPr>
              <w:spacing w:after="0"/>
              <w:rPr>
                <w:sz w:val="8"/>
                <w:szCs w:val="8"/>
                <w:color w:val="auto"/>
              </w:rPr>
            </w:pPr>
          </w:p>
        </w:tc>
        <w:tc>
          <w:tcPr>
            <w:tcW w:w="8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180" w:type="dxa"/>
            <w:vAlign w:val="bottom"/>
            <w:shd w:val="clear" w:color="auto" w:fill="E3E3E3"/>
          </w:tcPr>
          <w:p>
            <w:pPr>
              <w:spacing w:after="0"/>
              <w:rPr>
                <w:sz w:val="24"/>
                <w:szCs w:val="24"/>
                <w:color w:val="auto"/>
              </w:rPr>
            </w:pPr>
          </w:p>
        </w:tc>
        <w:tc>
          <w:tcPr>
            <w:tcW w:w="1940" w:type="dxa"/>
            <w:vAlign w:val="bottom"/>
            <w:shd w:val="clear" w:color="auto" w:fill="E3E3E3"/>
          </w:tcPr>
          <w:p>
            <w:pPr>
              <w:spacing w:after="0"/>
              <w:rPr>
                <w:sz w:val="24"/>
                <w:szCs w:val="24"/>
                <w:color w:val="auto"/>
              </w:rPr>
            </w:pPr>
          </w:p>
        </w:tc>
        <w:tc>
          <w:tcPr>
            <w:tcW w:w="8760" w:type="dxa"/>
            <w:vAlign w:val="bottom"/>
          </w:tcPr>
          <w:p>
            <w:pPr>
              <w:ind w:left="12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Additional cost savings</w:t>
            </w:r>
          </w:p>
        </w:tc>
        <w:tc>
          <w:tcPr>
            <w:tcW w:w="0" w:type="dxa"/>
            <w:vAlign w:val="bottom"/>
          </w:tcPr>
          <w:p>
            <w:pPr>
              <w:spacing w:after="0"/>
              <w:rPr>
                <w:sz w:val="1"/>
                <w:szCs w:val="1"/>
                <w:color w:val="auto"/>
              </w:rPr>
            </w:pPr>
          </w:p>
        </w:tc>
      </w:tr>
      <w:tr>
        <w:trPr>
          <w:trHeight w:val="288"/>
        </w:trPr>
        <w:tc>
          <w:tcPr>
            <w:tcW w:w="180" w:type="dxa"/>
            <w:vAlign w:val="bottom"/>
            <w:tcBorders>
              <w:bottom w:val="single" w:sz="8" w:color="auto"/>
            </w:tcBorders>
            <w:shd w:val="clear" w:color="auto" w:fill="E3E3E3"/>
          </w:tcPr>
          <w:p>
            <w:pPr>
              <w:spacing w:after="0"/>
              <w:rPr>
                <w:sz w:val="24"/>
                <w:szCs w:val="24"/>
                <w:color w:val="auto"/>
              </w:rPr>
            </w:pPr>
          </w:p>
        </w:tc>
        <w:tc>
          <w:tcPr>
            <w:tcW w:w="1940" w:type="dxa"/>
            <w:vAlign w:val="bottom"/>
            <w:tcBorders>
              <w:bottom w:val="single" w:sz="8" w:color="auto"/>
            </w:tcBorders>
            <w:shd w:val="clear" w:color="auto" w:fill="E3E3E3"/>
          </w:tcPr>
          <w:p>
            <w:pPr>
              <w:spacing w:after="0"/>
              <w:rPr>
                <w:sz w:val="24"/>
                <w:szCs w:val="24"/>
                <w:color w:val="auto"/>
              </w:rPr>
            </w:pPr>
          </w:p>
        </w:tc>
        <w:tc>
          <w:tcPr>
            <w:tcW w:w="8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000000"/>
              </w:rPr>
              <w:t>Improved profitability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240" w:top="455" w:right="499" w:bottom="1440" w:gutter="0" w:footer="0" w:header="0"/>
        </w:sectPr>
      </w:pPr>
    </w:p>
    <w:p>
      <w:pPr>
        <w:spacing w:after="0" w:line="12" w:lineRule="exact"/>
        <w:rPr>
          <w:sz w:val="20"/>
          <w:szCs w:val="20"/>
          <w:color w:val="auto"/>
        </w:rPr>
      </w:pPr>
    </w:p>
    <w:p>
      <w:pPr>
        <w:ind w:left="260"/>
        <w:spacing w:after="0"/>
        <w:rPr>
          <w:sz w:val="20"/>
          <w:szCs w:val="20"/>
          <w:color w:val="auto"/>
        </w:rPr>
      </w:pPr>
      <w:r>
        <w:rPr>
          <w:rFonts w:ascii="Arial" w:cs="Arial" w:eastAsia="Arial" w:hAnsi="Arial"/>
          <w:sz w:val="36"/>
          <w:szCs w:val="36"/>
          <w:color w:val="CA0538"/>
        </w:rPr>
        <w:t>Our Results</w:t>
      </w:r>
    </w:p>
    <w:p>
      <w:pPr>
        <w:spacing w:after="0" w:line="134" w:lineRule="exact"/>
        <w:rPr>
          <w:sz w:val="20"/>
          <w:szCs w:val="20"/>
          <w:color w:val="auto"/>
        </w:rPr>
      </w:pPr>
    </w:p>
    <w:p>
      <w:pPr>
        <w:ind w:left="260"/>
        <w:spacing w:after="0" w:line="252" w:lineRule="auto"/>
        <w:rPr>
          <w:sz w:val="20"/>
          <w:szCs w:val="20"/>
          <w:color w:val="auto"/>
        </w:rPr>
      </w:pPr>
      <w:r>
        <w:rPr>
          <w:rFonts w:ascii="Arial" w:cs="Arial" w:eastAsia="Arial" w:hAnsi="Arial"/>
          <w:sz w:val="18"/>
          <w:szCs w:val="18"/>
          <w:color w:val="575756"/>
        </w:rPr>
        <w:t>Our 2017 accomplishments lay the critical foundation for change in 2018 and beyond as we continue on our path to delivering improved financial performance and long- term shareholder value.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276" w:hanging="276"/>
        <w:spacing w:after="0"/>
        <w:tabs>
          <w:tab w:leader="none" w:pos="276" w:val="left"/>
        </w:tabs>
        <w:numPr>
          <w:ilvl w:val="0"/>
          <w:numId w:val="7"/>
        </w:numPr>
        <w:rPr>
          <w:rFonts w:ascii="Arial" w:cs="Arial" w:eastAsia="Arial" w:hAnsi="Arial"/>
          <w:sz w:val="25"/>
          <w:szCs w:val="25"/>
          <w:color w:val="CA0538"/>
        </w:rPr>
      </w:pPr>
      <w:r>
        <w:rPr>
          <w:rFonts w:ascii="Arial" w:cs="Arial" w:eastAsia="Arial" w:hAnsi="Arial"/>
          <w:sz w:val="25"/>
          <w:szCs w:val="25"/>
          <w:color w:val="6B6B6B"/>
        </w:rPr>
        <w:t>REFRESHED OUR LEADERSHIP TEAM</w:t>
      </w:r>
    </w:p>
    <w:p>
      <w:pPr>
        <w:spacing w:after="0" w:line="28" w:lineRule="exact"/>
        <w:rPr>
          <w:rFonts w:ascii="Arial" w:cs="Arial" w:eastAsia="Arial" w:hAnsi="Arial"/>
          <w:sz w:val="25"/>
          <w:szCs w:val="25"/>
          <w:color w:val="CA0538"/>
        </w:rPr>
      </w:pPr>
    </w:p>
    <w:p>
      <w:pPr>
        <w:ind w:left="276" w:hanging="276"/>
        <w:spacing w:after="0"/>
        <w:tabs>
          <w:tab w:leader="none" w:pos="276" w:val="left"/>
        </w:tabs>
        <w:numPr>
          <w:ilvl w:val="0"/>
          <w:numId w:val="7"/>
        </w:numPr>
        <w:rPr>
          <w:rFonts w:ascii="Arial" w:cs="Arial" w:eastAsia="Arial" w:hAnsi="Arial"/>
          <w:sz w:val="25"/>
          <w:szCs w:val="25"/>
          <w:color w:val="CA0538"/>
        </w:rPr>
      </w:pPr>
      <w:r>
        <w:rPr>
          <w:rFonts w:ascii="Arial" w:cs="Arial" w:eastAsia="Arial" w:hAnsi="Arial"/>
          <w:sz w:val="25"/>
          <w:szCs w:val="25"/>
          <w:color w:val="6B6B6B"/>
        </w:rPr>
        <w:t>LOWERED OUR SUPPORT RATIO</w:t>
      </w:r>
    </w:p>
    <w:p>
      <w:pPr>
        <w:spacing w:after="0" w:line="6" w:lineRule="exact"/>
        <w:rPr>
          <w:rFonts w:ascii="Arial" w:cs="Arial" w:eastAsia="Arial" w:hAnsi="Arial"/>
          <w:sz w:val="25"/>
          <w:szCs w:val="25"/>
          <w:color w:val="CA0538"/>
        </w:rPr>
      </w:pPr>
    </w:p>
    <w:p>
      <w:pPr>
        <w:ind w:left="276" w:hanging="276"/>
        <w:spacing w:after="0"/>
        <w:tabs>
          <w:tab w:leader="none" w:pos="276" w:val="left"/>
        </w:tabs>
        <w:numPr>
          <w:ilvl w:val="0"/>
          <w:numId w:val="7"/>
        </w:numPr>
        <w:rPr>
          <w:rFonts w:ascii="Arial" w:cs="Arial" w:eastAsia="Arial" w:hAnsi="Arial"/>
          <w:sz w:val="25"/>
          <w:szCs w:val="25"/>
          <w:color w:val="CA0538"/>
        </w:rPr>
      </w:pPr>
      <w:r>
        <w:rPr>
          <w:rFonts w:ascii="Arial" w:cs="Arial" w:eastAsia="Arial" w:hAnsi="Arial"/>
          <w:sz w:val="25"/>
          <w:szCs w:val="25"/>
          <w:color w:val="6B6B6B"/>
        </w:rPr>
        <w:t>REDUCED NONPRODUCTIVE TIME</w:t>
      </w:r>
    </w:p>
    <w:p>
      <w:pPr>
        <w:spacing w:after="0" w:line="6" w:lineRule="exact"/>
        <w:rPr>
          <w:rFonts w:ascii="Arial" w:cs="Arial" w:eastAsia="Arial" w:hAnsi="Arial"/>
          <w:sz w:val="25"/>
          <w:szCs w:val="25"/>
          <w:color w:val="CA0538"/>
        </w:rPr>
      </w:pPr>
    </w:p>
    <w:p>
      <w:pPr>
        <w:ind w:left="276" w:hanging="276"/>
        <w:spacing w:after="0"/>
        <w:tabs>
          <w:tab w:leader="none" w:pos="276" w:val="left"/>
        </w:tabs>
        <w:numPr>
          <w:ilvl w:val="0"/>
          <w:numId w:val="7"/>
        </w:numPr>
        <w:rPr>
          <w:rFonts w:ascii="Arial" w:cs="Arial" w:eastAsia="Arial" w:hAnsi="Arial"/>
          <w:sz w:val="37"/>
          <w:szCs w:val="37"/>
          <w:color w:val="CA0538"/>
          <w:vertAlign w:val="subscript"/>
        </w:rPr>
      </w:pPr>
      <w:r>
        <w:rPr>
          <w:rFonts w:ascii="Arial" w:cs="Arial" w:eastAsia="Arial" w:hAnsi="Arial"/>
          <w:sz w:val="20"/>
          <w:szCs w:val="20"/>
          <w:color w:val="6B6B6B"/>
        </w:rPr>
        <w:t>POSITIONED</w:t>
      </w:r>
      <w:r>
        <w:rPr>
          <w:rFonts w:ascii="Arial" w:cs="Arial" w:eastAsia="Arial" w:hAnsi="Arial"/>
          <w:sz w:val="36"/>
          <w:szCs w:val="36"/>
          <w:color w:val="6B6B6B"/>
          <w:vertAlign w:val="subscript"/>
        </w:rPr>
        <w:t>SAVINGS</w:t>
      </w:r>
      <w:r>
        <w:rPr>
          <w:rFonts w:ascii="Arial" w:cs="Arial" w:eastAsia="Arial" w:hAnsi="Arial"/>
          <w:sz w:val="20"/>
          <w:szCs w:val="20"/>
          <w:color w:val="6B6B6B"/>
        </w:rPr>
        <w:t xml:space="preserve"> OURSELVES TO ACHIEVE SIGNIFICANT COST</w:t>
      </w:r>
    </w:p>
    <w:p>
      <w:pPr>
        <w:spacing w:after="0" w:line="161" w:lineRule="exact"/>
        <w:rPr>
          <w:rFonts w:ascii="Arial" w:cs="Arial" w:eastAsia="Arial" w:hAnsi="Arial"/>
          <w:sz w:val="37"/>
          <w:szCs w:val="37"/>
          <w:color w:val="CA0538"/>
          <w:vertAlign w:val="subscript"/>
        </w:rPr>
      </w:pPr>
    </w:p>
    <w:p>
      <w:pPr>
        <w:ind w:left="276" w:right="2180" w:hanging="276"/>
        <w:spacing w:after="0" w:line="180" w:lineRule="auto"/>
        <w:tabs>
          <w:tab w:leader="none" w:pos="276" w:val="left"/>
        </w:tabs>
        <w:numPr>
          <w:ilvl w:val="0"/>
          <w:numId w:val="7"/>
        </w:numPr>
        <w:rPr>
          <w:rFonts w:ascii="Arial" w:cs="Arial" w:eastAsia="Arial" w:hAnsi="Arial"/>
          <w:sz w:val="45"/>
          <w:szCs w:val="45"/>
          <w:color w:val="CA0538"/>
          <w:vertAlign w:val="subscript"/>
        </w:rPr>
      </w:pPr>
      <w:r>
        <w:rPr>
          <w:rFonts w:ascii="Arial" w:cs="Arial" w:eastAsia="Arial" w:hAnsi="Arial"/>
          <w:sz w:val="23"/>
          <w:szCs w:val="23"/>
          <w:color w:val="6B6B6B"/>
        </w:rPr>
        <w:t>REDEFINED OUR CULTURE AND FOCUSED ON ORGANIZATIONAL HEALTH</w:t>
      </w:r>
    </w:p>
    <w:p>
      <w:pPr>
        <w:ind w:left="276" w:hanging="276"/>
        <w:spacing w:after="0"/>
        <w:tabs>
          <w:tab w:leader="none" w:pos="276" w:val="left"/>
        </w:tabs>
        <w:numPr>
          <w:ilvl w:val="0"/>
          <w:numId w:val="7"/>
        </w:numPr>
        <w:rPr>
          <w:rFonts w:ascii="Arial" w:cs="Arial" w:eastAsia="Arial" w:hAnsi="Arial"/>
          <w:sz w:val="25"/>
          <w:szCs w:val="25"/>
          <w:color w:val="CA0538"/>
        </w:rPr>
      </w:pPr>
      <w:r>
        <w:rPr>
          <w:rFonts w:ascii="Arial" w:cs="Arial" w:eastAsia="Arial" w:hAnsi="Arial"/>
          <w:sz w:val="25"/>
          <w:szCs w:val="25"/>
          <w:color w:val="6B6B6B"/>
        </w:rPr>
        <w:t>DIVERSIFIED OUR BOARD</w:t>
      </w:r>
    </w:p>
    <w:p>
      <w:pPr>
        <w:spacing w:after="0" w:line="6" w:lineRule="exact"/>
        <w:rPr>
          <w:rFonts w:ascii="Arial" w:cs="Arial" w:eastAsia="Arial" w:hAnsi="Arial"/>
          <w:sz w:val="25"/>
          <w:szCs w:val="25"/>
          <w:color w:val="CA0538"/>
        </w:rPr>
      </w:pPr>
    </w:p>
    <w:p>
      <w:pPr>
        <w:ind w:left="276" w:hanging="276"/>
        <w:spacing w:after="0"/>
        <w:tabs>
          <w:tab w:leader="none" w:pos="276" w:val="left"/>
        </w:tabs>
        <w:numPr>
          <w:ilvl w:val="0"/>
          <w:numId w:val="7"/>
        </w:numPr>
        <w:rPr>
          <w:rFonts w:ascii="Arial" w:cs="Arial" w:eastAsia="Arial" w:hAnsi="Arial"/>
          <w:sz w:val="25"/>
          <w:szCs w:val="25"/>
          <w:color w:val="CA0538"/>
        </w:rPr>
      </w:pPr>
      <w:r>
        <w:rPr>
          <w:rFonts w:ascii="Arial" w:cs="Arial" w:eastAsia="Arial" w:hAnsi="Arial"/>
          <w:sz w:val="25"/>
          <w:szCs w:val="25"/>
          <w:color w:val="6B6B6B"/>
        </w:rPr>
        <w:t>MONETIZED NON-CORE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-1936750</wp:posOffset>
            </wp:positionH>
            <wp:positionV relativeFrom="paragraph">
              <wp:posOffset>111125</wp:posOffset>
            </wp:positionV>
            <wp:extent cx="69176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184"/>
            <w:col w:w="7836"/>
          </w:cols>
          <w:pgMar w:left="240" w:top="455" w:right="499" w:bottom="1440" w:gutter="0" w:footer="0" w:header="0"/>
          <w:type w:val="continuous"/>
        </w:sectPr>
      </w:pPr>
    </w:p>
    <w:p>
      <w:pPr>
        <w:spacing w:after="0" w:line="99" w:lineRule="exact"/>
        <w:rPr>
          <w:sz w:val="20"/>
          <w:szCs w:val="20"/>
          <w:color w:val="auto"/>
        </w:rPr>
      </w:pPr>
    </w:p>
    <w:p>
      <w:pPr>
        <w:ind w:left="260"/>
        <w:spacing w:after="0"/>
        <w:rPr>
          <w:sz w:val="20"/>
          <w:szCs w:val="20"/>
          <w:color w:val="auto"/>
        </w:rPr>
      </w:pPr>
      <w:r>
        <w:rPr>
          <w:rFonts w:ascii="Arial" w:cs="Arial" w:eastAsia="Arial" w:hAnsi="Arial"/>
          <w:sz w:val="13"/>
          <w:szCs w:val="13"/>
          <w:color w:val="878787"/>
        </w:rPr>
        <w:t xml:space="preserve">Weatherford International plc – 2018 Proxy Statement </w:t>
      </w:r>
      <w:r>
        <w:rPr>
          <w:rFonts w:ascii="Arial" w:cs="Arial" w:eastAsia="Arial" w:hAnsi="Arial"/>
          <w:sz w:val="13"/>
          <w:szCs w:val="13"/>
          <w:b w:val="1"/>
          <w:bCs w:val="1"/>
          <w:color w:val="878787"/>
        </w:rPr>
        <w:t>VI</w:t>
      </w:r>
    </w:p>
    <w:p>
      <w:pPr>
        <w:sectPr>
          <w:pgSz w:w="11900" w:h="16838" w:orient="portrait"/>
          <w:cols w:equalWidth="0" w:num="1">
            <w:col w:w="11160"/>
          </w:cols>
          <w:pgMar w:left="240" w:top="455" w:right="4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201930</wp:posOffset>
            </wp:positionV>
            <wp:extent cx="491490" cy="1466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1490" cy="146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0" w:hanging="126"/>
        <w:spacing w:after="0" w:line="182" w:lineRule="auto"/>
        <w:rPr>
          <w:sz w:val="20"/>
          <w:szCs w:val="20"/>
          <w:color w:val="auto"/>
        </w:rPr>
      </w:pPr>
      <w:r>
        <w:rPr>
          <w:rFonts w:ascii="Arial" w:cs="Arial" w:eastAsia="Arial" w:hAnsi="Arial"/>
          <w:sz w:val="42"/>
          <w:szCs w:val="42"/>
          <w:color w:val="FFFFFF"/>
          <w:vertAlign w:val="superscript"/>
        </w:rPr>
        <w:t>ITEM</w:t>
      </w:r>
      <w:r>
        <w:rPr>
          <w:sz w:val="20"/>
          <w:szCs w:val="20"/>
          <w:color w:val="auto"/>
        </w:rPr>
        <w:t xml:space="preserve"> </w:t>
      </w:r>
      <w:r>
        <w:rPr>
          <w:rFonts w:ascii="Arial" w:cs="Arial" w:eastAsia="Arial" w:hAnsi="Arial"/>
          <w:sz w:val="32"/>
          <w:szCs w:val="32"/>
          <w:color w:val="3C3C3B"/>
        </w:rPr>
        <w:t xml:space="preserve">ELECTION OF </w:t>
      </w:r>
      <w:r>
        <w:rPr>
          <w:rFonts w:ascii="Arial" w:cs="Arial" w:eastAsia="Arial" w:hAnsi="Arial"/>
          <w:sz w:val="53"/>
          <w:szCs w:val="53"/>
          <w:b w:val="1"/>
          <w:bCs w:val="1"/>
          <w:color w:val="FFFFFF"/>
        </w:rPr>
        <w:t xml:space="preserve">1 </w:t>
      </w:r>
      <w:r>
        <w:rPr>
          <w:rFonts w:ascii="Arial" w:cs="Arial" w:eastAsia="Arial" w:hAnsi="Arial"/>
          <w:sz w:val="32"/>
          <w:szCs w:val="32"/>
          <w:color w:val="3C3C3B"/>
        </w:rPr>
        <w:t>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020"/>
        <w:spacing w:after="0" w:line="275" w:lineRule="auto"/>
        <w:rPr>
          <w:sz w:val="20"/>
          <w:szCs w:val="20"/>
          <w:color w:val="auto"/>
        </w:rPr>
      </w:pPr>
      <w:r>
        <w:rPr>
          <w:rFonts w:ascii="Arial" w:cs="Arial" w:eastAsia="Arial" w:hAnsi="Arial"/>
          <w:sz w:val="25"/>
          <w:szCs w:val="25"/>
          <w:b w:val="1"/>
          <w:bCs w:val="1"/>
          <w:color w:val="CA0538"/>
        </w:rPr>
        <w:t>The Board recommends a vote FOR each of the 10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-1064260</wp:posOffset>
            </wp:positionV>
            <wp:extent cx="72904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3810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-530225</wp:posOffset>
            </wp:positionV>
            <wp:extent cx="6425565" cy="1466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25565" cy="1466850"/>
                    </a:xfrm>
                    <a:prstGeom prst="rect">
                      <a:avLst/>
                    </a:prstGeom>
                    <a:noFill/>
                  </pic:spPr>
                </pic:pic>
              </a:graphicData>
            </a:graphic>
          </wp:anchor>
        </w:drawing>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575756"/>
        </w:rPr>
        <w:t>The Board believes its members collectively have the skills and expertise needed to successfully continue to oversee the implementation of Weatherford’s strategic plan for the benefit of shareholders, employees and other stakeholders.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575756"/>
        </w:rPr>
        <w:t>See page 4 for further information about our director nominees.</w:t>
      </w:r>
    </w:p>
    <w:p>
      <w:pPr>
        <w:spacing w:after="0" w:line="200" w:lineRule="exact"/>
        <w:rPr>
          <w:sz w:val="20"/>
          <w:szCs w:val="20"/>
          <w:color w:val="auto"/>
        </w:rPr>
      </w:pPr>
    </w:p>
    <w:p>
      <w:pPr>
        <w:sectPr>
          <w:pgSz w:w="11900" w:h="16838" w:orient="portrait"/>
          <w:cols w:equalWidth="0" w:num="2">
            <w:col w:w="3300" w:space="580"/>
            <w:col w:w="7280"/>
          </w:cols>
          <w:pgMar w:left="240" w:top="455" w:right="499" w:bottom="0" w:gutter="0" w:footer="0" w:header="0"/>
        </w:sectPr>
      </w:pPr>
    </w:p>
    <w:p>
      <w:pPr>
        <w:spacing w:after="0" w:line="104"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CA0538"/>
        </w:rPr>
        <w:t>OUR DIRECTOR NOMINEES</w:t>
      </w:r>
    </w:p>
    <w:p>
      <w:pPr>
        <w:spacing w:after="0" w:line="133" w:lineRule="exact"/>
        <w:rPr>
          <w:sz w:val="20"/>
          <w:szCs w:val="20"/>
          <w:color w:val="auto"/>
        </w:rPr>
      </w:pPr>
    </w:p>
    <w:p>
      <w:pPr>
        <w:ind w:left="260" w:right="40"/>
        <w:spacing w:after="0" w:line="274" w:lineRule="auto"/>
        <w:rPr>
          <w:sz w:val="20"/>
          <w:szCs w:val="20"/>
          <w:color w:val="auto"/>
        </w:rPr>
      </w:pPr>
      <w:r>
        <w:rPr>
          <w:rFonts w:ascii="Arial" w:cs="Arial" w:eastAsia="Arial" w:hAnsi="Arial"/>
          <w:sz w:val="17"/>
          <w:szCs w:val="17"/>
          <w:color w:val="575756"/>
        </w:rPr>
        <w:t>Our Board is committed to ensuring the Company’s business affairs are managed in an effective and accountable manner. To achieve this, the composition of our Board is carefully considered and evaluated to bring the appropriate range of skills and experience in relevant areas including finance, exploration and production, environment, public policy, international business and leadership, and oilfield services that will enable our Board to help guide the Company’s strategic objectives and maintain high corporate governance practices.</w:t>
      </w:r>
    </w:p>
    <w:p>
      <w:pPr>
        <w:sectPr>
          <w:pgSz w:w="11900" w:h="16838" w:orient="portrait"/>
          <w:cols w:equalWidth="0" w:num="1">
            <w:col w:w="11160"/>
          </w:cols>
          <w:pgMar w:left="240" w:top="455" w:right="499" w:bottom="0" w:gutter="0" w:footer="0" w:header="0"/>
          <w:type w:val="continuous"/>
        </w:sectPr>
      </w:pPr>
    </w:p>
    <w:p>
      <w:pPr>
        <w:spacing w:after="0" w:line="198"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575756"/>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74930</wp:posOffset>
            </wp:positionV>
            <wp:extent cx="2568575" cy="432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8575" cy="432435"/>
                    </a:xfrm>
                    <a:prstGeom prst="rect">
                      <a:avLst/>
                    </a:prstGeom>
                    <a:noFill/>
                  </pic:spPr>
                </pic:pic>
              </a:graphicData>
            </a:graphic>
          </wp:anchor>
        </w:drawing>
      </w:r>
    </w:p>
    <w:p>
      <w:pPr>
        <w:spacing w:after="0" w:line="262" w:lineRule="exact"/>
        <w:rPr>
          <w:sz w:val="20"/>
          <w:szCs w:val="20"/>
          <w:color w:val="auto"/>
        </w:rPr>
      </w:pPr>
    </w:p>
    <w:p>
      <w:pPr>
        <w:ind w:left="1160"/>
        <w:spacing w:after="0"/>
        <w:rPr>
          <w:sz w:val="20"/>
          <w:szCs w:val="20"/>
          <w:color w:val="auto"/>
        </w:rPr>
      </w:pPr>
      <w:r>
        <w:rPr>
          <w:rFonts w:ascii="Arial" w:cs="Arial" w:eastAsia="Arial" w:hAnsi="Arial"/>
          <w:sz w:val="25"/>
          <w:szCs w:val="25"/>
          <w:color w:val="575756"/>
        </w:rPr>
        <w:t xml:space="preserve">MOHAMED A. </w:t>
      </w:r>
      <w:r>
        <w:rPr>
          <w:rFonts w:ascii="Arial" w:cs="Arial" w:eastAsia="Arial" w:hAnsi="Arial"/>
          <w:sz w:val="25"/>
          <w:szCs w:val="25"/>
          <w:b w:val="1"/>
          <w:bCs w:val="1"/>
          <w:color w:val="575756"/>
        </w:rPr>
        <w:t>AWAD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196850</wp:posOffset>
            </wp:positionV>
            <wp:extent cx="2568575" cy="432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8575" cy="43243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160"/>
        <w:spacing w:after="0"/>
        <w:rPr>
          <w:sz w:val="20"/>
          <w:szCs w:val="20"/>
          <w:color w:val="auto"/>
        </w:rPr>
      </w:pPr>
      <w:r>
        <w:rPr>
          <w:rFonts w:ascii="Arial" w:cs="Arial" w:eastAsia="Arial" w:hAnsi="Arial"/>
          <w:sz w:val="25"/>
          <w:szCs w:val="25"/>
          <w:color w:val="575756"/>
        </w:rPr>
        <w:t xml:space="preserve">ROXANNE J. </w:t>
      </w:r>
      <w:r>
        <w:rPr>
          <w:rFonts w:ascii="Arial" w:cs="Arial" w:eastAsia="Arial" w:hAnsi="Arial"/>
          <w:sz w:val="25"/>
          <w:szCs w:val="25"/>
          <w:b w:val="1"/>
          <w:bCs w:val="1"/>
          <w:color w:val="575756"/>
        </w:rPr>
        <w:t>DECYK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196850</wp:posOffset>
            </wp:positionV>
            <wp:extent cx="2568575" cy="432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8575" cy="43243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160"/>
        <w:spacing w:after="0"/>
        <w:rPr>
          <w:sz w:val="20"/>
          <w:szCs w:val="20"/>
          <w:color w:val="auto"/>
        </w:rPr>
      </w:pPr>
      <w:r>
        <w:rPr>
          <w:rFonts w:ascii="Arial" w:cs="Arial" w:eastAsia="Arial" w:hAnsi="Arial"/>
          <w:sz w:val="25"/>
          <w:szCs w:val="25"/>
          <w:color w:val="575756"/>
        </w:rPr>
        <w:t xml:space="preserve">JOHN D. </w:t>
      </w:r>
      <w:r>
        <w:rPr>
          <w:rFonts w:ascii="Arial" w:cs="Arial" w:eastAsia="Arial" w:hAnsi="Arial"/>
          <w:sz w:val="25"/>
          <w:szCs w:val="25"/>
          <w:b w:val="1"/>
          <w:bCs w:val="1"/>
          <w:color w:val="575756"/>
        </w:rPr>
        <w:t>GASS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196850</wp:posOffset>
            </wp:positionV>
            <wp:extent cx="2568575" cy="703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8575" cy="703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160"/>
        <w:spacing w:after="0"/>
        <w:rPr>
          <w:sz w:val="20"/>
          <w:szCs w:val="20"/>
          <w:color w:val="auto"/>
        </w:rPr>
      </w:pPr>
      <w:r>
        <w:rPr>
          <w:rFonts w:ascii="Arial" w:cs="Arial" w:eastAsia="Arial" w:hAnsi="Arial"/>
          <w:sz w:val="25"/>
          <w:szCs w:val="25"/>
          <w:color w:val="575756"/>
        </w:rPr>
        <w:t xml:space="preserve">EMYR </w:t>
      </w:r>
      <w:r>
        <w:rPr>
          <w:rFonts w:ascii="Arial" w:cs="Arial" w:eastAsia="Arial" w:hAnsi="Arial"/>
          <w:sz w:val="25"/>
          <w:szCs w:val="25"/>
          <w:b w:val="1"/>
          <w:bCs w:val="1"/>
          <w:color w:val="575756"/>
        </w:rPr>
        <w:t>JONES PARRY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332105</wp:posOffset>
            </wp:positionV>
            <wp:extent cx="2568575" cy="567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8575" cy="56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160"/>
        <w:spacing w:after="0"/>
        <w:rPr>
          <w:sz w:val="20"/>
          <w:szCs w:val="20"/>
          <w:color w:val="auto"/>
        </w:rPr>
      </w:pPr>
      <w:r>
        <w:rPr>
          <w:rFonts w:ascii="Arial" w:cs="Arial" w:eastAsia="Arial" w:hAnsi="Arial"/>
          <w:sz w:val="25"/>
          <w:szCs w:val="25"/>
          <w:color w:val="575756"/>
        </w:rPr>
        <w:t xml:space="preserve">FRANCIS S. </w:t>
      </w:r>
      <w:r>
        <w:rPr>
          <w:rFonts w:ascii="Arial" w:cs="Arial" w:eastAsia="Arial" w:hAnsi="Arial"/>
          <w:sz w:val="25"/>
          <w:szCs w:val="25"/>
          <w:b w:val="1"/>
          <w:bCs w:val="1"/>
          <w:color w:val="575756"/>
        </w:rPr>
        <w:t>KALMAN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264160</wp:posOffset>
            </wp:positionV>
            <wp:extent cx="2568575" cy="432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8575" cy="43243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160"/>
        <w:spacing w:after="0"/>
        <w:rPr>
          <w:sz w:val="20"/>
          <w:szCs w:val="20"/>
          <w:color w:val="auto"/>
        </w:rPr>
      </w:pPr>
      <w:r>
        <w:rPr>
          <w:rFonts w:ascii="Arial" w:cs="Arial" w:eastAsia="Arial" w:hAnsi="Arial"/>
          <w:sz w:val="25"/>
          <w:szCs w:val="25"/>
          <w:color w:val="575756"/>
        </w:rPr>
        <w:t xml:space="preserve">DAVID S. </w:t>
      </w:r>
      <w:r>
        <w:rPr>
          <w:rFonts w:ascii="Arial" w:cs="Arial" w:eastAsia="Arial" w:hAnsi="Arial"/>
          <w:sz w:val="25"/>
          <w:szCs w:val="25"/>
          <w:b w:val="1"/>
          <w:bCs w:val="1"/>
          <w:color w:val="575756"/>
        </w:rPr>
        <w:t>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196850</wp:posOffset>
            </wp:positionV>
            <wp:extent cx="2568575" cy="483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8575" cy="48323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160"/>
        <w:spacing w:after="0"/>
        <w:rPr>
          <w:sz w:val="20"/>
          <w:szCs w:val="20"/>
          <w:color w:val="auto"/>
        </w:rPr>
      </w:pPr>
      <w:r>
        <w:rPr>
          <w:rFonts w:ascii="Arial" w:cs="Arial" w:eastAsia="Arial" w:hAnsi="Arial"/>
          <w:sz w:val="25"/>
          <w:szCs w:val="25"/>
          <w:color w:val="575756"/>
        </w:rPr>
        <w:t xml:space="preserve">WILLIAM E. </w:t>
      </w:r>
      <w:r>
        <w:rPr>
          <w:rFonts w:ascii="Arial" w:cs="Arial" w:eastAsia="Arial" w:hAnsi="Arial"/>
          <w:sz w:val="25"/>
          <w:szCs w:val="25"/>
          <w:b w:val="1"/>
          <w:bCs w:val="1"/>
          <w:color w:val="575756"/>
        </w:rPr>
        <w:t>MACAULAY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222250</wp:posOffset>
            </wp:positionV>
            <wp:extent cx="2568575" cy="483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8575" cy="48323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160"/>
        <w:spacing w:after="0"/>
        <w:rPr>
          <w:sz w:val="20"/>
          <w:szCs w:val="20"/>
          <w:color w:val="auto"/>
        </w:rPr>
      </w:pPr>
      <w:r>
        <w:rPr>
          <w:rFonts w:ascii="Arial" w:cs="Arial" w:eastAsia="Arial" w:hAnsi="Arial"/>
          <w:sz w:val="25"/>
          <w:szCs w:val="25"/>
          <w:color w:val="575756"/>
        </w:rPr>
        <w:t xml:space="preserve">MARK A. </w:t>
      </w:r>
      <w:r>
        <w:rPr>
          <w:rFonts w:ascii="Arial" w:cs="Arial" w:eastAsia="Arial" w:hAnsi="Arial"/>
          <w:sz w:val="25"/>
          <w:szCs w:val="25"/>
          <w:b w:val="1"/>
          <w:bCs w:val="1"/>
          <w:color w:val="575756"/>
        </w:rPr>
        <w:t>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222250</wp:posOffset>
            </wp:positionV>
            <wp:extent cx="2568575" cy="432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8575" cy="43243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160"/>
        <w:spacing w:after="0"/>
        <w:rPr>
          <w:sz w:val="20"/>
          <w:szCs w:val="20"/>
          <w:color w:val="auto"/>
        </w:rPr>
      </w:pPr>
      <w:r>
        <w:rPr>
          <w:rFonts w:ascii="Arial" w:cs="Arial" w:eastAsia="Arial" w:hAnsi="Arial"/>
          <w:sz w:val="25"/>
          <w:szCs w:val="25"/>
          <w:color w:val="575756"/>
        </w:rPr>
        <w:t xml:space="preserve">ANGELA A. </w:t>
      </w:r>
      <w:r>
        <w:rPr>
          <w:rFonts w:ascii="Arial" w:cs="Arial" w:eastAsia="Arial" w:hAnsi="Arial"/>
          <w:sz w:val="25"/>
          <w:szCs w:val="25"/>
          <w:b w:val="1"/>
          <w:bCs w:val="1"/>
          <w:color w:val="575756"/>
        </w:rPr>
        <w:t>MINAS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196850</wp:posOffset>
            </wp:positionV>
            <wp:extent cx="2568575" cy="483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8575" cy="48323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160"/>
        <w:spacing w:after="0"/>
        <w:rPr>
          <w:sz w:val="20"/>
          <w:szCs w:val="20"/>
          <w:color w:val="auto"/>
        </w:rPr>
      </w:pPr>
      <w:r>
        <w:rPr>
          <w:rFonts w:ascii="Arial" w:cs="Arial" w:eastAsia="Arial" w:hAnsi="Arial"/>
          <w:sz w:val="25"/>
          <w:szCs w:val="25"/>
          <w:color w:val="575756"/>
        </w:rPr>
        <w:t xml:space="preserve">GUILLERMO </w:t>
      </w:r>
      <w:r>
        <w:rPr>
          <w:rFonts w:ascii="Arial" w:cs="Arial" w:eastAsia="Arial" w:hAnsi="Arial"/>
          <w:sz w:val="25"/>
          <w:szCs w:val="25"/>
          <w:b w:val="1"/>
          <w:bCs w:val="1"/>
          <w:color w:val="575756"/>
        </w:rPr>
        <w:t>ORTIZ</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2940" w:type="dxa"/>
            <w:vAlign w:val="bottom"/>
          </w:tcPr>
          <w:p>
            <w:pPr>
              <w:ind w:left="140"/>
              <w:spacing w:after="0"/>
              <w:rPr>
                <w:sz w:val="20"/>
                <w:szCs w:val="20"/>
                <w:color w:val="auto"/>
              </w:rPr>
            </w:pPr>
            <w:r>
              <w:rPr>
                <w:rFonts w:ascii="Arial" w:cs="Arial" w:eastAsia="Arial" w:hAnsi="Arial"/>
                <w:sz w:val="18"/>
                <w:szCs w:val="18"/>
                <w:b w:val="1"/>
                <w:bCs w:val="1"/>
                <w:color w:val="575756"/>
              </w:rPr>
              <w:t>Title</w:t>
            </w:r>
          </w:p>
        </w:tc>
        <w:tc>
          <w:tcPr>
            <w:tcW w:w="3160" w:type="dxa"/>
            <w:vAlign w:val="bottom"/>
            <w:gridSpan w:val="2"/>
          </w:tcPr>
          <w:p>
            <w:pPr>
              <w:ind w:left="260"/>
              <w:spacing w:after="0"/>
              <w:rPr>
                <w:sz w:val="20"/>
                <w:szCs w:val="20"/>
                <w:color w:val="auto"/>
              </w:rPr>
            </w:pPr>
            <w:r>
              <w:rPr>
                <w:rFonts w:ascii="Arial" w:cs="Arial" w:eastAsia="Arial" w:hAnsi="Arial"/>
                <w:sz w:val="18"/>
                <w:szCs w:val="18"/>
                <w:b w:val="1"/>
                <w:bCs w:val="1"/>
                <w:color w:val="575756"/>
              </w:rPr>
              <w:t>Committees</w:t>
            </w:r>
          </w:p>
        </w:tc>
        <w:tc>
          <w:tcPr>
            <w:tcW w:w="0" w:type="dxa"/>
            <w:vAlign w:val="bottom"/>
          </w:tcPr>
          <w:p>
            <w:pPr>
              <w:spacing w:after="0"/>
              <w:rPr>
                <w:sz w:val="1"/>
                <w:szCs w:val="1"/>
                <w:color w:val="auto"/>
              </w:rPr>
            </w:pPr>
          </w:p>
        </w:tc>
      </w:tr>
      <w:tr>
        <w:trPr>
          <w:trHeight w:val="95"/>
        </w:trPr>
        <w:tc>
          <w:tcPr>
            <w:tcW w:w="2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9"/>
        </w:trPr>
        <w:tc>
          <w:tcPr>
            <w:tcW w:w="2940" w:type="dxa"/>
            <w:vAlign w:val="bottom"/>
            <w:shd w:val="clear" w:color="auto" w:fill="E3E3E3"/>
          </w:tcPr>
          <w:p>
            <w:pPr>
              <w:ind w:left="140"/>
              <w:spacing w:after="0"/>
              <w:rPr>
                <w:sz w:val="20"/>
                <w:szCs w:val="20"/>
                <w:color w:val="auto"/>
              </w:rPr>
            </w:pPr>
            <w:r>
              <w:rPr>
                <w:rFonts w:ascii="Arial" w:cs="Arial" w:eastAsia="Arial" w:hAnsi="Arial"/>
                <w:sz w:val="18"/>
                <w:szCs w:val="18"/>
                <w:color w:val="575756"/>
                <w:w w:val="98"/>
              </w:rPr>
              <w:t>Chairman (retired), Schlumberger –</w:t>
            </w:r>
          </w:p>
        </w:tc>
        <w:tc>
          <w:tcPr>
            <w:tcW w:w="340" w:type="dxa"/>
            <w:vAlign w:val="bottom"/>
            <w:shd w:val="clear" w:color="auto" w:fill="E3E3E3"/>
          </w:tcPr>
          <w:p>
            <w:pPr>
              <w:ind w:left="260"/>
              <w:spacing w:after="0"/>
              <w:rPr>
                <w:sz w:val="20"/>
                <w:szCs w:val="20"/>
                <w:color w:val="auto"/>
              </w:rPr>
            </w:pPr>
            <w:r>
              <w:rPr>
                <w:rFonts w:ascii="Arial" w:cs="Arial" w:eastAsia="Arial" w:hAnsi="Arial"/>
                <w:sz w:val="18"/>
                <w:szCs w:val="18"/>
                <w:color w:val="CA0538"/>
                <w:w w:val="99"/>
              </w:rPr>
              <w:t>·</w:t>
            </w:r>
          </w:p>
        </w:tc>
        <w:tc>
          <w:tcPr>
            <w:tcW w:w="28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Compensation</w:t>
            </w:r>
          </w:p>
        </w:tc>
        <w:tc>
          <w:tcPr>
            <w:tcW w:w="0" w:type="dxa"/>
            <w:vAlign w:val="bottom"/>
          </w:tcPr>
          <w:p>
            <w:pPr>
              <w:spacing w:after="0"/>
              <w:rPr>
                <w:sz w:val="1"/>
                <w:szCs w:val="1"/>
                <w:color w:val="auto"/>
              </w:rPr>
            </w:pPr>
          </w:p>
        </w:tc>
      </w:tr>
      <w:tr>
        <w:trPr>
          <w:trHeight w:val="227"/>
        </w:trPr>
        <w:tc>
          <w:tcPr>
            <w:tcW w:w="2940" w:type="dxa"/>
            <w:vAlign w:val="bottom"/>
            <w:shd w:val="clear" w:color="auto" w:fill="E3E3E3"/>
          </w:tcPr>
          <w:p>
            <w:pPr>
              <w:ind w:left="140"/>
              <w:spacing w:after="0"/>
              <w:rPr>
                <w:sz w:val="20"/>
                <w:szCs w:val="20"/>
                <w:color w:val="auto"/>
              </w:rPr>
            </w:pPr>
            <w:r>
              <w:rPr>
                <w:rFonts w:ascii="Arial" w:cs="Arial" w:eastAsia="Arial" w:hAnsi="Arial"/>
                <w:sz w:val="18"/>
                <w:szCs w:val="18"/>
                <w:color w:val="575756"/>
              </w:rPr>
              <w:t>Middle East and Asia</w:t>
            </w:r>
          </w:p>
        </w:tc>
        <w:tc>
          <w:tcPr>
            <w:tcW w:w="340" w:type="dxa"/>
            <w:vAlign w:val="bottom"/>
            <w:shd w:val="clear" w:color="auto" w:fill="E3E3E3"/>
          </w:tcPr>
          <w:p>
            <w:pPr>
              <w:ind w:left="260"/>
              <w:spacing w:after="0"/>
              <w:rPr>
                <w:sz w:val="20"/>
                <w:szCs w:val="20"/>
                <w:color w:val="auto"/>
              </w:rPr>
            </w:pPr>
            <w:r>
              <w:rPr>
                <w:rFonts w:ascii="Arial" w:cs="Arial" w:eastAsia="Arial" w:hAnsi="Arial"/>
                <w:sz w:val="18"/>
                <w:szCs w:val="18"/>
                <w:color w:val="CA0538"/>
                <w:w w:val="99"/>
              </w:rPr>
              <w:t>·</w:t>
            </w:r>
          </w:p>
        </w:tc>
        <w:tc>
          <w:tcPr>
            <w:tcW w:w="28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Health, Safety and Environment</w:t>
            </w:r>
          </w:p>
        </w:tc>
        <w:tc>
          <w:tcPr>
            <w:tcW w:w="0" w:type="dxa"/>
            <w:vAlign w:val="bottom"/>
          </w:tcPr>
          <w:p>
            <w:pPr>
              <w:spacing w:after="0"/>
              <w:rPr>
                <w:sz w:val="1"/>
                <w:szCs w:val="1"/>
                <w:color w:val="auto"/>
              </w:rPr>
            </w:pPr>
          </w:p>
        </w:tc>
      </w:tr>
      <w:tr>
        <w:trPr>
          <w:trHeight w:val="135"/>
        </w:trPr>
        <w:tc>
          <w:tcPr>
            <w:tcW w:w="2940" w:type="dxa"/>
            <w:vAlign w:val="bottom"/>
            <w:shd w:val="clear" w:color="auto" w:fill="E3E3E3"/>
          </w:tcPr>
          <w:p>
            <w:pPr>
              <w:spacing w:after="0"/>
              <w:rPr>
                <w:sz w:val="11"/>
                <w:szCs w:val="11"/>
                <w:color w:val="auto"/>
              </w:rPr>
            </w:pPr>
          </w:p>
        </w:tc>
        <w:tc>
          <w:tcPr>
            <w:tcW w:w="340" w:type="dxa"/>
            <w:vAlign w:val="bottom"/>
            <w:shd w:val="clear" w:color="auto" w:fill="E3E3E3"/>
          </w:tcPr>
          <w:p>
            <w:pPr>
              <w:spacing w:after="0"/>
              <w:rPr>
                <w:sz w:val="11"/>
                <w:szCs w:val="11"/>
                <w:color w:val="auto"/>
              </w:rPr>
            </w:pPr>
          </w:p>
        </w:tc>
        <w:tc>
          <w:tcPr>
            <w:tcW w:w="2820" w:type="dxa"/>
            <w:vAlign w:val="bottom"/>
            <w:shd w:val="clear" w:color="auto" w:fill="E3E3E3"/>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9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9"/>
        </w:trPr>
        <w:tc>
          <w:tcPr>
            <w:tcW w:w="2940" w:type="dxa"/>
            <w:vAlign w:val="bottom"/>
            <w:shd w:val="clear" w:color="auto" w:fill="E3E3E3"/>
          </w:tcPr>
          <w:p>
            <w:pPr>
              <w:ind w:left="140"/>
              <w:spacing w:after="0"/>
              <w:rPr>
                <w:sz w:val="20"/>
                <w:szCs w:val="20"/>
                <w:color w:val="auto"/>
              </w:rPr>
            </w:pPr>
            <w:r>
              <w:rPr>
                <w:rFonts w:ascii="Arial" w:cs="Arial" w:eastAsia="Arial" w:hAnsi="Arial"/>
                <w:sz w:val="18"/>
                <w:szCs w:val="18"/>
                <w:color w:val="575756"/>
              </w:rPr>
              <w:t>Executive Vice President (retired),</w:t>
            </w:r>
          </w:p>
        </w:tc>
        <w:tc>
          <w:tcPr>
            <w:tcW w:w="340" w:type="dxa"/>
            <w:vAlign w:val="bottom"/>
            <w:shd w:val="clear" w:color="auto" w:fill="E3E3E3"/>
          </w:tcPr>
          <w:p>
            <w:pPr>
              <w:ind w:left="260"/>
              <w:spacing w:after="0"/>
              <w:rPr>
                <w:sz w:val="20"/>
                <w:szCs w:val="20"/>
                <w:color w:val="auto"/>
              </w:rPr>
            </w:pPr>
            <w:r>
              <w:rPr>
                <w:rFonts w:ascii="Arial" w:cs="Arial" w:eastAsia="Arial" w:hAnsi="Arial"/>
                <w:sz w:val="18"/>
                <w:szCs w:val="18"/>
                <w:color w:val="CA0538"/>
                <w:w w:val="99"/>
              </w:rPr>
              <w:t>·</w:t>
            </w:r>
          </w:p>
        </w:tc>
        <w:tc>
          <w:tcPr>
            <w:tcW w:w="28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Compensation</w:t>
            </w:r>
          </w:p>
        </w:tc>
        <w:tc>
          <w:tcPr>
            <w:tcW w:w="0" w:type="dxa"/>
            <w:vAlign w:val="bottom"/>
          </w:tcPr>
          <w:p>
            <w:pPr>
              <w:spacing w:after="0"/>
              <w:rPr>
                <w:sz w:val="1"/>
                <w:szCs w:val="1"/>
                <w:color w:val="auto"/>
              </w:rPr>
            </w:pPr>
          </w:p>
        </w:tc>
      </w:tr>
      <w:tr>
        <w:trPr>
          <w:trHeight w:val="227"/>
        </w:trPr>
        <w:tc>
          <w:tcPr>
            <w:tcW w:w="2940" w:type="dxa"/>
            <w:vAlign w:val="bottom"/>
            <w:shd w:val="clear" w:color="auto" w:fill="E3E3E3"/>
          </w:tcPr>
          <w:p>
            <w:pPr>
              <w:ind w:left="140"/>
              <w:spacing w:after="0"/>
              <w:rPr>
                <w:sz w:val="20"/>
                <w:szCs w:val="20"/>
                <w:color w:val="auto"/>
              </w:rPr>
            </w:pPr>
            <w:r>
              <w:rPr>
                <w:rFonts w:ascii="Arial" w:cs="Arial" w:eastAsia="Arial" w:hAnsi="Arial"/>
                <w:sz w:val="18"/>
                <w:szCs w:val="18"/>
                <w:color w:val="575756"/>
              </w:rPr>
              <w:t>Royal Dutch Shell</w:t>
            </w:r>
          </w:p>
        </w:tc>
        <w:tc>
          <w:tcPr>
            <w:tcW w:w="340" w:type="dxa"/>
            <w:vAlign w:val="bottom"/>
            <w:shd w:val="clear" w:color="auto" w:fill="E3E3E3"/>
          </w:tcPr>
          <w:p>
            <w:pPr>
              <w:ind w:left="260"/>
              <w:spacing w:after="0"/>
              <w:rPr>
                <w:sz w:val="20"/>
                <w:szCs w:val="20"/>
                <w:color w:val="auto"/>
              </w:rPr>
            </w:pPr>
            <w:r>
              <w:rPr>
                <w:rFonts w:ascii="Arial" w:cs="Arial" w:eastAsia="Arial" w:hAnsi="Arial"/>
                <w:sz w:val="18"/>
                <w:szCs w:val="18"/>
                <w:color w:val="CA0538"/>
                <w:w w:val="99"/>
              </w:rPr>
              <w:t>·</w:t>
            </w:r>
          </w:p>
        </w:tc>
        <w:tc>
          <w:tcPr>
            <w:tcW w:w="28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Health, Safety and Environment</w:t>
            </w:r>
          </w:p>
        </w:tc>
        <w:tc>
          <w:tcPr>
            <w:tcW w:w="0" w:type="dxa"/>
            <w:vAlign w:val="bottom"/>
          </w:tcPr>
          <w:p>
            <w:pPr>
              <w:spacing w:after="0"/>
              <w:rPr>
                <w:sz w:val="1"/>
                <w:szCs w:val="1"/>
                <w:color w:val="auto"/>
              </w:rPr>
            </w:pPr>
          </w:p>
        </w:tc>
      </w:tr>
      <w:tr>
        <w:trPr>
          <w:trHeight w:val="135"/>
        </w:trPr>
        <w:tc>
          <w:tcPr>
            <w:tcW w:w="2940" w:type="dxa"/>
            <w:vAlign w:val="bottom"/>
            <w:shd w:val="clear" w:color="auto" w:fill="E3E3E3"/>
          </w:tcPr>
          <w:p>
            <w:pPr>
              <w:spacing w:after="0"/>
              <w:rPr>
                <w:sz w:val="11"/>
                <w:szCs w:val="11"/>
                <w:color w:val="auto"/>
              </w:rPr>
            </w:pPr>
          </w:p>
        </w:tc>
        <w:tc>
          <w:tcPr>
            <w:tcW w:w="340" w:type="dxa"/>
            <w:vAlign w:val="bottom"/>
            <w:shd w:val="clear" w:color="auto" w:fill="E3E3E3"/>
          </w:tcPr>
          <w:p>
            <w:pPr>
              <w:spacing w:after="0"/>
              <w:rPr>
                <w:sz w:val="11"/>
                <w:szCs w:val="11"/>
                <w:color w:val="auto"/>
              </w:rPr>
            </w:pPr>
          </w:p>
        </w:tc>
        <w:tc>
          <w:tcPr>
            <w:tcW w:w="2820" w:type="dxa"/>
            <w:vAlign w:val="bottom"/>
            <w:shd w:val="clear" w:color="auto" w:fill="E3E3E3"/>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9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9"/>
        </w:trPr>
        <w:tc>
          <w:tcPr>
            <w:tcW w:w="2940" w:type="dxa"/>
            <w:vAlign w:val="bottom"/>
            <w:shd w:val="clear" w:color="auto" w:fill="E3E3E3"/>
          </w:tcPr>
          <w:p>
            <w:pPr>
              <w:ind w:left="140"/>
              <w:spacing w:after="0"/>
              <w:rPr>
                <w:sz w:val="20"/>
                <w:szCs w:val="20"/>
                <w:color w:val="auto"/>
              </w:rPr>
            </w:pPr>
            <w:r>
              <w:rPr>
                <w:rFonts w:ascii="Arial" w:cs="Arial" w:eastAsia="Arial" w:hAnsi="Arial"/>
                <w:sz w:val="18"/>
                <w:szCs w:val="18"/>
                <w:color w:val="575756"/>
              </w:rPr>
              <w:t>Vice President (retired),</w:t>
            </w:r>
          </w:p>
        </w:tc>
        <w:tc>
          <w:tcPr>
            <w:tcW w:w="340" w:type="dxa"/>
            <w:vAlign w:val="bottom"/>
            <w:shd w:val="clear" w:color="auto" w:fill="E3E3E3"/>
          </w:tcPr>
          <w:p>
            <w:pPr>
              <w:ind w:left="260"/>
              <w:spacing w:after="0"/>
              <w:rPr>
                <w:sz w:val="20"/>
                <w:szCs w:val="20"/>
                <w:color w:val="auto"/>
              </w:rPr>
            </w:pPr>
            <w:r>
              <w:rPr>
                <w:rFonts w:ascii="Arial" w:cs="Arial" w:eastAsia="Arial" w:hAnsi="Arial"/>
                <w:sz w:val="18"/>
                <w:szCs w:val="18"/>
                <w:color w:val="CA0538"/>
                <w:w w:val="99"/>
              </w:rPr>
              <w:t>·</w:t>
            </w:r>
          </w:p>
        </w:tc>
        <w:tc>
          <w:tcPr>
            <w:tcW w:w="28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Compensation (Chair)</w:t>
            </w:r>
          </w:p>
        </w:tc>
        <w:tc>
          <w:tcPr>
            <w:tcW w:w="0" w:type="dxa"/>
            <w:vAlign w:val="bottom"/>
          </w:tcPr>
          <w:p>
            <w:pPr>
              <w:spacing w:after="0"/>
              <w:rPr>
                <w:sz w:val="1"/>
                <w:szCs w:val="1"/>
                <w:color w:val="auto"/>
              </w:rPr>
            </w:pPr>
          </w:p>
        </w:tc>
      </w:tr>
      <w:tr>
        <w:trPr>
          <w:trHeight w:val="227"/>
        </w:trPr>
        <w:tc>
          <w:tcPr>
            <w:tcW w:w="2940" w:type="dxa"/>
            <w:vAlign w:val="bottom"/>
            <w:shd w:val="clear" w:color="auto" w:fill="E3E3E3"/>
          </w:tcPr>
          <w:p>
            <w:pPr>
              <w:ind w:left="140"/>
              <w:spacing w:after="0"/>
              <w:rPr>
                <w:sz w:val="20"/>
                <w:szCs w:val="20"/>
                <w:color w:val="auto"/>
              </w:rPr>
            </w:pPr>
            <w:r>
              <w:rPr>
                <w:rFonts w:ascii="Arial" w:cs="Arial" w:eastAsia="Arial" w:hAnsi="Arial"/>
                <w:sz w:val="18"/>
                <w:szCs w:val="18"/>
                <w:color w:val="575756"/>
              </w:rPr>
              <w:t>Chevron Corporation</w:t>
            </w:r>
          </w:p>
        </w:tc>
        <w:tc>
          <w:tcPr>
            <w:tcW w:w="340" w:type="dxa"/>
            <w:vAlign w:val="bottom"/>
            <w:shd w:val="clear" w:color="auto" w:fill="E3E3E3"/>
          </w:tcPr>
          <w:p>
            <w:pPr>
              <w:ind w:left="260"/>
              <w:spacing w:after="0"/>
              <w:rPr>
                <w:sz w:val="20"/>
                <w:szCs w:val="20"/>
                <w:color w:val="auto"/>
              </w:rPr>
            </w:pPr>
            <w:r>
              <w:rPr>
                <w:rFonts w:ascii="Arial" w:cs="Arial" w:eastAsia="Arial" w:hAnsi="Arial"/>
                <w:sz w:val="18"/>
                <w:szCs w:val="18"/>
                <w:color w:val="CA0538"/>
                <w:w w:val="99"/>
              </w:rPr>
              <w:t>·</w:t>
            </w:r>
          </w:p>
        </w:tc>
        <w:tc>
          <w:tcPr>
            <w:tcW w:w="28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Health, Safety and Environment</w:t>
            </w:r>
          </w:p>
        </w:tc>
        <w:tc>
          <w:tcPr>
            <w:tcW w:w="0" w:type="dxa"/>
            <w:vAlign w:val="bottom"/>
          </w:tcPr>
          <w:p>
            <w:pPr>
              <w:spacing w:after="0"/>
              <w:rPr>
                <w:sz w:val="1"/>
                <w:szCs w:val="1"/>
                <w:color w:val="auto"/>
              </w:rPr>
            </w:pPr>
          </w:p>
        </w:tc>
      </w:tr>
      <w:tr>
        <w:trPr>
          <w:trHeight w:val="135"/>
        </w:trPr>
        <w:tc>
          <w:tcPr>
            <w:tcW w:w="2940" w:type="dxa"/>
            <w:vAlign w:val="bottom"/>
            <w:shd w:val="clear" w:color="auto" w:fill="E3E3E3"/>
          </w:tcPr>
          <w:p>
            <w:pPr>
              <w:spacing w:after="0"/>
              <w:rPr>
                <w:sz w:val="11"/>
                <w:szCs w:val="11"/>
                <w:color w:val="auto"/>
              </w:rPr>
            </w:pPr>
          </w:p>
        </w:tc>
        <w:tc>
          <w:tcPr>
            <w:tcW w:w="340" w:type="dxa"/>
            <w:vAlign w:val="bottom"/>
            <w:shd w:val="clear" w:color="auto" w:fill="E3E3E3"/>
          </w:tcPr>
          <w:p>
            <w:pPr>
              <w:spacing w:after="0"/>
              <w:rPr>
                <w:sz w:val="11"/>
                <w:szCs w:val="11"/>
                <w:color w:val="auto"/>
              </w:rPr>
            </w:pPr>
          </w:p>
        </w:tc>
        <w:tc>
          <w:tcPr>
            <w:tcW w:w="2820" w:type="dxa"/>
            <w:vAlign w:val="bottom"/>
            <w:shd w:val="clear" w:color="auto" w:fill="E3E3E3"/>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9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9"/>
        </w:trPr>
        <w:tc>
          <w:tcPr>
            <w:tcW w:w="2940" w:type="dxa"/>
            <w:vAlign w:val="bottom"/>
            <w:shd w:val="clear" w:color="auto" w:fill="E3E3E3"/>
          </w:tcPr>
          <w:p>
            <w:pPr>
              <w:ind w:left="140"/>
              <w:spacing w:after="0"/>
              <w:rPr>
                <w:sz w:val="20"/>
                <w:szCs w:val="20"/>
                <w:color w:val="auto"/>
              </w:rPr>
            </w:pPr>
            <w:r>
              <w:rPr>
                <w:rFonts w:ascii="Arial" w:cs="Arial" w:eastAsia="Arial" w:hAnsi="Arial"/>
                <w:sz w:val="18"/>
                <w:szCs w:val="18"/>
                <w:color w:val="575756"/>
              </w:rPr>
              <w:t>Chancellor (former),</w:t>
            </w:r>
          </w:p>
        </w:tc>
        <w:tc>
          <w:tcPr>
            <w:tcW w:w="340" w:type="dxa"/>
            <w:vAlign w:val="bottom"/>
            <w:shd w:val="clear" w:color="auto" w:fill="E3E3E3"/>
          </w:tcPr>
          <w:p>
            <w:pPr>
              <w:ind w:left="260"/>
              <w:spacing w:after="0"/>
              <w:rPr>
                <w:sz w:val="20"/>
                <w:szCs w:val="20"/>
                <w:color w:val="auto"/>
              </w:rPr>
            </w:pPr>
            <w:r>
              <w:rPr>
                <w:rFonts w:ascii="Arial" w:cs="Arial" w:eastAsia="Arial" w:hAnsi="Arial"/>
                <w:sz w:val="18"/>
                <w:szCs w:val="18"/>
                <w:color w:val="CA0538"/>
                <w:w w:val="99"/>
              </w:rPr>
              <w:t>·</w:t>
            </w:r>
          </w:p>
        </w:tc>
        <w:tc>
          <w:tcPr>
            <w:tcW w:w="28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Corporate Governance and</w:t>
            </w:r>
          </w:p>
        </w:tc>
        <w:tc>
          <w:tcPr>
            <w:tcW w:w="0" w:type="dxa"/>
            <w:vAlign w:val="bottom"/>
          </w:tcPr>
          <w:p>
            <w:pPr>
              <w:spacing w:after="0"/>
              <w:rPr>
                <w:sz w:val="1"/>
                <w:szCs w:val="1"/>
                <w:color w:val="auto"/>
              </w:rPr>
            </w:pPr>
          </w:p>
        </w:tc>
      </w:tr>
      <w:tr>
        <w:trPr>
          <w:trHeight w:val="214"/>
        </w:trPr>
        <w:tc>
          <w:tcPr>
            <w:tcW w:w="2940" w:type="dxa"/>
            <w:vAlign w:val="bottom"/>
            <w:shd w:val="clear" w:color="auto" w:fill="E3E3E3"/>
          </w:tcPr>
          <w:p>
            <w:pPr>
              <w:ind w:left="140"/>
              <w:spacing w:after="0"/>
              <w:rPr>
                <w:sz w:val="20"/>
                <w:szCs w:val="20"/>
                <w:color w:val="auto"/>
              </w:rPr>
            </w:pPr>
            <w:r>
              <w:rPr>
                <w:rFonts w:ascii="Arial" w:cs="Arial" w:eastAsia="Arial" w:hAnsi="Arial"/>
                <w:sz w:val="18"/>
                <w:szCs w:val="18"/>
                <w:color w:val="575756"/>
              </w:rPr>
              <w:t>Aberystwyth University</w:t>
            </w:r>
          </w:p>
        </w:tc>
        <w:tc>
          <w:tcPr>
            <w:tcW w:w="340" w:type="dxa"/>
            <w:vAlign w:val="bottom"/>
            <w:shd w:val="clear" w:color="auto" w:fill="E3E3E3"/>
          </w:tcPr>
          <w:p>
            <w:pPr>
              <w:spacing w:after="0"/>
              <w:rPr>
                <w:sz w:val="18"/>
                <w:szCs w:val="18"/>
                <w:color w:val="auto"/>
              </w:rPr>
            </w:pPr>
          </w:p>
        </w:tc>
        <w:tc>
          <w:tcPr>
            <w:tcW w:w="2820" w:type="dxa"/>
            <w:vAlign w:val="bottom"/>
            <w:shd w:val="clear" w:color="auto" w:fill="E3E3E3"/>
          </w:tcPr>
          <w:p>
            <w:pPr>
              <w:ind w:left="80"/>
              <w:spacing w:after="0"/>
              <w:rPr>
                <w:sz w:val="20"/>
                <w:szCs w:val="20"/>
                <w:color w:val="auto"/>
              </w:rPr>
            </w:pPr>
            <w:r>
              <w:rPr>
                <w:rFonts w:ascii="Arial" w:cs="Arial" w:eastAsia="Arial" w:hAnsi="Arial"/>
                <w:sz w:val="18"/>
                <w:szCs w:val="18"/>
                <w:color w:val="575756"/>
              </w:rPr>
              <w:t>Nominating</w:t>
            </w:r>
          </w:p>
        </w:tc>
        <w:tc>
          <w:tcPr>
            <w:tcW w:w="0" w:type="dxa"/>
            <w:vAlign w:val="bottom"/>
          </w:tcPr>
          <w:p>
            <w:pPr>
              <w:spacing w:after="0"/>
              <w:rPr>
                <w:sz w:val="1"/>
                <w:szCs w:val="1"/>
                <w:color w:val="auto"/>
              </w:rPr>
            </w:pPr>
          </w:p>
        </w:tc>
      </w:tr>
      <w:tr>
        <w:trPr>
          <w:trHeight w:val="214"/>
        </w:trPr>
        <w:tc>
          <w:tcPr>
            <w:tcW w:w="2940" w:type="dxa"/>
            <w:vAlign w:val="bottom"/>
            <w:shd w:val="clear" w:color="auto" w:fill="E3E3E3"/>
          </w:tcPr>
          <w:p>
            <w:pPr>
              <w:spacing w:after="0"/>
              <w:rPr>
                <w:sz w:val="18"/>
                <w:szCs w:val="18"/>
                <w:color w:val="auto"/>
              </w:rPr>
            </w:pPr>
          </w:p>
        </w:tc>
        <w:tc>
          <w:tcPr>
            <w:tcW w:w="340" w:type="dxa"/>
            <w:vAlign w:val="bottom"/>
            <w:shd w:val="clear" w:color="auto" w:fill="E3E3E3"/>
          </w:tcPr>
          <w:p>
            <w:pPr>
              <w:ind w:left="260"/>
              <w:spacing w:after="0"/>
              <w:rPr>
                <w:sz w:val="20"/>
                <w:szCs w:val="20"/>
                <w:color w:val="auto"/>
              </w:rPr>
            </w:pPr>
            <w:r>
              <w:rPr>
                <w:rFonts w:ascii="Arial" w:cs="Arial" w:eastAsia="Arial" w:hAnsi="Arial"/>
                <w:sz w:val="18"/>
                <w:szCs w:val="18"/>
                <w:color w:val="CA0538"/>
                <w:w w:val="99"/>
              </w:rPr>
              <w:t>·</w:t>
            </w:r>
          </w:p>
        </w:tc>
        <w:tc>
          <w:tcPr>
            <w:tcW w:w="28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Health, Safety and Environment</w:t>
            </w:r>
          </w:p>
        </w:tc>
        <w:tc>
          <w:tcPr>
            <w:tcW w:w="0" w:type="dxa"/>
            <w:vAlign w:val="bottom"/>
          </w:tcPr>
          <w:p>
            <w:pPr>
              <w:spacing w:after="0"/>
              <w:rPr>
                <w:sz w:val="1"/>
                <w:szCs w:val="1"/>
                <w:color w:val="auto"/>
              </w:rPr>
            </w:pPr>
          </w:p>
        </w:tc>
      </w:tr>
      <w:tr>
        <w:trPr>
          <w:trHeight w:val="227"/>
        </w:trPr>
        <w:tc>
          <w:tcPr>
            <w:tcW w:w="2940" w:type="dxa"/>
            <w:vAlign w:val="bottom"/>
            <w:shd w:val="clear" w:color="auto" w:fill="E3E3E3"/>
          </w:tcPr>
          <w:p>
            <w:pPr>
              <w:spacing w:after="0"/>
              <w:rPr>
                <w:sz w:val="19"/>
                <w:szCs w:val="19"/>
                <w:color w:val="auto"/>
              </w:rPr>
            </w:pPr>
          </w:p>
        </w:tc>
        <w:tc>
          <w:tcPr>
            <w:tcW w:w="340" w:type="dxa"/>
            <w:vAlign w:val="bottom"/>
            <w:shd w:val="clear" w:color="auto" w:fill="E3E3E3"/>
          </w:tcPr>
          <w:p>
            <w:pPr>
              <w:spacing w:after="0"/>
              <w:rPr>
                <w:sz w:val="19"/>
                <w:szCs w:val="19"/>
                <w:color w:val="auto"/>
              </w:rPr>
            </w:pPr>
          </w:p>
        </w:tc>
        <w:tc>
          <w:tcPr>
            <w:tcW w:w="2820" w:type="dxa"/>
            <w:vAlign w:val="bottom"/>
            <w:shd w:val="clear" w:color="auto" w:fill="E3E3E3"/>
          </w:tcPr>
          <w:p>
            <w:pPr>
              <w:ind w:left="80"/>
              <w:spacing w:after="0"/>
              <w:rPr>
                <w:sz w:val="20"/>
                <w:szCs w:val="20"/>
                <w:color w:val="auto"/>
              </w:rPr>
            </w:pPr>
            <w:r>
              <w:rPr>
                <w:rFonts w:ascii="Arial" w:cs="Arial" w:eastAsia="Arial" w:hAnsi="Arial"/>
                <w:sz w:val="18"/>
                <w:szCs w:val="18"/>
                <w:color w:val="575756"/>
              </w:rPr>
              <w:t>(Chair)</w:t>
            </w:r>
          </w:p>
        </w:tc>
        <w:tc>
          <w:tcPr>
            <w:tcW w:w="0" w:type="dxa"/>
            <w:vAlign w:val="bottom"/>
          </w:tcPr>
          <w:p>
            <w:pPr>
              <w:spacing w:after="0"/>
              <w:rPr>
                <w:sz w:val="1"/>
                <w:szCs w:val="1"/>
                <w:color w:val="auto"/>
              </w:rPr>
            </w:pPr>
          </w:p>
        </w:tc>
      </w:tr>
      <w:tr>
        <w:trPr>
          <w:trHeight w:val="135"/>
        </w:trPr>
        <w:tc>
          <w:tcPr>
            <w:tcW w:w="2940" w:type="dxa"/>
            <w:vAlign w:val="bottom"/>
            <w:shd w:val="clear" w:color="auto" w:fill="E3E3E3"/>
          </w:tcPr>
          <w:p>
            <w:pPr>
              <w:spacing w:after="0"/>
              <w:rPr>
                <w:sz w:val="11"/>
                <w:szCs w:val="11"/>
                <w:color w:val="auto"/>
              </w:rPr>
            </w:pPr>
          </w:p>
        </w:tc>
        <w:tc>
          <w:tcPr>
            <w:tcW w:w="3160" w:type="dxa"/>
            <w:vAlign w:val="bottom"/>
            <w:gridSpan w:val="2"/>
            <w:shd w:val="clear" w:color="auto" w:fill="E3E3E3"/>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940" w:type="dxa"/>
            <w:vAlign w:val="bottom"/>
          </w:tcPr>
          <w:p>
            <w:pPr>
              <w:spacing w:after="0"/>
              <w:rPr>
                <w:sz w:val="6"/>
                <w:szCs w:val="6"/>
                <w:color w:val="auto"/>
              </w:rPr>
            </w:pPr>
          </w:p>
        </w:tc>
        <w:tc>
          <w:tcPr>
            <w:tcW w:w="31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319"/>
        </w:trPr>
        <w:tc>
          <w:tcPr>
            <w:tcW w:w="2940" w:type="dxa"/>
            <w:vAlign w:val="bottom"/>
            <w:shd w:val="clear" w:color="auto" w:fill="E3E3E3"/>
          </w:tcPr>
          <w:p>
            <w:pPr>
              <w:ind w:left="140"/>
              <w:spacing w:after="0"/>
              <w:rPr>
                <w:sz w:val="20"/>
                <w:szCs w:val="20"/>
                <w:color w:val="auto"/>
              </w:rPr>
            </w:pPr>
            <w:r>
              <w:rPr>
                <w:rFonts w:ascii="Arial" w:cs="Arial" w:eastAsia="Arial" w:hAnsi="Arial"/>
                <w:sz w:val="18"/>
                <w:szCs w:val="18"/>
                <w:color w:val="575756"/>
              </w:rPr>
              <w:t>EVP and CFO (retired),</w:t>
            </w:r>
          </w:p>
        </w:tc>
        <w:tc>
          <w:tcPr>
            <w:tcW w:w="3160" w:type="dxa"/>
            <w:vAlign w:val="bottom"/>
            <w:gridSpan w:val="2"/>
            <w:shd w:val="clear" w:color="auto" w:fill="E3E3E3"/>
          </w:tcPr>
          <w:p>
            <w:pPr>
              <w:ind w:left="26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575756"/>
              </w:rPr>
              <w:t>Audit (Chair)</w:t>
            </w:r>
          </w:p>
        </w:tc>
        <w:tc>
          <w:tcPr>
            <w:tcW w:w="0" w:type="dxa"/>
            <w:vAlign w:val="bottom"/>
          </w:tcPr>
          <w:p>
            <w:pPr>
              <w:spacing w:after="0"/>
              <w:rPr>
                <w:sz w:val="1"/>
                <w:szCs w:val="1"/>
                <w:color w:val="auto"/>
              </w:rPr>
            </w:pPr>
          </w:p>
        </w:tc>
      </w:tr>
      <w:tr>
        <w:trPr>
          <w:trHeight w:val="214"/>
        </w:trPr>
        <w:tc>
          <w:tcPr>
            <w:tcW w:w="2940" w:type="dxa"/>
            <w:vAlign w:val="bottom"/>
            <w:shd w:val="clear" w:color="auto" w:fill="E3E3E3"/>
          </w:tcPr>
          <w:p>
            <w:pPr>
              <w:ind w:left="140"/>
              <w:spacing w:after="0"/>
              <w:rPr>
                <w:sz w:val="20"/>
                <w:szCs w:val="20"/>
                <w:color w:val="auto"/>
              </w:rPr>
            </w:pPr>
            <w:r>
              <w:rPr>
                <w:rFonts w:ascii="Arial" w:cs="Arial" w:eastAsia="Arial" w:hAnsi="Arial"/>
                <w:sz w:val="18"/>
                <w:szCs w:val="18"/>
                <w:color w:val="575756"/>
              </w:rPr>
              <w:t>McDermott International, Inc.</w:t>
            </w:r>
          </w:p>
        </w:tc>
        <w:tc>
          <w:tcPr>
            <w:tcW w:w="340" w:type="dxa"/>
            <w:vAlign w:val="bottom"/>
            <w:shd w:val="clear" w:color="auto" w:fill="E3E3E3"/>
          </w:tcPr>
          <w:p>
            <w:pPr>
              <w:ind w:left="260"/>
              <w:spacing w:after="0"/>
              <w:rPr>
                <w:sz w:val="20"/>
                <w:szCs w:val="20"/>
                <w:color w:val="auto"/>
              </w:rPr>
            </w:pPr>
            <w:r>
              <w:rPr>
                <w:rFonts w:ascii="Arial" w:cs="Arial" w:eastAsia="Arial" w:hAnsi="Arial"/>
                <w:sz w:val="18"/>
                <w:szCs w:val="18"/>
                <w:color w:val="CA0538"/>
                <w:w w:val="99"/>
              </w:rPr>
              <w:t>·</w:t>
            </w:r>
          </w:p>
        </w:tc>
        <w:tc>
          <w:tcPr>
            <w:tcW w:w="28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Corporate Governance and</w:t>
            </w:r>
          </w:p>
        </w:tc>
        <w:tc>
          <w:tcPr>
            <w:tcW w:w="0" w:type="dxa"/>
            <w:vAlign w:val="bottom"/>
          </w:tcPr>
          <w:p>
            <w:pPr>
              <w:spacing w:after="0"/>
              <w:rPr>
                <w:sz w:val="1"/>
                <w:szCs w:val="1"/>
                <w:color w:val="auto"/>
              </w:rPr>
            </w:pPr>
          </w:p>
        </w:tc>
      </w:tr>
      <w:tr>
        <w:trPr>
          <w:trHeight w:val="227"/>
        </w:trPr>
        <w:tc>
          <w:tcPr>
            <w:tcW w:w="2940" w:type="dxa"/>
            <w:vAlign w:val="bottom"/>
            <w:shd w:val="clear" w:color="auto" w:fill="E3E3E3"/>
          </w:tcPr>
          <w:p>
            <w:pPr>
              <w:spacing w:after="0"/>
              <w:rPr>
                <w:sz w:val="19"/>
                <w:szCs w:val="19"/>
                <w:color w:val="auto"/>
              </w:rPr>
            </w:pPr>
          </w:p>
        </w:tc>
        <w:tc>
          <w:tcPr>
            <w:tcW w:w="340" w:type="dxa"/>
            <w:vAlign w:val="bottom"/>
            <w:shd w:val="clear" w:color="auto" w:fill="E3E3E3"/>
          </w:tcPr>
          <w:p>
            <w:pPr>
              <w:spacing w:after="0"/>
              <w:rPr>
                <w:sz w:val="19"/>
                <w:szCs w:val="19"/>
                <w:color w:val="auto"/>
              </w:rPr>
            </w:pPr>
          </w:p>
        </w:tc>
        <w:tc>
          <w:tcPr>
            <w:tcW w:w="2820" w:type="dxa"/>
            <w:vAlign w:val="bottom"/>
            <w:shd w:val="clear" w:color="auto" w:fill="E3E3E3"/>
          </w:tcPr>
          <w:p>
            <w:pPr>
              <w:ind w:left="80"/>
              <w:spacing w:after="0"/>
              <w:rPr>
                <w:sz w:val="20"/>
                <w:szCs w:val="20"/>
                <w:color w:val="auto"/>
              </w:rPr>
            </w:pPr>
            <w:r>
              <w:rPr>
                <w:rFonts w:ascii="Arial" w:cs="Arial" w:eastAsia="Arial" w:hAnsi="Arial"/>
                <w:sz w:val="18"/>
                <w:szCs w:val="18"/>
                <w:color w:val="575756"/>
              </w:rPr>
              <w:t>Nominating</w:t>
            </w:r>
          </w:p>
        </w:tc>
        <w:tc>
          <w:tcPr>
            <w:tcW w:w="0" w:type="dxa"/>
            <w:vAlign w:val="bottom"/>
          </w:tcPr>
          <w:p>
            <w:pPr>
              <w:spacing w:after="0"/>
              <w:rPr>
                <w:sz w:val="1"/>
                <w:szCs w:val="1"/>
                <w:color w:val="auto"/>
              </w:rPr>
            </w:pPr>
          </w:p>
        </w:tc>
      </w:tr>
      <w:tr>
        <w:trPr>
          <w:trHeight w:val="135"/>
        </w:trPr>
        <w:tc>
          <w:tcPr>
            <w:tcW w:w="2940" w:type="dxa"/>
            <w:vAlign w:val="bottom"/>
            <w:shd w:val="clear" w:color="auto" w:fill="E3E3E3"/>
          </w:tcPr>
          <w:p>
            <w:pPr>
              <w:spacing w:after="0"/>
              <w:rPr>
                <w:sz w:val="11"/>
                <w:szCs w:val="11"/>
                <w:color w:val="auto"/>
              </w:rPr>
            </w:pPr>
          </w:p>
        </w:tc>
        <w:tc>
          <w:tcPr>
            <w:tcW w:w="3160" w:type="dxa"/>
            <w:vAlign w:val="bottom"/>
            <w:gridSpan w:val="2"/>
            <w:shd w:val="clear" w:color="auto" w:fill="E3E3E3"/>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940" w:type="dxa"/>
            <w:vAlign w:val="bottom"/>
          </w:tcPr>
          <w:p>
            <w:pPr>
              <w:spacing w:after="0"/>
              <w:rPr>
                <w:sz w:val="6"/>
                <w:szCs w:val="6"/>
                <w:color w:val="auto"/>
              </w:rPr>
            </w:pPr>
          </w:p>
        </w:tc>
        <w:tc>
          <w:tcPr>
            <w:tcW w:w="31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319"/>
        </w:trPr>
        <w:tc>
          <w:tcPr>
            <w:tcW w:w="2940" w:type="dxa"/>
            <w:vAlign w:val="bottom"/>
            <w:shd w:val="clear" w:color="auto" w:fill="E3E3E3"/>
          </w:tcPr>
          <w:p>
            <w:pPr>
              <w:ind w:left="140"/>
              <w:spacing w:after="0"/>
              <w:rPr>
                <w:sz w:val="20"/>
                <w:szCs w:val="20"/>
                <w:color w:val="auto"/>
              </w:rPr>
            </w:pPr>
            <w:r>
              <w:rPr>
                <w:rFonts w:ascii="Arial" w:cs="Arial" w:eastAsia="Arial" w:hAnsi="Arial"/>
                <w:sz w:val="18"/>
                <w:szCs w:val="18"/>
                <w:color w:val="575756"/>
              </w:rPr>
              <w:t>Chief Executive Officer (retired),</w:t>
            </w:r>
          </w:p>
        </w:tc>
        <w:tc>
          <w:tcPr>
            <w:tcW w:w="3160" w:type="dxa"/>
            <w:vAlign w:val="bottom"/>
            <w:gridSpan w:val="2"/>
            <w:shd w:val="clear" w:color="auto" w:fill="E3E3E3"/>
          </w:tcPr>
          <w:p>
            <w:pPr>
              <w:ind w:left="26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575756"/>
              </w:rPr>
              <w:t>Audit</w:t>
            </w:r>
          </w:p>
        </w:tc>
        <w:tc>
          <w:tcPr>
            <w:tcW w:w="0" w:type="dxa"/>
            <w:vAlign w:val="bottom"/>
          </w:tcPr>
          <w:p>
            <w:pPr>
              <w:spacing w:after="0"/>
              <w:rPr>
                <w:sz w:val="1"/>
                <w:szCs w:val="1"/>
                <w:color w:val="auto"/>
              </w:rPr>
            </w:pPr>
          </w:p>
        </w:tc>
      </w:tr>
      <w:tr>
        <w:trPr>
          <w:trHeight w:val="227"/>
        </w:trPr>
        <w:tc>
          <w:tcPr>
            <w:tcW w:w="2940" w:type="dxa"/>
            <w:vAlign w:val="bottom"/>
            <w:shd w:val="clear" w:color="auto" w:fill="E3E3E3"/>
          </w:tcPr>
          <w:p>
            <w:pPr>
              <w:ind w:left="140"/>
              <w:spacing w:after="0"/>
              <w:rPr>
                <w:sz w:val="20"/>
                <w:szCs w:val="20"/>
                <w:color w:val="auto"/>
              </w:rPr>
            </w:pPr>
            <w:r>
              <w:rPr>
                <w:rFonts w:ascii="Arial" w:cs="Arial" w:eastAsia="Arial" w:hAnsi="Arial"/>
                <w:sz w:val="18"/>
                <w:szCs w:val="18"/>
                <w:color w:val="575756"/>
              </w:rPr>
              <w:t>Archer Company Ltd.</w:t>
            </w:r>
          </w:p>
        </w:tc>
        <w:tc>
          <w:tcPr>
            <w:tcW w:w="3160" w:type="dxa"/>
            <w:vAlign w:val="bottom"/>
            <w:gridSpan w:val="2"/>
            <w:shd w:val="clear" w:color="auto" w:fill="E3E3E3"/>
          </w:tcPr>
          <w:p>
            <w:pPr>
              <w:ind w:left="26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575756"/>
              </w:rPr>
              <w:t>Health, Safety and Environment</w:t>
            </w:r>
          </w:p>
        </w:tc>
        <w:tc>
          <w:tcPr>
            <w:tcW w:w="0" w:type="dxa"/>
            <w:vAlign w:val="bottom"/>
          </w:tcPr>
          <w:p>
            <w:pPr>
              <w:spacing w:after="0"/>
              <w:rPr>
                <w:sz w:val="1"/>
                <w:szCs w:val="1"/>
                <w:color w:val="auto"/>
              </w:rPr>
            </w:pPr>
          </w:p>
        </w:tc>
      </w:tr>
      <w:tr>
        <w:trPr>
          <w:trHeight w:val="135"/>
        </w:trPr>
        <w:tc>
          <w:tcPr>
            <w:tcW w:w="2940" w:type="dxa"/>
            <w:vAlign w:val="bottom"/>
            <w:shd w:val="clear" w:color="auto" w:fill="E3E3E3"/>
          </w:tcPr>
          <w:p>
            <w:pPr>
              <w:spacing w:after="0"/>
              <w:rPr>
                <w:sz w:val="11"/>
                <w:szCs w:val="11"/>
                <w:color w:val="auto"/>
              </w:rPr>
            </w:pPr>
          </w:p>
        </w:tc>
        <w:tc>
          <w:tcPr>
            <w:tcW w:w="340" w:type="dxa"/>
            <w:vAlign w:val="bottom"/>
            <w:shd w:val="clear" w:color="auto" w:fill="E3E3E3"/>
          </w:tcPr>
          <w:p>
            <w:pPr>
              <w:spacing w:after="0"/>
              <w:rPr>
                <w:sz w:val="11"/>
                <w:szCs w:val="11"/>
                <w:color w:val="auto"/>
              </w:rPr>
            </w:pPr>
          </w:p>
        </w:tc>
        <w:tc>
          <w:tcPr>
            <w:tcW w:w="2820" w:type="dxa"/>
            <w:vAlign w:val="bottom"/>
            <w:shd w:val="clear" w:color="auto" w:fill="E3E3E3"/>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9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9"/>
        </w:trPr>
        <w:tc>
          <w:tcPr>
            <w:tcW w:w="2940" w:type="dxa"/>
            <w:vAlign w:val="bottom"/>
            <w:shd w:val="clear" w:color="auto" w:fill="E3E3E3"/>
          </w:tcPr>
          <w:p>
            <w:pPr>
              <w:ind w:left="140"/>
              <w:spacing w:after="0"/>
              <w:rPr>
                <w:sz w:val="20"/>
                <w:szCs w:val="20"/>
                <w:color w:val="auto"/>
              </w:rPr>
            </w:pPr>
            <w:r>
              <w:rPr>
                <w:rFonts w:ascii="Arial" w:cs="Arial" w:eastAsia="Arial" w:hAnsi="Arial"/>
                <w:sz w:val="18"/>
                <w:szCs w:val="18"/>
                <w:color w:val="575756"/>
              </w:rPr>
              <w:t>Executive Chairman,</w:t>
            </w:r>
          </w:p>
        </w:tc>
        <w:tc>
          <w:tcPr>
            <w:tcW w:w="340" w:type="dxa"/>
            <w:vAlign w:val="bottom"/>
            <w:shd w:val="clear" w:color="auto" w:fill="E3E3E3"/>
          </w:tcPr>
          <w:p>
            <w:pPr>
              <w:ind w:left="260"/>
              <w:spacing w:after="0"/>
              <w:rPr>
                <w:sz w:val="20"/>
                <w:szCs w:val="20"/>
                <w:color w:val="auto"/>
              </w:rPr>
            </w:pPr>
            <w:r>
              <w:rPr>
                <w:rFonts w:ascii="Arial" w:cs="Arial" w:eastAsia="Arial" w:hAnsi="Arial"/>
                <w:sz w:val="18"/>
                <w:szCs w:val="18"/>
                <w:color w:val="CA0538"/>
                <w:w w:val="99"/>
              </w:rPr>
              <w:t>·</w:t>
            </w:r>
          </w:p>
        </w:tc>
        <w:tc>
          <w:tcPr>
            <w:tcW w:w="2820" w:type="dxa"/>
            <w:vAlign w:val="bottom"/>
            <w:shd w:val="clear" w:color="auto" w:fill="E3E3E3"/>
          </w:tcPr>
          <w:p>
            <w:pPr>
              <w:ind w:left="40"/>
              <w:spacing w:after="0"/>
              <w:rPr>
                <w:sz w:val="20"/>
                <w:szCs w:val="20"/>
                <w:color w:val="auto"/>
              </w:rPr>
            </w:pPr>
            <w:r>
              <w:rPr>
                <w:rFonts w:ascii="Arial" w:cs="Arial" w:eastAsia="Arial" w:hAnsi="Arial"/>
                <w:sz w:val="18"/>
                <w:szCs w:val="18"/>
                <w:color w:val="575756"/>
                <w:w w:val="90"/>
              </w:rPr>
              <w:t>Independent Chairman of the Board of</w:t>
            </w:r>
          </w:p>
        </w:tc>
        <w:tc>
          <w:tcPr>
            <w:tcW w:w="0" w:type="dxa"/>
            <w:vAlign w:val="bottom"/>
          </w:tcPr>
          <w:p>
            <w:pPr>
              <w:spacing w:after="0"/>
              <w:rPr>
                <w:sz w:val="1"/>
                <w:szCs w:val="1"/>
                <w:color w:val="auto"/>
              </w:rPr>
            </w:pPr>
          </w:p>
        </w:tc>
      </w:tr>
      <w:tr>
        <w:trPr>
          <w:trHeight w:val="227"/>
        </w:trPr>
        <w:tc>
          <w:tcPr>
            <w:tcW w:w="2940" w:type="dxa"/>
            <w:vAlign w:val="bottom"/>
            <w:shd w:val="clear" w:color="auto" w:fill="E3E3E3"/>
          </w:tcPr>
          <w:p>
            <w:pPr>
              <w:ind w:left="140"/>
              <w:spacing w:after="0"/>
              <w:rPr>
                <w:sz w:val="20"/>
                <w:szCs w:val="20"/>
                <w:color w:val="auto"/>
              </w:rPr>
            </w:pPr>
            <w:r>
              <w:rPr>
                <w:rFonts w:ascii="Arial" w:cs="Arial" w:eastAsia="Arial" w:hAnsi="Arial"/>
                <w:sz w:val="18"/>
                <w:szCs w:val="18"/>
                <w:color w:val="575756"/>
              </w:rPr>
              <w:t>First Reserve</w:t>
            </w:r>
          </w:p>
        </w:tc>
        <w:tc>
          <w:tcPr>
            <w:tcW w:w="340" w:type="dxa"/>
            <w:vAlign w:val="bottom"/>
            <w:shd w:val="clear" w:color="auto" w:fill="E3E3E3"/>
          </w:tcPr>
          <w:p>
            <w:pPr>
              <w:spacing w:after="0"/>
              <w:rPr>
                <w:sz w:val="19"/>
                <w:szCs w:val="19"/>
                <w:color w:val="auto"/>
              </w:rPr>
            </w:pPr>
          </w:p>
        </w:tc>
        <w:tc>
          <w:tcPr>
            <w:tcW w:w="2820" w:type="dxa"/>
            <w:vAlign w:val="bottom"/>
            <w:shd w:val="clear" w:color="auto" w:fill="E3E3E3"/>
          </w:tcPr>
          <w:p>
            <w:pPr>
              <w:ind w:left="80"/>
              <w:spacing w:after="0"/>
              <w:rPr>
                <w:sz w:val="20"/>
                <w:szCs w:val="20"/>
                <w:color w:val="auto"/>
              </w:rPr>
            </w:pPr>
            <w:r>
              <w:rPr>
                <w:rFonts w:ascii="Arial" w:cs="Arial" w:eastAsia="Arial" w:hAnsi="Arial"/>
                <w:sz w:val="18"/>
                <w:szCs w:val="18"/>
                <w:color w:val="575756"/>
              </w:rPr>
              <w:t>Weatherford</w:t>
            </w:r>
          </w:p>
        </w:tc>
        <w:tc>
          <w:tcPr>
            <w:tcW w:w="0" w:type="dxa"/>
            <w:vAlign w:val="bottom"/>
          </w:tcPr>
          <w:p>
            <w:pPr>
              <w:spacing w:after="0"/>
              <w:rPr>
                <w:sz w:val="1"/>
                <w:szCs w:val="1"/>
                <w:color w:val="auto"/>
              </w:rPr>
            </w:pPr>
          </w:p>
        </w:tc>
      </w:tr>
      <w:tr>
        <w:trPr>
          <w:trHeight w:val="215"/>
        </w:trPr>
        <w:tc>
          <w:tcPr>
            <w:tcW w:w="2940" w:type="dxa"/>
            <w:vAlign w:val="bottom"/>
            <w:shd w:val="clear" w:color="auto" w:fill="E3E3E3"/>
          </w:tcPr>
          <w:p>
            <w:pPr>
              <w:spacing w:after="0"/>
              <w:rPr>
                <w:sz w:val="18"/>
                <w:szCs w:val="18"/>
                <w:color w:val="auto"/>
              </w:rPr>
            </w:pPr>
          </w:p>
        </w:tc>
        <w:tc>
          <w:tcPr>
            <w:tcW w:w="340" w:type="dxa"/>
            <w:vAlign w:val="bottom"/>
            <w:shd w:val="clear" w:color="auto" w:fill="E3E3E3"/>
          </w:tcPr>
          <w:p>
            <w:pPr>
              <w:spacing w:after="0"/>
              <w:rPr>
                <w:sz w:val="18"/>
                <w:szCs w:val="18"/>
                <w:color w:val="auto"/>
              </w:rPr>
            </w:pPr>
          </w:p>
        </w:tc>
        <w:tc>
          <w:tcPr>
            <w:tcW w:w="28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9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9"/>
        </w:trPr>
        <w:tc>
          <w:tcPr>
            <w:tcW w:w="2940" w:type="dxa"/>
            <w:vAlign w:val="bottom"/>
            <w:shd w:val="clear" w:color="auto" w:fill="E3E3E3"/>
          </w:tcPr>
          <w:p>
            <w:pPr>
              <w:ind w:left="140"/>
              <w:spacing w:after="0"/>
              <w:rPr>
                <w:sz w:val="20"/>
                <w:szCs w:val="20"/>
                <w:color w:val="auto"/>
              </w:rPr>
            </w:pPr>
            <w:r>
              <w:rPr>
                <w:rFonts w:ascii="Arial" w:cs="Arial" w:eastAsia="Arial" w:hAnsi="Arial"/>
                <w:sz w:val="18"/>
                <w:szCs w:val="18"/>
                <w:color w:val="575756"/>
              </w:rPr>
              <w:t>President and CEO,</w:t>
            </w:r>
          </w:p>
        </w:tc>
        <w:tc>
          <w:tcPr>
            <w:tcW w:w="340" w:type="dxa"/>
            <w:vAlign w:val="bottom"/>
            <w:vMerge w:val="restart"/>
            <w:shd w:val="clear" w:color="auto" w:fill="E3E3E3"/>
          </w:tcPr>
          <w:p>
            <w:pPr>
              <w:ind w:left="260"/>
              <w:spacing w:after="0"/>
              <w:rPr>
                <w:sz w:val="20"/>
                <w:szCs w:val="20"/>
                <w:color w:val="auto"/>
              </w:rPr>
            </w:pPr>
            <w:r>
              <w:rPr>
                <w:rFonts w:ascii="Arial" w:cs="Arial" w:eastAsia="Arial" w:hAnsi="Arial"/>
                <w:sz w:val="18"/>
                <w:szCs w:val="18"/>
                <w:color w:val="CA0538"/>
                <w:w w:val="99"/>
              </w:rPr>
              <w:t>·</w:t>
            </w:r>
          </w:p>
        </w:tc>
        <w:tc>
          <w:tcPr>
            <w:tcW w:w="2820" w:type="dxa"/>
            <w:vAlign w:val="bottom"/>
            <w:vMerge w:val="restart"/>
            <w:shd w:val="clear" w:color="auto" w:fill="E3E3E3"/>
          </w:tcPr>
          <w:p>
            <w:pPr>
              <w:ind w:left="40"/>
              <w:spacing w:after="0"/>
              <w:rPr>
                <w:sz w:val="20"/>
                <w:szCs w:val="20"/>
                <w:color w:val="auto"/>
              </w:rPr>
            </w:pPr>
            <w:r>
              <w:rPr>
                <w:rFonts w:ascii="Arial" w:cs="Arial" w:eastAsia="Arial" w:hAnsi="Arial"/>
                <w:sz w:val="18"/>
                <w:szCs w:val="18"/>
                <w:color w:val="575756"/>
              </w:rPr>
              <w:t>Not applicable</w:t>
            </w:r>
          </w:p>
        </w:tc>
        <w:tc>
          <w:tcPr>
            <w:tcW w:w="0" w:type="dxa"/>
            <w:vAlign w:val="bottom"/>
          </w:tcPr>
          <w:p>
            <w:pPr>
              <w:spacing w:after="0"/>
              <w:rPr>
                <w:sz w:val="1"/>
                <w:szCs w:val="1"/>
                <w:color w:val="auto"/>
              </w:rPr>
            </w:pPr>
          </w:p>
        </w:tc>
      </w:tr>
      <w:tr>
        <w:trPr>
          <w:trHeight w:val="160"/>
        </w:trPr>
        <w:tc>
          <w:tcPr>
            <w:tcW w:w="2940" w:type="dxa"/>
            <w:vAlign w:val="bottom"/>
            <w:vMerge w:val="restart"/>
            <w:shd w:val="clear" w:color="auto" w:fill="E3E3E3"/>
          </w:tcPr>
          <w:p>
            <w:pPr>
              <w:ind w:left="140"/>
              <w:spacing w:after="0"/>
              <w:rPr>
                <w:sz w:val="20"/>
                <w:szCs w:val="20"/>
                <w:color w:val="auto"/>
              </w:rPr>
            </w:pPr>
            <w:r>
              <w:rPr>
                <w:rFonts w:ascii="Arial" w:cs="Arial" w:eastAsia="Arial" w:hAnsi="Arial"/>
                <w:sz w:val="18"/>
                <w:szCs w:val="18"/>
                <w:color w:val="575756"/>
              </w:rPr>
              <w:t>Weatherford International plc</w:t>
            </w:r>
          </w:p>
        </w:tc>
        <w:tc>
          <w:tcPr>
            <w:tcW w:w="340" w:type="dxa"/>
            <w:vAlign w:val="bottom"/>
            <w:vMerge w:val="continue"/>
            <w:shd w:val="clear" w:color="auto" w:fill="E3E3E3"/>
          </w:tcPr>
          <w:p>
            <w:pPr>
              <w:spacing w:after="0"/>
              <w:rPr>
                <w:sz w:val="13"/>
                <w:szCs w:val="13"/>
                <w:color w:val="auto"/>
              </w:rPr>
            </w:pPr>
          </w:p>
        </w:tc>
        <w:tc>
          <w:tcPr>
            <w:tcW w:w="2820" w:type="dxa"/>
            <w:vAlign w:val="bottom"/>
            <w:vMerge w:val="continue"/>
            <w:shd w:val="clear" w:color="auto" w:fill="E3E3E3"/>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940" w:type="dxa"/>
            <w:vAlign w:val="bottom"/>
            <w:vMerge w:val="continue"/>
            <w:shd w:val="clear" w:color="auto" w:fill="E3E3E3"/>
          </w:tcPr>
          <w:p>
            <w:pPr>
              <w:spacing w:after="0"/>
              <w:rPr>
                <w:sz w:val="5"/>
                <w:szCs w:val="5"/>
                <w:color w:val="auto"/>
              </w:rPr>
            </w:pPr>
          </w:p>
        </w:tc>
        <w:tc>
          <w:tcPr>
            <w:tcW w:w="340" w:type="dxa"/>
            <w:vAlign w:val="bottom"/>
            <w:shd w:val="clear" w:color="auto" w:fill="E3E3E3"/>
          </w:tcPr>
          <w:p>
            <w:pPr>
              <w:spacing w:after="0"/>
              <w:rPr>
                <w:sz w:val="5"/>
                <w:szCs w:val="5"/>
                <w:color w:val="auto"/>
              </w:rPr>
            </w:pPr>
          </w:p>
        </w:tc>
        <w:tc>
          <w:tcPr>
            <w:tcW w:w="2820" w:type="dxa"/>
            <w:vAlign w:val="bottom"/>
            <w:shd w:val="clear" w:color="auto" w:fill="E3E3E3"/>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940" w:type="dxa"/>
            <w:vAlign w:val="bottom"/>
            <w:shd w:val="clear" w:color="auto" w:fill="E3E3E3"/>
          </w:tcPr>
          <w:p>
            <w:pPr>
              <w:spacing w:after="0"/>
              <w:rPr>
                <w:sz w:val="18"/>
                <w:szCs w:val="18"/>
                <w:color w:val="auto"/>
              </w:rPr>
            </w:pPr>
          </w:p>
        </w:tc>
        <w:tc>
          <w:tcPr>
            <w:tcW w:w="3160" w:type="dxa"/>
            <w:vAlign w:val="bottom"/>
            <w:gridSpan w:val="2"/>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940" w:type="dxa"/>
            <w:vAlign w:val="bottom"/>
          </w:tcPr>
          <w:p>
            <w:pPr>
              <w:spacing w:after="0"/>
              <w:rPr>
                <w:sz w:val="6"/>
                <w:szCs w:val="6"/>
                <w:color w:val="auto"/>
              </w:rPr>
            </w:pPr>
          </w:p>
        </w:tc>
        <w:tc>
          <w:tcPr>
            <w:tcW w:w="31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319"/>
        </w:trPr>
        <w:tc>
          <w:tcPr>
            <w:tcW w:w="2940" w:type="dxa"/>
            <w:vAlign w:val="bottom"/>
            <w:shd w:val="clear" w:color="auto" w:fill="E3E3E3"/>
          </w:tcPr>
          <w:p>
            <w:pPr>
              <w:ind w:left="140"/>
              <w:spacing w:after="0"/>
              <w:rPr>
                <w:sz w:val="20"/>
                <w:szCs w:val="20"/>
                <w:color w:val="auto"/>
              </w:rPr>
            </w:pPr>
            <w:r>
              <w:rPr>
                <w:rFonts w:ascii="Arial" w:cs="Arial" w:eastAsia="Arial" w:hAnsi="Arial"/>
                <w:sz w:val="18"/>
                <w:szCs w:val="18"/>
                <w:color w:val="575756"/>
              </w:rPr>
              <w:t>Chief Financial Officer (former),</w:t>
            </w:r>
          </w:p>
        </w:tc>
        <w:tc>
          <w:tcPr>
            <w:tcW w:w="3160" w:type="dxa"/>
            <w:vAlign w:val="bottom"/>
            <w:gridSpan w:val="2"/>
            <w:shd w:val="clear" w:color="auto" w:fill="E3E3E3"/>
          </w:tcPr>
          <w:p>
            <w:pPr>
              <w:ind w:left="26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575756"/>
              </w:rPr>
              <w:t>Audit</w:t>
            </w:r>
          </w:p>
        </w:tc>
        <w:tc>
          <w:tcPr>
            <w:tcW w:w="0" w:type="dxa"/>
            <w:vAlign w:val="bottom"/>
          </w:tcPr>
          <w:p>
            <w:pPr>
              <w:spacing w:after="0"/>
              <w:rPr>
                <w:sz w:val="1"/>
                <w:szCs w:val="1"/>
                <w:color w:val="auto"/>
              </w:rPr>
            </w:pPr>
          </w:p>
        </w:tc>
      </w:tr>
      <w:tr>
        <w:trPr>
          <w:trHeight w:val="227"/>
        </w:trPr>
        <w:tc>
          <w:tcPr>
            <w:tcW w:w="2940" w:type="dxa"/>
            <w:vAlign w:val="bottom"/>
            <w:shd w:val="clear" w:color="auto" w:fill="E3E3E3"/>
          </w:tcPr>
          <w:p>
            <w:pPr>
              <w:ind w:left="140"/>
              <w:spacing w:after="0"/>
              <w:rPr>
                <w:sz w:val="20"/>
                <w:szCs w:val="20"/>
                <w:color w:val="auto"/>
              </w:rPr>
            </w:pPr>
            <w:r>
              <w:rPr>
                <w:rFonts w:ascii="Arial" w:cs="Arial" w:eastAsia="Arial" w:hAnsi="Arial"/>
                <w:sz w:val="18"/>
                <w:szCs w:val="18"/>
                <w:color w:val="575756"/>
              </w:rPr>
              <w:t>DCP Midstream Partners</w:t>
            </w:r>
          </w:p>
        </w:tc>
        <w:tc>
          <w:tcPr>
            <w:tcW w:w="3160" w:type="dxa"/>
            <w:vAlign w:val="bottom"/>
            <w:gridSpan w:val="2"/>
            <w:shd w:val="clear" w:color="auto" w:fill="E3E3E3"/>
          </w:tcPr>
          <w:p>
            <w:pPr>
              <w:ind w:left="26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575756"/>
              </w:rPr>
              <w:t>Health, Safety and Environment</w:t>
            </w:r>
          </w:p>
        </w:tc>
        <w:tc>
          <w:tcPr>
            <w:tcW w:w="0" w:type="dxa"/>
            <w:vAlign w:val="bottom"/>
          </w:tcPr>
          <w:p>
            <w:pPr>
              <w:spacing w:after="0"/>
              <w:rPr>
                <w:sz w:val="1"/>
                <w:szCs w:val="1"/>
                <w:color w:val="auto"/>
              </w:rPr>
            </w:pPr>
          </w:p>
        </w:tc>
      </w:tr>
      <w:tr>
        <w:trPr>
          <w:trHeight w:val="135"/>
        </w:trPr>
        <w:tc>
          <w:tcPr>
            <w:tcW w:w="2940" w:type="dxa"/>
            <w:vAlign w:val="bottom"/>
            <w:shd w:val="clear" w:color="auto" w:fill="E3E3E3"/>
          </w:tcPr>
          <w:p>
            <w:pPr>
              <w:spacing w:after="0"/>
              <w:rPr>
                <w:sz w:val="11"/>
                <w:szCs w:val="11"/>
                <w:color w:val="auto"/>
              </w:rPr>
            </w:pPr>
          </w:p>
        </w:tc>
        <w:tc>
          <w:tcPr>
            <w:tcW w:w="3160" w:type="dxa"/>
            <w:vAlign w:val="bottom"/>
            <w:gridSpan w:val="2"/>
            <w:shd w:val="clear" w:color="auto" w:fill="E3E3E3"/>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940" w:type="dxa"/>
            <w:vAlign w:val="bottom"/>
          </w:tcPr>
          <w:p>
            <w:pPr>
              <w:spacing w:after="0"/>
              <w:rPr>
                <w:sz w:val="6"/>
                <w:szCs w:val="6"/>
                <w:color w:val="auto"/>
              </w:rPr>
            </w:pPr>
          </w:p>
        </w:tc>
        <w:tc>
          <w:tcPr>
            <w:tcW w:w="31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319"/>
        </w:trPr>
        <w:tc>
          <w:tcPr>
            <w:tcW w:w="2940" w:type="dxa"/>
            <w:vAlign w:val="bottom"/>
            <w:shd w:val="clear" w:color="auto" w:fill="E3E3E3"/>
          </w:tcPr>
          <w:p>
            <w:pPr>
              <w:ind w:left="140"/>
              <w:spacing w:after="0"/>
              <w:rPr>
                <w:sz w:val="20"/>
                <w:szCs w:val="20"/>
                <w:color w:val="auto"/>
              </w:rPr>
            </w:pPr>
            <w:r>
              <w:rPr>
                <w:rFonts w:ascii="Arial" w:cs="Arial" w:eastAsia="Arial" w:hAnsi="Arial"/>
                <w:sz w:val="18"/>
                <w:szCs w:val="18"/>
                <w:color w:val="575756"/>
              </w:rPr>
              <w:t>Partner and Chairman,</w:t>
            </w:r>
          </w:p>
        </w:tc>
        <w:tc>
          <w:tcPr>
            <w:tcW w:w="3160" w:type="dxa"/>
            <w:vAlign w:val="bottom"/>
            <w:gridSpan w:val="2"/>
            <w:shd w:val="clear" w:color="auto" w:fill="E3E3E3"/>
          </w:tcPr>
          <w:p>
            <w:pPr>
              <w:ind w:left="26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575756"/>
              </w:rPr>
              <w:t>Audit (Vice Chair)</w:t>
            </w:r>
          </w:p>
        </w:tc>
        <w:tc>
          <w:tcPr>
            <w:tcW w:w="0" w:type="dxa"/>
            <w:vAlign w:val="bottom"/>
          </w:tcPr>
          <w:p>
            <w:pPr>
              <w:spacing w:after="0"/>
              <w:rPr>
                <w:sz w:val="1"/>
                <w:szCs w:val="1"/>
                <w:color w:val="auto"/>
              </w:rPr>
            </w:pPr>
          </w:p>
        </w:tc>
      </w:tr>
      <w:tr>
        <w:trPr>
          <w:trHeight w:val="227"/>
        </w:trPr>
        <w:tc>
          <w:tcPr>
            <w:tcW w:w="2940" w:type="dxa"/>
            <w:vAlign w:val="bottom"/>
            <w:shd w:val="clear" w:color="auto" w:fill="E3E3E3"/>
          </w:tcPr>
          <w:p>
            <w:pPr>
              <w:ind w:left="140"/>
              <w:spacing w:after="0"/>
              <w:rPr>
                <w:sz w:val="20"/>
                <w:szCs w:val="20"/>
                <w:color w:val="auto"/>
              </w:rPr>
            </w:pPr>
            <w:r>
              <w:rPr>
                <w:rFonts w:ascii="Arial" w:cs="Arial" w:eastAsia="Arial" w:hAnsi="Arial"/>
                <w:sz w:val="18"/>
                <w:szCs w:val="18"/>
                <w:color w:val="575756"/>
              </w:rPr>
              <w:t>BTG Pactual Mexico</w:t>
            </w:r>
          </w:p>
        </w:tc>
        <w:tc>
          <w:tcPr>
            <w:tcW w:w="340" w:type="dxa"/>
            <w:vAlign w:val="bottom"/>
            <w:shd w:val="clear" w:color="auto" w:fill="E3E3E3"/>
          </w:tcPr>
          <w:p>
            <w:pPr>
              <w:ind w:left="260"/>
              <w:spacing w:after="0"/>
              <w:rPr>
                <w:sz w:val="20"/>
                <w:szCs w:val="20"/>
                <w:color w:val="auto"/>
              </w:rPr>
            </w:pPr>
            <w:r>
              <w:rPr>
                <w:rFonts w:ascii="Arial" w:cs="Arial" w:eastAsia="Arial" w:hAnsi="Arial"/>
                <w:sz w:val="18"/>
                <w:szCs w:val="18"/>
                <w:color w:val="CA0538"/>
                <w:w w:val="99"/>
              </w:rPr>
              <w:t>·</w:t>
            </w:r>
          </w:p>
        </w:tc>
        <w:tc>
          <w:tcPr>
            <w:tcW w:w="2820" w:type="dxa"/>
            <w:vAlign w:val="bottom"/>
            <w:shd w:val="clear" w:color="auto" w:fill="E3E3E3"/>
          </w:tcPr>
          <w:p>
            <w:pPr>
              <w:ind w:left="80"/>
              <w:spacing w:after="0"/>
              <w:rPr>
                <w:sz w:val="20"/>
                <w:szCs w:val="20"/>
                <w:color w:val="auto"/>
              </w:rPr>
            </w:pPr>
            <w:r>
              <w:rPr>
                <w:rFonts w:ascii="Arial" w:cs="Arial" w:eastAsia="Arial" w:hAnsi="Arial"/>
                <w:sz w:val="18"/>
                <w:szCs w:val="18"/>
                <w:color w:val="575756"/>
              </w:rPr>
              <w:t>Compensation</w:t>
            </w:r>
          </w:p>
        </w:tc>
        <w:tc>
          <w:tcPr>
            <w:tcW w:w="0" w:type="dxa"/>
            <w:vAlign w:val="bottom"/>
          </w:tcPr>
          <w:p>
            <w:pPr>
              <w:spacing w:after="0"/>
              <w:rPr>
                <w:sz w:val="1"/>
                <w:szCs w:val="1"/>
                <w:color w:val="auto"/>
              </w:rPr>
            </w:pPr>
          </w:p>
        </w:tc>
      </w:tr>
      <w:tr>
        <w:trPr>
          <w:trHeight w:val="215"/>
        </w:trPr>
        <w:tc>
          <w:tcPr>
            <w:tcW w:w="2940" w:type="dxa"/>
            <w:vAlign w:val="bottom"/>
            <w:shd w:val="clear" w:color="auto" w:fill="E3E3E3"/>
          </w:tcPr>
          <w:p>
            <w:pPr>
              <w:spacing w:after="0"/>
              <w:rPr>
                <w:sz w:val="18"/>
                <w:szCs w:val="18"/>
                <w:color w:val="auto"/>
              </w:rPr>
            </w:pPr>
          </w:p>
        </w:tc>
        <w:tc>
          <w:tcPr>
            <w:tcW w:w="340" w:type="dxa"/>
            <w:vAlign w:val="bottom"/>
            <w:shd w:val="clear" w:color="auto" w:fill="E3E3E3"/>
          </w:tcPr>
          <w:p>
            <w:pPr>
              <w:spacing w:after="0"/>
              <w:rPr>
                <w:sz w:val="18"/>
                <w:szCs w:val="18"/>
                <w:color w:val="auto"/>
              </w:rPr>
            </w:pPr>
          </w:p>
        </w:tc>
        <w:tc>
          <w:tcPr>
            <w:tcW w:w="28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-4772025</wp:posOffset>
            </wp:positionV>
            <wp:extent cx="254635" cy="2546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4635" cy="254635"/>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-2432050</wp:posOffset>
            </wp:positionV>
            <wp:extent cx="254635" cy="2546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4635" cy="254635"/>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-880745</wp:posOffset>
            </wp:positionV>
            <wp:extent cx="254635" cy="2546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4635" cy="25463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4340" w:space="720"/>
            <w:col w:w="6100"/>
          </w:cols>
          <w:pgMar w:left="240" w:top="455" w:right="499" w:bottom="0" w:gutter="0" w:footer="0" w:header="0"/>
          <w:type w:val="continuous"/>
        </w:sectPr>
      </w:pPr>
    </w:p>
    <w:p>
      <w:pPr>
        <w:ind w:left="260"/>
        <w:spacing w:after="0"/>
        <w:rPr>
          <w:sz w:val="20"/>
          <w:szCs w:val="20"/>
          <w:color w:val="auto"/>
        </w:rPr>
      </w:pPr>
      <w:r>
        <w:rPr>
          <w:rFonts w:ascii="Arial" w:cs="Arial" w:eastAsia="Arial" w:hAnsi="Arial"/>
          <w:sz w:val="36"/>
          <w:szCs w:val="36"/>
          <w:color w:val="3C3C3B"/>
        </w:rPr>
        <w:t>Board Orientation and Education</w:t>
      </w:r>
    </w:p>
    <w:p>
      <w:pPr>
        <w:spacing w:after="0" w:line="121" w:lineRule="exact"/>
        <w:rPr>
          <w:sz w:val="20"/>
          <w:szCs w:val="20"/>
          <w:color w:val="auto"/>
        </w:rPr>
      </w:pPr>
    </w:p>
    <w:p>
      <w:pPr>
        <w:ind w:left="260" w:right="80"/>
        <w:spacing w:after="0" w:line="274" w:lineRule="auto"/>
        <w:rPr>
          <w:sz w:val="20"/>
          <w:szCs w:val="20"/>
          <w:color w:val="auto"/>
        </w:rPr>
      </w:pPr>
      <w:r>
        <w:rPr>
          <w:rFonts w:ascii="Arial" w:cs="Arial" w:eastAsia="Arial" w:hAnsi="Arial"/>
          <w:sz w:val="17"/>
          <w:szCs w:val="17"/>
          <w:color w:val="575756"/>
        </w:rPr>
        <w:t>Our Board is committed to understanding all facets of our Company. Upon joining our Board, each new Director attends a detailed orientation program, developing relationships with our management as well as planning future site visits to our operations and manufacturing facilities. Upon joining the Board, Ms. Decyk, Mr. King, and Ms. Minas will meet with organizational leaders to discuss the key elements of our risk, tax, compliance, assurance services, and investor relations programs, as well as with our CEO and General Counsel.</w:t>
      </w:r>
    </w:p>
    <w:p>
      <w:pPr>
        <w:spacing w:after="0" w:line="69" w:lineRule="exact"/>
        <w:rPr>
          <w:sz w:val="20"/>
          <w:szCs w:val="20"/>
          <w:color w:val="auto"/>
        </w:rPr>
      </w:pPr>
    </w:p>
    <w:p>
      <w:pPr>
        <w:ind w:left="260" w:right="320"/>
        <w:spacing w:after="0" w:line="306" w:lineRule="auto"/>
        <w:rPr>
          <w:sz w:val="20"/>
          <w:szCs w:val="20"/>
          <w:color w:val="auto"/>
        </w:rPr>
      </w:pPr>
      <w:r>
        <w:rPr>
          <w:rFonts w:ascii="Arial" w:cs="Arial" w:eastAsia="Arial" w:hAnsi="Arial"/>
          <w:sz w:val="16"/>
          <w:szCs w:val="16"/>
          <w:color w:val="575756"/>
        </w:rPr>
        <w:t>Our Board is also encouraged to participate in industry organizations, continuing education and seminars that will better prepare them to provide guidance on key topics such as corporate governance and industry operations. For example, in 2017, all Directors participated in-person in a tailored training from a third-party expert in the field of corporate governance where they discussed best practices and other relevant governance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79375</wp:posOffset>
            </wp:positionV>
            <wp:extent cx="69176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ectPr>
          <w:pgSz w:w="11900" w:h="16838" w:orient="portrait"/>
          <w:cols w:equalWidth="0" w:num="1">
            <w:col w:w="11160"/>
          </w:cols>
          <w:pgMar w:left="240" w:top="455" w:right="499" w:bottom="0" w:gutter="0" w:footer="0" w:header="0"/>
          <w:type w:val="continuous"/>
        </w:sectPr>
      </w:pPr>
    </w:p>
    <w:p>
      <w:pPr>
        <w:spacing w:after="0" w:line="249" w:lineRule="exact"/>
        <w:rPr>
          <w:sz w:val="20"/>
          <w:szCs w:val="20"/>
          <w:color w:val="auto"/>
        </w:rPr>
      </w:pPr>
    </w:p>
    <w:p>
      <w:pPr>
        <w:ind w:left="7800"/>
        <w:spacing w:after="0"/>
        <w:rPr>
          <w:sz w:val="20"/>
          <w:szCs w:val="20"/>
          <w:color w:val="auto"/>
        </w:rPr>
      </w:pPr>
      <w:r>
        <w:rPr>
          <w:rFonts w:ascii="Arial" w:cs="Arial" w:eastAsia="Arial" w:hAnsi="Arial"/>
          <w:sz w:val="13"/>
          <w:szCs w:val="13"/>
          <w:color w:val="878787"/>
        </w:rPr>
        <w:t xml:space="preserve">Weatherford International plc – 2018 Proxy Statement </w:t>
      </w:r>
      <w:r>
        <w:rPr>
          <w:rFonts w:ascii="Arial" w:cs="Arial" w:eastAsia="Arial" w:hAnsi="Arial"/>
          <w:sz w:val="13"/>
          <w:szCs w:val="13"/>
          <w:b w:val="1"/>
          <w:bCs w:val="1"/>
          <w:color w:val="878787"/>
        </w:rPr>
        <w:t>VII</w:t>
      </w:r>
    </w:p>
    <w:p>
      <w:pPr>
        <w:sectPr>
          <w:pgSz w:w="11900" w:h="16838" w:orient="portrait"/>
          <w:cols w:equalWidth="0" w:num="1">
            <w:col w:w="11160"/>
          </w:cols>
          <w:pgMar w:left="240" w:top="455" w:right="499" w:bottom="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77"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CA0538"/>
        </w:rPr>
        <w:t>CORPORATE GOVERNANCE</w:t>
      </w:r>
    </w:p>
    <w:p>
      <w:pPr>
        <w:spacing w:after="0" w:line="240" w:lineRule="exact"/>
        <w:rPr>
          <w:sz w:val="20"/>
          <w:szCs w:val="20"/>
          <w:color w:val="auto"/>
        </w:rPr>
      </w:pPr>
    </w:p>
    <w:p>
      <w:pPr>
        <w:ind w:left="260"/>
        <w:spacing w:after="0" w:line="259" w:lineRule="auto"/>
        <w:rPr>
          <w:sz w:val="20"/>
          <w:szCs w:val="20"/>
          <w:color w:val="auto"/>
        </w:rPr>
      </w:pPr>
      <w:r>
        <w:rPr>
          <w:rFonts w:ascii="Arial" w:cs="Arial" w:eastAsia="Arial" w:hAnsi="Arial"/>
          <w:sz w:val="18"/>
          <w:szCs w:val="18"/>
          <w:color w:val="575756"/>
        </w:rPr>
        <w:t>Our Board is committed to delivering the highest standards of corporate governance to all of its shareholders, employees, and customers. As such, our Board and its committees meet regularly to ensure our processes recognize best practices and remain aligned with our strategic financial and operational goals.</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36"/>
          <w:szCs w:val="36"/>
          <w:color w:val="3C3C3B"/>
        </w:rPr>
        <w:t>Strengthening our Board</w:t>
      </w:r>
    </w:p>
    <w:p>
      <w:pPr>
        <w:spacing w:after="0" w:line="121" w:lineRule="exact"/>
        <w:rPr>
          <w:sz w:val="20"/>
          <w:szCs w:val="20"/>
          <w:color w:val="auto"/>
        </w:rPr>
      </w:pPr>
    </w:p>
    <w:p>
      <w:pPr>
        <w:ind w:left="260"/>
        <w:spacing w:after="0" w:line="255" w:lineRule="auto"/>
        <w:rPr>
          <w:sz w:val="20"/>
          <w:szCs w:val="20"/>
          <w:color w:val="auto"/>
        </w:rPr>
      </w:pPr>
      <w:r>
        <w:rPr>
          <w:rFonts w:ascii="Arial" w:cs="Arial" w:eastAsia="Arial" w:hAnsi="Arial"/>
          <w:sz w:val="18"/>
          <w:szCs w:val="18"/>
          <w:color w:val="575756"/>
        </w:rPr>
        <w:t>Our Board regularly reviews each Director’s experience, expertise, skills, and qualifications to ensure our Board is as effective as possible for our shareholders. After a comprehensive review of potential directors’ skills and qualifications, the Board unanimously recommends that Roxanne J. Decyk, David S. King, and Angela A. Minas are elected to Weatherford’s Board of Directors as they each bring valuable perspective and experience that will help guide our global organization and drive sustained shareholder value.</w:t>
      </w:r>
    </w:p>
    <w:p>
      <w:pPr>
        <w:sectPr>
          <w:pgSz w:w="11900" w:h="16838" w:orient="portrait"/>
          <w:cols w:equalWidth="0" w:num="1">
            <w:col w:w="11120"/>
          </w:cols>
          <w:pgMar w:left="240" w:top="455" w:right="539" w:bottom="1440" w:gutter="0" w:footer="0" w:header="0"/>
        </w:sectPr>
      </w:pPr>
    </w:p>
    <w:p>
      <w:pPr>
        <w:spacing w:after="0" w:line="201" w:lineRule="exact"/>
        <w:rPr>
          <w:sz w:val="20"/>
          <w:szCs w:val="20"/>
          <w:color w:val="auto"/>
        </w:rPr>
      </w:pPr>
    </w:p>
    <w:p>
      <w:pPr>
        <w:ind w:left="2920"/>
        <w:spacing w:after="0"/>
        <w:rPr>
          <w:sz w:val="20"/>
          <w:szCs w:val="20"/>
          <w:color w:val="auto"/>
        </w:rPr>
      </w:pPr>
      <w:r>
        <w:rPr>
          <w:rFonts w:ascii="Arial" w:cs="Arial" w:eastAsia="Arial" w:hAnsi="Arial"/>
          <w:sz w:val="36"/>
          <w:szCs w:val="36"/>
          <w:color w:val="3C3C3B"/>
        </w:rPr>
        <w:t>Roxanne J. Decyk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-175895</wp:posOffset>
            </wp:positionV>
            <wp:extent cx="1161415" cy="1576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61415" cy="1576705"/>
                    </a:xfrm>
                    <a:prstGeom prst="rect">
                      <a:avLst/>
                    </a:prstGeom>
                    <a:noFill/>
                  </pic:spPr>
                </pic:pic>
              </a:graphicData>
            </a:graphic>
          </wp:anchor>
        </w:drawing>
      </w:r>
    </w:p>
    <w:p>
      <w:pPr>
        <w:spacing w:after="0" w:line="7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575756"/>
        </w:rPr>
        <w:t>Executive Vice President (retired), Royal Dutch Shell</w:t>
      </w:r>
    </w:p>
    <w:p>
      <w:pPr>
        <w:spacing w:after="0" w:line="211" w:lineRule="exact"/>
        <w:rPr>
          <w:sz w:val="20"/>
          <w:szCs w:val="20"/>
          <w:color w:val="auto"/>
        </w:rPr>
      </w:pPr>
    </w:p>
    <w:p>
      <w:pPr>
        <w:ind w:left="2920"/>
        <w:spacing w:after="0" w:line="252" w:lineRule="auto"/>
        <w:rPr>
          <w:sz w:val="20"/>
          <w:szCs w:val="20"/>
          <w:color w:val="auto"/>
        </w:rPr>
      </w:pPr>
      <w:r>
        <w:rPr>
          <w:rFonts w:ascii="Arial" w:cs="Arial" w:eastAsia="Arial" w:hAnsi="Arial"/>
          <w:sz w:val="18"/>
          <w:szCs w:val="18"/>
          <w:i w:val="1"/>
          <w:iCs w:val="1"/>
          <w:color w:val="575756"/>
        </w:rPr>
        <w:t>“During my extensive tenure with a leading oil and gas operator, I have witnessed Weatherford’s capabilities from the customer’s perspective. I am confident in the opportunity that lies within Weatherford today and am excited to contribute to the Company’s success in fulfilling its strategic vision that will ultimately deliver significant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283210</wp:posOffset>
            </wp:positionV>
            <wp:extent cx="50272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027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920"/>
        <w:spacing w:after="0"/>
        <w:rPr>
          <w:sz w:val="20"/>
          <w:szCs w:val="20"/>
          <w:color w:val="auto"/>
        </w:rPr>
      </w:pPr>
      <w:r>
        <w:rPr>
          <w:rFonts w:ascii="Arial" w:cs="Arial" w:eastAsia="Arial" w:hAnsi="Arial"/>
          <w:sz w:val="36"/>
          <w:szCs w:val="36"/>
          <w:color w:val="3C3C3B"/>
        </w:rPr>
        <w:t>David S.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-150495</wp:posOffset>
            </wp:positionV>
            <wp:extent cx="1161415" cy="17805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61415" cy="1780540"/>
                    </a:xfrm>
                    <a:prstGeom prst="rect">
                      <a:avLst/>
                    </a:prstGeom>
                    <a:noFill/>
                  </pic:spPr>
                </pic:pic>
              </a:graphicData>
            </a:graphic>
          </wp:anchor>
        </w:drawing>
      </w:r>
    </w:p>
    <w:p>
      <w:pPr>
        <w:spacing w:after="0" w:line="7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575756"/>
        </w:rPr>
        <w:t>Chief Executive Officer (retired), Archer Company</w:t>
      </w:r>
    </w:p>
    <w:p>
      <w:pPr>
        <w:spacing w:after="0" w:line="211" w:lineRule="exact"/>
        <w:rPr>
          <w:sz w:val="20"/>
          <w:szCs w:val="20"/>
          <w:color w:val="auto"/>
        </w:rPr>
      </w:pPr>
    </w:p>
    <w:p>
      <w:pPr>
        <w:ind w:left="2920" w:right="140"/>
        <w:spacing w:after="0" w:line="269" w:lineRule="auto"/>
        <w:rPr>
          <w:sz w:val="20"/>
          <w:szCs w:val="20"/>
          <w:color w:val="auto"/>
        </w:rPr>
      </w:pPr>
      <w:r>
        <w:rPr>
          <w:rFonts w:ascii="Arial" w:cs="Arial" w:eastAsia="Arial" w:hAnsi="Arial"/>
          <w:sz w:val="17"/>
          <w:szCs w:val="17"/>
          <w:i w:val="1"/>
          <w:iCs w:val="1"/>
          <w:color w:val="575756"/>
        </w:rPr>
        <w:t>“Having spent my career in the oilfield service sector as both a competitor of Weatherford and as a customer, I believe the Company’s future is bright. We know all of our shareholders, customers, and the industry alike want to see us succeed. I look forward to leveraging my executive leadership and operational expertise to help the Company ascend to new heights.”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505460</wp:posOffset>
            </wp:positionV>
            <wp:extent cx="50272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027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920"/>
        <w:spacing w:after="0"/>
        <w:rPr>
          <w:sz w:val="20"/>
          <w:szCs w:val="20"/>
          <w:color w:val="auto"/>
        </w:rPr>
      </w:pPr>
      <w:r>
        <w:rPr>
          <w:rFonts w:ascii="Arial" w:cs="Arial" w:eastAsia="Arial" w:hAnsi="Arial"/>
          <w:sz w:val="36"/>
          <w:szCs w:val="36"/>
          <w:color w:val="3C3C3B"/>
        </w:rPr>
        <w:t>Angela A. Minas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-142240</wp:posOffset>
            </wp:positionV>
            <wp:extent cx="1161415" cy="17805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61415" cy="1780540"/>
                    </a:xfrm>
                    <a:prstGeom prst="rect">
                      <a:avLst/>
                    </a:prstGeom>
                    <a:noFill/>
                  </pic:spPr>
                </pic:pic>
              </a:graphicData>
            </a:graphic>
          </wp:anchor>
        </w:drawing>
      </w:r>
    </w:p>
    <w:p>
      <w:pPr>
        <w:spacing w:after="0" w:line="7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575756"/>
        </w:rPr>
        <w:t>Chief Financial Officer (former), DCP Midstream Partners</w:t>
      </w:r>
    </w:p>
    <w:p>
      <w:pPr>
        <w:spacing w:after="0" w:line="211" w:lineRule="exact"/>
        <w:rPr>
          <w:sz w:val="20"/>
          <w:szCs w:val="20"/>
          <w:color w:val="auto"/>
        </w:rPr>
      </w:pPr>
    </w:p>
    <w:p>
      <w:pPr>
        <w:ind w:left="2920" w:right="160"/>
        <w:spacing w:after="0" w:line="292" w:lineRule="auto"/>
        <w:rPr>
          <w:sz w:val="20"/>
          <w:szCs w:val="20"/>
          <w:color w:val="auto"/>
        </w:rPr>
      </w:pPr>
      <w:r>
        <w:rPr>
          <w:rFonts w:ascii="Arial" w:cs="Arial" w:eastAsia="Arial" w:hAnsi="Arial"/>
          <w:sz w:val="16"/>
          <w:szCs w:val="16"/>
          <w:i w:val="1"/>
          <w:iCs w:val="1"/>
          <w:color w:val="575756"/>
        </w:rPr>
        <w:t>“After more than three decades in the energy industry, I recognize Weatherford as an important competitor in the oilfield services sector. Having led corporate transformations, I fully support the Company’s strategy and am confident that Weatherford has both the talent and technology to emerge a strong and healthy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739775</wp:posOffset>
            </wp:positionV>
            <wp:extent cx="69176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right="620"/>
        <w:spacing w:after="0" w:line="320" w:lineRule="auto"/>
        <w:rPr>
          <w:sz w:val="20"/>
          <w:szCs w:val="20"/>
          <w:color w:val="auto"/>
        </w:rPr>
      </w:pPr>
      <w:r>
        <w:rPr>
          <w:rFonts w:ascii="Arial" w:cs="Arial" w:eastAsia="Arial" w:hAnsi="Arial"/>
          <w:sz w:val="23"/>
          <w:szCs w:val="23"/>
          <w:b w:val="1"/>
          <w:bCs w:val="1"/>
          <w:color w:val="CA0538"/>
        </w:rPr>
        <w:t>Director Selection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-457835</wp:posOffset>
            </wp:positionV>
            <wp:extent cx="1763395" cy="58242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63395" cy="5824220"/>
                    </a:xfrm>
                    <a:prstGeom prst="rect">
                      <a:avLst/>
                    </a:prstGeom>
                    <a:noFill/>
                  </pic:spPr>
                </pic:pic>
              </a:graphicData>
            </a:graphic>
          </wp:anchor>
        </w:drawing>
      </w:r>
    </w:p>
    <w:p>
      <w:pPr>
        <w:ind w:right="160"/>
        <w:spacing w:after="0" w:line="283" w:lineRule="auto"/>
        <w:rPr>
          <w:sz w:val="20"/>
          <w:szCs w:val="20"/>
          <w:color w:val="auto"/>
        </w:rPr>
      </w:pPr>
      <w:r>
        <w:rPr>
          <w:rFonts w:ascii="Arial" w:cs="Arial" w:eastAsia="Arial" w:hAnsi="Arial"/>
          <w:sz w:val="16"/>
          <w:szCs w:val="16"/>
          <w:color w:val="575756"/>
        </w:rPr>
        <w:t>Candidates for director nominee are selected for their character, judgment, business experience and acumen, as well as other factors established by the Committee. The following, while not exhaustive of the factors considered by the Committee, describes the qualifications the Committee would use when reviewing candidates for director nominees, Directors must:</w:t>
      </w:r>
    </w:p>
    <w:p>
      <w:pPr>
        <w:spacing w:after="0" w:line="80" w:lineRule="exact"/>
        <w:rPr>
          <w:sz w:val="20"/>
          <w:szCs w:val="20"/>
          <w:color w:val="auto"/>
        </w:rPr>
      </w:pPr>
    </w:p>
    <w:p>
      <w:pPr>
        <w:ind w:left="180" w:right="220" w:hanging="176"/>
        <w:spacing w:after="0" w:line="289" w:lineRule="auto"/>
        <w:tabs>
          <w:tab w:leader="none" w:pos="164" w:val="left"/>
        </w:tabs>
        <w:numPr>
          <w:ilvl w:val="0"/>
          <w:numId w:val="8"/>
        </w:numPr>
        <w:rPr>
          <w:rFonts w:ascii="Arial" w:cs="Arial" w:eastAsia="Arial" w:hAnsi="Arial"/>
          <w:sz w:val="16"/>
          <w:szCs w:val="16"/>
          <w:color w:val="CA0538"/>
        </w:rPr>
      </w:pPr>
      <w:r>
        <w:rPr>
          <w:rFonts w:ascii="Arial" w:cs="Arial" w:eastAsia="Arial" w:hAnsi="Arial"/>
          <w:sz w:val="16"/>
          <w:szCs w:val="16"/>
          <w:color w:val="auto"/>
        </w:rPr>
        <w:t>Possess the highest personal and professional ethics, integrity, and values and be committed to representing the long-term interests of the shareholders;</w:t>
      </w:r>
    </w:p>
    <w:p>
      <w:pPr>
        <w:spacing w:after="0" w:line="72" w:lineRule="exact"/>
        <w:rPr>
          <w:rFonts w:ascii="Arial" w:cs="Arial" w:eastAsia="Arial" w:hAnsi="Arial"/>
          <w:sz w:val="16"/>
          <w:szCs w:val="16"/>
          <w:color w:val="CA0538"/>
        </w:rPr>
      </w:pPr>
    </w:p>
    <w:p>
      <w:pPr>
        <w:ind w:left="180" w:right="140" w:hanging="176"/>
        <w:spacing w:after="0" w:line="297" w:lineRule="auto"/>
        <w:tabs>
          <w:tab w:leader="none" w:pos="164" w:val="left"/>
        </w:tabs>
        <w:numPr>
          <w:ilvl w:val="0"/>
          <w:numId w:val="8"/>
        </w:numPr>
        <w:rPr>
          <w:rFonts w:ascii="Arial" w:cs="Arial" w:eastAsia="Arial" w:hAnsi="Arial"/>
          <w:sz w:val="16"/>
          <w:szCs w:val="16"/>
          <w:color w:val="CA0538"/>
        </w:rPr>
      </w:pPr>
      <w:r>
        <w:rPr>
          <w:rFonts w:ascii="Arial" w:cs="Arial" w:eastAsia="Arial" w:hAnsi="Arial"/>
          <w:sz w:val="16"/>
          <w:szCs w:val="16"/>
          <w:color w:val="auto"/>
        </w:rPr>
        <w:t>Have personal and professional reputations consistent with the image and reputation of Weatherford;</w:t>
      </w:r>
    </w:p>
    <w:p>
      <w:pPr>
        <w:spacing w:after="0" w:line="63" w:lineRule="exact"/>
        <w:rPr>
          <w:rFonts w:ascii="Arial" w:cs="Arial" w:eastAsia="Arial" w:hAnsi="Arial"/>
          <w:sz w:val="16"/>
          <w:szCs w:val="16"/>
          <w:color w:val="CA0538"/>
        </w:rPr>
      </w:pPr>
    </w:p>
    <w:p>
      <w:pPr>
        <w:ind w:left="180" w:right="320" w:hanging="176"/>
        <w:spacing w:after="0" w:line="297" w:lineRule="auto"/>
        <w:tabs>
          <w:tab w:leader="none" w:pos="164" w:val="left"/>
        </w:tabs>
        <w:numPr>
          <w:ilvl w:val="0"/>
          <w:numId w:val="8"/>
        </w:numPr>
        <w:rPr>
          <w:rFonts w:ascii="Arial" w:cs="Arial" w:eastAsia="Arial" w:hAnsi="Arial"/>
          <w:sz w:val="16"/>
          <w:szCs w:val="16"/>
          <w:color w:val="CA0538"/>
        </w:rPr>
      </w:pPr>
      <w:r>
        <w:rPr>
          <w:rFonts w:ascii="Arial" w:cs="Arial" w:eastAsia="Arial" w:hAnsi="Arial"/>
          <w:sz w:val="16"/>
          <w:szCs w:val="16"/>
          <w:color w:val="auto"/>
        </w:rPr>
        <w:t>Make meaningful and significant contributions and discussions during all Board and Committee meetings;</w:t>
      </w:r>
    </w:p>
    <w:p>
      <w:pPr>
        <w:spacing w:after="0" w:line="63" w:lineRule="exact"/>
        <w:rPr>
          <w:rFonts w:ascii="Arial" w:cs="Arial" w:eastAsia="Arial" w:hAnsi="Arial"/>
          <w:sz w:val="16"/>
          <w:szCs w:val="16"/>
          <w:color w:val="CA0538"/>
        </w:rPr>
      </w:pPr>
    </w:p>
    <w:p>
      <w:pPr>
        <w:ind w:left="180" w:right="100" w:hanging="176"/>
        <w:spacing w:after="0" w:line="253" w:lineRule="auto"/>
        <w:tabs>
          <w:tab w:leader="none" w:pos="164" w:val="left"/>
        </w:tabs>
        <w:numPr>
          <w:ilvl w:val="0"/>
          <w:numId w:val="8"/>
        </w:numPr>
        <w:rPr>
          <w:rFonts w:ascii="Arial" w:cs="Arial" w:eastAsia="Arial" w:hAnsi="Arial"/>
          <w:sz w:val="18"/>
          <w:szCs w:val="18"/>
          <w:color w:val="CA0538"/>
        </w:rPr>
      </w:pPr>
      <w:r>
        <w:rPr>
          <w:rFonts w:ascii="Arial" w:cs="Arial" w:eastAsia="Arial" w:hAnsi="Arial"/>
          <w:sz w:val="18"/>
          <w:szCs w:val="18"/>
          <w:color w:val="auto"/>
        </w:rPr>
        <w:t>Have a record of accomplishment in their chosen professional field and demonstrate sound business judgment; and</w:t>
      </w:r>
    </w:p>
    <w:p>
      <w:pPr>
        <w:spacing w:after="0" w:line="97" w:lineRule="exact"/>
        <w:rPr>
          <w:rFonts w:ascii="Arial" w:cs="Arial" w:eastAsia="Arial" w:hAnsi="Arial"/>
          <w:sz w:val="18"/>
          <w:szCs w:val="18"/>
          <w:color w:val="CA0538"/>
        </w:rPr>
      </w:pPr>
    </w:p>
    <w:p>
      <w:pPr>
        <w:ind w:left="180" w:right="100" w:hanging="176"/>
        <w:spacing w:after="0" w:line="292" w:lineRule="auto"/>
        <w:tabs>
          <w:tab w:leader="none" w:pos="164" w:val="left"/>
        </w:tabs>
        <w:numPr>
          <w:ilvl w:val="0"/>
          <w:numId w:val="8"/>
        </w:numPr>
        <w:rPr>
          <w:rFonts w:ascii="Arial" w:cs="Arial" w:eastAsia="Arial" w:hAnsi="Arial"/>
          <w:sz w:val="16"/>
          <w:szCs w:val="16"/>
          <w:color w:val="CA0538"/>
        </w:rPr>
      </w:pPr>
      <w:r>
        <w:rPr>
          <w:rFonts w:ascii="Arial" w:cs="Arial" w:eastAsia="Arial" w:hAnsi="Arial"/>
          <w:sz w:val="16"/>
          <w:szCs w:val="16"/>
          <w:color w:val="auto"/>
        </w:rPr>
        <w:t>Have industry, financial and/ or accounting experience and be able to share their expertise and experience to the benefit of Weatherford’s management.</w:t>
      </w:r>
    </w:p>
    <w:p>
      <w:pPr>
        <w:spacing w:after="0" w:line="200" w:lineRule="exact"/>
        <w:rPr>
          <w:sz w:val="20"/>
          <w:szCs w:val="20"/>
          <w:color w:val="auto"/>
        </w:rPr>
      </w:pPr>
    </w:p>
    <w:p>
      <w:pPr>
        <w:sectPr>
          <w:pgSz w:w="11900" w:h="16838" w:orient="portrait"/>
          <w:cols w:equalWidth="0" w:num="2">
            <w:col w:w="8040" w:space="540"/>
            <w:col w:w="2540"/>
          </w:cols>
          <w:pgMar w:left="240" w:top="455" w:right="539" w:bottom="1440" w:gutter="0" w:footer="0" w:header="0"/>
          <w:type w:val="continuous"/>
        </w:sectPr>
      </w:pPr>
    </w:p>
    <w:p>
      <w:pPr>
        <w:spacing w:after="0" w:line="194" w:lineRule="exact"/>
        <w:rPr>
          <w:sz w:val="20"/>
          <w:szCs w:val="20"/>
          <w:color w:val="auto"/>
        </w:rPr>
      </w:pPr>
    </w:p>
    <w:p>
      <w:pPr>
        <w:ind w:left="260"/>
        <w:spacing w:after="0"/>
        <w:rPr>
          <w:sz w:val="20"/>
          <w:szCs w:val="20"/>
          <w:color w:val="auto"/>
        </w:rPr>
      </w:pPr>
      <w:r>
        <w:rPr>
          <w:rFonts w:ascii="Arial" w:cs="Arial" w:eastAsia="Arial" w:hAnsi="Arial"/>
          <w:sz w:val="13"/>
          <w:szCs w:val="13"/>
          <w:color w:val="878787"/>
        </w:rPr>
        <w:t xml:space="preserve">Weatherford International plc – 2018 Proxy Statement </w:t>
      </w:r>
      <w:r>
        <w:rPr>
          <w:rFonts w:ascii="Arial" w:cs="Arial" w:eastAsia="Arial" w:hAnsi="Arial"/>
          <w:sz w:val="13"/>
          <w:szCs w:val="13"/>
          <w:b w:val="1"/>
          <w:bCs w:val="1"/>
          <w:color w:val="878787"/>
        </w:rPr>
        <w:t>VIII</w:t>
      </w:r>
    </w:p>
    <w:p>
      <w:pPr>
        <w:sectPr>
          <w:pgSz w:w="11900" w:h="16838" w:orient="portrait"/>
          <w:cols w:equalWidth="0" w:num="1">
            <w:col w:w="11120"/>
          </w:cols>
          <w:pgMar w:left="240" w:top="455" w:right="5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260"/>
        <w:spacing w:after="0"/>
        <w:rPr>
          <w:sz w:val="20"/>
          <w:szCs w:val="20"/>
          <w:color w:val="auto"/>
        </w:rPr>
      </w:pPr>
      <w:r>
        <w:rPr>
          <w:rFonts w:ascii="Arial" w:cs="Arial" w:eastAsia="Arial" w:hAnsi="Arial"/>
          <w:sz w:val="36"/>
          <w:szCs w:val="36"/>
          <w:color w:val="3C3C3B"/>
        </w:rPr>
        <w:t>Our Board Structure</w:t>
      </w:r>
    </w:p>
    <w:p>
      <w:pPr>
        <w:spacing w:after="0" w:line="121" w:lineRule="exact"/>
        <w:rPr>
          <w:sz w:val="20"/>
          <w:szCs w:val="20"/>
          <w:color w:val="auto"/>
        </w:rPr>
      </w:pPr>
    </w:p>
    <w:p>
      <w:pPr>
        <w:ind w:left="260" w:right="1840"/>
        <w:spacing w:after="0" w:line="292" w:lineRule="auto"/>
        <w:rPr>
          <w:sz w:val="20"/>
          <w:szCs w:val="20"/>
          <w:color w:val="auto"/>
        </w:rPr>
      </w:pPr>
      <w:r>
        <w:rPr>
          <w:rFonts w:ascii="Arial" w:cs="Arial" w:eastAsia="Arial" w:hAnsi="Arial"/>
          <w:sz w:val="16"/>
          <w:szCs w:val="16"/>
          <w:color w:val="575756"/>
        </w:rPr>
        <w:t>In November of 2016, upon the departure of our founder and former CEO, Bernard Duroc-Danner, the Company separated the roles of Chairman and CEO and appointed William E. Macaulay as Independent Chairman of the Board. In March 2017, Mark A. McCollum was appointed President, Chief Executive Officer, and Director.</w:t>
      </w:r>
    </w:p>
    <w:p>
      <w:pPr>
        <w:spacing w:after="0" w:line="56" w:lineRule="exact"/>
        <w:rPr>
          <w:sz w:val="20"/>
          <w:szCs w:val="20"/>
          <w:color w:val="auto"/>
        </w:rPr>
      </w:pPr>
    </w:p>
    <w:p>
      <w:pPr>
        <w:ind w:left="260" w:right="1820"/>
        <w:spacing w:after="0" w:line="271" w:lineRule="auto"/>
        <w:rPr>
          <w:sz w:val="20"/>
          <w:szCs w:val="20"/>
          <w:color w:val="auto"/>
        </w:rPr>
      </w:pPr>
      <w:r>
        <w:rPr>
          <w:rFonts w:ascii="Arial" w:cs="Arial" w:eastAsia="Arial" w:hAnsi="Arial"/>
          <w:sz w:val="17"/>
          <w:szCs w:val="17"/>
          <w:color w:val="575756"/>
        </w:rPr>
        <w:t>By splitting these roles, Mr. Macaulay is able to focus on and tangibly oversee the Company’s management (including the CEO), Board leadership, and governance-related matters, while Mr. McCollum is able to exclusively focus on the Company’s strategy, day-to-day operations, as well as financial organizational health.</w:t>
      </w:r>
    </w:p>
    <w:p>
      <w:pPr>
        <w:spacing w:after="0" w:line="71" w:lineRule="exact"/>
        <w:rPr>
          <w:sz w:val="20"/>
          <w:szCs w:val="20"/>
          <w:color w:val="auto"/>
        </w:rPr>
      </w:pPr>
    </w:p>
    <w:p>
      <w:pPr>
        <w:ind w:left="260" w:right="1820"/>
        <w:spacing w:after="0" w:line="253" w:lineRule="auto"/>
        <w:rPr>
          <w:sz w:val="20"/>
          <w:szCs w:val="20"/>
          <w:color w:val="auto"/>
        </w:rPr>
      </w:pPr>
      <w:r>
        <w:rPr>
          <w:rFonts w:ascii="Arial" w:cs="Arial" w:eastAsia="Arial" w:hAnsi="Arial"/>
          <w:sz w:val="18"/>
          <w:szCs w:val="18"/>
          <w:color w:val="575756"/>
        </w:rPr>
        <w:t>We believe this leadership structure best serves the Company and its shareholders at this time as it strengthens the integrity and independence of our Board and reduces potential conflicts in the areas of performance evaluation, executive compensation, succession planning, and the recruitment of new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In 2017, we fundamentally strengthened the structure and function of our Board. Infused and renewed with fresh perspectives, collectively we will leverage the tremendous leadership experience and operational expertise of our Directors to help guide the Company as it aims to deliver strong financial performance and disciplined growth for all of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-1355725</wp:posOffset>
            </wp:positionH>
            <wp:positionV relativeFrom="paragraph">
              <wp:posOffset>-1427480</wp:posOffset>
            </wp:positionV>
            <wp:extent cx="3386455" cy="2055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86455" cy="205549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left="520" w:right="100" w:firstLine="829"/>
        <w:spacing w:after="0" w:line="334" w:lineRule="auto"/>
        <w:rPr>
          <w:sz w:val="20"/>
          <w:szCs w:val="20"/>
          <w:color w:val="auto"/>
        </w:rPr>
      </w:pPr>
      <w:r>
        <w:rPr>
          <w:rFonts w:ascii="Arial" w:cs="Arial" w:eastAsia="Arial" w:hAnsi="Arial"/>
          <w:sz w:val="16"/>
          <w:szCs w:val="16"/>
          <w:i w:val="1"/>
          <w:iCs w:val="1"/>
          <w:color w:val="575756"/>
        </w:rPr>
        <w:t>— William E. Macaulay, Independent Chairman of the Board</w:t>
      </w:r>
    </w:p>
    <w:p>
      <w:pPr>
        <w:spacing w:after="0" w:line="952" w:lineRule="exact"/>
        <w:rPr>
          <w:sz w:val="20"/>
          <w:szCs w:val="20"/>
          <w:color w:val="auto"/>
        </w:rPr>
      </w:pPr>
    </w:p>
    <w:p>
      <w:pPr>
        <w:sectPr>
          <w:pgSz w:w="11900" w:h="16838" w:orient="portrait"/>
          <w:cols w:equalWidth="0" w:num="2">
            <w:col w:w="7240" w:space="720"/>
            <w:col w:w="3200"/>
          </w:cols>
          <w:pgMar w:left="240" w:top="455" w:right="499" w:bottom="1440" w:gutter="0" w:footer="0" w:header="0"/>
        </w:sectPr>
      </w:pPr>
    </w:p>
    <w:p>
      <w:pPr>
        <w:spacing w:after="0" w:line="123" w:lineRule="exact"/>
        <w:rPr>
          <w:sz w:val="20"/>
          <w:szCs w:val="20"/>
          <w:color w:val="auto"/>
        </w:rPr>
      </w:pPr>
    </w:p>
    <w:p>
      <w:pPr>
        <w:ind w:left="260"/>
        <w:spacing w:after="0"/>
        <w:rPr>
          <w:sz w:val="20"/>
          <w:szCs w:val="20"/>
          <w:color w:val="auto"/>
        </w:rPr>
      </w:pPr>
      <w:r>
        <w:rPr>
          <w:rFonts w:ascii="Arial" w:cs="Arial" w:eastAsia="Arial" w:hAnsi="Arial"/>
          <w:sz w:val="36"/>
          <w:szCs w:val="36"/>
          <w:color w:val="3C3C3B"/>
        </w:rPr>
        <w:t>Directors’ Skills, Tenure, and Diversity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6"/>
          <w:szCs w:val="16"/>
          <w:color w:val="575756"/>
        </w:rPr>
        <w:t>Please see the following information regarding our directors’ significant skills and expertise, tenure, and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27940</wp:posOffset>
            </wp:positionV>
            <wp:extent cx="6917690" cy="32385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17690" cy="3238500"/>
                    </a:xfrm>
                    <a:prstGeom prst="rect">
                      <a:avLst/>
                    </a:prstGeom>
                    <a:noFill/>
                  </pic:spPr>
                </pic:pic>
              </a:graphicData>
            </a:graphic>
          </wp:anchor>
        </w:drawing>
      </w:r>
    </w:p>
    <w:p>
      <w:pPr>
        <w:sectPr>
          <w:pgSz w:w="11900" w:h="16838" w:orient="portrait"/>
          <w:cols w:equalWidth="0" w:num="1">
            <w:col w:w="11160"/>
          </w:cols>
          <w:pgMar w:left="240" w:top="455"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40"/>
        <w:spacing w:after="0"/>
        <w:rPr>
          <w:sz w:val="20"/>
          <w:szCs w:val="20"/>
          <w:color w:val="auto"/>
        </w:rPr>
      </w:pPr>
      <w:r>
        <w:rPr>
          <w:rFonts w:ascii="Arial" w:cs="Arial" w:eastAsia="Arial" w:hAnsi="Arial"/>
          <w:sz w:val="32"/>
          <w:szCs w:val="32"/>
          <w:color w:val="3C3C3B"/>
        </w:rPr>
        <w:t>RATIFY</w:t>
      </w:r>
    </w:p>
    <w:p>
      <w:pPr>
        <w:ind w:left="520" w:hanging="127"/>
        <w:spacing w:after="0" w:line="181" w:lineRule="auto"/>
        <w:rPr>
          <w:sz w:val="20"/>
          <w:szCs w:val="20"/>
          <w:color w:val="auto"/>
        </w:rPr>
      </w:pPr>
      <w:r>
        <w:rPr>
          <w:rFonts w:ascii="Arial" w:cs="Arial" w:eastAsia="Arial" w:hAnsi="Arial"/>
          <w:sz w:val="42"/>
          <w:szCs w:val="42"/>
          <w:color w:val="FFFFFF"/>
          <w:vertAlign w:val="superscript"/>
        </w:rPr>
        <w:t>ITEM</w:t>
      </w:r>
      <w:r>
        <w:rPr>
          <w:sz w:val="20"/>
          <w:szCs w:val="20"/>
          <w:color w:val="auto"/>
        </w:rPr>
        <w:t xml:space="preserve"> </w:t>
      </w:r>
      <w:r>
        <w:rPr>
          <w:rFonts w:ascii="Arial" w:cs="Arial" w:eastAsia="Arial" w:hAnsi="Arial"/>
          <w:sz w:val="27"/>
          <w:szCs w:val="27"/>
          <w:color w:val="3C3C3B"/>
        </w:rPr>
        <w:t xml:space="preserve">APPOINTMENT </w:t>
      </w:r>
      <w:r>
        <w:rPr>
          <w:rFonts w:ascii="Arial" w:cs="Arial" w:eastAsia="Arial" w:hAnsi="Arial"/>
          <w:sz w:val="43"/>
          <w:szCs w:val="43"/>
          <w:b w:val="1"/>
          <w:bCs w:val="1"/>
          <w:color w:val="FFFFFF"/>
        </w:rPr>
        <w:t xml:space="preserve">2 </w:t>
      </w:r>
      <w:r>
        <w:rPr>
          <w:rFonts w:ascii="Arial" w:cs="Arial" w:eastAsia="Arial" w:hAnsi="Arial"/>
          <w:sz w:val="27"/>
          <w:szCs w:val="27"/>
          <w:color w:val="3C3C3B"/>
        </w:rPr>
        <w:t>OF INDEPENDENT</w:t>
      </w:r>
    </w:p>
    <w:p>
      <w:pPr>
        <w:spacing w:after="0" w:line="50" w:lineRule="exact"/>
        <w:rPr>
          <w:sz w:val="20"/>
          <w:szCs w:val="20"/>
          <w:color w:val="auto"/>
        </w:rPr>
      </w:pPr>
    </w:p>
    <w:p>
      <w:pPr>
        <w:ind w:left="1240"/>
        <w:spacing w:after="0"/>
        <w:rPr>
          <w:sz w:val="20"/>
          <w:szCs w:val="20"/>
          <w:color w:val="auto"/>
        </w:rPr>
      </w:pPr>
      <w:r>
        <w:rPr>
          <w:rFonts w:ascii="Arial" w:cs="Arial" w:eastAsia="Arial" w:hAnsi="Arial"/>
          <w:sz w:val="32"/>
          <w:szCs w:val="32"/>
          <w:color w:val="3C3C3B"/>
        </w:rPr>
        <w:t>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227330</wp:posOffset>
            </wp:positionV>
            <wp:extent cx="483235" cy="9836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83235" cy="98361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380"/>
        <w:spacing w:after="0"/>
        <w:tabs>
          <w:tab w:leader="none" w:pos="1220" w:val="left"/>
        </w:tabs>
        <w:rPr>
          <w:sz w:val="20"/>
          <w:szCs w:val="20"/>
          <w:color w:val="auto"/>
        </w:rPr>
      </w:pPr>
      <w:r>
        <w:rPr>
          <w:rFonts w:ascii="Arial" w:cs="Arial" w:eastAsia="Arial" w:hAnsi="Arial"/>
          <w:sz w:val="21"/>
          <w:szCs w:val="21"/>
          <w:color w:val="FFFFFF"/>
        </w:rPr>
        <w:t>ITEM</w:t>
      </w:r>
      <w:r>
        <w:rPr>
          <w:sz w:val="20"/>
          <w:szCs w:val="20"/>
          <w:color w:val="auto"/>
        </w:rPr>
        <w:tab/>
      </w:r>
      <w:r>
        <w:rPr>
          <w:rFonts w:ascii="Arial" w:cs="Arial" w:eastAsia="Arial" w:hAnsi="Arial"/>
          <w:sz w:val="32"/>
          <w:szCs w:val="32"/>
          <w:color w:val="3C3C3B"/>
        </w:rPr>
        <w:t>APPROVE</w:t>
      </w:r>
    </w:p>
    <w:p>
      <w:pPr>
        <w:spacing w:after="0" w:line="20" w:lineRule="exact"/>
        <w:rPr>
          <w:sz w:val="20"/>
          <w:szCs w:val="20"/>
          <w:color w:val="auto"/>
        </w:rPr>
      </w:pPr>
    </w:p>
    <w:p>
      <w:pPr>
        <w:ind w:left="1240" w:hanging="726"/>
        <w:spacing w:after="0"/>
        <w:tabs>
          <w:tab w:leader="none" w:pos="1240" w:val="left"/>
        </w:tabs>
        <w:numPr>
          <w:ilvl w:val="0"/>
          <w:numId w:val="10"/>
        </w:numPr>
        <w:rPr>
          <w:rFonts w:ascii="Arial" w:cs="Arial" w:eastAsia="Arial" w:hAnsi="Arial"/>
          <w:sz w:val="25"/>
          <w:szCs w:val="25"/>
          <w:b w:val="1"/>
          <w:bCs w:val="1"/>
          <w:color w:val="FFFFFF"/>
        </w:rPr>
      </w:pPr>
      <w:r>
        <w:rPr>
          <w:rFonts w:ascii="Arial" w:cs="Arial" w:eastAsia="Arial" w:hAnsi="Arial"/>
          <w:sz w:val="29"/>
          <w:szCs w:val="29"/>
          <w:color w:val="3C3C3B"/>
          <w:vertAlign w:val="superscript"/>
        </w:rPr>
        <w:t>EXECUTIVE</w:t>
      </w:r>
      <w:r>
        <w:rPr>
          <w:rFonts w:ascii="Arial" w:cs="Arial" w:eastAsia="Arial" w:hAnsi="Arial"/>
          <w:sz w:val="29"/>
          <w:szCs w:val="29"/>
          <w:color w:val="3C3C3B"/>
          <w:vertAlign w:val="subscript"/>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880"/>
        <w:spacing w:after="0" w:line="320" w:lineRule="auto"/>
        <w:rPr>
          <w:sz w:val="20"/>
          <w:szCs w:val="20"/>
          <w:color w:val="auto"/>
        </w:rPr>
      </w:pPr>
      <w:r>
        <w:rPr>
          <w:rFonts w:ascii="Arial" w:cs="Arial" w:eastAsia="Arial" w:hAnsi="Arial"/>
          <w:sz w:val="23"/>
          <w:szCs w:val="23"/>
          <w:b w:val="1"/>
          <w:bCs w:val="1"/>
          <w:color w:val="CA0538"/>
        </w:rPr>
        <w:t>The Board recommends a vote FOR the ratification of KPMG LLP and KPMG Chartered Accountants</w:t>
      </w:r>
    </w:p>
    <w:p>
      <w:pPr>
        <w:spacing w:after="0" w:line="11" w:lineRule="exact"/>
        <w:rPr>
          <w:sz w:val="20"/>
          <w:szCs w:val="20"/>
          <w:color w:val="auto"/>
        </w:rPr>
      </w:pPr>
    </w:p>
    <w:p>
      <w:pPr>
        <w:ind w:right="2720"/>
        <w:spacing w:after="0" w:line="447" w:lineRule="auto"/>
        <w:rPr>
          <w:sz w:val="20"/>
          <w:szCs w:val="20"/>
          <w:color w:val="auto"/>
        </w:rPr>
      </w:pPr>
      <w:r>
        <w:rPr>
          <w:rFonts w:ascii="Arial" w:cs="Arial" w:eastAsia="Arial" w:hAnsi="Arial"/>
          <w:sz w:val="17"/>
          <w:szCs w:val="17"/>
          <w:color w:val="575756"/>
        </w:rPr>
        <w:t xml:space="preserve">Based on the recommendation of the Audit Committee </w:t>
      </w:r>
      <w:r>
        <w:rPr>
          <w:rFonts w:ascii="Arial" w:cs="Arial" w:eastAsia="Arial" w:hAnsi="Arial"/>
          <w:sz w:val="17"/>
          <w:szCs w:val="17"/>
          <w:b w:val="1"/>
          <w:bCs w:val="1"/>
          <w:color w:val="575756"/>
        </w:rPr>
        <w:t>See page 16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182245</wp:posOffset>
            </wp:positionV>
            <wp:extent cx="6434455" cy="9836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34455" cy="98361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right="1380"/>
        <w:spacing w:after="0" w:line="339" w:lineRule="auto"/>
        <w:rPr>
          <w:sz w:val="20"/>
          <w:szCs w:val="20"/>
          <w:color w:val="auto"/>
        </w:rPr>
      </w:pPr>
      <w:r>
        <w:rPr>
          <w:rFonts w:ascii="Arial" w:cs="Arial" w:eastAsia="Arial" w:hAnsi="Arial"/>
          <w:sz w:val="22"/>
          <w:szCs w:val="22"/>
          <w:b w:val="1"/>
          <w:bCs w:val="1"/>
          <w:color w:val="CA0538"/>
        </w:rPr>
        <w:t>The Board recommends a vote FOR the approval of our executive compensation program</w:t>
      </w:r>
    </w:p>
    <w:p>
      <w:pPr>
        <w:spacing w:after="0" w:line="2" w:lineRule="exact"/>
        <w:rPr>
          <w:sz w:val="20"/>
          <w:szCs w:val="20"/>
          <w:color w:val="auto"/>
        </w:rPr>
      </w:pPr>
    </w:p>
    <w:p>
      <w:pPr>
        <w:ind w:right="520"/>
        <w:spacing w:after="0" w:line="334" w:lineRule="auto"/>
        <w:rPr>
          <w:sz w:val="20"/>
          <w:szCs w:val="20"/>
          <w:color w:val="auto"/>
        </w:rPr>
      </w:pPr>
      <w:r>
        <w:rPr>
          <w:rFonts w:ascii="Arial" w:cs="Arial" w:eastAsia="Arial" w:hAnsi="Arial"/>
          <w:sz w:val="16"/>
          <w:szCs w:val="16"/>
          <w:color w:val="575756"/>
        </w:rPr>
        <w:t xml:space="preserve">The Board believes Weatherford’s executive compensation program effectively aligns executive compensation with performance. </w:t>
      </w:r>
      <w:r>
        <w:rPr>
          <w:rFonts w:ascii="Arial" w:cs="Arial" w:eastAsia="Arial" w:hAnsi="Arial"/>
          <w:sz w:val="16"/>
          <w:szCs w:val="16"/>
          <w:b w:val="1"/>
          <w:bCs w:val="1"/>
          <w:color w:val="575756"/>
        </w:rPr>
        <w:t>See page 18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192405</wp:posOffset>
            </wp:positionV>
            <wp:extent cx="69176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60" w:space="580"/>
            <w:col w:w="6620"/>
          </w:cols>
          <w:pgMar w:left="240" w:top="455" w:right="499" w:bottom="1440" w:gutter="0" w:footer="0" w:header="0"/>
          <w:type w:val="continuous"/>
        </w:sectPr>
      </w:pPr>
    </w:p>
    <w:p>
      <w:pPr>
        <w:spacing w:after="0" w:line="241" w:lineRule="exact"/>
        <w:rPr>
          <w:sz w:val="20"/>
          <w:szCs w:val="20"/>
          <w:color w:val="auto"/>
        </w:rPr>
      </w:pPr>
    </w:p>
    <w:p>
      <w:pPr>
        <w:ind w:left="7840"/>
        <w:spacing w:after="0"/>
        <w:rPr>
          <w:sz w:val="20"/>
          <w:szCs w:val="20"/>
          <w:color w:val="auto"/>
        </w:rPr>
      </w:pPr>
      <w:r>
        <w:rPr>
          <w:rFonts w:ascii="Arial" w:cs="Arial" w:eastAsia="Arial" w:hAnsi="Arial"/>
          <w:sz w:val="13"/>
          <w:szCs w:val="13"/>
          <w:color w:val="878787"/>
        </w:rPr>
        <w:t xml:space="preserve">Weatherford International plc – 2018 Proxy Statement </w:t>
      </w:r>
      <w:r>
        <w:rPr>
          <w:rFonts w:ascii="Arial" w:cs="Arial" w:eastAsia="Arial" w:hAnsi="Arial"/>
          <w:sz w:val="13"/>
          <w:szCs w:val="13"/>
          <w:b w:val="1"/>
          <w:bCs w:val="1"/>
          <w:color w:val="878787"/>
        </w:rPr>
        <w:t>IX</w:t>
      </w:r>
    </w:p>
    <w:p>
      <w:pPr>
        <w:sectPr>
          <w:pgSz w:w="11900" w:h="16838" w:orient="portrait"/>
          <w:cols w:equalWidth="0" w:num="1">
            <w:col w:w="11160"/>
          </w:cols>
          <w:pgMar w:left="240" w:top="455" w:right="4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77"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CA0538"/>
        </w:rPr>
        <w:t>COMPENSATION HIGHLIGHTS</w:t>
      </w:r>
    </w:p>
    <w:p>
      <w:pPr>
        <w:spacing w:after="0" w:line="240" w:lineRule="exact"/>
        <w:rPr>
          <w:sz w:val="20"/>
          <w:szCs w:val="20"/>
          <w:color w:val="auto"/>
        </w:rPr>
      </w:pPr>
    </w:p>
    <w:p>
      <w:pPr>
        <w:ind w:left="260" w:right="480"/>
        <w:spacing w:after="0" w:line="255" w:lineRule="auto"/>
        <w:rPr>
          <w:sz w:val="20"/>
          <w:szCs w:val="20"/>
          <w:color w:val="auto"/>
        </w:rPr>
      </w:pPr>
      <w:r>
        <w:rPr>
          <w:rFonts w:ascii="Arial" w:cs="Arial" w:eastAsia="Arial" w:hAnsi="Arial"/>
          <w:sz w:val="18"/>
          <w:szCs w:val="18"/>
          <w:color w:val="575756"/>
        </w:rPr>
        <w:t>The Compensation Committee aims to provide a framework that aligns the interest of our executive officers with those of our shareholders. This compensation philosophy is designed to support key financial and strategic objectives as well as drive and reward strong business performance providing a clear link between pay and performance. The Compensation Program, which gives due consideration to shareholder feedback, continues to evolve to ensure superior value to our shareholders.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37"/>
          <w:szCs w:val="37"/>
          <w:color w:val="3C3C3B"/>
        </w:rPr>
        <w:t>Our 2017 Performance</w:t>
      </w:r>
    </w:p>
    <w:p>
      <w:pPr>
        <w:spacing w:after="0" w:line="133" w:lineRule="exact"/>
        <w:rPr>
          <w:sz w:val="20"/>
          <w:szCs w:val="20"/>
          <w:color w:val="auto"/>
        </w:rPr>
      </w:pPr>
    </w:p>
    <w:tbl>
      <w:tblPr>
        <w:tblLayout w:type="fixed"/>
        <w:tblInd w:w="290" w:type="dxa"/>
        <w:tblCellMar>
          <w:top w:w="0" w:type="dxa"/>
          <w:left w:w="0" w:type="dxa"/>
          <w:bottom w:w="0" w:type="dxa"/>
          <w:right w:w="0" w:type="dxa"/>
        </w:tblCellMar>
      </w:tblPr>
      <w:tr>
        <w:trPr>
          <w:trHeight w:val="226"/>
        </w:trPr>
        <w:tc>
          <w:tcPr>
            <w:tcW w:w="1540" w:type="dxa"/>
            <w:vAlign w:val="bottom"/>
            <w:tcBorders>
              <w:top w:val="single" w:sz="8" w:color="auto"/>
              <w:left w:val="single" w:sz="8" w:color="auto"/>
              <w:right w:val="single" w:sz="8" w:color="auto"/>
            </w:tcBorders>
          </w:tcPr>
          <w:p>
            <w:pPr>
              <w:jc w:val="center"/>
              <w:ind w:left="4"/>
              <w:spacing w:after="0" w:line="226" w:lineRule="exact"/>
              <w:rPr>
                <w:sz w:val="20"/>
                <w:szCs w:val="20"/>
                <w:color w:val="auto"/>
              </w:rPr>
            </w:pPr>
            <w:r>
              <w:rPr>
                <w:rFonts w:ascii="Arial" w:cs="Arial" w:eastAsia="Arial" w:hAnsi="Arial"/>
                <w:sz w:val="21"/>
                <w:szCs w:val="21"/>
                <w:color w:val="575756"/>
              </w:rPr>
              <w:t>$5.7 BILLION</w:t>
            </w:r>
          </w:p>
        </w:tc>
        <w:tc>
          <w:tcPr>
            <w:tcW w:w="120" w:type="dxa"/>
            <w:vAlign w:val="bottom"/>
            <w:tcBorders>
              <w:right w:val="single" w:sz="8" w:color="auto"/>
            </w:tcBorders>
          </w:tcPr>
          <w:p>
            <w:pPr>
              <w:spacing w:after="0"/>
              <w:rPr>
                <w:sz w:val="19"/>
                <w:szCs w:val="19"/>
                <w:color w:val="auto"/>
              </w:rPr>
            </w:pPr>
          </w:p>
        </w:tc>
        <w:tc>
          <w:tcPr>
            <w:tcW w:w="1460" w:type="dxa"/>
            <w:vAlign w:val="bottom"/>
            <w:tcBorders>
              <w:top w:val="single" w:sz="8" w:color="auto"/>
              <w:right w:val="single" w:sz="8" w:color="auto"/>
            </w:tcBorders>
          </w:tcPr>
          <w:p>
            <w:pPr>
              <w:jc w:val="center"/>
              <w:spacing w:after="0" w:line="226" w:lineRule="exact"/>
              <w:rPr>
                <w:sz w:val="20"/>
                <w:szCs w:val="20"/>
                <w:color w:val="auto"/>
              </w:rPr>
            </w:pPr>
            <w:r>
              <w:rPr>
                <w:rFonts w:ascii="Arial" w:cs="Arial" w:eastAsia="Arial" w:hAnsi="Arial"/>
                <w:sz w:val="21"/>
                <w:szCs w:val="21"/>
                <w:color w:val="auto"/>
              </w:rPr>
              <w:t>$413 MILLION</w:t>
            </w:r>
          </w:p>
        </w:tc>
        <w:tc>
          <w:tcPr>
            <w:tcW w:w="120" w:type="dxa"/>
            <w:vAlign w:val="bottom"/>
            <w:tcBorders>
              <w:right w:val="single" w:sz="8" w:color="auto"/>
            </w:tcBorders>
          </w:tcPr>
          <w:p>
            <w:pPr>
              <w:spacing w:after="0"/>
              <w:rPr>
                <w:sz w:val="19"/>
                <w:szCs w:val="19"/>
                <w:color w:val="auto"/>
              </w:rPr>
            </w:pPr>
          </w:p>
        </w:tc>
        <w:tc>
          <w:tcPr>
            <w:tcW w:w="1360" w:type="dxa"/>
            <w:vAlign w:val="bottom"/>
            <w:tcBorders>
              <w:top w:val="single" w:sz="8" w:color="auto"/>
              <w:right w:val="single" w:sz="8" w:color="auto"/>
            </w:tcBorders>
          </w:tcPr>
          <w:p>
            <w:pPr>
              <w:jc w:val="center"/>
              <w:spacing w:after="0" w:line="226" w:lineRule="exact"/>
              <w:rPr>
                <w:sz w:val="20"/>
                <w:szCs w:val="20"/>
                <w:color w:val="auto"/>
              </w:rPr>
            </w:pPr>
            <w:r>
              <w:rPr>
                <w:rFonts w:ascii="Arial" w:cs="Arial" w:eastAsia="Arial" w:hAnsi="Arial"/>
                <w:sz w:val="21"/>
                <w:szCs w:val="21"/>
                <w:color w:val="auto"/>
                <w:w w:val="97"/>
              </w:rPr>
              <w:t>NEGATIVE</w:t>
            </w:r>
          </w:p>
        </w:tc>
        <w:tc>
          <w:tcPr>
            <w:tcW w:w="120" w:type="dxa"/>
            <w:vAlign w:val="bottom"/>
            <w:tcBorders>
              <w:right w:val="single" w:sz="8" w:color="auto"/>
            </w:tcBorders>
          </w:tcPr>
          <w:p>
            <w:pPr>
              <w:spacing w:after="0"/>
              <w:rPr>
                <w:sz w:val="19"/>
                <w:szCs w:val="19"/>
                <w:color w:val="auto"/>
              </w:rPr>
            </w:pPr>
          </w:p>
        </w:tc>
        <w:tc>
          <w:tcPr>
            <w:tcW w:w="1440" w:type="dxa"/>
            <w:vAlign w:val="bottom"/>
            <w:tcBorders>
              <w:top w:val="single" w:sz="8" w:color="auto"/>
              <w:right w:val="single" w:sz="8" w:color="auto"/>
            </w:tcBorders>
          </w:tcPr>
          <w:p>
            <w:pPr>
              <w:jc w:val="center"/>
              <w:spacing w:after="0" w:line="226" w:lineRule="exact"/>
              <w:rPr>
                <w:sz w:val="20"/>
                <w:szCs w:val="20"/>
                <w:color w:val="auto"/>
              </w:rPr>
            </w:pPr>
            <w:r>
              <w:rPr>
                <w:rFonts w:ascii="Arial" w:cs="Arial" w:eastAsia="Arial" w:hAnsi="Arial"/>
                <w:sz w:val="21"/>
                <w:szCs w:val="21"/>
                <w:b w:val="1"/>
                <w:bCs w:val="1"/>
                <w:color w:val="CA0538"/>
                <w:w w:val="98"/>
              </w:rPr>
              <w:t>SUPPORT</w:t>
            </w:r>
          </w:p>
        </w:tc>
        <w:tc>
          <w:tcPr>
            <w:tcW w:w="120" w:type="dxa"/>
            <w:vAlign w:val="bottom"/>
            <w:tcBorders>
              <w:right w:val="single" w:sz="8" w:color="auto"/>
            </w:tcBorders>
          </w:tcPr>
          <w:p>
            <w:pPr>
              <w:spacing w:after="0"/>
              <w:rPr>
                <w:sz w:val="19"/>
                <w:szCs w:val="19"/>
                <w:color w:val="auto"/>
              </w:rPr>
            </w:pPr>
          </w:p>
        </w:tc>
        <w:tc>
          <w:tcPr>
            <w:tcW w:w="1880" w:type="dxa"/>
            <w:vAlign w:val="bottom"/>
            <w:tcBorders>
              <w:top w:val="single" w:sz="8" w:color="auto"/>
              <w:right w:val="single" w:sz="8" w:color="auto"/>
            </w:tcBorders>
          </w:tcPr>
          <w:p>
            <w:pPr>
              <w:jc w:val="center"/>
              <w:spacing w:after="0" w:line="226" w:lineRule="exact"/>
              <w:rPr>
                <w:sz w:val="20"/>
                <w:szCs w:val="20"/>
                <w:color w:val="auto"/>
              </w:rPr>
            </w:pPr>
            <w:r>
              <w:rPr>
                <w:rFonts w:ascii="Arial" w:cs="Arial" w:eastAsia="Arial" w:hAnsi="Arial"/>
                <w:sz w:val="21"/>
                <w:szCs w:val="21"/>
                <w:b w:val="1"/>
                <w:bCs w:val="1"/>
                <w:color w:val="CA0538"/>
              </w:rPr>
              <w:t>QUALITY</w:t>
            </w:r>
          </w:p>
        </w:tc>
        <w:tc>
          <w:tcPr>
            <w:tcW w:w="120" w:type="dxa"/>
            <w:vAlign w:val="bottom"/>
            <w:tcBorders>
              <w:right w:val="single" w:sz="8" w:color="auto"/>
            </w:tcBorders>
          </w:tcPr>
          <w:p>
            <w:pPr>
              <w:spacing w:after="0"/>
              <w:rPr>
                <w:sz w:val="19"/>
                <w:szCs w:val="19"/>
                <w:color w:val="auto"/>
              </w:rPr>
            </w:pPr>
          </w:p>
        </w:tc>
        <w:tc>
          <w:tcPr>
            <w:tcW w:w="1360" w:type="dxa"/>
            <w:vAlign w:val="bottom"/>
            <w:tcBorders>
              <w:top w:val="single" w:sz="8" w:color="auto"/>
              <w:right w:val="single" w:sz="8" w:color="auto"/>
            </w:tcBorders>
          </w:tcPr>
          <w:p>
            <w:pPr>
              <w:jc w:val="center"/>
              <w:spacing w:after="0" w:line="226" w:lineRule="exact"/>
              <w:rPr>
                <w:sz w:val="20"/>
                <w:szCs w:val="20"/>
                <w:color w:val="auto"/>
              </w:rPr>
            </w:pPr>
            <w:r>
              <w:rPr>
                <w:rFonts w:ascii="Arial" w:cs="Arial" w:eastAsia="Arial" w:hAnsi="Arial"/>
                <w:sz w:val="21"/>
                <w:szCs w:val="21"/>
                <w:b w:val="1"/>
                <w:bCs w:val="1"/>
                <w:color w:val="CA0538"/>
              </w:rPr>
              <w:t>SAFETY</w:t>
            </w:r>
          </w:p>
        </w:tc>
        <w:tc>
          <w:tcPr>
            <w:tcW w:w="120" w:type="dxa"/>
            <w:vAlign w:val="bottom"/>
            <w:tcBorders>
              <w:right w:val="single" w:sz="8" w:color="auto"/>
            </w:tcBorders>
          </w:tcPr>
          <w:p>
            <w:pPr>
              <w:spacing w:after="0"/>
              <w:rPr>
                <w:sz w:val="19"/>
                <w:szCs w:val="19"/>
                <w:color w:val="auto"/>
              </w:rPr>
            </w:pPr>
          </w:p>
        </w:tc>
        <w:tc>
          <w:tcPr>
            <w:tcW w:w="1460" w:type="dxa"/>
            <w:vAlign w:val="bottom"/>
            <w:tcBorders>
              <w:top w:val="single" w:sz="8" w:color="auto"/>
              <w:right w:val="single" w:sz="8" w:color="auto"/>
            </w:tcBorders>
          </w:tcPr>
          <w:p>
            <w:pPr>
              <w:jc w:val="center"/>
              <w:spacing w:after="0" w:line="226" w:lineRule="exact"/>
              <w:rPr>
                <w:sz w:val="20"/>
                <w:szCs w:val="20"/>
                <w:color w:val="auto"/>
              </w:rPr>
            </w:pPr>
            <w:r>
              <w:rPr>
                <w:rFonts w:ascii="Arial" w:cs="Arial" w:eastAsia="Arial" w:hAnsi="Arial"/>
                <w:sz w:val="21"/>
                <w:szCs w:val="21"/>
                <w:color w:val="auto"/>
              </w:rPr>
              <w:t>INDIVIDUAL</w:t>
            </w:r>
          </w:p>
        </w:tc>
        <w:tc>
          <w:tcPr>
            <w:tcW w:w="0" w:type="dxa"/>
            <w:vAlign w:val="bottom"/>
          </w:tcPr>
          <w:p>
            <w:pPr>
              <w:spacing w:after="0"/>
              <w:rPr>
                <w:sz w:val="1"/>
                <w:szCs w:val="1"/>
                <w:color w:val="auto"/>
              </w:rPr>
            </w:pPr>
          </w:p>
        </w:tc>
      </w:tr>
      <w:tr>
        <w:trPr>
          <w:trHeight w:val="240"/>
        </w:trPr>
        <w:tc>
          <w:tcPr>
            <w:tcW w:w="1540" w:type="dxa"/>
            <w:vAlign w:val="bottom"/>
            <w:tcBorders>
              <w:left w:val="single" w:sz="8" w:color="auto"/>
              <w:right w:val="single" w:sz="8" w:color="auto"/>
            </w:tcBorders>
          </w:tcPr>
          <w:p>
            <w:pPr>
              <w:jc w:val="center"/>
              <w:ind w:left="4"/>
              <w:spacing w:after="0" w:line="240" w:lineRule="exact"/>
              <w:rPr>
                <w:sz w:val="20"/>
                <w:szCs w:val="20"/>
                <w:color w:val="auto"/>
              </w:rPr>
            </w:pPr>
            <w:r>
              <w:rPr>
                <w:rFonts w:ascii="Arial" w:cs="Arial" w:eastAsia="Arial" w:hAnsi="Arial"/>
                <w:sz w:val="21"/>
                <w:szCs w:val="21"/>
                <w:b w:val="1"/>
                <w:bCs w:val="1"/>
                <w:color w:val="CA0538"/>
              </w:rPr>
              <w:t>REVENUE</w:t>
            </w:r>
          </w:p>
        </w:tc>
        <w:tc>
          <w:tcPr>
            <w:tcW w:w="12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jc w:val="center"/>
              <w:spacing w:after="0" w:line="240" w:lineRule="exact"/>
              <w:rPr>
                <w:sz w:val="20"/>
                <w:szCs w:val="20"/>
                <w:color w:val="auto"/>
              </w:rPr>
            </w:pPr>
            <w:r>
              <w:rPr>
                <w:rFonts w:ascii="Arial" w:cs="Arial" w:eastAsia="Arial" w:hAnsi="Arial"/>
                <w:sz w:val="21"/>
                <w:szCs w:val="21"/>
                <w:b w:val="1"/>
                <w:bCs w:val="1"/>
                <w:color w:val="CA0538"/>
              </w:rPr>
              <w:t>EBITDA</w:t>
            </w:r>
          </w:p>
        </w:tc>
        <w:tc>
          <w:tcPr>
            <w:tcW w:w="12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jc w:val="center"/>
              <w:spacing w:after="0" w:line="240" w:lineRule="exact"/>
              <w:rPr>
                <w:sz w:val="20"/>
                <w:szCs w:val="20"/>
                <w:color w:val="auto"/>
              </w:rPr>
            </w:pPr>
            <w:r>
              <w:rPr>
                <w:rFonts w:ascii="Arial" w:cs="Arial" w:eastAsia="Arial" w:hAnsi="Arial"/>
                <w:sz w:val="21"/>
                <w:szCs w:val="21"/>
                <w:b w:val="1"/>
                <w:bCs w:val="1"/>
                <w:color w:val="CA0538"/>
                <w:w w:val="99"/>
              </w:rPr>
              <w:t>FREE</w:t>
            </w:r>
          </w:p>
        </w:tc>
        <w:tc>
          <w:tcPr>
            <w:tcW w:w="12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jc w:val="center"/>
              <w:spacing w:after="0" w:line="240" w:lineRule="exact"/>
              <w:rPr>
                <w:sz w:val="20"/>
                <w:szCs w:val="20"/>
                <w:color w:val="auto"/>
              </w:rPr>
            </w:pPr>
            <w:r>
              <w:rPr>
                <w:rFonts w:ascii="Arial" w:cs="Arial" w:eastAsia="Arial" w:hAnsi="Arial"/>
                <w:sz w:val="21"/>
                <w:szCs w:val="21"/>
                <w:b w:val="1"/>
                <w:bCs w:val="1"/>
                <w:color w:val="CA0538"/>
              </w:rPr>
              <w:t>RATIO</w:t>
            </w:r>
          </w:p>
        </w:tc>
        <w:tc>
          <w:tcPr>
            <w:tcW w:w="12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jc w:val="center"/>
              <w:spacing w:after="0" w:line="240" w:lineRule="exact"/>
              <w:rPr>
                <w:sz w:val="20"/>
                <w:szCs w:val="20"/>
                <w:color w:val="auto"/>
              </w:rPr>
            </w:pPr>
            <w:r>
              <w:rPr>
                <w:rFonts w:ascii="Arial" w:cs="Arial" w:eastAsia="Arial" w:hAnsi="Arial"/>
                <w:sz w:val="21"/>
                <w:szCs w:val="21"/>
                <w:color w:val="auto"/>
                <w:w w:val="98"/>
              </w:rPr>
              <w:t>NONPRODUCTIVE</w:t>
            </w:r>
          </w:p>
        </w:tc>
        <w:tc>
          <w:tcPr>
            <w:tcW w:w="12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jc w:val="center"/>
              <w:spacing w:after="0" w:line="240" w:lineRule="exact"/>
              <w:rPr>
                <w:sz w:val="20"/>
                <w:szCs w:val="20"/>
                <w:color w:val="auto"/>
              </w:rPr>
            </w:pPr>
            <w:r>
              <w:rPr>
                <w:rFonts w:ascii="Arial" w:cs="Arial" w:eastAsia="Arial" w:hAnsi="Arial"/>
                <w:sz w:val="21"/>
                <w:szCs w:val="21"/>
                <w:color w:val="auto"/>
                <w:w w:val="96"/>
              </w:rPr>
              <w:t>TRIR / VPR</w:t>
            </w:r>
          </w:p>
        </w:tc>
        <w:tc>
          <w:tcPr>
            <w:tcW w:w="12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jc w:val="center"/>
              <w:spacing w:after="0" w:line="240" w:lineRule="exact"/>
              <w:rPr>
                <w:sz w:val="20"/>
                <w:szCs w:val="20"/>
                <w:color w:val="auto"/>
              </w:rPr>
            </w:pPr>
            <w:r>
              <w:rPr>
                <w:rFonts w:ascii="Arial" w:cs="Arial" w:eastAsia="Arial" w:hAnsi="Arial"/>
                <w:sz w:val="21"/>
                <w:szCs w:val="21"/>
                <w:b w:val="1"/>
                <w:bCs w:val="1"/>
                <w:color w:val="CA0538"/>
              </w:rPr>
              <w:t>QUALITY</w:t>
            </w:r>
          </w:p>
        </w:tc>
        <w:tc>
          <w:tcPr>
            <w:tcW w:w="0" w:type="dxa"/>
            <w:vAlign w:val="bottom"/>
          </w:tcPr>
          <w:p>
            <w:pPr>
              <w:spacing w:after="0"/>
              <w:rPr>
                <w:sz w:val="1"/>
                <w:szCs w:val="1"/>
                <w:color w:val="auto"/>
              </w:rPr>
            </w:pPr>
          </w:p>
        </w:tc>
      </w:tr>
      <w:tr>
        <w:trPr>
          <w:trHeight w:val="240"/>
        </w:trPr>
        <w:tc>
          <w:tcPr>
            <w:tcW w:w="1540" w:type="dxa"/>
            <w:vAlign w:val="bottom"/>
            <w:tcBorders>
              <w:left w:val="single" w:sz="8" w:color="auto"/>
              <w:righ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jc w:val="center"/>
              <w:spacing w:after="0" w:line="240" w:lineRule="exact"/>
              <w:rPr>
                <w:sz w:val="20"/>
                <w:szCs w:val="20"/>
                <w:color w:val="auto"/>
              </w:rPr>
            </w:pPr>
            <w:r>
              <w:rPr>
                <w:rFonts w:ascii="Arial" w:cs="Arial" w:eastAsia="Arial" w:hAnsi="Arial"/>
                <w:sz w:val="21"/>
                <w:szCs w:val="21"/>
                <w:b w:val="1"/>
                <w:bCs w:val="1"/>
                <w:color w:val="CA0538"/>
              </w:rPr>
              <w:t>CASH</w:t>
            </w:r>
          </w:p>
        </w:tc>
        <w:tc>
          <w:tcPr>
            <w:tcW w:w="12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jc w:val="center"/>
              <w:spacing w:after="0" w:line="240" w:lineRule="exact"/>
              <w:rPr>
                <w:sz w:val="20"/>
                <w:szCs w:val="20"/>
                <w:color w:val="auto"/>
              </w:rPr>
            </w:pPr>
            <w:r>
              <w:rPr>
                <w:rFonts w:ascii="Arial" w:cs="Arial" w:eastAsia="Arial" w:hAnsi="Arial"/>
                <w:sz w:val="21"/>
                <w:szCs w:val="21"/>
                <w:color w:val="auto"/>
                <w:w w:val="96"/>
              </w:rPr>
              <w:t>REDUCED</w:t>
            </w:r>
          </w:p>
        </w:tc>
        <w:tc>
          <w:tcPr>
            <w:tcW w:w="12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jc w:val="center"/>
              <w:spacing w:after="0" w:line="240" w:lineRule="exact"/>
              <w:rPr>
                <w:sz w:val="20"/>
                <w:szCs w:val="20"/>
                <w:color w:val="auto"/>
              </w:rPr>
            </w:pPr>
            <w:r>
              <w:rPr>
                <w:rFonts w:ascii="Arial" w:cs="Arial" w:eastAsia="Arial" w:hAnsi="Arial"/>
                <w:sz w:val="21"/>
                <w:szCs w:val="21"/>
                <w:color w:val="auto"/>
                <w:w w:val="98"/>
              </w:rPr>
              <w:t>TIME REDUCED</w:t>
            </w:r>
          </w:p>
        </w:tc>
        <w:tc>
          <w:tcPr>
            <w:tcW w:w="12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1540" w:type="dxa"/>
            <w:vAlign w:val="bottom"/>
            <w:tcBorders>
              <w:left w:val="single" w:sz="8" w:color="auto"/>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21"/>
                <w:szCs w:val="21"/>
                <w:b w:val="1"/>
                <w:bCs w:val="1"/>
                <w:color w:val="CA0538"/>
              </w:rPr>
              <w:t>FLOW</w:t>
            </w:r>
          </w:p>
        </w:tc>
        <w:tc>
          <w:tcPr>
            <w:tcW w:w="12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3"/>
              </w:rPr>
              <w:t>TO 30%</w:t>
            </w:r>
          </w:p>
        </w:tc>
        <w:tc>
          <w:tcPr>
            <w:tcW w:w="12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9"/>
              </w:rPr>
              <w:t>23% YOY</w:t>
            </w:r>
          </w:p>
        </w:tc>
        <w:tc>
          <w:tcPr>
            <w:tcW w:w="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540" w:type="dxa"/>
            <w:vAlign w:val="bottom"/>
            <w:tcBorders>
              <w:left w:val="single" w:sz="8" w:color="auto"/>
              <w:right w:val="single" w:sz="8" w:color="auto"/>
            </w:tcBorders>
            <w:shd w:val="clear" w:color="auto" w:fill="E3E3E3"/>
          </w:tcPr>
          <w:p>
            <w:pPr>
              <w:jc w:val="center"/>
              <w:ind w:left="4"/>
              <w:spacing w:after="0" w:line="198" w:lineRule="exact"/>
              <w:rPr>
                <w:sz w:val="20"/>
                <w:szCs w:val="20"/>
                <w:color w:val="auto"/>
              </w:rPr>
            </w:pPr>
            <w:r>
              <w:rPr>
                <w:rFonts w:ascii="Arial" w:cs="Arial" w:eastAsia="Arial" w:hAnsi="Arial"/>
                <w:sz w:val="18"/>
                <w:szCs w:val="18"/>
                <w:b w:val="1"/>
                <w:bCs w:val="1"/>
                <w:color w:val="auto"/>
                <w:w w:val="99"/>
              </w:rPr>
              <w:t>ABOVE</w:t>
            </w:r>
          </w:p>
        </w:tc>
        <w:tc>
          <w:tcPr>
            <w:tcW w:w="12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E3E3E3"/>
          </w:tcPr>
          <w:p>
            <w:pPr>
              <w:jc w:val="center"/>
              <w:spacing w:after="0" w:line="198" w:lineRule="exact"/>
              <w:rPr>
                <w:sz w:val="20"/>
                <w:szCs w:val="20"/>
                <w:color w:val="auto"/>
              </w:rPr>
            </w:pPr>
            <w:r>
              <w:rPr>
                <w:rFonts w:ascii="Arial" w:cs="Arial" w:eastAsia="Arial" w:hAnsi="Arial"/>
                <w:sz w:val="18"/>
                <w:szCs w:val="18"/>
                <w:color w:val="auto"/>
                <w:w w:val="95"/>
              </w:rPr>
              <w:t>BELOW</w:t>
            </w:r>
          </w:p>
        </w:tc>
        <w:tc>
          <w:tcPr>
            <w:tcW w:w="12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shd w:val="clear" w:color="auto" w:fill="E3E3E3"/>
          </w:tcPr>
          <w:p>
            <w:pPr>
              <w:jc w:val="center"/>
              <w:spacing w:after="0" w:line="198" w:lineRule="exact"/>
              <w:rPr>
                <w:sz w:val="20"/>
                <w:szCs w:val="20"/>
                <w:color w:val="auto"/>
              </w:rPr>
            </w:pPr>
            <w:r>
              <w:rPr>
                <w:rFonts w:ascii="Arial" w:cs="Arial" w:eastAsia="Arial" w:hAnsi="Arial"/>
                <w:sz w:val="18"/>
                <w:szCs w:val="18"/>
                <w:color w:val="auto"/>
                <w:w w:val="98"/>
              </w:rPr>
              <w:t>BELOW</w:t>
            </w:r>
          </w:p>
        </w:tc>
        <w:tc>
          <w:tcPr>
            <w:tcW w:w="12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vMerge w:val="restart"/>
            <w:shd w:val="clear" w:color="auto" w:fill="E3E3E3"/>
          </w:tcPr>
          <w:p>
            <w:pPr>
              <w:jc w:val="center"/>
              <w:spacing w:after="0"/>
              <w:rPr>
                <w:sz w:val="20"/>
                <w:szCs w:val="20"/>
                <w:color w:val="auto"/>
              </w:rPr>
            </w:pPr>
            <w:r>
              <w:rPr>
                <w:rFonts w:ascii="Arial" w:cs="Arial" w:eastAsia="Arial" w:hAnsi="Arial"/>
                <w:sz w:val="18"/>
                <w:szCs w:val="18"/>
                <w:b w:val="1"/>
                <w:bCs w:val="1"/>
                <w:color w:val="auto"/>
                <w:w w:val="97"/>
              </w:rPr>
              <w:t>SUPERIOR</w:t>
            </w:r>
          </w:p>
        </w:tc>
        <w:tc>
          <w:tcPr>
            <w:tcW w:w="12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vMerge w:val="restart"/>
            <w:shd w:val="clear" w:color="auto" w:fill="E3E3E3"/>
          </w:tcPr>
          <w:p>
            <w:pPr>
              <w:jc w:val="center"/>
              <w:spacing w:after="0"/>
              <w:rPr>
                <w:sz w:val="20"/>
                <w:szCs w:val="20"/>
                <w:color w:val="auto"/>
              </w:rPr>
            </w:pPr>
            <w:r>
              <w:rPr>
                <w:rFonts w:ascii="Arial" w:cs="Arial" w:eastAsia="Arial" w:hAnsi="Arial"/>
                <w:sz w:val="18"/>
                <w:szCs w:val="18"/>
                <w:b w:val="1"/>
                <w:bCs w:val="1"/>
                <w:color w:val="auto"/>
                <w:w w:val="97"/>
              </w:rPr>
              <w:t>ABOVE TARGET</w:t>
            </w:r>
          </w:p>
        </w:tc>
        <w:tc>
          <w:tcPr>
            <w:tcW w:w="12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shd w:val="clear" w:color="auto" w:fill="E3E3E3"/>
          </w:tcPr>
          <w:p>
            <w:pPr>
              <w:jc w:val="center"/>
              <w:spacing w:after="0" w:line="198" w:lineRule="exact"/>
              <w:rPr>
                <w:sz w:val="20"/>
                <w:szCs w:val="20"/>
                <w:color w:val="auto"/>
              </w:rPr>
            </w:pPr>
            <w:r>
              <w:rPr>
                <w:rFonts w:ascii="Arial" w:cs="Arial" w:eastAsia="Arial" w:hAnsi="Arial"/>
                <w:sz w:val="18"/>
                <w:szCs w:val="18"/>
                <w:color w:val="auto"/>
                <w:w w:val="98"/>
              </w:rPr>
              <w:t>BELOW</w:t>
            </w:r>
          </w:p>
        </w:tc>
        <w:tc>
          <w:tcPr>
            <w:tcW w:w="12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E3E3E3"/>
          </w:tcPr>
          <w:p>
            <w:pPr>
              <w:jc w:val="center"/>
              <w:spacing w:after="0" w:line="198" w:lineRule="exact"/>
              <w:rPr>
                <w:sz w:val="20"/>
                <w:szCs w:val="20"/>
                <w:color w:val="auto"/>
              </w:rPr>
            </w:pPr>
            <w:r>
              <w:rPr>
                <w:rFonts w:ascii="Arial" w:cs="Arial" w:eastAsia="Arial" w:hAnsi="Arial"/>
                <w:sz w:val="18"/>
                <w:szCs w:val="18"/>
                <w:b w:val="1"/>
                <w:bCs w:val="1"/>
                <w:color w:val="auto"/>
                <w:w w:val="99"/>
              </w:rPr>
              <w:t>THRESHOLD</w:t>
            </w:r>
          </w:p>
        </w:tc>
        <w:tc>
          <w:tcPr>
            <w:tcW w:w="0" w:type="dxa"/>
            <w:vAlign w:val="bottom"/>
          </w:tcPr>
          <w:p>
            <w:pPr>
              <w:spacing w:after="0"/>
              <w:rPr>
                <w:sz w:val="1"/>
                <w:szCs w:val="1"/>
                <w:color w:val="auto"/>
              </w:rPr>
            </w:pPr>
          </w:p>
        </w:tc>
      </w:tr>
      <w:tr>
        <w:trPr>
          <w:trHeight w:val="107"/>
        </w:trPr>
        <w:tc>
          <w:tcPr>
            <w:tcW w:w="1540" w:type="dxa"/>
            <w:vAlign w:val="bottom"/>
            <w:tcBorders>
              <w:left w:val="single" w:sz="8" w:color="auto"/>
              <w:right w:val="single" w:sz="8" w:color="auto"/>
            </w:tcBorders>
            <w:vMerge w:val="restart"/>
            <w:shd w:val="clear" w:color="auto" w:fill="E3E3E3"/>
          </w:tcPr>
          <w:p>
            <w:pPr>
              <w:jc w:val="center"/>
              <w:ind w:left="4"/>
              <w:spacing w:after="0"/>
              <w:rPr>
                <w:sz w:val="20"/>
                <w:szCs w:val="20"/>
                <w:color w:val="auto"/>
              </w:rPr>
            </w:pPr>
            <w:r>
              <w:rPr>
                <w:rFonts w:ascii="Arial" w:cs="Arial" w:eastAsia="Arial" w:hAnsi="Arial"/>
                <w:sz w:val="18"/>
                <w:szCs w:val="18"/>
                <w:b w:val="1"/>
                <w:bCs w:val="1"/>
                <w:color w:val="auto"/>
                <w:w w:val="99"/>
              </w:rPr>
              <w:t>THRESHOLD</w:t>
            </w:r>
          </w:p>
        </w:tc>
        <w:tc>
          <w:tcPr>
            <w:tcW w:w="12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vMerge w:val="restart"/>
            <w:shd w:val="clear" w:color="auto" w:fill="E3E3E3"/>
          </w:tcPr>
          <w:p>
            <w:pPr>
              <w:jc w:val="center"/>
              <w:spacing w:after="0"/>
              <w:rPr>
                <w:sz w:val="20"/>
                <w:szCs w:val="20"/>
                <w:color w:val="auto"/>
              </w:rPr>
            </w:pPr>
            <w:r>
              <w:rPr>
                <w:rFonts w:ascii="Arial" w:cs="Arial" w:eastAsia="Arial" w:hAnsi="Arial"/>
                <w:sz w:val="18"/>
                <w:szCs w:val="18"/>
                <w:color w:val="auto"/>
                <w:w w:val="95"/>
              </w:rPr>
              <w:t>THRESHOLD</w:t>
            </w:r>
          </w:p>
        </w:tc>
        <w:tc>
          <w:tcPr>
            <w:tcW w:w="12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vMerge w:val="restart"/>
            <w:shd w:val="clear" w:color="auto" w:fill="E3E3E3"/>
          </w:tcPr>
          <w:p>
            <w:pPr>
              <w:jc w:val="center"/>
              <w:spacing w:after="0"/>
              <w:rPr>
                <w:sz w:val="20"/>
                <w:szCs w:val="20"/>
                <w:color w:val="auto"/>
              </w:rPr>
            </w:pPr>
            <w:r>
              <w:rPr>
                <w:rFonts w:ascii="Arial" w:cs="Arial" w:eastAsia="Arial" w:hAnsi="Arial"/>
                <w:sz w:val="18"/>
                <w:szCs w:val="18"/>
                <w:color w:val="auto"/>
                <w:w w:val="93"/>
              </w:rPr>
              <w:t>THRESHOLD</w:t>
            </w:r>
          </w:p>
        </w:tc>
        <w:tc>
          <w:tcPr>
            <w:tcW w:w="12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vMerge w:val="continue"/>
            <w:shd w:val="clear" w:color="auto" w:fill="E3E3E3"/>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continue"/>
            <w:shd w:val="clear" w:color="auto" w:fill="E3E3E3"/>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vMerge w:val="restart"/>
            <w:shd w:val="clear" w:color="auto" w:fill="E3E3E3"/>
          </w:tcPr>
          <w:p>
            <w:pPr>
              <w:jc w:val="center"/>
              <w:spacing w:after="0"/>
              <w:rPr>
                <w:sz w:val="20"/>
                <w:szCs w:val="20"/>
                <w:color w:val="auto"/>
              </w:rPr>
            </w:pPr>
            <w:r>
              <w:rPr>
                <w:rFonts w:ascii="Arial" w:cs="Arial" w:eastAsia="Arial" w:hAnsi="Arial"/>
                <w:sz w:val="18"/>
                <w:szCs w:val="18"/>
                <w:color w:val="auto"/>
                <w:w w:val="95"/>
              </w:rPr>
              <w:t>THRESHOLD</w:t>
            </w:r>
          </w:p>
        </w:tc>
        <w:tc>
          <w:tcPr>
            <w:tcW w:w="12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vMerge w:val="restart"/>
            <w:shd w:val="clear" w:color="auto" w:fill="E3E3E3"/>
          </w:tcPr>
          <w:p>
            <w:pPr>
              <w:jc w:val="center"/>
              <w:spacing w:after="0"/>
              <w:rPr>
                <w:sz w:val="20"/>
                <w:szCs w:val="20"/>
                <w:color w:val="auto"/>
              </w:rPr>
            </w:pPr>
            <w:r>
              <w:rPr>
                <w:rFonts w:ascii="Arial" w:cs="Arial" w:eastAsia="Arial" w:hAnsi="Arial"/>
                <w:sz w:val="18"/>
                <w:szCs w:val="18"/>
                <w:b w:val="1"/>
                <w:bCs w:val="1"/>
                <w:color w:val="auto"/>
                <w:w w:val="98"/>
              </w:rPr>
              <w:t>TO SUPERIOR</w:t>
            </w:r>
          </w:p>
        </w:tc>
        <w:tc>
          <w:tcPr>
            <w:tcW w:w="0" w:type="dxa"/>
            <w:vAlign w:val="bottom"/>
          </w:tcPr>
          <w:p>
            <w:pPr>
              <w:spacing w:after="0"/>
              <w:rPr>
                <w:sz w:val="1"/>
                <w:szCs w:val="1"/>
                <w:color w:val="auto"/>
              </w:rPr>
            </w:pPr>
          </w:p>
        </w:tc>
      </w:tr>
      <w:tr>
        <w:trPr>
          <w:trHeight w:val="107"/>
        </w:trPr>
        <w:tc>
          <w:tcPr>
            <w:tcW w:w="1540" w:type="dxa"/>
            <w:vAlign w:val="bottom"/>
            <w:tcBorders>
              <w:left w:val="single" w:sz="8" w:color="auto"/>
              <w:right w:val="single" w:sz="8" w:color="auto"/>
            </w:tcBorders>
            <w:vMerge w:val="continue"/>
            <w:shd w:val="clear" w:color="auto" w:fill="E3E3E3"/>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vMerge w:val="continue"/>
            <w:shd w:val="clear" w:color="auto" w:fill="E3E3E3"/>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vMerge w:val="continue"/>
            <w:shd w:val="clear" w:color="auto" w:fill="E3E3E3"/>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vMerge w:val="restart"/>
            <w:shd w:val="clear" w:color="auto" w:fill="E3E3E3"/>
          </w:tcPr>
          <w:p>
            <w:pPr>
              <w:jc w:val="center"/>
              <w:spacing w:after="0"/>
              <w:rPr>
                <w:sz w:val="20"/>
                <w:szCs w:val="20"/>
                <w:color w:val="auto"/>
              </w:rPr>
            </w:pPr>
            <w:r>
              <w:rPr>
                <w:rFonts w:ascii="Arial" w:cs="Arial" w:eastAsia="Arial" w:hAnsi="Arial"/>
                <w:sz w:val="18"/>
                <w:szCs w:val="18"/>
                <w:b w:val="1"/>
                <w:bCs w:val="1"/>
                <w:color w:val="auto"/>
              </w:rPr>
              <w:t>ACHIEVEMENT</w:t>
            </w:r>
          </w:p>
        </w:tc>
        <w:tc>
          <w:tcPr>
            <w:tcW w:w="12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restart"/>
            <w:shd w:val="clear" w:color="auto" w:fill="E3E3E3"/>
          </w:tcPr>
          <w:p>
            <w:pPr>
              <w:jc w:val="center"/>
              <w:spacing w:after="0"/>
              <w:rPr>
                <w:sz w:val="20"/>
                <w:szCs w:val="20"/>
                <w:color w:val="auto"/>
              </w:rPr>
            </w:pPr>
            <w:r>
              <w:rPr>
                <w:rFonts w:ascii="Arial" w:cs="Arial" w:eastAsia="Arial" w:hAnsi="Arial"/>
                <w:sz w:val="18"/>
                <w:szCs w:val="18"/>
                <w:b w:val="1"/>
                <w:bCs w:val="1"/>
                <w:color w:val="auto"/>
              </w:rPr>
              <w:t>ACHIEVEMENT</w:t>
            </w:r>
          </w:p>
        </w:tc>
        <w:tc>
          <w:tcPr>
            <w:tcW w:w="12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vMerge w:val="continue"/>
            <w:shd w:val="clear" w:color="auto" w:fill="E3E3E3"/>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vMerge w:val="continue"/>
            <w:shd w:val="clear" w:color="auto" w:fill="E3E3E3"/>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1540" w:type="dxa"/>
            <w:vAlign w:val="bottom"/>
            <w:tcBorders>
              <w:left w:val="single" w:sz="8" w:color="auto"/>
              <w:bottom w:val="single" w:sz="8" w:color="auto"/>
              <w:right w:val="single" w:sz="8" w:color="auto"/>
            </w:tcBorders>
            <w:shd w:val="clear" w:color="auto" w:fill="E3E3E3"/>
          </w:tcPr>
          <w:p>
            <w:pPr>
              <w:jc w:val="center"/>
              <w:ind w:left="4"/>
              <w:spacing w:after="0"/>
              <w:rPr>
                <w:sz w:val="20"/>
                <w:szCs w:val="20"/>
                <w:color w:val="auto"/>
              </w:rPr>
            </w:pPr>
            <w:r>
              <w:rPr>
                <w:rFonts w:ascii="Arial" w:cs="Arial" w:eastAsia="Arial" w:hAnsi="Arial"/>
                <w:sz w:val="18"/>
                <w:szCs w:val="18"/>
                <w:b w:val="1"/>
                <w:bCs w:val="1"/>
                <w:color w:val="auto"/>
              </w:rPr>
              <w:t>ACHIEVEMENT</w:t>
            </w:r>
          </w:p>
        </w:tc>
        <w:tc>
          <w:tcPr>
            <w:tcW w:w="120" w:type="dxa"/>
            <w:vAlign w:val="bottom"/>
            <w:tcBorders>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8"/>
                <w:szCs w:val="18"/>
                <w:color w:val="auto"/>
                <w:w w:val="99"/>
              </w:rPr>
              <w:t>ACHIEVEMENT</w:t>
            </w:r>
          </w:p>
        </w:tc>
        <w:tc>
          <w:tcPr>
            <w:tcW w:w="120" w:type="dxa"/>
            <w:vAlign w:val="bottom"/>
            <w:tcBorders>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8"/>
                <w:szCs w:val="18"/>
                <w:color w:val="auto"/>
                <w:w w:val="98"/>
              </w:rPr>
              <w:t>ACHIEVEMENT</w:t>
            </w:r>
          </w:p>
        </w:tc>
        <w:tc>
          <w:tcPr>
            <w:tcW w:w="120" w:type="dxa"/>
            <w:vAlign w:val="bottom"/>
            <w:tcBorders>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vMerge w:val="continue"/>
            <w:shd w:val="clear" w:color="auto" w:fill="E3E3E3"/>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vMerge w:val="continue"/>
            <w:shd w:val="clear" w:color="auto" w:fill="E3E3E3"/>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8"/>
                <w:szCs w:val="18"/>
                <w:color w:val="auto"/>
                <w:w w:val="98"/>
              </w:rPr>
              <w:t>ACHIEVEMENT</w:t>
            </w:r>
          </w:p>
        </w:tc>
        <w:tc>
          <w:tcPr>
            <w:tcW w:w="120" w:type="dxa"/>
            <w:vAlign w:val="bottom"/>
            <w:tcBorders>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Arial" w:cs="Arial" w:eastAsia="Arial" w:hAnsi="Arial"/>
                <w:sz w:val="18"/>
                <w:szCs w:val="18"/>
                <w:b w:val="1"/>
                <w:bCs w:val="1"/>
                <w:color w:val="auto"/>
              </w:rPr>
              <w:t>ACHIEVEMENT</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60"/>
        <w:spacing w:after="0"/>
        <w:rPr>
          <w:sz w:val="20"/>
          <w:szCs w:val="20"/>
          <w:color w:val="auto"/>
        </w:rPr>
      </w:pPr>
      <w:r>
        <w:rPr>
          <w:rFonts w:ascii="Arial" w:cs="Arial" w:eastAsia="Arial" w:hAnsi="Arial"/>
          <w:sz w:val="37"/>
          <w:szCs w:val="37"/>
          <w:color w:val="3C3C3B"/>
        </w:rPr>
        <w:t>Principal Elements of Compensation</w:t>
      </w:r>
    </w:p>
    <w:p>
      <w:pPr>
        <w:spacing w:after="0" w:line="125" w:lineRule="exact"/>
        <w:rPr>
          <w:sz w:val="20"/>
          <w:szCs w:val="20"/>
          <w:color w:val="auto"/>
        </w:rPr>
      </w:pPr>
    </w:p>
    <w:p>
      <w:pPr>
        <w:ind w:left="260" w:right="1140"/>
        <w:spacing w:after="0" w:line="270" w:lineRule="auto"/>
        <w:rPr>
          <w:sz w:val="20"/>
          <w:szCs w:val="20"/>
          <w:color w:val="auto"/>
        </w:rPr>
      </w:pPr>
      <w:r>
        <w:rPr>
          <w:rFonts w:ascii="Arial" w:cs="Arial" w:eastAsia="Arial" w:hAnsi="Arial"/>
          <w:sz w:val="18"/>
          <w:szCs w:val="18"/>
          <w:color w:val="auto"/>
        </w:rPr>
        <w:t>Our compensation program is designed to reward our NEOs for the achievement of strategic and operational goals, and emphasizes long-term performance for Weatherford’s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4632960</wp:posOffset>
            </wp:positionH>
            <wp:positionV relativeFrom="paragraph">
              <wp:posOffset>120015</wp:posOffset>
            </wp:positionV>
            <wp:extent cx="8255" cy="280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280035"/>
                    </a:xfrm>
                    <a:prstGeom prst="rect">
                      <a:avLst/>
                    </a:prstGeom>
                    <a:noFill/>
                  </pic:spPr>
                </pic:pic>
              </a:graphicData>
            </a:graphic>
          </wp:anchor>
        </w:drawing>
      </w:r>
    </w:p>
    <w:p>
      <w:pPr>
        <w:spacing w:after="0" w:line="158"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20" w:type="dxa"/>
            <w:vAlign w:val="bottom"/>
            <w:shd w:val="clear" w:color="auto" w:fill="3C3C3B"/>
          </w:tcPr>
          <w:p>
            <w:pPr>
              <w:spacing w:after="0"/>
              <w:rPr>
                <w:sz w:val="17"/>
                <w:szCs w:val="17"/>
                <w:color w:val="auto"/>
              </w:rPr>
            </w:pPr>
          </w:p>
        </w:tc>
        <w:tc>
          <w:tcPr>
            <w:tcW w:w="1560" w:type="dxa"/>
            <w:vAlign w:val="bottom"/>
            <w:shd w:val="clear" w:color="auto" w:fill="3C3C3B"/>
          </w:tcPr>
          <w:p>
            <w:pPr>
              <w:ind w:left="240"/>
              <w:spacing w:after="0"/>
              <w:rPr>
                <w:sz w:val="20"/>
                <w:szCs w:val="20"/>
                <w:color w:val="auto"/>
              </w:rPr>
            </w:pPr>
            <w:r>
              <w:rPr>
                <w:rFonts w:ascii="Arial" w:cs="Arial" w:eastAsia="Arial" w:hAnsi="Arial"/>
                <w:sz w:val="18"/>
                <w:szCs w:val="18"/>
                <w:b w:val="1"/>
                <w:bCs w:val="1"/>
                <w:color w:val="FFFFFF"/>
              </w:rPr>
              <w:t>Base</w:t>
            </w:r>
          </w:p>
        </w:tc>
        <w:tc>
          <w:tcPr>
            <w:tcW w:w="2260" w:type="dxa"/>
            <w:vAlign w:val="bottom"/>
            <w:tcBorders>
              <w:right w:val="single" w:sz="8" w:color="3C3C3B"/>
            </w:tcBorders>
            <w:shd w:val="clear" w:color="auto" w:fill="3C3C3B"/>
          </w:tcPr>
          <w:p>
            <w:pPr>
              <w:ind w:left="380"/>
              <w:spacing w:after="0"/>
              <w:rPr>
                <w:sz w:val="20"/>
                <w:szCs w:val="20"/>
                <w:color w:val="auto"/>
              </w:rPr>
            </w:pPr>
            <w:r>
              <w:rPr>
                <w:rFonts w:ascii="Arial" w:cs="Arial" w:eastAsia="Arial" w:hAnsi="Arial"/>
                <w:sz w:val="18"/>
                <w:szCs w:val="18"/>
                <w:b w:val="1"/>
                <w:bCs w:val="1"/>
                <w:color w:val="FFFFFF"/>
              </w:rPr>
              <w:t>Annual</w:t>
            </w:r>
          </w:p>
        </w:tc>
        <w:tc>
          <w:tcPr>
            <w:tcW w:w="1820" w:type="dxa"/>
            <w:vAlign w:val="bottom"/>
            <w:shd w:val="clear" w:color="auto" w:fill="3C3C3B"/>
          </w:tcPr>
          <w:p>
            <w:pPr>
              <w:ind w:left="80"/>
              <w:spacing w:after="0"/>
              <w:rPr>
                <w:sz w:val="20"/>
                <w:szCs w:val="20"/>
                <w:color w:val="auto"/>
              </w:rPr>
            </w:pPr>
            <w:r>
              <w:rPr>
                <w:rFonts w:ascii="Arial" w:cs="Arial" w:eastAsia="Arial" w:hAnsi="Arial"/>
                <w:sz w:val="18"/>
                <w:szCs w:val="18"/>
                <w:b w:val="1"/>
                <w:bCs w:val="1"/>
                <w:color w:val="FFFFFF"/>
              </w:rPr>
              <w:t>Performance</w:t>
            </w:r>
          </w:p>
        </w:tc>
        <w:tc>
          <w:tcPr>
            <w:tcW w:w="2020" w:type="dxa"/>
            <w:vAlign w:val="bottom"/>
            <w:shd w:val="clear" w:color="auto" w:fill="3C3C3B"/>
          </w:tcPr>
          <w:p>
            <w:pPr>
              <w:spacing w:after="0"/>
              <w:rPr>
                <w:sz w:val="17"/>
                <w:szCs w:val="17"/>
                <w:color w:val="auto"/>
              </w:rPr>
            </w:pPr>
          </w:p>
        </w:tc>
      </w:tr>
      <w:tr>
        <w:trPr>
          <w:trHeight w:val="245"/>
        </w:trPr>
        <w:tc>
          <w:tcPr>
            <w:tcW w:w="20" w:type="dxa"/>
            <w:vAlign w:val="bottom"/>
          </w:tcPr>
          <w:p>
            <w:pPr>
              <w:spacing w:after="0"/>
              <w:rPr>
                <w:sz w:val="21"/>
                <w:szCs w:val="21"/>
                <w:color w:val="auto"/>
              </w:rPr>
            </w:pPr>
          </w:p>
        </w:tc>
        <w:tc>
          <w:tcPr>
            <w:tcW w:w="3220" w:type="dxa"/>
            <w:vAlign w:val="bottom"/>
            <w:shd w:val="clear" w:color="auto" w:fill="3C3C3B"/>
          </w:tcPr>
          <w:p>
            <w:pPr>
              <w:spacing w:after="0"/>
              <w:rPr>
                <w:sz w:val="21"/>
                <w:szCs w:val="21"/>
                <w:color w:val="auto"/>
              </w:rPr>
            </w:pPr>
          </w:p>
        </w:tc>
        <w:tc>
          <w:tcPr>
            <w:tcW w:w="1560" w:type="dxa"/>
            <w:vAlign w:val="bottom"/>
            <w:shd w:val="clear" w:color="auto" w:fill="3C3C3B"/>
          </w:tcPr>
          <w:p>
            <w:pPr>
              <w:ind w:left="240"/>
              <w:spacing w:after="0"/>
              <w:rPr>
                <w:sz w:val="20"/>
                <w:szCs w:val="20"/>
                <w:color w:val="auto"/>
              </w:rPr>
            </w:pPr>
            <w:r>
              <w:rPr>
                <w:rFonts w:ascii="Arial" w:cs="Arial" w:eastAsia="Arial" w:hAnsi="Arial"/>
                <w:sz w:val="18"/>
                <w:szCs w:val="18"/>
                <w:b w:val="1"/>
                <w:bCs w:val="1"/>
                <w:color w:val="FFFFFF"/>
              </w:rPr>
              <w:t>Salary</w:t>
            </w:r>
          </w:p>
        </w:tc>
        <w:tc>
          <w:tcPr>
            <w:tcW w:w="2260" w:type="dxa"/>
            <w:vAlign w:val="bottom"/>
            <w:tcBorders>
              <w:right w:val="single" w:sz="8" w:color="3C3C3B"/>
            </w:tcBorders>
            <w:shd w:val="clear" w:color="auto" w:fill="3C3C3B"/>
          </w:tcPr>
          <w:p>
            <w:pPr>
              <w:ind w:left="380"/>
              <w:spacing w:after="0"/>
              <w:rPr>
                <w:sz w:val="20"/>
                <w:szCs w:val="20"/>
                <w:color w:val="auto"/>
              </w:rPr>
            </w:pPr>
            <w:r>
              <w:rPr>
                <w:rFonts w:ascii="Arial" w:cs="Arial" w:eastAsia="Arial" w:hAnsi="Arial"/>
                <w:sz w:val="18"/>
                <w:szCs w:val="18"/>
                <w:b w:val="1"/>
                <w:bCs w:val="1"/>
                <w:color w:val="FFFFFF"/>
              </w:rPr>
              <w:t>Incentive</w:t>
            </w:r>
          </w:p>
        </w:tc>
        <w:tc>
          <w:tcPr>
            <w:tcW w:w="1820" w:type="dxa"/>
            <w:vAlign w:val="bottom"/>
            <w:shd w:val="clear" w:color="auto" w:fill="3C3C3B"/>
          </w:tcPr>
          <w:p>
            <w:pPr>
              <w:ind w:left="80"/>
              <w:spacing w:after="0"/>
              <w:rPr>
                <w:sz w:val="20"/>
                <w:szCs w:val="20"/>
                <w:color w:val="auto"/>
              </w:rPr>
            </w:pPr>
            <w:r>
              <w:rPr>
                <w:rFonts w:ascii="Arial" w:cs="Arial" w:eastAsia="Arial" w:hAnsi="Arial"/>
                <w:sz w:val="18"/>
                <w:szCs w:val="18"/>
                <w:b w:val="1"/>
                <w:bCs w:val="1"/>
                <w:color w:val="FFFFFF"/>
              </w:rPr>
              <w:t>Share Units</w:t>
            </w:r>
          </w:p>
        </w:tc>
        <w:tc>
          <w:tcPr>
            <w:tcW w:w="2020" w:type="dxa"/>
            <w:vAlign w:val="bottom"/>
            <w:shd w:val="clear" w:color="auto" w:fill="3C3C3B"/>
          </w:tcPr>
          <w:p>
            <w:pPr>
              <w:ind w:left="80"/>
              <w:spacing w:after="0"/>
              <w:rPr>
                <w:sz w:val="20"/>
                <w:szCs w:val="20"/>
                <w:color w:val="auto"/>
              </w:rPr>
            </w:pPr>
            <w:r>
              <w:rPr>
                <w:rFonts w:ascii="Arial" w:cs="Arial" w:eastAsia="Arial" w:hAnsi="Arial"/>
                <w:sz w:val="18"/>
                <w:szCs w:val="18"/>
                <w:b w:val="1"/>
                <w:bCs w:val="1"/>
                <w:color w:val="FFFFFF"/>
                <w:w w:val="99"/>
              </w:rPr>
              <w:t>Restricted Share Units</w:t>
            </w:r>
          </w:p>
        </w:tc>
      </w:tr>
      <w:tr>
        <w:trPr>
          <w:trHeight w:val="294"/>
        </w:trPr>
        <w:tc>
          <w:tcPr>
            <w:tcW w:w="20" w:type="dxa"/>
            <w:vAlign w:val="bottom"/>
            <w:tcBorders>
              <w:bottom w:val="single" w:sz="8" w:color="C6C6C6"/>
            </w:tcBorders>
          </w:tcPr>
          <w:p>
            <w:pPr>
              <w:spacing w:after="0"/>
              <w:rPr>
                <w:sz w:val="24"/>
                <w:szCs w:val="24"/>
                <w:color w:val="auto"/>
              </w:rPr>
            </w:pPr>
          </w:p>
        </w:tc>
        <w:tc>
          <w:tcPr>
            <w:tcW w:w="3220" w:type="dxa"/>
            <w:vAlign w:val="bottom"/>
            <w:tcBorders>
              <w:bottom w:val="single" w:sz="8" w:color="C6C6C6"/>
            </w:tcBorders>
          </w:tcPr>
          <w:p>
            <w:pPr>
              <w:spacing w:after="0"/>
              <w:rPr>
                <w:sz w:val="20"/>
                <w:szCs w:val="20"/>
                <w:color w:val="auto"/>
              </w:rPr>
            </w:pPr>
            <w:r>
              <w:rPr>
                <w:rFonts w:ascii="Arial" w:cs="Arial" w:eastAsia="Arial" w:hAnsi="Arial"/>
                <w:sz w:val="25"/>
                <w:szCs w:val="25"/>
                <w:b w:val="1"/>
                <w:bCs w:val="1"/>
                <w:color w:val="6B6B6B"/>
              </w:rPr>
              <w:t>DELIVERY</w:t>
            </w:r>
          </w:p>
        </w:tc>
        <w:tc>
          <w:tcPr>
            <w:tcW w:w="1560" w:type="dxa"/>
            <w:vAlign w:val="bottom"/>
            <w:tcBorders>
              <w:bottom w:val="single" w:sz="8" w:color="C6C6C6"/>
            </w:tcBorders>
          </w:tcPr>
          <w:p>
            <w:pPr>
              <w:spacing w:after="0"/>
              <w:rPr>
                <w:sz w:val="24"/>
                <w:szCs w:val="24"/>
                <w:color w:val="auto"/>
              </w:rPr>
            </w:pPr>
          </w:p>
        </w:tc>
        <w:tc>
          <w:tcPr>
            <w:tcW w:w="2260" w:type="dxa"/>
            <w:vAlign w:val="bottom"/>
            <w:tcBorders>
              <w:bottom w:val="single" w:sz="8" w:color="C6C6C6"/>
              <w:right w:val="single" w:sz="8" w:color="C6C6C6"/>
            </w:tcBorders>
          </w:tcPr>
          <w:p>
            <w:pPr>
              <w:ind w:left="260"/>
              <w:spacing w:after="0"/>
              <w:rPr>
                <w:sz w:val="20"/>
                <w:szCs w:val="20"/>
                <w:color w:val="auto"/>
              </w:rPr>
            </w:pPr>
            <w:r>
              <w:rPr>
                <w:rFonts w:ascii="Arial" w:cs="Arial" w:eastAsia="Arial" w:hAnsi="Arial"/>
                <w:sz w:val="18"/>
                <w:szCs w:val="18"/>
                <w:b w:val="1"/>
                <w:bCs w:val="1"/>
                <w:color w:val="auto"/>
              </w:rPr>
              <w:t>Cash</w:t>
            </w:r>
          </w:p>
        </w:tc>
        <w:tc>
          <w:tcPr>
            <w:tcW w:w="3840" w:type="dxa"/>
            <w:vAlign w:val="bottom"/>
            <w:tcBorders>
              <w:bottom w:val="single" w:sz="8" w:color="C6C6C6"/>
            </w:tcBorders>
            <w:gridSpan w:val="2"/>
          </w:tcPr>
          <w:p>
            <w:pPr>
              <w:ind w:left="1700"/>
              <w:spacing w:after="0"/>
              <w:rPr>
                <w:sz w:val="20"/>
                <w:szCs w:val="20"/>
                <w:color w:val="auto"/>
              </w:rPr>
            </w:pPr>
            <w:r>
              <w:rPr>
                <w:rFonts w:ascii="Arial" w:cs="Arial" w:eastAsia="Arial" w:hAnsi="Arial"/>
                <w:sz w:val="18"/>
                <w:szCs w:val="18"/>
                <w:b w:val="1"/>
                <w:bCs w:val="1"/>
                <w:color w:val="auto"/>
              </w:rPr>
              <w:t>Equity</w:t>
            </w:r>
          </w:p>
        </w:tc>
      </w:tr>
      <w:tr>
        <w:trPr>
          <w:trHeight w:val="220"/>
        </w:trPr>
        <w:tc>
          <w:tcPr>
            <w:tcW w:w="3240" w:type="dxa"/>
            <w:vAlign w:val="bottom"/>
            <w:gridSpan w:val="2"/>
          </w:tcPr>
          <w:p>
            <w:pPr>
              <w:spacing w:after="0" w:line="220" w:lineRule="exact"/>
              <w:rPr>
                <w:sz w:val="20"/>
                <w:szCs w:val="20"/>
                <w:color w:val="auto"/>
              </w:rPr>
            </w:pPr>
            <w:r>
              <w:rPr>
                <w:rFonts w:ascii="Arial" w:cs="Arial" w:eastAsia="Arial" w:hAnsi="Arial"/>
                <w:sz w:val="25"/>
                <w:szCs w:val="25"/>
                <w:b w:val="1"/>
                <w:bCs w:val="1"/>
                <w:color w:val="6B6B6B"/>
              </w:rPr>
              <w:t>OBJECTIVE</w:t>
            </w:r>
          </w:p>
        </w:tc>
        <w:tc>
          <w:tcPr>
            <w:tcW w:w="1560" w:type="dxa"/>
            <w:vAlign w:val="bottom"/>
          </w:tcPr>
          <w:p>
            <w:pPr>
              <w:ind w:left="240"/>
              <w:spacing w:after="0"/>
              <w:rPr>
                <w:sz w:val="20"/>
                <w:szCs w:val="20"/>
                <w:color w:val="auto"/>
              </w:rPr>
            </w:pPr>
            <w:r>
              <w:rPr>
                <w:rFonts w:ascii="Arial" w:cs="Arial" w:eastAsia="Arial" w:hAnsi="Arial"/>
                <w:sz w:val="18"/>
                <w:szCs w:val="18"/>
                <w:color w:val="575756"/>
                <w:w w:val="99"/>
              </w:rPr>
              <w:t>Provides regular</w:t>
            </w:r>
          </w:p>
        </w:tc>
        <w:tc>
          <w:tcPr>
            <w:tcW w:w="2260" w:type="dxa"/>
            <w:vAlign w:val="bottom"/>
            <w:tcBorders>
              <w:right w:val="single" w:sz="8" w:color="C6C6C6"/>
            </w:tcBorders>
          </w:tcPr>
          <w:p>
            <w:pPr>
              <w:ind w:left="380"/>
              <w:spacing w:after="0"/>
              <w:rPr>
                <w:sz w:val="20"/>
                <w:szCs w:val="20"/>
                <w:color w:val="auto"/>
              </w:rPr>
            </w:pPr>
            <w:r>
              <w:rPr>
                <w:rFonts w:ascii="Arial" w:cs="Arial" w:eastAsia="Arial" w:hAnsi="Arial"/>
                <w:sz w:val="18"/>
                <w:szCs w:val="18"/>
                <w:color w:val="575756"/>
                <w:w w:val="92"/>
              </w:rPr>
              <w:t>Rewards contributions to</w:t>
            </w:r>
          </w:p>
        </w:tc>
        <w:tc>
          <w:tcPr>
            <w:tcW w:w="1820" w:type="dxa"/>
            <w:vAlign w:val="bottom"/>
          </w:tcPr>
          <w:p>
            <w:pPr>
              <w:ind w:left="80"/>
              <w:spacing w:after="0"/>
              <w:rPr>
                <w:sz w:val="20"/>
                <w:szCs w:val="20"/>
                <w:color w:val="auto"/>
              </w:rPr>
            </w:pPr>
            <w:r>
              <w:rPr>
                <w:rFonts w:ascii="Arial" w:cs="Arial" w:eastAsia="Arial" w:hAnsi="Arial"/>
                <w:sz w:val="18"/>
                <w:szCs w:val="18"/>
                <w:color w:val="575756"/>
                <w:w w:val="92"/>
              </w:rPr>
              <w:t>Correlates realized pay</w:t>
            </w:r>
          </w:p>
        </w:tc>
        <w:tc>
          <w:tcPr>
            <w:tcW w:w="2020" w:type="dxa"/>
            <w:vAlign w:val="bottom"/>
          </w:tcPr>
          <w:p>
            <w:pPr>
              <w:ind w:left="80"/>
              <w:spacing w:after="0"/>
              <w:rPr>
                <w:sz w:val="20"/>
                <w:szCs w:val="20"/>
                <w:color w:val="auto"/>
              </w:rPr>
            </w:pPr>
            <w:r>
              <w:rPr>
                <w:rFonts w:ascii="Arial" w:cs="Arial" w:eastAsia="Arial" w:hAnsi="Arial"/>
                <w:sz w:val="18"/>
                <w:szCs w:val="18"/>
                <w:color w:val="575756"/>
                <w:w w:val="94"/>
              </w:rPr>
              <w:t>Incentivizes management</w:t>
            </w:r>
          </w:p>
        </w:tc>
      </w:tr>
      <w:tr>
        <w:trPr>
          <w:trHeight w:val="186"/>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820" w:type="dxa"/>
            <w:vAlign w:val="bottom"/>
            <w:tcBorders>
              <w:right w:val="single" w:sz="8" w:color="C6C6C6"/>
            </w:tcBorders>
            <w:gridSpan w:val="2"/>
          </w:tcPr>
          <w:p>
            <w:pPr>
              <w:ind w:left="240"/>
              <w:spacing w:after="0" w:line="186" w:lineRule="exact"/>
              <w:rPr>
                <w:sz w:val="20"/>
                <w:szCs w:val="20"/>
                <w:color w:val="auto"/>
              </w:rPr>
            </w:pPr>
            <w:r>
              <w:rPr>
                <w:rFonts w:ascii="Arial" w:cs="Arial" w:eastAsia="Arial" w:hAnsi="Arial"/>
                <w:sz w:val="18"/>
                <w:szCs w:val="18"/>
                <w:color w:val="575756"/>
              </w:rPr>
              <w:t>income at reasonable,  annual targets and</w:t>
            </w:r>
          </w:p>
        </w:tc>
        <w:tc>
          <w:tcPr>
            <w:tcW w:w="1820" w:type="dxa"/>
            <w:vAlign w:val="bottom"/>
          </w:tcPr>
          <w:p>
            <w:pPr>
              <w:ind w:left="80"/>
              <w:spacing w:after="0" w:line="186" w:lineRule="exact"/>
              <w:rPr>
                <w:sz w:val="20"/>
                <w:szCs w:val="20"/>
                <w:color w:val="auto"/>
              </w:rPr>
            </w:pPr>
            <w:r>
              <w:rPr>
                <w:rFonts w:ascii="Arial" w:cs="Arial" w:eastAsia="Arial" w:hAnsi="Arial"/>
                <w:sz w:val="18"/>
                <w:szCs w:val="18"/>
                <w:color w:val="575756"/>
              </w:rPr>
              <w:t>with increases in</w:t>
            </w:r>
          </w:p>
        </w:tc>
        <w:tc>
          <w:tcPr>
            <w:tcW w:w="2020" w:type="dxa"/>
            <w:vAlign w:val="bottom"/>
          </w:tcPr>
          <w:p>
            <w:pPr>
              <w:ind w:left="80"/>
              <w:spacing w:after="0" w:line="186" w:lineRule="exact"/>
              <w:rPr>
                <w:sz w:val="20"/>
                <w:szCs w:val="20"/>
                <w:color w:val="auto"/>
              </w:rPr>
            </w:pPr>
            <w:r>
              <w:rPr>
                <w:rFonts w:ascii="Arial" w:cs="Arial" w:eastAsia="Arial" w:hAnsi="Arial"/>
                <w:sz w:val="18"/>
                <w:szCs w:val="18"/>
                <w:color w:val="575756"/>
                <w:w w:val="94"/>
              </w:rPr>
              <w:t>contributions to long-term</w:t>
            </w:r>
          </w:p>
        </w:tc>
      </w:tr>
      <w:tr>
        <w:trPr>
          <w:trHeight w:val="214"/>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560" w:type="dxa"/>
            <w:vAlign w:val="bottom"/>
          </w:tcPr>
          <w:p>
            <w:pPr>
              <w:ind w:left="240"/>
              <w:spacing w:after="0"/>
              <w:rPr>
                <w:sz w:val="20"/>
                <w:szCs w:val="20"/>
                <w:color w:val="auto"/>
              </w:rPr>
            </w:pPr>
            <w:r>
              <w:rPr>
                <w:rFonts w:ascii="Arial" w:cs="Arial" w:eastAsia="Arial" w:hAnsi="Arial"/>
                <w:sz w:val="18"/>
                <w:szCs w:val="18"/>
                <w:color w:val="575756"/>
                <w:w w:val="91"/>
              </w:rPr>
              <w:t>competitive levels</w:t>
            </w:r>
          </w:p>
        </w:tc>
        <w:tc>
          <w:tcPr>
            <w:tcW w:w="2260" w:type="dxa"/>
            <w:vAlign w:val="bottom"/>
            <w:tcBorders>
              <w:right w:val="single" w:sz="8" w:color="C6C6C6"/>
            </w:tcBorders>
          </w:tcPr>
          <w:p>
            <w:pPr>
              <w:ind w:left="380"/>
              <w:spacing w:after="0"/>
              <w:rPr>
                <w:sz w:val="20"/>
                <w:szCs w:val="20"/>
                <w:color w:val="auto"/>
              </w:rPr>
            </w:pPr>
            <w:r>
              <w:rPr>
                <w:rFonts w:ascii="Arial" w:cs="Arial" w:eastAsia="Arial" w:hAnsi="Arial"/>
                <w:sz w:val="18"/>
                <w:szCs w:val="18"/>
                <w:color w:val="575756"/>
              </w:rPr>
              <w:t>individual performance</w:t>
            </w:r>
          </w:p>
        </w:tc>
        <w:tc>
          <w:tcPr>
            <w:tcW w:w="1820" w:type="dxa"/>
            <w:vAlign w:val="bottom"/>
          </w:tcPr>
          <w:p>
            <w:pPr>
              <w:ind w:left="80"/>
              <w:spacing w:after="0"/>
              <w:rPr>
                <w:sz w:val="20"/>
                <w:szCs w:val="20"/>
                <w:color w:val="auto"/>
              </w:rPr>
            </w:pPr>
            <w:r>
              <w:rPr>
                <w:rFonts w:ascii="Arial" w:cs="Arial" w:eastAsia="Arial" w:hAnsi="Arial"/>
                <w:sz w:val="18"/>
                <w:szCs w:val="18"/>
                <w:color w:val="575756"/>
              </w:rPr>
              <w:t>shareholder value</w:t>
            </w:r>
          </w:p>
        </w:tc>
        <w:tc>
          <w:tcPr>
            <w:tcW w:w="2020" w:type="dxa"/>
            <w:vAlign w:val="bottom"/>
          </w:tcPr>
          <w:p>
            <w:pPr>
              <w:ind w:left="80"/>
              <w:spacing w:after="0"/>
              <w:rPr>
                <w:sz w:val="20"/>
                <w:szCs w:val="20"/>
                <w:color w:val="auto"/>
              </w:rPr>
            </w:pPr>
            <w:r>
              <w:rPr>
                <w:rFonts w:ascii="Arial" w:cs="Arial" w:eastAsia="Arial" w:hAnsi="Arial"/>
                <w:sz w:val="18"/>
                <w:szCs w:val="18"/>
                <w:color w:val="575756"/>
                <w:w w:val="97"/>
              </w:rPr>
              <w:t>increases in shareholder</w:t>
            </w:r>
          </w:p>
        </w:tc>
      </w:tr>
      <w:tr>
        <w:trPr>
          <w:trHeight w:val="227"/>
        </w:trPr>
        <w:tc>
          <w:tcPr>
            <w:tcW w:w="20" w:type="dxa"/>
            <w:vAlign w:val="bottom"/>
          </w:tcPr>
          <w:p>
            <w:pPr>
              <w:spacing w:after="0"/>
              <w:rPr>
                <w:sz w:val="19"/>
                <w:szCs w:val="19"/>
                <w:color w:val="auto"/>
              </w:rPr>
            </w:pPr>
          </w:p>
        </w:tc>
        <w:tc>
          <w:tcPr>
            <w:tcW w:w="3220" w:type="dxa"/>
            <w:vAlign w:val="bottom"/>
            <w:tcBorders>
              <w:bottom w:val="single" w:sz="8" w:color="C6C6C6"/>
            </w:tcBorders>
          </w:tcPr>
          <w:p>
            <w:pPr>
              <w:spacing w:after="0"/>
              <w:rPr>
                <w:sz w:val="19"/>
                <w:szCs w:val="19"/>
                <w:color w:val="auto"/>
              </w:rPr>
            </w:pPr>
          </w:p>
        </w:tc>
        <w:tc>
          <w:tcPr>
            <w:tcW w:w="1560" w:type="dxa"/>
            <w:vAlign w:val="bottom"/>
            <w:tcBorders>
              <w:bottom w:val="single" w:sz="8" w:color="C6C6C6"/>
            </w:tcBorders>
          </w:tcPr>
          <w:p>
            <w:pPr>
              <w:spacing w:after="0"/>
              <w:rPr>
                <w:sz w:val="19"/>
                <w:szCs w:val="19"/>
                <w:color w:val="auto"/>
              </w:rPr>
            </w:pPr>
          </w:p>
        </w:tc>
        <w:tc>
          <w:tcPr>
            <w:tcW w:w="2260" w:type="dxa"/>
            <w:vAlign w:val="bottom"/>
            <w:tcBorders>
              <w:bottom w:val="single" w:sz="8" w:color="C6C6C6"/>
              <w:right w:val="single" w:sz="8" w:color="C6C6C6"/>
            </w:tcBorders>
          </w:tcPr>
          <w:p>
            <w:pPr>
              <w:spacing w:after="0"/>
              <w:rPr>
                <w:sz w:val="19"/>
                <w:szCs w:val="19"/>
                <w:color w:val="auto"/>
              </w:rPr>
            </w:pPr>
          </w:p>
        </w:tc>
        <w:tc>
          <w:tcPr>
            <w:tcW w:w="1820" w:type="dxa"/>
            <w:vAlign w:val="bottom"/>
            <w:tcBorders>
              <w:bottom w:val="single" w:sz="8" w:color="C6C6C6"/>
            </w:tcBorders>
          </w:tcPr>
          <w:p>
            <w:pPr>
              <w:spacing w:after="0"/>
              <w:rPr>
                <w:sz w:val="19"/>
                <w:szCs w:val="19"/>
                <w:color w:val="auto"/>
              </w:rPr>
            </w:pPr>
          </w:p>
        </w:tc>
        <w:tc>
          <w:tcPr>
            <w:tcW w:w="2020" w:type="dxa"/>
            <w:vAlign w:val="bottom"/>
            <w:tcBorders>
              <w:bottom w:val="single" w:sz="8" w:color="C6C6C6"/>
            </w:tcBorders>
          </w:tcPr>
          <w:p>
            <w:pPr>
              <w:ind w:left="80"/>
              <w:spacing w:after="0"/>
              <w:rPr>
                <w:sz w:val="20"/>
                <w:szCs w:val="20"/>
                <w:color w:val="auto"/>
              </w:rPr>
            </w:pPr>
            <w:r>
              <w:rPr>
                <w:rFonts w:ascii="Arial" w:cs="Arial" w:eastAsia="Arial" w:hAnsi="Arial"/>
                <w:sz w:val="18"/>
                <w:szCs w:val="18"/>
                <w:color w:val="575756"/>
              </w:rPr>
              <w:t>value</w:t>
            </w:r>
          </w:p>
        </w:tc>
      </w:tr>
      <w:tr>
        <w:trPr>
          <w:trHeight w:val="288"/>
        </w:trPr>
        <w:tc>
          <w:tcPr>
            <w:tcW w:w="20" w:type="dxa"/>
            <w:vAlign w:val="bottom"/>
            <w:tcBorders>
              <w:bottom w:val="single" w:sz="8" w:color="C6C6C6"/>
            </w:tcBorders>
          </w:tcPr>
          <w:p>
            <w:pPr>
              <w:spacing w:after="0"/>
              <w:rPr>
                <w:sz w:val="24"/>
                <w:szCs w:val="24"/>
                <w:color w:val="auto"/>
              </w:rPr>
            </w:pPr>
          </w:p>
        </w:tc>
        <w:tc>
          <w:tcPr>
            <w:tcW w:w="3220" w:type="dxa"/>
            <w:vAlign w:val="bottom"/>
            <w:tcBorders>
              <w:bottom w:val="single" w:sz="8" w:color="C6C6C6"/>
            </w:tcBorders>
          </w:tcPr>
          <w:p>
            <w:pPr>
              <w:spacing w:after="0"/>
              <w:rPr>
                <w:sz w:val="20"/>
                <w:szCs w:val="20"/>
                <w:color w:val="auto"/>
              </w:rPr>
            </w:pPr>
            <w:r>
              <w:rPr>
                <w:rFonts w:ascii="Arial" w:cs="Arial" w:eastAsia="Arial" w:hAnsi="Arial"/>
                <w:sz w:val="25"/>
                <w:szCs w:val="25"/>
                <w:b w:val="1"/>
                <w:bCs w:val="1"/>
                <w:color w:val="6B6B6B"/>
              </w:rPr>
              <w:t>PERFORMANCE PERIOD</w:t>
            </w:r>
          </w:p>
        </w:tc>
        <w:tc>
          <w:tcPr>
            <w:tcW w:w="1560" w:type="dxa"/>
            <w:vAlign w:val="bottom"/>
            <w:tcBorders>
              <w:bottom w:val="single" w:sz="8" w:color="C6C6C6"/>
            </w:tcBorders>
          </w:tcPr>
          <w:p>
            <w:pPr>
              <w:spacing w:after="0"/>
              <w:rPr>
                <w:sz w:val="24"/>
                <w:szCs w:val="24"/>
                <w:color w:val="auto"/>
              </w:rPr>
            </w:pPr>
          </w:p>
        </w:tc>
        <w:tc>
          <w:tcPr>
            <w:tcW w:w="2260" w:type="dxa"/>
            <w:vAlign w:val="bottom"/>
            <w:tcBorders>
              <w:bottom w:val="single" w:sz="8" w:color="C6C6C6"/>
              <w:right w:val="single" w:sz="8" w:color="C6C6C6"/>
            </w:tcBorders>
          </w:tcPr>
          <w:p>
            <w:pPr>
              <w:ind w:left="20"/>
              <w:spacing w:after="0"/>
              <w:rPr>
                <w:sz w:val="20"/>
                <w:szCs w:val="20"/>
                <w:color w:val="auto"/>
              </w:rPr>
            </w:pPr>
            <w:r>
              <w:rPr>
                <w:rFonts w:ascii="Arial" w:cs="Arial" w:eastAsia="Arial" w:hAnsi="Arial"/>
                <w:sz w:val="18"/>
                <w:szCs w:val="18"/>
                <w:b w:val="1"/>
                <w:bCs w:val="1"/>
                <w:color w:val="575756"/>
              </w:rPr>
              <w:t>Short-term</w:t>
            </w:r>
          </w:p>
        </w:tc>
        <w:tc>
          <w:tcPr>
            <w:tcW w:w="3840" w:type="dxa"/>
            <w:vAlign w:val="bottom"/>
            <w:tcBorders>
              <w:bottom w:val="single" w:sz="8" w:color="C6C6C6"/>
            </w:tcBorders>
            <w:gridSpan w:val="2"/>
          </w:tcPr>
          <w:p>
            <w:pPr>
              <w:ind w:left="1560"/>
              <w:spacing w:after="0"/>
              <w:rPr>
                <w:sz w:val="20"/>
                <w:szCs w:val="20"/>
                <w:color w:val="auto"/>
              </w:rPr>
            </w:pPr>
            <w:r>
              <w:rPr>
                <w:rFonts w:ascii="Arial" w:cs="Arial" w:eastAsia="Arial" w:hAnsi="Arial"/>
                <w:sz w:val="18"/>
                <w:szCs w:val="18"/>
                <w:b w:val="1"/>
                <w:bCs w:val="1"/>
                <w:color w:val="575756"/>
              </w:rPr>
              <w:t>Long-term</w:t>
            </w:r>
          </w:p>
        </w:tc>
      </w:tr>
      <w:tr>
        <w:trPr>
          <w:trHeight w:val="287"/>
        </w:trPr>
        <w:tc>
          <w:tcPr>
            <w:tcW w:w="3240" w:type="dxa"/>
            <w:vAlign w:val="bottom"/>
            <w:tcBorders>
              <w:bottom w:val="single" w:sz="8" w:color="C6C6C6"/>
            </w:tcBorders>
            <w:gridSpan w:val="2"/>
          </w:tcPr>
          <w:p>
            <w:pPr>
              <w:spacing w:after="0"/>
              <w:rPr>
                <w:sz w:val="20"/>
                <w:szCs w:val="20"/>
                <w:color w:val="auto"/>
              </w:rPr>
            </w:pPr>
            <w:r>
              <w:rPr>
                <w:rFonts w:ascii="Arial" w:cs="Arial" w:eastAsia="Arial" w:hAnsi="Arial"/>
                <w:sz w:val="25"/>
                <w:szCs w:val="25"/>
                <w:b w:val="1"/>
                <w:bCs w:val="1"/>
                <w:color w:val="6B6B6B"/>
              </w:rPr>
              <w:t>2017 RESULTS</w:t>
            </w:r>
          </w:p>
        </w:tc>
        <w:tc>
          <w:tcPr>
            <w:tcW w:w="3820" w:type="dxa"/>
            <w:vAlign w:val="bottom"/>
            <w:tcBorders>
              <w:bottom w:val="single" w:sz="8" w:color="C6C6C6"/>
              <w:right w:val="single" w:sz="8" w:color="C6C6C6"/>
            </w:tcBorders>
            <w:gridSpan w:val="2"/>
          </w:tcPr>
          <w:p>
            <w:pPr>
              <w:ind w:left="240"/>
              <w:spacing w:after="0"/>
              <w:rPr>
                <w:sz w:val="20"/>
                <w:szCs w:val="20"/>
                <w:color w:val="auto"/>
              </w:rPr>
            </w:pPr>
            <w:r>
              <w:rPr>
                <w:rFonts w:ascii="Arial" w:cs="Arial" w:eastAsia="Arial" w:hAnsi="Arial"/>
                <w:sz w:val="18"/>
                <w:szCs w:val="18"/>
                <w:b w:val="1"/>
                <w:bCs w:val="1"/>
                <w:color w:val="575756"/>
                <w:w w:val="97"/>
              </w:rPr>
              <w:t>Market-based salaries; limited cash bonus</w:t>
            </w:r>
          </w:p>
        </w:tc>
        <w:tc>
          <w:tcPr>
            <w:tcW w:w="1820" w:type="dxa"/>
            <w:vAlign w:val="bottom"/>
            <w:tcBorders>
              <w:bottom w:val="single" w:sz="8" w:color="C6C6C6"/>
            </w:tcBorders>
          </w:tcPr>
          <w:p>
            <w:pPr>
              <w:ind w:left="80"/>
              <w:spacing w:after="0"/>
              <w:rPr>
                <w:sz w:val="20"/>
                <w:szCs w:val="20"/>
                <w:color w:val="auto"/>
              </w:rPr>
            </w:pPr>
            <w:r>
              <w:rPr>
                <w:rFonts w:ascii="Arial" w:cs="Arial" w:eastAsia="Arial" w:hAnsi="Arial"/>
                <w:sz w:val="18"/>
                <w:szCs w:val="18"/>
                <w:b w:val="1"/>
                <w:bCs w:val="1"/>
                <w:color w:val="575756"/>
                <w:w w:val="90"/>
              </w:rPr>
              <w:t>No vesting; no payout</w:t>
            </w:r>
          </w:p>
        </w:tc>
        <w:tc>
          <w:tcPr>
            <w:tcW w:w="2020" w:type="dxa"/>
            <w:vAlign w:val="bottom"/>
            <w:tcBorders>
              <w:bottom w:val="single" w:sz="8" w:color="C6C6C6"/>
            </w:tcBorders>
          </w:tcPr>
          <w:p>
            <w:pPr>
              <w:ind w:left="80"/>
              <w:spacing w:after="0"/>
              <w:rPr>
                <w:sz w:val="20"/>
                <w:szCs w:val="20"/>
                <w:color w:val="auto"/>
              </w:rPr>
            </w:pPr>
            <w:r>
              <w:rPr>
                <w:rFonts w:ascii="Arial" w:cs="Arial" w:eastAsia="Arial" w:hAnsi="Arial"/>
                <w:sz w:val="18"/>
                <w:szCs w:val="18"/>
                <w:b w:val="1"/>
                <w:bCs w:val="1"/>
                <w:color w:val="575756"/>
              </w:rPr>
              <w:t>Awarded</w:t>
            </w:r>
          </w:p>
        </w:tc>
      </w:tr>
    </w:tbl>
    <w:p>
      <w:pPr>
        <w:spacing w:after="0" w:line="142" w:lineRule="exact"/>
        <w:rPr>
          <w:sz w:val="20"/>
          <w:szCs w:val="20"/>
          <w:color w:val="auto"/>
        </w:rPr>
      </w:pPr>
    </w:p>
    <w:p>
      <w:pPr>
        <w:ind w:left="260"/>
        <w:spacing w:after="0"/>
        <w:rPr>
          <w:sz w:val="20"/>
          <w:szCs w:val="20"/>
          <w:color w:val="auto"/>
        </w:rPr>
      </w:pPr>
      <w:r>
        <w:rPr>
          <w:rFonts w:ascii="Arial" w:cs="Arial" w:eastAsia="Arial" w:hAnsi="Arial"/>
          <w:sz w:val="37"/>
          <w:szCs w:val="37"/>
          <w:color w:val="3C3C3B"/>
        </w:rPr>
        <w:t>Target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97155</wp:posOffset>
            </wp:positionV>
            <wp:extent cx="6917690" cy="20262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17690" cy="2026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14"/>
          <w:szCs w:val="14"/>
          <w:color w:val="878787"/>
        </w:rPr>
        <w:t xml:space="preserve">Weatherford International plc – 2018 Proxy Statement </w:t>
      </w:r>
      <w:r>
        <w:rPr>
          <w:rFonts w:ascii="Arial" w:cs="Arial" w:eastAsia="Arial" w:hAnsi="Arial"/>
          <w:sz w:val="14"/>
          <w:szCs w:val="14"/>
          <w:b w:val="1"/>
          <w:bCs w:val="1"/>
          <w:color w:val="878787"/>
        </w:rPr>
        <w:t>X</w:t>
      </w:r>
    </w:p>
    <w:p>
      <w:pPr>
        <w:sectPr>
          <w:pgSz w:w="11900" w:h="16838" w:orient="portrait"/>
          <w:cols w:equalWidth="0" w:num="1">
            <w:col w:w="11500"/>
          </w:cols>
          <w:pgMar w:left="240" w:top="455" w:right="1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0" w:right="2920"/>
        <w:spacing w:after="0" w:line="258" w:lineRule="auto"/>
        <w:rPr>
          <w:sz w:val="20"/>
          <w:szCs w:val="20"/>
          <w:color w:val="auto"/>
        </w:rPr>
      </w:pPr>
      <w:r>
        <w:rPr>
          <w:rFonts w:ascii="Arial" w:cs="Arial" w:eastAsia="Arial" w:hAnsi="Arial"/>
          <w:sz w:val="64"/>
          <w:szCs w:val="64"/>
          <w:b w:val="1"/>
          <w:bCs w:val="1"/>
          <w:color w:val="C3002F"/>
        </w:rPr>
        <w:t>NOTICE OF 2018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-1484630</wp:posOffset>
            </wp:positionV>
            <wp:extent cx="822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65"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C3002F"/>
        </w:rPr>
        <w:t>April 27, 2018</w:t>
      </w:r>
    </w:p>
    <w:p>
      <w:pPr>
        <w:spacing w:after="0" w:line="2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10:00 a.m. (Central European Time)</w:t>
      </w:r>
    </w:p>
    <w:p>
      <w:pPr>
        <w:ind w:left="260"/>
        <w:spacing w:after="0"/>
        <w:rPr>
          <w:sz w:val="20"/>
          <w:szCs w:val="20"/>
          <w:color w:val="auto"/>
        </w:rPr>
      </w:pPr>
      <w:r>
        <w:rPr>
          <w:rFonts w:ascii="Arial" w:cs="Arial" w:eastAsia="Arial" w:hAnsi="Arial"/>
          <w:sz w:val="18"/>
          <w:szCs w:val="18"/>
          <w:b w:val="1"/>
          <w:bCs w:val="1"/>
          <w:i w:val="1"/>
          <w:iCs w:val="1"/>
          <w:color w:val="auto"/>
        </w:rPr>
        <w:t>Lorzensaal Cham, Cham, Canton of Zug, Switzerland</w:t>
      </w:r>
    </w:p>
    <w:p>
      <w:pPr>
        <w:spacing w:after="0" w:line="282"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C3002F"/>
        </w:rPr>
        <w:t>AGENDA</w:t>
      </w:r>
    </w:p>
    <w:p>
      <w:pPr>
        <w:spacing w:after="0" w:line="276" w:lineRule="exact"/>
        <w:rPr>
          <w:sz w:val="20"/>
          <w:szCs w:val="20"/>
          <w:color w:val="auto"/>
        </w:rPr>
      </w:pPr>
    </w:p>
    <w:p>
      <w:pPr>
        <w:ind w:left="480" w:right="160" w:hanging="213"/>
        <w:spacing w:after="0" w:line="246" w:lineRule="auto"/>
        <w:tabs>
          <w:tab w:leader="none" w:pos="480" w:val="left"/>
        </w:tabs>
        <w:numPr>
          <w:ilvl w:val="0"/>
          <w:numId w:val="11"/>
        </w:numPr>
        <w:rPr>
          <w:rFonts w:ascii="Arial" w:cs="Arial" w:eastAsia="Arial" w:hAnsi="Arial"/>
          <w:sz w:val="14"/>
          <w:szCs w:val="14"/>
          <w:color w:val="C3002F"/>
        </w:rPr>
      </w:pPr>
      <w:r>
        <w:rPr>
          <w:rFonts w:ascii="Arial" w:cs="Arial" w:eastAsia="Arial" w:hAnsi="Arial"/>
          <w:sz w:val="14"/>
          <w:szCs w:val="14"/>
          <w:color w:val="auto"/>
        </w:rPr>
        <w:t>By separate resolutions, to elect the ten individuals named in this Proxy Statement as directors of Weatherford International plc (the “Company”) until the 2019 annual general meeting of shareholders of the Company (the “2019 AGM”) or, in each case, until his or her earlier death, retirement, resignation or removal from the position of director.</w:t>
      </w:r>
    </w:p>
    <w:p>
      <w:pPr>
        <w:spacing w:after="0" w:line="199" w:lineRule="exact"/>
        <w:rPr>
          <w:rFonts w:ascii="Arial" w:cs="Arial" w:eastAsia="Arial" w:hAnsi="Arial"/>
          <w:sz w:val="14"/>
          <w:szCs w:val="14"/>
          <w:color w:val="C3002F"/>
        </w:rPr>
      </w:pPr>
    </w:p>
    <w:p>
      <w:pPr>
        <w:ind w:left="480" w:right="20" w:hanging="213"/>
        <w:spacing w:after="0" w:line="246" w:lineRule="auto"/>
        <w:tabs>
          <w:tab w:leader="none" w:pos="480" w:val="left"/>
        </w:tabs>
        <w:numPr>
          <w:ilvl w:val="0"/>
          <w:numId w:val="11"/>
        </w:numPr>
        <w:rPr>
          <w:rFonts w:ascii="Arial" w:cs="Arial" w:eastAsia="Arial" w:hAnsi="Arial"/>
          <w:sz w:val="14"/>
          <w:szCs w:val="14"/>
          <w:color w:val="C3002F"/>
        </w:rPr>
      </w:pPr>
      <w:r>
        <w:rPr>
          <w:rFonts w:ascii="Arial" w:cs="Arial" w:eastAsia="Arial" w:hAnsi="Arial"/>
          <w:sz w:val="14"/>
          <w:szCs w:val="14"/>
          <w:color w:val="auto"/>
        </w:rPr>
        <w:t>To ratify the appointment of KPMG LLP as the Company’s independent registered public accounting firm and auditor for the financial year ending December 31, 2018 and KPMG Chartered Accountants, Dublin, as the Company’s statutory auditor under Irish law to hold office until the close of the 2019 AGM, and to authorize the Board of Directors of the Company, acting through the Audit Committee, to determine the auditors’ remuneration.</w:t>
      </w:r>
    </w:p>
    <w:p>
      <w:pPr>
        <w:spacing w:after="0" w:line="199" w:lineRule="exact"/>
        <w:rPr>
          <w:rFonts w:ascii="Arial" w:cs="Arial" w:eastAsia="Arial" w:hAnsi="Arial"/>
          <w:sz w:val="14"/>
          <w:szCs w:val="14"/>
          <w:color w:val="C3002F"/>
        </w:rPr>
      </w:pPr>
    </w:p>
    <w:p>
      <w:pPr>
        <w:ind w:left="480" w:hanging="213"/>
        <w:spacing w:after="0"/>
        <w:tabs>
          <w:tab w:leader="none" w:pos="480" w:val="left"/>
        </w:tabs>
        <w:numPr>
          <w:ilvl w:val="0"/>
          <w:numId w:val="11"/>
        </w:numPr>
        <w:rPr>
          <w:rFonts w:ascii="Arial" w:cs="Arial" w:eastAsia="Arial" w:hAnsi="Arial"/>
          <w:sz w:val="14"/>
          <w:szCs w:val="14"/>
          <w:color w:val="C3002F"/>
        </w:rPr>
      </w:pPr>
      <w:r>
        <w:rPr>
          <w:rFonts w:ascii="Arial" w:cs="Arial" w:eastAsia="Arial" w:hAnsi="Arial"/>
          <w:sz w:val="14"/>
          <w:szCs w:val="14"/>
          <w:color w:val="auto"/>
        </w:rPr>
        <w:t>To approve, in an advisory vote, the compensation of our named executive officers.</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foregoing items, including the votes required in respect of each, are set forth and more fully described in the accompanying Proxy Statement.</w:t>
      </w:r>
    </w:p>
    <w:p>
      <w:pPr>
        <w:spacing w:after="0" w:line="282"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C3002F"/>
        </w:rPr>
        <w:t>RECORD DATE</w:t>
      </w:r>
    </w:p>
    <w:p>
      <w:pPr>
        <w:spacing w:after="0" w:line="25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March 2, 2018</w:t>
      </w:r>
    </w:p>
    <w:p>
      <w:pPr>
        <w:spacing w:after="0" w:line="282"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C3002F"/>
        </w:rPr>
        <w:t>VOTING</w:t>
      </w:r>
    </w:p>
    <w:p>
      <w:pPr>
        <w:spacing w:after="0" w:line="250" w:lineRule="exact"/>
        <w:rPr>
          <w:sz w:val="20"/>
          <w:szCs w:val="20"/>
          <w:color w:val="auto"/>
        </w:rPr>
      </w:pPr>
    </w:p>
    <w:p>
      <w:pPr>
        <w:ind w:left="260" w:right="160"/>
        <w:spacing w:after="0" w:line="246" w:lineRule="auto"/>
        <w:rPr>
          <w:sz w:val="20"/>
          <w:szCs w:val="20"/>
          <w:color w:val="auto"/>
        </w:rPr>
      </w:pPr>
      <w:r>
        <w:rPr>
          <w:rFonts w:ascii="Arial" w:cs="Arial" w:eastAsia="Arial" w:hAnsi="Arial"/>
          <w:sz w:val="14"/>
          <w:szCs w:val="14"/>
          <w:color w:val="auto"/>
        </w:rPr>
        <w:t>Only registered shareholders as of the close of business on the record date will be entitled to attend, vote or grant proxies to vote at the Annual General Meeting. Any such registered shareholder may appoint one or more proxies, by any of the means outlined in the Proxy Statement, to attend, speak and vote in his or her place at the Annual General Meeting. A proxy holder need not be a registered shareholder. Proxies must be received by the Voting Deadline set forth in the Proxy Statement.</w:t>
      </w:r>
    </w:p>
    <w:p>
      <w:pPr>
        <w:spacing w:after="0" w:line="269"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C3002F"/>
        </w:rPr>
        <w:t>DISTRIBUTION OF PROXY MATERIALS</w:t>
      </w:r>
    </w:p>
    <w:p>
      <w:pPr>
        <w:spacing w:after="0" w:line="250" w:lineRule="exact"/>
        <w:rPr>
          <w:sz w:val="20"/>
          <w:szCs w:val="20"/>
          <w:color w:val="auto"/>
        </w:rPr>
      </w:pPr>
    </w:p>
    <w:p>
      <w:pPr>
        <w:jc w:val="both"/>
        <w:ind w:left="260" w:right="320"/>
        <w:spacing w:after="0" w:line="243" w:lineRule="auto"/>
        <w:rPr>
          <w:sz w:val="20"/>
          <w:szCs w:val="20"/>
          <w:color w:val="auto"/>
        </w:rPr>
      </w:pPr>
      <w:r>
        <w:rPr>
          <w:rFonts w:ascii="Arial" w:cs="Arial" w:eastAsia="Arial" w:hAnsi="Arial"/>
          <w:sz w:val="14"/>
          <w:szCs w:val="14"/>
          <w:color w:val="auto"/>
        </w:rPr>
        <w:t>This notice, the Proxy Statement (of which this notice forms a part), our Annual Report on Form 10-K, and our Irish Statutory Accounts are available electronically on our website at www.weatherford.com. These materials were mailed or made available to each registered shareholder in our share register as of the record date on or about March 13, 2018. Any shareholder may also obtain a copy of these documents by contacting our U.S. Investor Relations Department at 2000 St. James Place, Houston, Texas 77056 or by telephone at +1 (713) 836-4000.</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C3002F"/>
        </w:rPr>
        <w:t>ANNUAL REPORT AND FINANCIAL STATEMENTS</w:t>
      </w:r>
    </w:p>
    <w:p>
      <w:pPr>
        <w:spacing w:after="0" w:line="250" w:lineRule="exact"/>
        <w:rPr>
          <w:sz w:val="20"/>
          <w:szCs w:val="20"/>
          <w:color w:val="auto"/>
        </w:rPr>
      </w:pPr>
    </w:p>
    <w:p>
      <w:pPr>
        <w:ind w:left="260" w:right="20"/>
        <w:spacing w:after="0" w:line="253" w:lineRule="auto"/>
        <w:rPr>
          <w:sz w:val="20"/>
          <w:szCs w:val="20"/>
          <w:color w:val="auto"/>
        </w:rPr>
      </w:pPr>
      <w:r>
        <w:rPr>
          <w:rFonts w:ascii="Arial" w:cs="Arial" w:eastAsia="Arial" w:hAnsi="Arial"/>
          <w:sz w:val="14"/>
          <w:szCs w:val="14"/>
          <w:color w:val="auto"/>
        </w:rPr>
        <w:t>During the Annual General Meeting the Company’s management will present Weatherford’s Irish Statutory Accounts for the fiscal year ended December 31, 2017, along with related directors’ and auditor’s reports, and review the Company’s affairs.</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March 13, 2018</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4895850</wp:posOffset>
            </wp:positionH>
            <wp:positionV relativeFrom="paragraph">
              <wp:posOffset>22225</wp:posOffset>
            </wp:positionV>
            <wp:extent cx="2195830" cy="398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95830" cy="39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Christina M. Ibrahim</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Vice President, General Counsel,</w:t>
      </w:r>
    </w:p>
    <w:p>
      <w:pPr>
        <w:jc w:val="right"/>
        <w:spacing w:after="0"/>
        <w:rPr>
          <w:sz w:val="20"/>
          <w:szCs w:val="20"/>
          <w:color w:val="auto"/>
        </w:rPr>
      </w:pPr>
      <w:r>
        <w:rPr>
          <w:rFonts w:ascii="Arial" w:cs="Arial" w:eastAsia="Arial" w:hAnsi="Arial"/>
          <w:sz w:val="14"/>
          <w:szCs w:val="14"/>
          <w:i w:val="1"/>
          <w:iCs w:val="1"/>
          <w:color w:val="auto"/>
        </w:rPr>
        <w:t>Chief Compliance Officer and Corporate Secretary</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Important Notice Regarding the Availability of Proxy Materials for the Annual General Meeting to be Held on April 27, 2018</w:t>
      </w:r>
      <w:r>
        <w:rPr>
          <w:rFonts w:ascii="Arial" w:cs="Arial" w:eastAsia="Arial" w:hAnsi="Arial"/>
          <w:sz w:val="14"/>
          <w:szCs w:val="14"/>
          <w:color w:val="auto"/>
        </w:rPr>
        <w:t>: The Proxy Statement of Weatherford</w:t>
      </w:r>
    </w:p>
    <w:p>
      <w:pPr>
        <w:spacing w:after="0" w:line="1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International plc, our 2017 Annual Report and Irish Statutory Accounts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98425</wp:posOffset>
            </wp:positionV>
            <wp:extent cx="69176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60" w:lineRule="exact"/>
        <w:rPr>
          <w:sz w:val="20"/>
          <w:szCs w:val="20"/>
          <w:color w:val="auto"/>
        </w:rPr>
      </w:pPr>
    </w:p>
    <w:p>
      <w:pPr>
        <w:ind w:left="7520"/>
        <w:spacing w:after="0"/>
        <w:rPr>
          <w:sz w:val="20"/>
          <w:szCs w:val="20"/>
          <w:color w:val="auto"/>
        </w:rPr>
      </w:pPr>
      <w:r>
        <w:rPr>
          <w:rFonts w:ascii="Arial" w:cs="Arial" w:eastAsia="Arial" w:hAnsi="Arial"/>
          <w:sz w:val="14"/>
          <w:szCs w:val="14"/>
          <w:color w:val="666666"/>
        </w:rPr>
        <w:t>Weatherford International plc — 2018 Proxy Statement</w:t>
      </w:r>
    </w:p>
    <w:p>
      <w:pPr>
        <w:sectPr>
          <w:pgSz w:w="11900" w:h="16838" w:orient="portrait"/>
          <w:cols w:equalWidth="0" w:num="1">
            <w:col w:w="11160"/>
          </w:cols>
          <w:pgMar w:left="240" w:top="455"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1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left="260"/>
        <w:spacing w:after="0"/>
        <w:rPr>
          <w:sz w:val="20"/>
          <w:szCs w:val="20"/>
          <w:color w:val="auto"/>
        </w:rPr>
      </w:pPr>
      <w:r>
        <w:rPr>
          <w:rFonts w:ascii="Arial" w:cs="Arial" w:eastAsia="Arial" w:hAnsi="Arial"/>
          <w:sz w:val="28"/>
          <w:szCs w:val="2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-203835</wp:posOffset>
            </wp:positionV>
            <wp:extent cx="1695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95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480" w:type="dxa"/>
            <w:vAlign w:val="bottom"/>
            <w:vMerge w:val="restart"/>
          </w:tcPr>
          <w:p>
            <w:pPr>
              <w:jc w:val="right"/>
              <w:ind w:right="6"/>
              <w:spacing w:after="0"/>
              <w:rPr>
                <w:sz w:val="20"/>
                <w:szCs w:val="20"/>
                <w:color w:val="auto"/>
              </w:rPr>
            </w:pPr>
            <w:r>
              <w:rPr>
                <w:rFonts w:ascii="Arial" w:cs="Arial" w:eastAsia="Arial" w:hAnsi="Arial"/>
                <w:sz w:val="43"/>
                <w:szCs w:val="43"/>
                <w:b w:val="1"/>
                <w:bCs w:val="1"/>
                <w:color w:val="auto"/>
              </w:rPr>
              <w:t>01-03</w:t>
            </w:r>
          </w:p>
        </w:tc>
        <w:tc>
          <w:tcPr>
            <w:tcW w:w="2060" w:type="dxa"/>
            <w:vAlign w:val="bottom"/>
            <w:tcBorders>
              <w:bottom w:val="single" w:sz="8" w:color="0000EE"/>
            </w:tcBorders>
            <w:gridSpan w:val="2"/>
          </w:tcPr>
          <w:p>
            <w:pPr>
              <w:spacing w:after="0"/>
              <w:rPr>
                <w:rFonts w:ascii="Arial" w:cs="Arial" w:eastAsia="Arial" w:hAnsi="Arial"/>
                <w:sz w:val="21"/>
                <w:szCs w:val="21"/>
                <w:color w:val="0000EE"/>
                <w:w w:val="98"/>
              </w:rPr>
            </w:pPr>
            <w:hyperlink w:anchor="page15">
              <w:r>
                <w:rPr>
                  <w:rFonts w:ascii="Arial" w:cs="Arial" w:eastAsia="Arial" w:hAnsi="Arial"/>
                  <w:sz w:val="21"/>
                  <w:szCs w:val="21"/>
                  <w:color w:val="0000EE"/>
                  <w:w w:val="98"/>
                </w:rPr>
                <w:t>PROXY STATEMENT</w:t>
              </w:r>
            </w:hyperlink>
          </w:p>
        </w:tc>
        <w:tc>
          <w:tcPr>
            <w:tcW w:w="360" w:type="dxa"/>
            <w:vAlign w:val="bottom"/>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2120" w:type="dxa"/>
            <w:vAlign w:val="bottom"/>
            <w:vMerge w:val="restart"/>
          </w:tcPr>
          <w:p>
            <w:pPr>
              <w:spacing w:after="0"/>
              <w:rPr>
                <w:sz w:val="24"/>
                <w:szCs w:val="24"/>
                <w:color w:val="auto"/>
              </w:rPr>
            </w:pPr>
          </w:p>
        </w:tc>
        <w:tc>
          <w:tcPr>
            <w:tcW w:w="16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480" w:type="dxa"/>
            <w:vAlign w:val="bottom"/>
            <w:vMerge w:val="continue"/>
          </w:tcPr>
          <w:p>
            <w:pPr>
              <w:spacing w:after="0"/>
              <w:rPr>
                <w:sz w:val="16"/>
                <w:szCs w:val="16"/>
                <w:color w:val="auto"/>
              </w:rPr>
            </w:pPr>
          </w:p>
        </w:tc>
        <w:tc>
          <w:tcPr>
            <w:tcW w:w="2060" w:type="dxa"/>
            <w:vAlign w:val="bottom"/>
            <w:gridSpan w:val="2"/>
          </w:tcPr>
          <w:p>
            <w:pPr>
              <w:spacing w:after="0"/>
              <w:rPr>
                <w:sz w:val="16"/>
                <w:szCs w:val="16"/>
                <w:color w:val="auto"/>
              </w:rPr>
            </w:pPr>
          </w:p>
        </w:tc>
        <w:tc>
          <w:tcPr>
            <w:tcW w:w="36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12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480" w:type="dxa"/>
            <w:vAlign w:val="bottom"/>
          </w:tcPr>
          <w:p>
            <w:pPr>
              <w:spacing w:after="0"/>
              <w:rPr>
                <w:sz w:val="14"/>
                <w:szCs w:val="14"/>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6"/>
                <w:szCs w:val="16"/>
                <w:color w:val="auto"/>
              </w:rPr>
              <w:t>1</w:t>
            </w:r>
          </w:p>
        </w:tc>
        <w:tc>
          <w:tcPr>
            <w:tcW w:w="5980" w:type="dxa"/>
            <w:vAlign w:val="bottom"/>
            <w:gridSpan w:val="5"/>
          </w:tcPr>
          <w:p>
            <w:pPr>
              <w:spacing w:after="0" w:line="141" w:lineRule="exact"/>
              <w:rPr>
                <w:rFonts w:ascii="Arial" w:cs="Arial" w:eastAsia="Arial" w:hAnsi="Arial"/>
                <w:sz w:val="16"/>
                <w:szCs w:val="16"/>
                <w:color w:val="0000EE"/>
              </w:rPr>
            </w:pPr>
            <w:hyperlink w:anchor="page15">
              <w:r>
                <w:rPr>
                  <w:rFonts w:ascii="Arial" w:cs="Arial" w:eastAsia="Arial" w:hAnsi="Arial"/>
                  <w:sz w:val="16"/>
                  <w:szCs w:val="16"/>
                  <w:color w:val="0000EE"/>
                </w:rPr>
                <w:t>Meeting and Voting Information</w:t>
              </w:r>
            </w:hyperlink>
          </w:p>
        </w:tc>
        <w:tc>
          <w:tcPr>
            <w:tcW w:w="0" w:type="dxa"/>
            <w:vAlign w:val="bottom"/>
          </w:tcPr>
          <w:p>
            <w:pPr>
              <w:spacing w:after="0"/>
              <w:rPr>
                <w:sz w:val="1"/>
                <w:szCs w:val="1"/>
                <w:color w:val="auto"/>
              </w:rPr>
            </w:pPr>
          </w:p>
        </w:tc>
      </w:tr>
      <w:tr>
        <w:trPr>
          <w:trHeight w:val="140"/>
        </w:trPr>
        <w:tc>
          <w:tcPr>
            <w:tcW w:w="14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780" w:type="dxa"/>
            <w:vAlign w:val="bottom"/>
            <w:tcBorders>
              <w:top w:val="single" w:sz="8" w:color="0000EE"/>
              <w:bottom w:val="single" w:sz="8" w:color="auto"/>
            </w:tcBorders>
          </w:tcPr>
          <w:p>
            <w:pPr>
              <w:spacing w:after="0"/>
              <w:rPr>
                <w:sz w:val="12"/>
                <w:szCs w:val="12"/>
                <w:color w:val="auto"/>
              </w:rPr>
            </w:pPr>
          </w:p>
        </w:tc>
        <w:tc>
          <w:tcPr>
            <w:tcW w:w="360" w:type="dxa"/>
            <w:vAlign w:val="bottom"/>
            <w:tcBorders>
              <w:top w:val="single" w:sz="8" w:color="0000EE"/>
              <w:bottom w:val="single" w:sz="8" w:color="auto"/>
            </w:tcBorders>
          </w:tcPr>
          <w:p>
            <w:pPr>
              <w:spacing w:after="0"/>
              <w:rPr>
                <w:sz w:val="12"/>
                <w:szCs w:val="12"/>
                <w:color w:val="auto"/>
              </w:rPr>
            </w:pPr>
          </w:p>
        </w:tc>
        <w:tc>
          <w:tcPr>
            <w:tcW w:w="80" w:type="dxa"/>
            <w:vAlign w:val="bottom"/>
            <w:tcBorders>
              <w:top w:val="single" w:sz="8" w:color="0000EE"/>
              <w:bottom w:val="single" w:sz="8" w:color="auto"/>
            </w:tcBorders>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1480" w:type="dxa"/>
            <w:vAlign w:val="bottom"/>
            <w:vMerge w:val="restart"/>
          </w:tcPr>
          <w:p>
            <w:pPr>
              <w:jc w:val="right"/>
              <w:ind w:right="6"/>
              <w:spacing w:after="0"/>
              <w:rPr>
                <w:sz w:val="20"/>
                <w:szCs w:val="20"/>
                <w:color w:val="auto"/>
              </w:rPr>
            </w:pPr>
            <w:r>
              <w:rPr>
                <w:rFonts w:ascii="Arial" w:cs="Arial" w:eastAsia="Arial" w:hAnsi="Arial"/>
                <w:sz w:val="43"/>
                <w:szCs w:val="43"/>
                <w:b w:val="1"/>
                <w:bCs w:val="1"/>
                <w:color w:val="auto"/>
              </w:rPr>
              <w:t>04-15</w:t>
            </w:r>
          </w:p>
        </w:tc>
        <w:tc>
          <w:tcPr>
            <w:tcW w:w="6260" w:type="dxa"/>
            <w:vAlign w:val="bottom"/>
            <w:gridSpan w:val="6"/>
          </w:tcPr>
          <w:p>
            <w:pPr>
              <w:spacing w:after="0"/>
              <w:rPr>
                <w:rFonts w:ascii="Arial" w:cs="Arial" w:eastAsia="Arial" w:hAnsi="Arial"/>
                <w:sz w:val="21"/>
                <w:szCs w:val="21"/>
                <w:color w:val="0000EE"/>
              </w:rPr>
            </w:pPr>
            <w:hyperlink w:anchor="page18">
              <w:r>
                <w:rPr>
                  <w:rFonts w:ascii="Arial" w:cs="Arial" w:eastAsia="Arial" w:hAnsi="Arial"/>
                  <w:sz w:val="21"/>
                  <w:szCs w:val="21"/>
                  <w:color w:val="0000EE"/>
                </w:rPr>
                <w:t>AGENDA ITEM 1 – ELECTION OF DIRECTORS</w:t>
              </w:r>
            </w:hyperlink>
          </w:p>
        </w:tc>
        <w:tc>
          <w:tcPr>
            <w:tcW w:w="0" w:type="dxa"/>
            <w:vAlign w:val="bottom"/>
          </w:tcPr>
          <w:p>
            <w:pPr>
              <w:spacing w:after="0"/>
              <w:rPr>
                <w:sz w:val="1"/>
                <w:szCs w:val="1"/>
                <w:color w:val="auto"/>
              </w:rPr>
            </w:pPr>
          </w:p>
        </w:tc>
      </w:tr>
      <w:tr>
        <w:trPr>
          <w:trHeight w:val="207"/>
        </w:trPr>
        <w:tc>
          <w:tcPr>
            <w:tcW w:w="1480" w:type="dxa"/>
            <w:vAlign w:val="bottom"/>
            <w:vMerge w:val="continue"/>
          </w:tcPr>
          <w:p>
            <w:pPr>
              <w:spacing w:after="0"/>
              <w:rPr>
                <w:sz w:val="17"/>
                <w:szCs w:val="17"/>
                <w:color w:val="auto"/>
              </w:rPr>
            </w:pPr>
          </w:p>
        </w:tc>
        <w:tc>
          <w:tcPr>
            <w:tcW w:w="280" w:type="dxa"/>
            <w:vAlign w:val="bottom"/>
            <w:tcBorders>
              <w:top w:val="single" w:sz="8" w:color="0000EE"/>
            </w:tcBorders>
          </w:tcPr>
          <w:p>
            <w:pPr>
              <w:jc w:val="right"/>
              <w:spacing w:after="0" w:line="194" w:lineRule="exact"/>
              <w:rPr>
                <w:sz w:val="20"/>
                <w:szCs w:val="20"/>
                <w:color w:val="auto"/>
              </w:rPr>
            </w:pPr>
            <w:r>
              <w:rPr>
                <w:rFonts w:ascii="Arial" w:cs="Arial" w:eastAsia="Arial" w:hAnsi="Arial"/>
                <w:sz w:val="18"/>
                <w:szCs w:val="18"/>
                <w:color w:val="auto"/>
              </w:rPr>
              <w:t>5</w:t>
            </w:r>
          </w:p>
        </w:tc>
        <w:tc>
          <w:tcPr>
            <w:tcW w:w="214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99"/>
              </w:rPr>
            </w:pPr>
            <w:hyperlink w:anchor="page19">
              <w:r>
                <w:rPr>
                  <w:rFonts w:ascii="Arial" w:cs="Arial" w:eastAsia="Arial" w:hAnsi="Arial"/>
                  <w:sz w:val="16"/>
                  <w:szCs w:val="16"/>
                  <w:color w:val="0000EE"/>
                  <w:w w:val="99"/>
                </w:rPr>
                <w:t>Director Nominee Biographies</w:t>
              </w:r>
            </w:hyperlink>
          </w:p>
        </w:tc>
        <w:tc>
          <w:tcPr>
            <w:tcW w:w="2200" w:type="dxa"/>
            <w:vAlign w:val="bottom"/>
            <w:tcBorders>
              <w:top w:val="single" w:sz="8" w:color="0000EE"/>
            </w:tcBorders>
            <w:gridSpan w:val="2"/>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-2179320</wp:posOffset>
            </wp:positionH>
            <wp:positionV relativeFrom="paragraph">
              <wp:posOffset>-1414780</wp:posOffset>
            </wp:positionV>
            <wp:extent cx="72904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-880745</wp:posOffset>
            </wp:positionV>
            <wp:extent cx="49250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25060" cy="8255"/>
                    </a:xfrm>
                    <a:prstGeom prst="rect">
                      <a:avLst/>
                    </a:prstGeom>
                    <a:noFill/>
                  </pic:spPr>
                </pic:pic>
              </a:graphicData>
            </a:graphic>
          </wp:anchor>
        </w:drawing>
      </w:r>
    </w:p>
    <w:p>
      <w:pPr>
        <w:spacing w:after="0" w:line="21" w:lineRule="exact"/>
        <w:rPr>
          <w:sz w:val="20"/>
          <w:szCs w:val="20"/>
          <w:color w:val="auto"/>
        </w:rPr>
      </w:pPr>
    </w:p>
    <w:p>
      <w:pPr>
        <w:ind w:left="1760" w:hanging="278"/>
        <w:spacing w:after="0"/>
        <w:tabs>
          <w:tab w:leader="none" w:pos="1760" w:val="left"/>
        </w:tabs>
        <w:numPr>
          <w:ilvl w:val="0"/>
          <w:numId w:val="12"/>
        </w:numPr>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Our Board and Our Board Committees</w:t>
        </w:r>
      </w:hyperlink>
    </w:p>
    <w:p>
      <w:pPr>
        <w:spacing w:after="0" w:line="7" w:lineRule="exact"/>
        <w:rPr>
          <w:rFonts w:ascii="Arial" w:cs="Arial" w:eastAsia="Arial" w:hAnsi="Arial"/>
          <w:sz w:val="16"/>
          <w:szCs w:val="16"/>
          <w:u w:val="single" w:color="auto"/>
          <w:color w:val="0000EE"/>
        </w:rPr>
      </w:pPr>
    </w:p>
    <w:p>
      <w:pPr>
        <w:ind w:left="1760" w:hanging="278"/>
        <w:spacing w:after="0" w:line="223" w:lineRule="auto"/>
        <w:tabs>
          <w:tab w:leader="none" w:pos="1760" w:val="left"/>
        </w:tabs>
        <w:numPr>
          <w:ilvl w:val="0"/>
          <w:numId w:val="12"/>
        </w:numPr>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Corporate Governance Matters</w:t>
        </w:r>
      </w:hyperlink>
    </w:p>
    <w:p>
      <w:pPr>
        <w:ind w:left="1760" w:hanging="278"/>
        <w:spacing w:after="0" w:line="232" w:lineRule="auto"/>
        <w:tabs>
          <w:tab w:leader="none" w:pos="1760" w:val="left"/>
        </w:tabs>
        <w:numPr>
          <w:ilvl w:val="0"/>
          <w:numId w:val="13"/>
        </w:numPr>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Director Compensation</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49250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25060" cy="8255"/>
                    </a:xfrm>
                    <a:prstGeom prst="rect">
                      <a:avLst/>
                    </a:prstGeom>
                    <a:noFill/>
                  </pic:spPr>
                </pic:pic>
              </a:graphicData>
            </a:graphic>
          </wp:anchor>
        </w:drawing>
      </w:r>
    </w:p>
    <w:p>
      <w:pPr>
        <w:spacing w:after="0" w:line="159" w:lineRule="exact"/>
        <w:rPr>
          <w:rFonts w:ascii="Arial" w:cs="Arial" w:eastAsia="Arial" w:hAnsi="Arial"/>
          <w:sz w:val="18"/>
          <w:szCs w:val="18"/>
          <w:color w:val="auto"/>
        </w:rPr>
      </w:pPr>
    </w:p>
    <w:tbl>
      <w:tblPr>
        <w:tblLayout w:type="fixed"/>
        <w:tblInd w:w="180" w:type="dxa"/>
        <w:tblCellMar>
          <w:top w:w="0" w:type="dxa"/>
          <w:left w:w="0" w:type="dxa"/>
          <w:bottom w:w="0" w:type="dxa"/>
          <w:right w:w="0" w:type="dxa"/>
        </w:tblCellMar>
      </w:tblPr>
      <w:tr>
        <w:trPr>
          <w:trHeight w:val="254"/>
        </w:trPr>
        <w:tc>
          <w:tcPr>
            <w:tcW w:w="1300" w:type="dxa"/>
            <w:vAlign w:val="bottom"/>
            <w:vMerge w:val="restart"/>
          </w:tcPr>
          <w:p>
            <w:pPr>
              <w:jc w:val="right"/>
              <w:ind w:right="6"/>
              <w:spacing w:after="0"/>
              <w:rPr>
                <w:sz w:val="20"/>
                <w:szCs w:val="20"/>
                <w:color w:val="auto"/>
              </w:rPr>
            </w:pPr>
            <w:r>
              <w:rPr>
                <w:rFonts w:ascii="Arial" w:cs="Arial" w:eastAsia="Arial" w:hAnsi="Arial"/>
                <w:sz w:val="43"/>
                <w:szCs w:val="43"/>
                <w:b w:val="1"/>
                <w:bCs w:val="1"/>
                <w:color w:val="auto"/>
                <w:w w:val="96"/>
              </w:rPr>
              <w:t>16-17</w:t>
            </w:r>
          </w:p>
        </w:tc>
        <w:tc>
          <w:tcPr>
            <w:tcW w:w="6180" w:type="dxa"/>
            <w:vAlign w:val="bottom"/>
            <w:tcBorders>
              <w:bottom w:val="single" w:sz="8" w:color="0000EE"/>
            </w:tcBorders>
            <w:gridSpan w:val="2"/>
          </w:tcPr>
          <w:p>
            <w:pPr>
              <w:spacing w:after="0"/>
              <w:rPr>
                <w:rFonts w:ascii="Arial" w:cs="Arial" w:eastAsia="Arial" w:hAnsi="Arial"/>
                <w:sz w:val="21"/>
                <w:szCs w:val="21"/>
                <w:color w:val="0000EE"/>
              </w:rPr>
            </w:pPr>
            <w:hyperlink w:anchor="page30">
              <w:r>
                <w:rPr>
                  <w:rFonts w:ascii="Arial" w:cs="Arial" w:eastAsia="Arial" w:hAnsi="Arial"/>
                  <w:sz w:val="21"/>
                  <w:szCs w:val="21"/>
                  <w:color w:val="0000EE"/>
                </w:rPr>
                <w:t>AGENDA ITEM 2 – RATIFY APPOINTMENT OF INDEPENDENT</w:t>
              </w:r>
            </w:hyperlink>
          </w:p>
        </w:tc>
        <w:tc>
          <w:tcPr>
            <w:tcW w:w="0" w:type="dxa"/>
            <w:vAlign w:val="bottom"/>
          </w:tcPr>
          <w:p>
            <w:pPr>
              <w:spacing w:after="0"/>
              <w:rPr>
                <w:sz w:val="1"/>
                <w:szCs w:val="1"/>
                <w:color w:val="auto"/>
              </w:rPr>
            </w:pPr>
          </w:p>
        </w:tc>
      </w:tr>
      <w:tr>
        <w:trPr>
          <w:trHeight w:val="220"/>
        </w:trPr>
        <w:tc>
          <w:tcPr>
            <w:tcW w:w="1300" w:type="dxa"/>
            <w:vAlign w:val="bottom"/>
            <w:vMerge w:val="continue"/>
          </w:tcPr>
          <w:p>
            <w:pPr>
              <w:spacing w:after="0"/>
              <w:rPr>
                <w:sz w:val="19"/>
                <w:szCs w:val="19"/>
                <w:color w:val="auto"/>
              </w:rPr>
            </w:pPr>
          </w:p>
        </w:tc>
        <w:tc>
          <w:tcPr>
            <w:tcW w:w="6180" w:type="dxa"/>
            <w:vAlign w:val="bottom"/>
            <w:gridSpan w:val="2"/>
          </w:tcPr>
          <w:p>
            <w:pPr>
              <w:spacing w:after="0" w:line="220" w:lineRule="exact"/>
              <w:rPr>
                <w:rFonts w:ascii="Arial" w:cs="Arial" w:eastAsia="Arial" w:hAnsi="Arial"/>
                <w:sz w:val="21"/>
                <w:szCs w:val="21"/>
                <w:color w:val="0000EE"/>
              </w:rPr>
            </w:pPr>
            <w:hyperlink w:anchor="page30">
              <w:r>
                <w:rPr>
                  <w:rFonts w:ascii="Arial" w:cs="Arial" w:eastAsia="Arial" w:hAnsi="Arial"/>
                  <w:sz w:val="21"/>
                  <w:szCs w:val="21"/>
                  <w:color w:val="0000EE"/>
                </w:rPr>
                <w:t>AUDITORS AND AUTHORIZE AUDITORS’ REMUNERATION</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8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 w:lineRule="exact"/>
        <w:rPr>
          <w:sz w:val="20"/>
          <w:szCs w:val="20"/>
          <w:color w:val="auto"/>
        </w:rPr>
      </w:pPr>
    </w:p>
    <w:p>
      <w:pPr>
        <w:ind w:left="1760" w:hanging="278"/>
        <w:spacing w:after="0"/>
        <w:tabs>
          <w:tab w:leader="none" w:pos="1760" w:val="left"/>
        </w:tabs>
        <w:numPr>
          <w:ilvl w:val="0"/>
          <w:numId w:val="14"/>
        </w:numPr>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Fees Paid to KPMG</w:t>
        </w:r>
      </w:hyperlink>
    </w:p>
    <w:p>
      <w:pPr>
        <w:ind w:left="1760" w:hanging="278"/>
        <w:spacing w:after="0" w:line="232" w:lineRule="auto"/>
        <w:tabs>
          <w:tab w:leader="none" w:pos="1760" w:val="left"/>
        </w:tabs>
        <w:numPr>
          <w:ilvl w:val="0"/>
          <w:numId w:val="15"/>
        </w:numPr>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Audit Committee Pre-Approval Policy</w:t>
        </w:r>
      </w:hyperlink>
    </w:p>
    <w:p>
      <w:pPr>
        <w:spacing w:after="0" w:line="7" w:lineRule="exact"/>
        <w:rPr>
          <w:rFonts w:ascii="Arial" w:cs="Arial" w:eastAsia="Arial" w:hAnsi="Arial"/>
          <w:sz w:val="16"/>
          <w:szCs w:val="16"/>
          <w:u w:val="single" w:color="auto"/>
          <w:color w:val="0000EE"/>
        </w:rPr>
      </w:pPr>
    </w:p>
    <w:p>
      <w:pPr>
        <w:ind w:left="1760" w:hanging="278"/>
        <w:spacing w:after="0" w:line="223" w:lineRule="auto"/>
        <w:tabs>
          <w:tab w:leader="none" w:pos="1760" w:val="left"/>
        </w:tabs>
        <w:numPr>
          <w:ilvl w:val="0"/>
          <w:numId w:val="15"/>
        </w:numPr>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Audit Committee Report</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49250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25060" cy="8255"/>
                    </a:xfrm>
                    <a:prstGeom prst="rect">
                      <a:avLst/>
                    </a:prstGeom>
                    <a:noFill/>
                  </pic:spPr>
                </pic:pic>
              </a:graphicData>
            </a:graphic>
          </wp:anchor>
        </w:drawing>
      </w:r>
    </w:p>
    <w:p>
      <w:pPr>
        <w:spacing w:after="0" w:line="159" w:lineRule="exact"/>
        <w:rPr>
          <w:rFonts w:ascii="Arial" w:cs="Arial" w:eastAsia="Arial" w:hAnsi="Arial"/>
          <w:sz w:val="18"/>
          <w:szCs w:val="18"/>
          <w:color w:val="auto"/>
        </w:rPr>
      </w:pPr>
    </w:p>
    <w:tbl>
      <w:tblPr>
        <w:tblLayout w:type="fixed"/>
        <w:tblInd w:w="180" w:type="dxa"/>
        <w:tblCellMar>
          <w:top w:w="0" w:type="dxa"/>
          <w:left w:w="0" w:type="dxa"/>
          <w:bottom w:w="0" w:type="dxa"/>
          <w:right w:w="0" w:type="dxa"/>
        </w:tblCellMar>
      </w:tblPr>
      <w:tr>
        <w:trPr>
          <w:trHeight w:val="254"/>
        </w:trPr>
        <w:tc>
          <w:tcPr>
            <w:tcW w:w="1300" w:type="dxa"/>
            <w:vAlign w:val="bottom"/>
            <w:vMerge w:val="restart"/>
          </w:tcPr>
          <w:p>
            <w:pPr>
              <w:jc w:val="right"/>
              <w:ind w:right="6"/>
              <w:spacing w:after="0"/>
              <w:rPr>
                <w:sz w:val="20"/>
                <w:szCs w:val="20"/>
                <w:color w:val="auto"/>
              </w:rPr>
            </w:pPr>
            <w:r>
              <w:rPr>
                <w:rFonts w:ascii="Arial" w:cs="Arial" w:eastAsia="Arial" w:hAnsi="Arial"/>
                <w:sz w:val="43"/>
                <w:szCs w:val="43"/>
                <w:b w:val="1"/>
                <w:bCs w:val="1"/>
                <w:color w:val="auto"/>
                <w:w w:val="96"/>
              </w:rPr>
              <w:t>18-19</w:t>
            </w:r>
          </w:p>
        </w:tc>
        <w:tc>
          <w:tcPr>
            <w:tcW w:w="5800" w:type="dxa"/>
            <w:vAlign w:val="bottom"/>
            <w:tcBorders>
              <w:bottom w:val="single" w:sz="8" w:color="0000EE"/>
            </w:tcBorders>
            <w:gridSpan w:val="5"/>
          </w:tcPr>
          <w:p>
            <w:pPr>
              <w:spacing w:after="0"/>
              <w:rPr>
                <w:rFonts w:ascii="Arial" w:cs="Arial" w:eastAsia="Arial" w:hAnsi="Arial"/>
                <w:sz w:val="21"/>
                <w:szCs w:val="21"/>
                <w:color w:val="0000EE"/>
              </w:rPr>
            </w:pPr>
            <w:hyperlink w:anchor="page32">
              <w:r>
                <w:rPr>
                  <w:rFonts w:ascii="Arial" w:cs="Arial" w:eastAsia="Arial" w:hAnsi="Arial"/>
                  <w:sz w:val="21"/>
                  <w:szCs w:val="21"/>
                  <w:color w:val="0000EE"/>
                </w:rPr>
                <w:t>AGENDA ITEM 3 – ADVISORY APPROVAL OF EXECUTIVE</w:t>
              </w:r>
            </w:hyperlink>
          </w:p>
        </w:tc>
        <w:tc>
          <w:tcPr>
            <w:tcW w:w="0" w:type="dxa"/>
            <w:vAlign w:val="bottom"/>
          </w:tcPr>
          <w:p>
            <w:pPr>
              <w:spacing w:after="0"/>
              <w:rPr>
                <w:sz w:val="1"/>
                <w:szCs w:val="1"/>
                <w:color w:val="auto"/>
              </w:rPr>
            </w:pPr>
          </w:p>
        </w:tc>
      </w:tr>
      <w:tr>
        <w:trPr>
          <w:trHeight w:val="220"/>
        </w:trPr>
        <w:tc>
          <w:tcPr>
            <w:tcW w:w="1300" w:type="dxa"/>
            <w:vAlign w:val="bottom"/>
            <w:vMerge w:val="continue"/>
          </w:tcPr>
          <w:p>
            <w:pPr>
              <w:spacing w:after="0"/>
              <w:rPr>
                <w:sz w:val="19"/>
                <w:szCs w:val="19"/>
                <w:color w:val="auto"/>
              </w:rPr>
            </w:pPr>
          </w:p>
        </w:tc>
        <w:tc>
          <w:tcPr>
            <w:tcW w:w="1720" w:type="dxa"/>
            <w:vAlign w:val="bottom"/>
            <w:tcBorders>
              <w:bottom w:val="single" w:sz="8" w:color="0000EE"/>
            </w:tcBorders>
            <w:gridSpan w:val="2"/>
          </w:tcPr>
          <w:p>
            <w:pPr>
              <w:spacing w:after="0" w:line="220" w:lineRule="exact"/>
              <w:rPr>
                <w:rFonts w:ascii="Arial" w:cs="Arial" w:eastAsia="Arial" w:hAnsi="Arial"/>
                <w:sz w:val="21"/>
                <w:szCs w:val="21"/>
                <w:color w:val="0000EE"/>
                <w:w w:val="99"/>
              </w:rPr>
            </w:pPr>
            <w:hyperlink w:anchor="page32">
              <w:r>
                <w:rPr>
                  <w:rFonts w:ascii="Arial" w:cs="Arial" w:eastAsia="Arial" w:hAnsi="Arial"/>
                  <w:sz w:val="21"/>
                  <w:szCs w:val="21"/>
                  <w:color w:val="0000EE"/>
                  <w:w w:val="99"/>
                </w:rPr>
                <w:t>COMPENSATION</w:t>
              </w:r>
            </w:hyperlink>
          </w:p>
        </w:tc>
        <w:tc>
          <w:tcPr>
            <w:tcW w:w="40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300" w:type="dxa"/>
            <w:vAlign w:val="bottom"/>
          </w:tcPr>
          <w:p>
            <w:pPr>
              <w:spacing w:after="0"/>
              <w:rPr>
                <w:sz w:val="16"/>
                <w:szCs w:val="16"/>
                <w:color w:val="auto"/>
              </w:rPr>
            </w:pPr>
          </w:p>
        </w:tc>
        <w:tc>
          <w:tcPr>
            <w:tcW w:w="280" w:type="dxa"/>
            <w:vAlign w:val="bottom"/>
          </w:tcPr>
          <w:p>
            <w:pPr>
              <w:spacing w:after="0" w:line="181" w:lineRule="exact"/>
              <w:rPr>
                <w:sz w:val="20"/>
                <w:szCs w:val="20"/>
                <w:color w:val="auto"/>
              </w:rPr>
            </w:pPr>
            <w:r>
              <w:rPr>
                <w:rFonts w:ascii="Arial" w:cs="Arial" w:eastAsia="Arial" w:hAnsi="Arial"/>
                <w:sz w:val="18"/>
                <w:szCs w:val="18"/>
                <w:color w:val="auto"/>
              </w:rPr>
              <w:t>18</w:t>
            </w:r>
          </w:p>
        </w:tc>
        <w:tc>
          <w:tcPr>
            <w:tcW w:w="3440" w:type="dxa"/>
            <w:vAlign w:val="bottom"/>
            <w:tcBorders>
              <w:bottom w:val="single" w:sz="8" w:color="0000EE"/>
            </w:tcBorders>
            <w:gridSpan w:val="3"/>
          </w:tcPr>
          <w:p>
            <w:pPr>
              <w:spacing w:after="0" w:line="181" w:lineRule="exact"/>
              <w:rPr>
                <w:rFonts w:ascii="Arial" w:cs="Arial" w:eastAsia="Arial" w:hAnsi="Arial"/>
                <w:sz w:val="16"/>
                <w:szCs w:val="16"/>
                <w:color w:val="0000EE"/>
                <w:w w:val="99"/>
              </w:rPr>
            </w:pPr>
            <w:hyperlink w:anchor="page32">
              <w:r>
                <w:rPr>
                  <w:rFonts w:ascii="Arial" w:cs="Arial" w:eastAsia="Arial" w:hAnsi="Arial"/>
                  <w:sz w:val="16"/>
                  <w:szCs w:val="16"/>
                  <w:color w:val="0000EE"/>
                  <w:w w:val="99"/>
                </w:rPr>
                <w:t>A Message from Your Compensation Committee</w:t>
              </w:r>
            </w:hyperlink>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280" w:type="dxa"/>
            <w:vAlign w:val="bottom"/>
          </w:tcPr>
          <w:p>
            <w:pPr>
              <w:spacing w:after="0" w:line="160" w:lineRule="exact"/>
              <w:rPr>
                <w:sz w:val="20"/>
                <w:szCs w:val="20"/>
                <w:color w:val="auto"/>
              </w:rPr>
            </w:pPr>
            <w:r>
              <w:rPr>
                <w:rFonts w:ascii="Arial" w:cs="Arial" w:eastAsia="Arial" w:hAnsi="Arial"/>
                <w:sz w:val="18"/>
                <w:szCs w:val="18"/>
                <w:color w:val="auto"/>
              </w:rPr>
              <w:t>19</w:t>
            </w:r>
          </w:p>
        </w:tc>
        <w:tc>
          <w:tcPr>
            <w:tcW w:w="2380" w:type="dxa"/>
            <w:vAlign w:val="bottom"/>
            <w:tcBorders>
              <w:bottom w:val="single" w:sz="8" w:color="0000EE"/>
            </w:tcBorders>
            <w:gridSpan w:val="2"/>
          </w:tcPr>
          <w:p>
            <w:pPr>
              <w:spacing w:after="0" w:line="167" w:lineRule="exact"/>
              <w:rPr>
                <w:rFonts w:ascii="Arial" w:cs="Arial" w:eastAsia="Arial" w:hAnsi="Arial"/>
                <w:sz w:val="16"/>
                <w:szCs w:val="16"/>
                <w:color w:val="0000EE"/>
                <w:w w:val="99"/>
              </w:rPr>
            </w:pPr>
            <w:hyperlink w:anchor="page33">
              <w:r>
                <w:rPr>
                  <w:rFonts w:ascii="Arial" w:cs="Arial" w:eastAsia="Arial" w:hAnsi="Arial"/>
                  <w:sz w:val="16"/>
                  <w:szCs w:val="16"/>
                  <w:color w:val="0000EE"/>
                  <w:w w:val="99"/>
                </w:rPr>
                <w:t>Compensation Committee Report</w:t>
              </w:r>
            </w:hyperlink>
          </w:p>
        </w:tc>
        <w:tc>
          <w:tcPr>
            <w:tcW w:w="3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bl>
    <w:p>
      <w:pPr>
        <w:ind w:left="180"/>
        <w:spacing w:after="0"/>
        <w:tabs>
          <w:tab w:leader="none" w:pos="1460" w:val="left"/>
        </w:tabs>
        <w:rPr>
          <w:rFonts w:ascii="Arial" w:cs="Arial" w:eastAsia="Arial" w:hAnsi="Arial"/>
          <w:sz w:val="21"/>
          <w:szCs w:val="21"/>
          <w:u w:val="single" w:color="auto"/>
          <w:color w:val="0000EE"/>
        </w:rPr>
      </w:pPr>
      <w:hyperlink w:anchor="page34"/>
      <w:r>
        <w:rPr>
          <w:rFonts w:ascii="Arial" w:cs="Arial" w:eastAsia="Arial" w:hAnsi="Arial"/>
          <w:sz w:val="60"/>
          <w:szCs w:val="60"/>
          <w:b w:val="1"/>
          <w:bCs w:val="1"/>
          <w:color w:val="000000"/>
          <w:vertAlign w:val="subscript"/>
        </w:rPr>
        <w:t>20-36</w:t>
      </w:r>
      <w:r>
        <w:rPr>
          <w:rFonts w:ascii="Arial" w:cs="Arial" w:eastAsia="Arial" w:hAnsi="Arial"/>
          <w:sz w:val="19"/>
          <w:szCs w:val="19"/>
          <w:color w:val="0000EE"/>
        </w:rPr>
        <w:tab/>
      </w:r>
      <w:hyperlink w:anchor="page34">
        <w:r>
          <w:rPr>
            <w:rFonts w:ascii="Arial" w:cs="Arial" w:eastAsia="Arial" w:hAnsi="Arial"/>
            <w:sz w:val="21"/>
            <w:szCs w:val="21"/>
            <w:u w:val="single" w:color="auto"/>
            <w:color w:val="0000EE"/>
          </w:rPr>
          <w:t>COMPENSATION DISCUSSION AND ANALYSIS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49250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25060" cy="8255"/>
                    </a:xfrm>
                    <a:prstGeom prst="rect">
                      <a:avLst/>
                    </a:prstGeom>
                    <a:noFill/>
                  </pic:spPr>
                </pic:pic>
              </a:graphicData>
            </a:graphic>
          </wp:anchor>
        </w:drawing>
      </w:r>
    </w:p>
    <w:p>
      <w:pPr>
        <w:ind w:left="1480"/>
        <w:spacing w:after="0"/>
        <w:rPr>
          <w:rFonts w:ascii="Arial" w:cs="Arial" w:eastAsia="Arial" w:hAnsi="Arial"/>
          <w:sz w:val="18"/>
          <w:szCs w:val="18"/>
          <w:color w:val="auto"/>
        </w:rPr>
      </w:pPr>
      <w:r>
        <w:rPr>
          <w:rFonts w:ascii="Arial" w:cs="Arial" w:eastAsia="Arial" w:hAnsi="Arial"/>
          <w:sz w:val="18"/>
          <w:szCs w:val="18"/>
          <w:color w:val="auto"/>
        </w:rPr>
        <w:t xml:space="preserve">20 </w:t>
      </w:r>
      <w:hyperlink w:anchor="page34">
        <w:r>
          <w:rPr>
            <w:rFonts w:ascii="Arial" w:cs="Arial" w:eastAsia="Arial" w:hAnsi="Arial"/>
            <w:sz w:val="16"/>
            <w:szCs w:val="16"/>
            <w:u w:val="single" w:color="auto"/>
            <w:color w:val="0000EE"/>
          </w:rPr>
          <w:t>Executive Summary</w:t>
        </w:r>
      </w:hyperlink>
    </w:p>
    <w:p>
      <w:pPr>
        <w:spacing w:after="0" w:line="9" w:lineRule="exact"/>
        <w:rPr>
          <w:sz w:val="20"/>
          <w:szCs w:val="20"/>
          <w:color w:val="auto"/>
        </w:rPr>
      </w:pPr>
    </w:p>
    <w:p>
      <w:pPr>
        <w:ind w:left="1760" w:hanging="278"/>
        <w:spacing w:after="0"/>
        <w:tabs>
          <w:tab w:leader="none" w:pos="1760" w:val="left"/>
        </w:tabs>
        <w:numPr>
          <w:ilvl w:val="0"/>
          <w:numId w:val="16"/>
        </w:numPr>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Compensation Philosophy and Objectives</w:t>
        </w:r>
      </w:hyperlink>
    </w:p>
    <w:p>
      <w:pPr>
        <w:ind w:left="1760" w:hanging="278"/>
        <w:spacing w:after="0" w:line="232" w:lineRule="auto"/>
        <w:tabs>
          <w:tab w:leader="none" w:pos="1760" w:val="left"/>
        </w:tabs>
        <w:numPr>
          <w:ilvl w:val="0"/>
          <w:numId w:val="17"/>
        </w:numPr>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Elements of Our Executive Compensation Program</w:t>
        </w:r>
      </w:hyperlink>
    </w:p>
    <w:p>
      <w:pPr>
        <w:ind w:left="1760" w:hanging="278"/>
        <w:spacing w:after="0" w:line="232" w:lineRule="auto"/>
        <w:tabs>
          <w:tab w:leader="none" w:pos="1760" w:val="left"/>
        </w:tabs>
        <w:numPr>
          <w:ilvl w:val="0"/>
          <w:numId w:val="18"/>
        </w:numPr>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Further Considerations for Setting Executive Compensation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49250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25060" cy="825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1380" w:type="dxa"/>
            <w:vAlign w:val="bottom"/>
            <w:vMerge w:val="restart"/>
          </w:tcPr>
          <w:p>
            <w:pPr>
              <w:ind w:left="180"/>
              <w:spacing w:after="0"/>
              <w:rPr>
                <w:sz w:val="20"/>
                <w:szCs w:val="20"/>
                <w:color w:val="auto"/>
              </w:rPr>
            </w:pPr>
            <w:r>
              <w:rPr>
                <w:rFonts w:ascii="Arial" w:cs="Arial" w:eastAsia="Arial" w:hAnsi="Arial"/>
                <w:sz w:val="43"/>
                <w:szCs w:val="43"/>
                <w:b w:val="1"/>
                <w:bCs w:val="1"/>
                <w:color w:val="auto"/>
              </w:rPr>
              <w:t>37-45</w:t>
            </w:r>
          </w:p>
        </w:tc>
        <w:tc>
          <w:tcPr>
            <w:tcW w:w="6360" w:type="dxa"/>
            <w:vAlign w:val="bottom"/>
            <w:gridSpan w:val="13"/>
          </w:tcPr>
          <w:p>
            <w:pPr>
              <w:ind w:left="100"/>
              <w:spacing w:after="0"/>
              <w:rPr>
                <w:rFonts w:ascii="Arial" w:cs="Arial" w:eastAsia="Arial" w:hAnsi="Arial"/>
                <w:sz w:val="21"/>
                <w:szCs w:val="21"/>
                <w:color w:val="0000EE"/>
              </w:rPr>
            </w:pPr>
            <w:hyperlink w:anchor="page51">
              <w:r>
                <w:rPr>
                  <w:rFonts w:ascii="Arial" w:cs="Arial" w:eastAsia="Arial" w:hAnsi="Arial"/>
                  <w:sz w:val="21"/>
                  <w:szCs w:val="21"/>
                  <w:color w:val="0000EE"/>
                </w:rPr>
                <w:t>EXECUTIVE COMPENSATION TABLES</w:t>
              </w:r>
            </w:hyperlink>
          </w:p>
        </w:tc>
        <w:tc>
          <w:tcPr>
            <w:tcW w:w="0" w:type="dxa"/>
            <w:vAlign w:val="bottom"/>
          </w:tcPr>
          <w:p>
            <w:pPr>
              <w:spacing w:after="0"/>
              <w:rPr>
                <w:sz w:val="1"/>
                <w:szCs w:val="1"/>
                <w:color w:val="auto"/>
              </w:rPr>
            </w:pPr>
          </w:p>
        </w:tc>
      </w:tr>
      <w:tr>
        <w:trPr>
          <w:trHeight w:val="207"/>
        </w:trPr>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60" w:type="dxa"/>
            <w:vAlign w:val="bottom"/>
            <w:tcBorders>
              <w:top w:val="single" w:sz="8" w:color="0000EE"/>
            </w:tcBorders>
            <w:gridSpan w:val="10"/>
          </w:tcPr>
          <w:p>
            <w:pPr>
              <w:spacing w:after="0" w:line="194" w:lineRule="exact"/>
              <w:rPr>
                <w:rFonts w:ascii="Arial" w:cs="Arial" w:eastAsia="Arial" w:hAnsi="Arial"/>
                <w:sz w:val="18"/>
                <w:szCs w:val="18"/>
                <w:color w:val="auto"/>
              </w:rPr>
            </w:pPr>
            <w:r>
              <w:rPr>
                <w:rFonts w:ascii="Arial" w:cs="Arial" w:eastAsia="Arial" w:hAnsi="Arial"/>
                <w:sz w:val="18"/>
                <w:szCs w:val="18"/>
                <w:color w:val="auto"/>
              </w:rPr>
              <w:t xml:space="preserve">37 </w:t>
            </w:r>
            <w:hyperlink w:anchor="page51">
              <w:r>
                <w:rPr>
                  <w:rFonts w:ascii="Arial" w:cs="Arial" w:eastAsia="Arial" w:hAnsi="Arial"/>
                  <w:sz w:val="16"/>
                  <w:szCs w:val="16"/>
                  <w:color w:val="0000EE"/>
                </w:rPr>
                <w:t>2017 Summary Compensation Table</w:t>
              </w:r>
            </w:hyperlink>
          </w:p>
        </w:tc>
        <w:tc>
          <w:tcPr>
            <w:tcW w:w="2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7"/>
                <w:szCs w:val="17"/>
                <w:color w:val="auto"/>
              </w:rPr>
            </w:pPr>
          </w:p>
        </w:tc>
        <w:tc>
          <w:tcPr>
            <w:tcW w:w="380" w:type="dxa"/>
            <w:vAlign w:val="bottom"/>
            <w:gridSpan w:val="2"/>
          </w:tcPr>
          <w:p>
            <w:pPr>
              <w:ind w:left="100"/>
              <w:spacing w:after="0" w:line="187" w:lineRule="exact"/>
              <w:rPr>
                <w:sz w:val="20"/>
                <w:szCs w:val="20"/>
                <w:color w:val="auto"/>
              </w:rPr>
            </w:pPr>
            <w:r>
              <w:rPr>
                <w:rFonts w:ascii="Arial" w:cs="Arial" w:eastAsia="Arial" w:hAnsi="Arial"/>
                <w:sz w:val="18"/>
                <w:szCs w:val="18"/>
                <w:color w:val="auto"/>
              </w:rPr>
              <w:t>39</w:t>
            </w:r>
          </w:p>
        </w:tc>
        <w:tc>
          <w:tcPr>
            <w:tcW w:w="2600" w:type="dxa"/>
            <w:vAlign w:val="bottom"/>
            <w:tcBorders>
              <w:top w:val="single" w:sz="8" w:color="0000EE"/>
            </w:tcBorders>
            <w:gridSpan w:val="4"/>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Grants of Plan-Based Awards</w:t>
              </w:r>
            </w:hyperlink>
          </w:p>
        </w:tc>
        <w:tc>
          <w:tcPr>
            <w:tcW w:w="33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80" w:type="dxa"/>
            <w:vAlign w:val="bottom"/>
            <w:gridSpan w:val="2"/>
            <w:vMerge w:val="restart"/>
          </w:tcPr>
          <w:p>
            <w:pPr>
              <w:ind w:left="100"/>
              <w:spacing w:after="0" w:line="181" w:lineRule="exact"/>
              <w:rPr>
                <w:sz w:val="20"/>
                <w:szCs w:val="20"/>
                <w:color w:val="auto"/>
              </w:rPr>
            </w:pPr>
            <w:r>
              <w:rPr>
                <w:rFonts w:ascii="Arial" w:cs="Arial" w:eastAsia="Arial" w:hAnsi="Arial"/>
                <w:sz w:val="18"/>
                <w:szCs w:val="18"/>
                <w:color w:val="auto"/>
              </w:rPr>
              <w:t>40</w:t>
            </w:r>
          </w:p>
        </w:tc>
        <w:tc>
          <w:tcPr>
            <w:tcW w:w="1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38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3560" w:type="dxa"/>
            <w:vAlign w:val="bottom"/>
            <w:tcBorders>
              <w:bottom w:val="single" w:sz="8" w:color="0000EE"/>
            </w:tcBorders>
            <w:gridSpan w:val="8"/>
          </w:tcPr>
          <w:p>
            <w:pPr>
              <w:spacing w:after="0" w:line="167" w:lineRule="exact"/>
              <w:rPr>
                <w:rFonts w:ascii="Arial" w:cs="Arial" w:eastAsia="Arial" w:hAnsi="Arial"/>
                <w:sz w:val="16"/>
                <w:szCs w:val="16"/>
                <w:color w:val="0000EE"/>
                <w:w w:val="99"/>
              </w:rPr>
            </w:pPr>
            <w:hyperlink w:anchor="page54">
              <w:r>
                <w:rPr>
                  <w:rFonts w:ascii="Arial" w:cs="Arial" w:eastAsia="Arial" w:hAnsi="Arial"/>
                  <w:sz w:val="16"/>
                  <w:szCs w:val="16"/>
                  <w:color w:val="0000EE"/>
                  <w:w w:val="99"/>
                </w:rPr>
                <w:t>Outstanding Equity Awards at December 31, 2017</w:t>
              </w:r>
            </w:hyperlink>
          </w:p>
        </w:tc>
        <w:tc>
          <w:tcPr>
            <w:tcW w:w="24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380" w:type="dxa"/>
            <w:vAlign w:val="bottom"/>
            <w:gridSpan w:val="2"/>
          </w:tcPr>
          <w:p>
            <w:pPr>
              <w:ind w:left="100"/>
              <w:spacing w:after="0" w:line="160" w:lineRule="exact"/>
              <w:rPr>
                <w:sz w:val="20"/>
                <w:szCs w:val="20"/>
                <w:color w:val="auto"/>
              </w:rPr>
            </w:pPr>
            <w:r>
              <w:rPr>
                <w:rFonts w:ascii="Arial" w:cs="Arial" w:eastAsia="Arial" w:hAnsi="Arial"/>
                <w:sz w:val="18"/>
                <w:szCs w:val="18"/>
                <w:color w:val="auto"/>
              </w:rPr>
              <w:t>41</w:t>
            </w:r>
          </w:p>
        </w:tc>
        <w:tc>
          <w:tcPr>
            <w:tcW w:w="3180" w:type="dxa"/>
            <w:vAlign w:val="bottom"/>
            <w:tcBorders>
              <w:bottom w:val="single" w:sz="8" w:color="0000EE"/>
            </w:tcBorders>
            <w:gridSpan w:val="6"/>
          </w:tcPr>
          <w:p>
            <w:pPr>
              <w:spacing w:after="0" w:line="167" w:lineRule="exact"/>
              <w:rPr>
                <w:rFonts w:ascii="Arial" w:cs="Arial" w:eastAsia="Arial" w:hAnsi="Arial"/>
                <w:sz w:val="16"/>
                <w:szCs w:val="16"/>
                <w:color w:val="0000EE"/>
                <w:w w:val="99"/>
              </w:rPr>
            </w:pPr>
            <w:hyperlink w:anchor="page55">
              <w:r>
                <w:rPr>
                  <w:rFonts w:ascii="Arial" w:cs="Arial" w:eastAsia="Arial" w:hAnsi="Arial"/>
                  <w:sz w:val="16"/>
                  <w:szCs w:val="16"/>
                  <w:color w:val="0000EE"/>
                  <w:w w:val="99"/>
                </w:rPr>
                <w:t>Option Exercises and Shares Vested in 2017</w:t>
              </w:r>
            </w:hyperlink>
          </w:p>
        </w:tc>
        <w:tc>
          <w:tcPr>
            <w:tcW w:w="28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380" w:type="dxa"/>
            <w:vAlign w:val="bottom"/>
            <w:gridSpan w:val="2"/>
          </w:tcPr>
          <w:p>
            <w:pPr>
              <w:ind w:left="100"/>
              <w:spacing w:after="0" w:line="160" w:lineRule="exact"/>
              <w:rPr>
                <w:sz w:val="20"/>
                <w:szCs w:val="20"/>
                <w:color w:val="auto"/>
              </w:rPr>
            </w:pPr>
            <w:r>
              <w:rPr>
                <w:rFonts w:ascii="Arial" w:cs="Arial" w:eastAsia="Arial" w:hAnsi="Arial"/>
                <w:sz w:val="18"/>
                <w:szCs w:val="18"/>
                <w:color w:val="auto"/>
              </w:rPr>
              <w:t>41</w:t>
            </w:r>
          </w:p>
        </w:tc>
        <w:tc>
          <w:tcPr>
            <w:tcW w:w="2640" w:type="dxa"/>
            <w:vAlign w:val="bottom"/>
            <w:tcBorders>
              <w:bottom w:val="single" w:sz="8" w:color="0000EE"/>
            </w:tcBorders>
            <w:gridSpan w:val="5"/>
          </w:tcPr>
          <w:p>
            <w:pPr>
              <w:spacing w:after="0" w:line="167" w:lineRule="exact"/>
              <w:rPr>
                <w:rFonts w:ascii="Arial" w:cs="Arial" w:eastAsia="Arial" w:hAnsi="Arial"/>
                <w:sz w:val="16"/>
                <w:szCs w:val="16"/>
                <w:color w:val="0000EE"/>
                <w:w w:val="99"/>
              </w:rPr>
            </w:pPr>
            <w:hyperlink w:anchor="page55">
              <w:r>
                <w:rPr>
                  <w:rFonts w:ascii="Arial" w:cs="Arial" w:eastAsia="Arial" w:hAnsi="Arial"/>
                  <w:sz w:val="16"/>
                  <w:szCs w:val="16"/>
                  <w:color w:val="0000EE"/>
                  <w:w w:val="99"/>
                </w:rPr>
                <w:t>Nonqualified Deferred Compensation</w:t>
              </w:r>
            </w:hyperlink>
          </w:p>
        </w:tc>
        <w:tc>
          <w:tcPr>
            <w:tcW w:w="334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380" w:type="dxa"/>
            <w:vAlign w:val="bottom"/>
            <w:gridSpan w:val="2"/>
          </w:tcPr>
          <w:p>
            <w:pPr>
              <w:ind w:left="100"/>
              <w:spacing w:after="0" w:line="160" w:lineRule="exact"/>
              <w:rPr>
                <w:sz w:val="20"/>
                <w:szCs w:val="20"/>
                <w:color w:val="auto"/>
              </w:rPr>
            </w:pPr>
            <w:r>
              <w:rPr>
                <w:rFonts w:ascii="Arial" w:cs="Arial" w:eastAsia="Arial" w:hAnsi="Arial"/>
                <w:sz w:val="18"/>
                <w:szCs w:val="18"/>
                <w:color w:val="auto"/>
              </w:rPr>
              <w:t>42</w:t>
            </w:r>
          </w:p>
        </w:tc>
        <w:tc>
          <w:tcPr>
            <w:tcW w:w="5980" w:type="dxa"/>
            <w:vAlign w:val="bottom"/>
            <w:gridSpan w:val="11"/>
          </w:tcPr>
          <w:p>
            <w:pPr>
              <w:spacing w:after="0" w:line="167" w:lineRule="exact"/>
              <w:rPr>
                <w:rFonts w:ascii="Arial" w:cs="Arial" w:eastAsia="Arial" w:hAnsi="Arial"/>
                <w:sz w:val="16"/>
                <w:szCs w:val="16"/>
                <w:color w:val="0000EE"/>
              </w:rPr>
            </w:pPr>
            <w:hyperlink w:anchor="page56">
              <w:r>
                <w:rPr>
                  <w:rFonts w:ascii="Arial" w:cs="Arial" w:eastAsia="Arial" w:hAnsi="Arial"/>
                  <w:sz w:val="16"/>
                  <w:szCs w:val="16"/>
                  <w:color w:val="0000EE"/>
                </w:rPr>
                <w:t>Potential Payments upon Termination or Change of Control</w:t>
              </w:r>
            </w:hyperlink>
          </w:p>
        </w:tc>
        <w:tc>
          <w:tcPr>
            <w:tcW w:w="0" w:type="dxa"/>
            <w:vAlign w:val="bottom"/>
          </w:tcPr>
          <w:p>
            <w:pPr>
              <w:spacing w:after="0"/>
              <w:rPr>
                <w:sz w:val="1"/>
                <w:szCs w:val="1"/>
                <w:color w:val="auto"/>
              </w:rPr>
            </w:pPr>
          </w:p>
        </w:tc>
      </w:tr>
      <w:tr>
        <w:trPr>
          <w:trHeight w:val="140"/>
        </w:trPr>
        <w:tc>
          <w:tcPr>
            <w:tcW w:w="1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40" w:type="dxa"/>
            <w:vAlign w:val="bottom"/>
            <w:tcBorders>
              <w:top w:val="single" w:sz="8" w:color="0000EE"/>
              <w:bottom w:val="single" w:sz="8" w:color="auto"/>
            </w:tcBorders>
          </w:tcPr>
          <w:p>
            <w:pPr>
              <w:spacing w:after="0"/>
              <w:rPr>
                <w:sz w:val="12"/>
                <w:szCs w:val="12"/>
                <w:color w:val="auto"/>
              </w:rPr>
            </w:pPr>
          </w:p>
        </w:tc>
        <w:tc>
          <w:tcPr>
            <w:tcW w:w="760" w:type="dxa"/>
            <w:vAlign w:val="bottom"/>
            <w:tcBorders>
              <w:top w:val="single" w:sz="8" w:color="0000EE"/>
              <w:bottom w:val="single" w:sz="8" w:color="auto"/>
            </w:tcBorders>
          </w:tcPr>
          <w:p>
            <w:pPr>
              <w:spacing w:after="0"/>
              <w:rPr>
                <w:sz w:val="12"/>
                <w:szCs w:val="12"/>
                <w:color w:val="auto"/>
              </w:rPr>
            </w:pPr>
          </w:p>
        </w:tc>
        <w:tc>
          <w:tcPr>
            <w:tcW w:w="100" w:type="dxa"/>
            <w:vAlign w:val="bottom"/>
            <w:tcBorders>
              <w:top w:val="single" w:sz="8" w:color="0000EE"/>
              <w:bottom w:val="single" w:sz="8" w:color="auto"/>
            </w:tcBorders>
          </w:tcPr>
          <w:p>
            <w:pPr>
              <w:spacing w:after="0"/>
              <w:rPr>
                <w:sz w:val="12"/>
                <w:szCs w:val="12"/>
                <w:color w:val="auto"/>
              </w:rPr>
            </w:pPr>
          </w:p>
        </w:tc>
        <w:tc>
          <w:tcPr>
            <w:tcW w:w="50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54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24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600" w:type="dxa"/>
            <w:vAlign w:val="bottom"/>
            <w:tcBorders>
              <w:top w:val="single" w:sz="8" w:color="0000EE"/>
              <w:bottom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1380" w:type="dxa"/>
            <w:vAlign w:val="bottom"/>
            <w:vMerge w:val="restart"/>
          </w:tcPr>
          <w:p>
            <w:pPr>
              <w:ind w:left="180"/>
              <w:spacing w:after="0"/>
              <w:rPr>
                <w:sz w:val="20"/>
                <w:szCs w:val="20"/>
                <w:color w:val="auto"/>
              </w:rPr>
            </w:pPr>
            <w:r>
              <w:rPr>
                <w:rFonts w:ascii="Arial" w:cs="Arial" w:eastAsia="Arial" w:hAnsi="Arial"/>
                <w:sz w:val="43"/>
                <w:szCs w:val="43"/>
                <w:b w:val="1"/>
                <w:bCs w:val="1"/>
                <w:color w:val="auto"/>
              </w:rPr>
              <w:t>46</w:t>
            </w:r>
          </w:p>
        </w:tc>
        <w:tc>
          <w:tcPr>
            <w:tcW w:w="6360" w:type="dxa"/>
            <w:vAlign w:val="bottom"/>
            <w:gridSpan w:val="13"/>
          </w:tcPr>
          <w:p>
            <w:pPr>
              <w:ind w:left="100"/>
              <w:spacing w:after="0"/>
              <w:rPr>
                <w:rFonts w:ascii="Arial" w:cs="Arial" w:eastAsia="Arial" w:hAnsi="Arial"/>
                <w:sz w:val="21"/>
                <w:szCs w:val="21"/>
                <w:color w:val="0000EE"/>
              </w:rPr>
            </w:pPr>
            <w:hyperlink w:anchor="page60">
              <w:r>
                <w:rPr>
                  <w:rFonts w:ascii="Arial" w:cs="Arial" w:eastAsia="Arial" w:hAnsi="Arial"/>
                  <w:sz w:val="21"/>
                  <w:szCs w:val="21"/>
                  <w:color w:val="0000EE"/>
                </w:rPr>
                <w:t>2017 CEO PAY RATIO DISCLOSURE</w:t>
              </w:r>
            </w:hyperlink>
          </w:p>
        </w:tc>
        <w:tc>
          <w:tcPr>
            <w:tcW w:w="0" w:type="dxa"/>
            <w:vAlign w:val="bottom"/>
          </w:tcPr>
          <w:p>
            <w:pPr>
              <w:spacing w:after="0"/>
              <w:rPr>
                <w:sz w:val="1"/>
                <w:szCs w:val="1"/>
                <w:color w:val="auto"/>
              </w:rPr>
            </w:pPr>
          </w:p>
        </w:tc>
      </w:tr>
      <w:tr>
        <w:trPr>
          <w:trHeight w:val="295"/>
        </w:trPr>
        <w:tc>
          <w:tcPr>
            <w:tcW w:w="1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3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gridSpan w:val="2"/>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1380" w:type="dxa"/>
            <w:vAlign w:val="bottom"/>
            <w:vMerge w:val="restart"/>
          </w:tcPr>
          <w:p>
            <w:pPr>
              <w:ind w:left="180"/>
              <w:spacing w:after="0"/>
              <w:rPr>
                <w:sz w:val="20"/>
                <w:szCs w:val="20"/>
                <w:color w:val="auto"/>
              </w:rPr>
            </w:pPr>
            <w:r>
              <w:rPr>
                <w:rFonts w:ascii="Arial" w:cs="Arial" w:eastAsia="Arial" w:hAnsi="Arial"/>
                <w:sz w:val="43"/>
                <w:szCs w:val="43"/>
                <w:b w:val="1"/>
                <w:bCs w:val="1"/>
                <w:color w:val="auto"/>
              </w:rPr>
              <w:t>47-50</w:t>
            </w:r>
          </w:p>
        </w:tc>
        <w:tc>
          <w:tcPr>
            <w:tcW w:w="6360" w:type="dxa"/>
            <w:vAlign w:val="bottom"/>
            <w:gridSpan w:val="13"/>
          </w:tcPr>
          <w:p>
            <w:pPr>
              <w:ind w:left="100"/>
              <w:spacing w:after="0"/>
              <w:rPr>
                <w:rFonts w:ascii="Arial" w:cs="Arial" w:eastAsia="Arial" w:hAnsi="Arial"/>
                <w:sz w:val="21"/>
                <w:szCs w:val="21"/>
                <w:color w:val="0000EE"/>
              </w:rPr>
            </w:pPr>
            <w:hyperlink w:anchor="page61">
              <w:r>
                <w:rPr>
                  <w:rFonts w:ascii="Arial" w:cs="Arial" w:eastAsia="Arial" w:hAnsi="Arial"/>
                  <w:sz w:val="21"/>
                  <w:szCs w:val="21"/>
                  <w:color w:val="0000EE"/>
                </w:rPr>
                <w:t>OTHER INFORMATION</w:t>
              </w:r>
            </w:hyperlink>
          </w:p>
        </w:tc>
        <w:tc>
          <w:tcPr>
            <w:tcW w:w="0" w:type="dxa"/>
            <w:vAlign w:val="bottom"/>
          </w:tcPr>
          <w:p>
            <w:pPr>
              <w:spacing w:after="0"/>
              <w:rPr>
                <w:sz w:val="1"/>
                <w:szCs w:val="1"/>
                <w:color w:val="auto"/>
              </w:rPr>
            </w:pPr>
          </w:p>
        </w:tc>
      </w:tr>
      <w:tr>
        <w:trPr>
          <w:trHeight w:val="207"/>
        </w:trPr>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Borders>
              <w:top w:val="single" w:sz="8" w:color="0000EE"/>
            </w:tcBorders>
            <w:gridSpan w:val="3"/>
          </w:tcPr>
          <w:p>
            <w:pPr>
              <w:spacing w:after="0" w:line="194" w:lineRule="exact"/>
              <w:rPr>
                <w:rFonts w:ascii="Arial" w:cs="Arial" w:eastAsia="Arial" w:hAnsi="Arial"/>
                <w:sz w:val="18"/>
                <w:szCs w:val="18"/>
                <w:color w:val="auto"/>
              </w:rPr>
            </w:pPr>
            <w:r>
              <w:rPr>
                <w:rFonts w:ascii="Arial" w:cs="Arial" w:eastAsia="Arial" w:hAnsi="Arial"/>
                <w:sz w:val="18"/>
                <w:szCs w:val="18"/>
                <w:color w:val="auto"/>
              </w:rPr>
              <w:t xml:space="preserve">47 </w:t>
            </w:r>
            <w:hyperlink w:anchor="page61">
              <w:r>
                <w:rPr>
                  <w:rFonts w:ascii="Arial" w:cs="Arial" w:eastAsia="Arial" w:hAnsi="Arial"/>
                  <w:sz w:val="16"/>
                  <w:szCs w:val="16"/>
                  <w:color w:val="0000EE"/>
                </w:rPr>
                <w:t>Share Ownership</w:t>
              </w:r>
            </w:hyperlink>
          </w:p>
        </w:tc>
        <w:tc>
          <w:tcPr>
            <w:tcW w:w="39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ind w:left="1760" w:hanging="278"/>
        <w:spacing w:after="0"/>
        <w:tabs>
          <w:tab w:leader="none" w:pos="1760" w:val="left"/>
        </w:tabs>
        <w:numPr>
          <w:ilvl w:val="0"/>
          <w:numId w:val="19"/>
        </w:numPr>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Section 16(a) Beneficial Ownership Reporting Compliance</w:t>
        </w:r>
      </w:hyperlink>
    </w:p>
    <w:p>
      <w:pPr>
        <w:spacing w:after="0" w:line="7" w:lineRule="exact"/>
        <w:rPr>
          <w:rFonts w:ascii="Arial" w:cs="Arial" w:eastAsia="Arial" w:hAnsi="Arial"/>
          <w:sz w:val="16"/>
          <w:szCs w:val="16"/>
          <w:u w:val="single" w:color="auto"/>
          <w:color w:val="0000EE"/>
        </w:rPr>
      </w:pPr>
    </w:p>
    <w:p>
      <w:pPr>
        <w:ind w:left="1760" w:hanging="278"/>
        <w:spacing w:after="0" w:line="223" w:lineRule="auto"/>
        <w:tabs>
          <w:tab w:leader="none" w:pos="1760" w:val="left"/>
        </w:tabs>
        <w:numPr>
          <w:ilvl w:val="0"/>
          <w:numId w:val="20"/>
        </w:numPr>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Incorporation by Reference</w:t>
        </w:r>
      </w:hyperlink>
    </w:p>
    <w:p>
      <w:pPr>
        <w:spacing w:after="0" w:line="7" w:lineRule="exact"/>
        <w:rPr>
          <w:rFonts w:ascii="Arial" w:cs="Arial" w:eastAsia="Arial" w:hAnsi="Arial"/>
          <w:sz w:val="16"/>
          <w:szCs w:val="16"/>
          <w:u w:val="single" w:color="auto"/>
          <w:color w:val="0000EE"/>
        </w:rPr>
      </w:pPr>
    </w:p>
    <w:p>
      <w:pPr>
        <w:ind w:left="1760" w:hanging="278"/>
        <w:spacing w:after="0" w:line="223" w:lineRule="auto"/>
        <w:tabs>
          <w:tab w:leader="none" w:pos="1760" w:val="left"/>
        </w:tabs>
        <w:numPr>
          <w:ilvl w:val="0"/>
          <w:numId w:val="21"/>
        </w:numPr>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Presentation of Irish Statutory Accounts</w:t>
        </w:r>
      </w:hyperlink>
    </w:p>
    <w:p>
      <w:pPr>
        <w:spacing w:after="0" w:line="7" w:lineRule="exact"/>
        <w:rPr>
          <w:rFonts w:ascii="Arial" w:cs="Arial" w:eastAsia="Arial" w:hAnsi="Arial"/>
          <w:sz w:val="16"/>
          <w:szCs w:val="16"/>
          <w:u w:val="single" w:color="auto"/>
          <w:color w:val="0000EE"/>
        </w:rPr>
      </w:pPr>
    </w:p>
    <w:p>
      <w:pPr>
        <w:ind w:left="1760" w:hanging="278"/>
        <w:spacing w:after="0" w:line="223" w:lineRule="auto"/>
        <w:tabs>
          <w:tab w:leader="none" w:pos="1760" w:val="left"/>
        </w:tabs>
        <w:numPr>
          <w:ilvl w:val="0"/>
          <w:numId w:val="22"/>
        </w:numPr>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Proposals by Shareholders</w:t>
        </w:r>
      </w:hyperlink>
    </w:p>
    <w:p>
      <w:pPr>
        <w:spacing w:after="0" w:line="7" w:lineRule="exact"/>
        <w:rPr>
          <w:rFonts w:ascii="Arial" w:cs="Arial" w:eastAsia="Arial" w:hAnsi="Arial"/>
          <w:sz w:val="16"/>
          <w:szCs w:val="16"/>
          <w:u w:val="single" w:color="auto"/>
          <w:color w:val="0000EE"/>
        </w:rPr>
      </w:pPr>
    </w:p>
    <w:p>
      <w:pPr>
        <w:ind w:left="1760" w:hanging="278"/>
        <w:spacing w:after="0" w:line="223" w:lineRule="auto"/>
        <w:tabs>
          <w:tab w:leader="none" w:pos="1760" w:val="left"/>
        </w:tabs>
        <w:numPr>
          <w:ilvl w:val="0"/>
          <w:numId w:val="22"/>
        </w:numPr>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Other Business</w:t>
        </w:r>
      </w:hyperlink>
    </w:p>
    <w:p>
      <w:pPr>
        <w:ind w:left="1760" w:hanging="278"/>
        <w:spacing w:after="0" w:line="232" w:lineRule="auto"/>
        <w:tabs>
          <w:tab w:leader="none" w:pos="1760" w:val="left"/>
        </w:tabs>
        <w:numPr>
          <w:ilvl w:val="0"/>
          <w:numId w:val="23"/>
        </w:numPr>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Householding</w:t>
        </w:r>
      </w:hyperlink>
    </w:p>
    <w:p>
      <w:pPr>
        <w:ind w:left="1760" w:hanging="278"/>
        <w:spacing w:after="0" w:line="233" w:lineRule="auto"/>
        <w:tabs>
          <w:tab w:leader="none" w:pos="1760" w:val="left"/>
        </w:tabs>
        <w:numPr>
          <w:ilvl w:val="0"/>
          <w:numId w:val="24"/>
        </w:numPr>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Additional Information Available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49250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25060" cy="8255"/>
                    </a:xfrm>
                    <a:prstGeom prst="rect">
                      <a:avLst/>
                    </a:prstGeom>
                    <a:noFill/>
                  </pic:spPr>
                </pic:pic>
              </a:graphicData>
            </a:graphic>
          </wp:anchor>
        </w:drawing>
        <w:drawing>
          <wp:anchor simplePos="0" relativeHeight="251657728" behindDoc="1" locked="0" layoutInCell="0" allowOverlap="1">
            <wp:simplePos x="0" y="0"/>
            <wp:positionH relativeFrom="column">
              <wp:posOffset>-1997075</wp:posOffset>
            </wp:positionH>
            <wp:positionV relativeFrom="paragraph">
              <wp:posOffset>198755</wp:posOffset>
            </wp:positionV>
            <wp:extent cx="6917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ectPr>
          <w:pgSz w:w="11900" w:h="16838" w:orient="portrait"/>
          <w:cols w:equalWidth="0" w:num="2">
            <w:col w:w="3320" w:space="100"/>
            <w:col w:w="7740"/>
          </w:cols>
          <w:pgMar w:left="240" w:top="455" w:right="499" w:bottom="1440" w:gutter="0" w:footer="0" w:header="0"/>
        </w:sectPr>
      </w:pPr>
    </w:p>
    <w:p>
      <w:pPr>
        <w:spacing w:after="0" w:line="237" w:lineRule="exact"/>
        <w:rPr>
          <w:rFonts w:ascii="Arial" w:cs="Arial" w:eastAsia="Arial" w:hAnsi="Arial"/>
          <w:sz w:val="18"/>
          <w:szCs w:val="18"/>
          <w:color w:val="auto"/>
        </w:rPr>
      </w:pPr>
    </w:p>
    <w:p>
      <w:pPr>
        <w:ind w:left="7520"/>
        <w:spacing w:after="0"/>
        <w:rPr>
          <w:sz w:val="20"/>
          <w:szCs w:val="20"/>
          <w:color w:val="auto"/>
        </w:rPr>
      </w:pPr>
      <w:r>
        <w:rPr>
          <w:rFonts w:ascii="Arial" w:cs="Arial" w:eastAsia="Arial" w:hAnsi="Arial"/>
          <w:sz w:val="14"/>
          <w:szCs w:val="14"/>
          <w:color w:val="666666"/>
        </w:rPr>
        <w:t>Weatherford International plc — 2018 Proxy Statement</w:t>
      </w:r>
    </w:p>
    <w:p>
      <w:pPr>
        <w:sectPr>
          <w:pgSz w:w="11900" w:h="16838" w:orient="portrait"/>
          <w:cols w:equalWidth="0" w:num="1">
            <w:col w:w="11160"/>
          </w:cols>
          <w:pgMar w:left="240" w:top="455" w:right="4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0"/>
        <w:spacing w:after="0"/>
        <w:rPr>
          <w:sz w:val="20"/>
          <w:szCs w:val="20"/>
          <w:color w:val="auto"/>
        </w:rPr>
      </w:pPr>
      <w:r>
        <w:rPr>
          <w:rFonts w:ascii="Arial" w:cs="Arial" w:eastAsia="Arial" w:hAnsi="Arial"/>
          <w:sz w:val="64"/>
          <w:szCs w:val="64"/>
          <w:b w:val="1"/>
          <w:bCs w:val="1"/>
          <w:color w:val="C3002F"/>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-444500</wp:posOffset>
            </wp:positionV>
            <wp:extent cx="822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auto"/>
        </w:rPr>
        <w:t>MEETING AND VOTING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-304800</wp:posOffset>
            </wp:positionV>
            <wp:extent cx="822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34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 xml:space="preserve">Annual General Meeting: </w:t>
      </w:r>
      <w:r>
        <w:rPr>
          <w:rFonts w:ascii="Arial" w:cs="Arial" w:eastAsia="Arial" w:hAnsi="Arial"/>
          <w:sz w:val="14"/>
          <w:szCs w:val="14"/>
          <w:color w:val="auto"/>
        </w:rPr>
        <w:t>April 27, 2018 at 10:00 a.m. (Central European Time), Lorzensaal Cham, Cham, Canton of Zug, Switzerland.</w:t>
      </w:r>
    </w:p>
    <w:p>
      <w:pPr>
        <w:spacing w:after="0" w:line="386"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-304800</wp:posOffset>
            </wp:positionV>
            <wp:extent cx="822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 this Proxy Statement, “Weatherford,” “the Company,” “we,” “us” and “our” refer to Weatherford International plc, an Irish public limited company and Swiss tax resident.</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principal executive offices in Switzerland are located at Weststrasse 1, 6340 Baar, Switzerland, and our telephone number is +41.22.816.1500.</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References to “$” or “USD” in this Proxy Statement are references to United States dollars and references to “CHF” are references to Swiss francs.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This Proxy Statement and proxy card are being made available on behalf of our Board of Directors, or our “Board,” to all shareholders beginning on or about March 13, 2018.</w:t>
      </w:r>
    </w:p>
    <w:p>
      <w:pPr>
        <w:spacing w:after="0" w:line="368"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-304800</wp:posOffset>
            </wp:positionV>
            <wp:extent cx="822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0" w:type="dxa"/>
            <w:vAlign w:val="bottom"/>
          </w:tcPr>
          <w:p>
            <w:pPr>
              <w:jc w:val="center"/>
              <w:ind w:left="129"/>
              <w:spacing w:after="0"/>
              <w:rPr>
                <w:sz w:val="20"/>
                <w:szCs w:val="20"/>
                <w:color w:val="auto"/>
              </w:rPr>
            </w:pPr>
            <w:r>
              <w:rPr>
                <w:rFonts w:ascii="Arial" w:cs="Arial" w:eastAsia="Arial" w:hAnsi="Arial"/>
                <w:sz w:val="14"/>
                <w:szCs w:val="14"/>
                <w:b w:val="1"/>
                <w:bCs w:val="1"/>
                <w:color w:val="auto"/>
                <w:w w:val="98"/>
              </w:rPr>
              <w:t>Board</w:t>
            </w:r>
          </w:p>
        </w:tc>
      </w:tr>
      <w:tr>
        <w:trPr>
          <w:trHeight w:val="194"/>
        </w:trPr>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60" w:type="dxa"/>
            <w:vAlign w:val="bottom"/>
            <w:tcBorders>
              <w:bottom w:val="single" w:sz="8" w:color="auto"/>
            </w:tcBorders>
          </w:tcPr>
          <w:p>
            <w:pPr>
              <w:ind w:left="3440"/>
              <w:spacing w:after="0"/>
              <w:rPr>
                <w:sz w:val="20"/>
                <w:szCs w:val="20"/>
                <w:color w:val="auto"/>
              </w:rPr>
            </w:pPr>
            <w:r>
              <w:rPr>
                <w:rFonts w:ascii="Arial" w:cs="Arial" w:eastAsia="Arial" w:hAnsi="Arial"/>
                <w:sz w:val="14"/>
                <w:szCs w:val="14"/>
                <w:b w:val="1"/>
                <w:bCs w:val="1"/>
                <w:color w:val="auto"/>
              </w:rPr>
              <w:t>Proposal</w:t>
            </w:r>
          </w:p>
        </w:tc>
        <w:tc>
          <w:tcPr>
            <w:tcW w:w="16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Required Approval</w:t>
            </w:r>
          </w:p>
        </w:tc>
        <w:tc>
          <w:tcPr>
            <w:tcW w:w="140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b w:val="1"/>
                <w:bCs w:val="1"/>
                <w:color w:val="auto"/>
              </w:rPr>
              <w:t>Recommendation</w:t>
            </w:r>
          </w:p>
        </w:tc>
      </w:tr>
      <w:tr>
        <w:trPr>
          <w:trHeight w:val="217"/>
        </w:trPr>
        <w:tc>
          <w:tcPr>
            <w:tcW w:w="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1.</w:t>
            </w:r>
          </w:p>
        </w:tc>
        <w:tc>
          <w:tcPr>
            <w:tcW w:w="7460" w:type="dxa"/>
            <w:vAlign w:val="bottom"/>
          </w:tcPr>
          <w:p>
            <w:pPr>
              <w:ind w:left="240"/>
              <w:spacing w:after="0"/>
              <w:rPr>
                <w:sz w:val="20"/>
                <w:szCs w:val="20"/>
                <w:color w:val="auto"/>
              </w:rPr>
            </w:pPr>
            <w:r>
              <w:rPr>
                <w:rFonts w:ascii="Arial" w:cs="Arial" w:eastAsia="Arial" w:hAnsi="Arial"/>
                <w:sz w:val="14"/>
                <w:szCs w:val="14"/>
                <w:b w:val="1"/>
                <w:bCs w:val="1"/>
                <w:color w:val="auto"/>
              </w:rPr>
              <w:t xml:space="preserve">Election of Directors. </w:t>
            </w:r>
            <w:r>
              <w:rPr>
                <w:rFonts w:ascii="Arial" w:cs="Arial" w:eastAsia="Arial" w:hAnsi="Arial"/>
                <w:sz w:val="14"/>
                <w:szCs w:val="14"/>
                <w:color w:val="auto"/>
              </w:rPr>
              <w:t>By separate resolutions, to elect each of the ten individuals named in this Proxy</w:t>
            </w:r>
          </w:p>
        </w:tc>
        <w:tc>
          <w:tcPr>
            <w:tcW w:w="1680" w:type="dxa"/>
            <w:vAlign w:val="bottom"/>
          </w:tcPr>
          <w:p>
            <w:pPr>
              <w:ind w:left="220"/>
              <w:spacing w:after="0"/>
              <w:rPr>
                <w:sz w:val="20"/>
                <w:szCs w:val="20"/>
                <w:color w:val="auto"/>
              </w:rPr>
            </w:pPr>
            <w:r>
              <w:rPr>
                <w:rFonts w:ascii="Arial" w:cs="Arial" w:eastAsia="Arial" w:hAnsi="Arial"/>
                <w:sz w:val="14"/>
                <w:szCs w:val="14"/>
                <w:color w:val="auto"/>
              </w:rPr>
              <w:t>Majority of Votes</w:t>
            </w:r>
          </w:p>
        </w:tc>
        <w:tc>
          <w:tcPr>
            <w:tcW w:w="1400" w:type="dxa"/>
            <w:vAlign w:val="bottom"/>
          </w:tcPr>
          <w:p>
            <w:pPr>
              <w:jc w:val="center"/>
              <w:ind w:left="129"/>
              <w:spacing w:after="0"/>
              <w:rPr>
                <w:sz w:val="20"/>
                <w:szCs w:val="20"/>
                <w:color w:val="auto"/>
              </w:rPr>
            </w:pPr>
            <w:r>
              <w:rPr>
                <w:rFonts w:ascii="Arial" w:cs="Arial" w:eastAsia="Arial" w:hAnsi="Arial"/>
                <w:sz w:val="14"/>
                <w:szCs w:val="14"/>
                <w:b w:val="1"/>
                <w:bCs w:val="1"/>
                <w:color w:val="C3002F"/>
              </w:rPr>
              <w:t xml:space="preserve">FOR </w:t>
            </w:r>
            <w:r>
              <w:rPr>
                <w:rFonts w:ascii="Arial" w:cs="Arial" w:eastAsia="Arial" w:hAnsi="Arial"/>
                <w:sz w:val="14"/>
                <w:szCs w:val="14"/>
                <w:color w:val="000000"/>
              </w:rPr>
              <w:t>each</w:t>
            </w:r>
          </w:p>
        </w:tc>
      </w:tr>
      <w:tr>
        <w:trPr>
          <w:trHeight w:val="160"/>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60" w:type="dxa"/>
            <w:vAlign w:val="bottom"/>
          </w:tcPr>
          <w:p>
            <w:pPr>
              <w:ind w:left="240"/>
              <w:spacing w:after="0"/>
              <w:rPr>
                <w:sz w:val="20"/>
                <w:szCs w:val="20"/>
                <w:color w:val="auto"/>
              </w:rPr>
            </w:pPr>
            <w:r>
              <w:rPr>
                <w:rFonts w:ascii="Arial" w:cs="Arial" w:eastAsia="Arial" w:hAnsi="Arial"/>
                <w:sz w:val="14"/>
                <w:szCs w:val="14"/>
                <w:color w:val="auto"/>
              </w:rPr>
              <w:t>Statement until the 2019 AGM or, in each case, until his or her earlier death, retirement, resignation or removal</w:t>
            </w:r>
          </w:p>
        </w:tc>
        <w:tc>
          <w:tcPr>
            <w:tcW w:w="1680" w:type="dxa"/>
            <w:vAlign w:val="bottom"/>
          </w:tcPr>
          <w:p>
            <w:pPr>
              <w:ind w:left="220"/>
              <w:spacing w:after="0"/>
              <w:rPr>
                <w:sz w:val="20"/>
                <w:szCs w:val="20"/>
                <w:color w:val="auto"/>
              </w:rPr>
            </w:pPr>
            <w:r>
              <w:rPr>
                <w:rFonts w:ascii="Arial" w:cs="Arial" w:eastAsia="Arial" w:hAnsi="Arial"/>
                <w:sz w:val="14"/>
                <w:szCs w:val="14"/>
                <w:color w:val="auto"/>
              </w:rPr>
              <w:t>Cast</w:t>
            </w:r>
          </w:p>
        </w:tc>
        <w:tc>
          <w:tcPr>
            <w:tcW w:w="1400" w:type="dxa"/>
            <w:vAlign w:val="bottom"/>
          </w:tcPr>
          <w:p>
            <w:pPr>
              <w:jc w:val="center"/>
              <w:ind w:left="129"/>
              <w:spacing w:after="0"/>
              <w:rPr>
                <w:sz w:val="20"/>
                <w:szCs w:val="20"/>
                <w:color w:val="auto"/>
              </w:rPr>
            </w:pPr>
            <w:r>
              <w:rPr>
                <w:rFonts w:ascii="Arial" w:cs="Arial" w:eastAsia="Arial" w:hAnsi="Arial"/>
                <w:sz w:val="14"/>
                <w:szCs w:val="14"/>
                <w:color w:val="auto"/>
              </w:rPr>
              <w:t>nominee</w:t>
            </w: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60" w:type="dxa"/>
            <w:vAlign w:val="bottom"/>
          </w:tcPr>
          <w:p>
            <w:pPr>
              <w:ind w:left="240"/>
              <w:spacing w:after="0"/>
              <w:rPr>
                <w:sz w:val="20"/>
                <w:szCs w:val="20"/>
                <w:color w:val="auto"/>
              </w:rPr>
            </w:pPr>
            <w:r>
              <w:rPr>
                <w:rFonts w:ascii="Arial" w:cs="Arial" w:eastAsia="Arial" w:hAnsi="Arial"/>
                <w:sz w:val="14"/>
                <w:szCs w:val="14"/>
                <w:color w:val="auto"/>
              </w:rPr>
              <w:t>from the position of director.</w:t>
            </w:r>
          </w:p>
        </w:tc>
        <w:tc>
          <w:tcPr>
            <w:tcW w:w="16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8"/>
        </w:trPr>
        <w:tc>
          <w:tcPr>
            <w:tcW w:w="20" w:type="dxa"/>
            <w:vAlign w:val="bottom"/>
          </w:tcPr>
          <w:p>
            <w:pPr>
              <w:spacing w:after="0"/>
              <w:rPr>
                <w:sz w:val="3"/>
                <w:szCs w:val="3"/>
                <w:color w:val="auto"/>
              </w:rPr>
            </w:pPr>
          </w:p>
        </w:tc>
        <w:tc>
          <w:tcPr>
            <w:tcW w:w="340" w:type="dxa"/>
            <w:vAlign w:val="bottom"/>
            <w:tcBorders>
              <w:bottom w:val="single" w:sz="8" w:color="666666"/>
            </w:tcBorders>
          </w:tcPr>
          <w:p>
            <w:pPr>
              <w:spacing w:after="0"/>
              <w:rPr>
                <w:sz w:val="3"/>
                <w:szCs w:val="3"/>
                <w:color w:val="auto"/>
              </w:rPr>
            </w:pPr>
          </w:p>
        </w:tc>
        <w:tc>
          <w:tcPr>
            <w:tcW w:w="7460" w:type="dxa"/>
            <w:vAlign w:val="bottom"/>
            <w:tcBorders>
              <w:bottom w:val="single" w:sz="8" w:color="666666"/>
            </w:tcBorders>
          </w:tcPr>
          <w:p>
            <w:pPr>
              <w:spacing w:after="0"/>
              <w:rPr>
                <w:sz w:val="3"/>
                <w:szCs w:val="3"/>
                <w:color w:val="auto"/>
              </w:rPr>
            </w:pPr>
          </w:p>
        </w:tc>
        <w:tc>
          <w:tcPr>
            <w:tcW w:w="1680" w:type="dxa"/>
            <w:vAlign w:val="bottom"/>
            <w:tcBorders>
              <w:bottom w:val="single" w:sz="8" w:color="666666"/>
            </w:tcBorders>
          </w:tcPr>
          <w:p>
            <w:pPr>
              <w:spacing w:after="0"/>
              <w:rPr>
                <w:sz w:val="3"/>
                <w:szCs w:val="3"/>
                <w:color w:val="auto"/>
              </w:rPr>
            </w:pPr>
          </w:p>
        </w:tc>
        <w:tc>
          <w:tcPr>
            <w:tcW w:w="1400" w:type="dxa"/>
            <w:vAlign w:val="bottom"/>
            <w:tcBorders>
              <w:bottom w:val="single" w:sz="8" w:color="666666"/>
            </w:tcBorders>
          </w:tcPr>
          <w:p>
            <w:pPr>
              <w:spacing w:after="0"/>
              <w:rPr>
                <w:sz w:val="3"/>
                <w:szCs w:val="3"/>
                <w:color w:val="auto"/>
              </w:rPr>
            </w:pPr>
          </w:p>
        </w:tc>
      </w:tr>
      <w:tr>
        <w:trPr>
          <w:trHeight w:val="212"/>
        </w:trPr>
        <w:tc>
          <w:tcPr>
            <w:tcW w:w="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2.</w:t>
            </w:r>
          </w:p>
        </w:tc>
        <w:tc>
          <w:tcPr>
            <w:tcW w:w="7460" w:type="dxa"/>
            <w:vAlign w:val="bottom"/>
          </w:tcPr>
          <w:p>
            <w:pPr>
              <w:ind w:left="240"/>
              <w:spacing w:after="0"/>
              <w:rPr>
                <w:sz w:val="20"/>
                <w:szCs w:val="20"/>
                <w:color w:val="auto"/>
              </w:rPr>
            </w:pPr>
            <w:r>
              <w:rPr>
                <w:rFonts w:ascii="Arial" w:cs="Arial" w:eastAsia="Arial" w:hAnsi="Arial"/>
                <w:sz w:val="14"/>
                <w:szCs w:val="14"/>
                <w:b w:val="1"/>
                <w:bCs w:val="1"/>
                <w:color w:val="auto"/>
              </w:rPr>
              <w:t xml:space="preserve">Ratify Appointment of Independent Auditors. </w:t>
            </w:r>
            <w:r>
              <w:rPr>
                <w:rFonts w:ascii="Arial" w:cs="Arial" w:eastAsia="Arial" w:hAnsi="Arial"/>
                <w:sz w:val="14"/>
                <w:szCs w:val="14"/>
                <w:color w:val="auto"/>
              </w:rPr>
              <w:t>To ratify the appointment of KPMG LLP as our independent</w:t>
            </w:r>
          </w:p>
        </w:tc>
        <w:tc>
          <w:tcPr>
            <w:tcW w:w="1680" w:type="dxa"/>
            <w:vAlign w:val="bottom"/>
          </w:tcPr>
          <w:p>
            <w:pPr>
              <w:ind w:left="220"/>
              <w:spacing w:after="0"/>
              <w:rPr>
                <w:sz w:val="20"/>
                <w:szCs w:val="20"/>
                <w:color w:val="auto"/>
              </w:rPr>
            </w:pPr>
            <w:r>
              <w:rPr>
                <w:rFonts w:ascii="Arial" w:cs="Arial" w:eastAsia="Arial" w:hAnsi="Arial"/>
                <w:sz w:val="14"/>
                <w:szCs w:val="14"/>
                <w:color w:val="auto"/>
              </w:rPr>
              <w:t>Majority of Votes</w:t>
            </w:r>
          </w:p>
        </w:tc>
        <w:tc>
          <w:tcPr>
            <w:tcW w:w="1400" w:type="dxa"/>
            <w:vAlign w:val="bottom"/>
          </w:tcPr>
          <w:p>
            <w:pPr>
              <w:jc w:val="center"/>
              <w:ind w:left="149"/>
              <w:spacing w:after="0"/>
              <w:rPr>
                <w:sz w:val="20"/>
                <w:szCs w:val="20"/>
                <w:color w:val="auto"/>
              </w:rPr>
            </w:pPr>
            <w:r>
              <w:rPr>
                <w:rFonts w:ascii="Arial" w:cs="Arial" w:eastAsia="Arial" w:hAnsi="Arial"/>
                <w:sz w:val="14"/>
                <w:szCs w:val="14"/>
                <w:b w:val="1"/>
                <w:bCs w:val="1"/>
                <w:color w:val="C3002F"/>
              </w:rPr>
              <w:t>FOR</w:t>
            </w:r>
          </w:p>
        </w:tc>
      </w:tr>
      <w:tr>
        <w:trPr>
          <w:trHeight w:val="160"/>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60" w:type="dxa"/>
            <w:vAlign w:val="bottom"/>
          </w:tcPr>
          <w:p>
            <w:pPr>
              <w:ind w:left="240"/>
              <w:spacing w:after="0"/>
              <w:rPr>
                <w:sz w:val="20"/>
                <w:szCs w:val="20"/>
                <w:color w:val="auto"/>
              </w:rPr>
            </w:pPr>
            <w:r>
              <w:rPr>
                <w:rFonts w:ascii="Arial" w:cs="Arial" w:eastAsia="Arial" w:hAnsi="Arial"/>
                <w:sz w:val="14"/>
                <w:szCs w:val="14"/>
                <w:color w:val="auto"/>
              </w:rPr>
              <w:t>registered public accounting firm and auditor for the fiscal year ending December 31, 2018 and KPMG</w:t>
            </w:r>
          </w:p>
        </w:tc>
        <w:tc>
          <w:tcPr>
            <w:tcW w:w="1680" w:type="dxa"/>
            <w:vAlign w:val="bottom"/>
          </w:tcPr>
          <w:p>
            <w:pPr>
              <w:ind w:left="220"/>
              <w:spacing w:after="0"/>
              <w:rPr>
                <w:sz w:val="20"/>
                <w:szCs w:val="20"/>
                <w:color w:val="auto"/>
              </w:rPr>
            </w:pPr>
            <w:r>
              <w:rPr>
                <w:rFonts w:ascii="Arial" w:cs="Arial" w:eastAsia="Arial" w:hAnsi="Arial"/>
                <w:sz w:val="14"/>
                <w:szCs w:val="14"/>
                <w:color w:val="auto"/>
              </w:rPr>
              <w:t>Cast</w:t>
            </w:r>
          </w:p>
        </w:tc>
        <w:tc>
          <w:tcPr>
            <w:tcW w:w="14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60" w:type="dxa"/>
            <w:vAlign w:val="bottom"/>
          </w:tcPr>
          <w:p>
            <w:pPr>
              <w:ind w:left="240"/>
              <w:spacing w:after="0"/>
              <w:rPr>
                <w:sz w:val="20"/>
                <w:szCs w:val="20"/>
                <w:color w:val="auto"/>
              </w:rPr>
            </w:pPr>
            <w:r>
              <w:rPr>
                <w:rFonts w:ascii="Arial" w:cs="Arial" w:eastAsia="Arial" w:hAnsi="Arial"/>
                <w:sz w:val="14"/>
                <w:szCs w:val="14"/>
                <w:color w:val="auto"/>
              </w:rPr>
              <w:t>Chartered Accountants, Dublin as the Company’s statutory auditor under Irish law to hold office until the close</w:t>
            </w:r>
          </w:p>
        </w:tc>
        <w:tc>
          <w:tcPr>
            <w:tcW w:w="168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60" w:type="dxa"/>
            <w:vAlign w:val="bottom"/>
          </w:tcPr>
          <w:p>
            <w:pPr>
              <w:ind w:left="240"/>
              <w:spacing w:after="0"/>
              <w:rPr>
                <w:sz w:val="20"/>
                <w:szCs w:val="20"/>
                <w:color w:val="auto"/>
              </w:rPr>
            </w:pPr>
            <w:r>
              <w:rPr>
                <w:rFonts w:ascii="Arial" w:cs="Arial" w:eastAsia="Arial" w:hAnsi="Arial"/>
                <w:sz w:val="14"/>
                <w:szCs w:val="14"/>
                <w:color w:val="auto"/>
              </w:rPr>
              <w:t>of the 2019 AGM, and to authorize the Board of Directors, acting through the Audit Committee, to determine the</w:t>
            </w:r>
          </w:p>
        </w:tc>
        <w:tc>
          <w:tcPr>
            <w:tcW w:w="168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60" w:type="dxa"/>
            <w:vAlign w:val="bottom"/>
          </w:tcPr>
          <w:p>
            <w:pPr>
              <w:ind w:left="240"/>
              <w:spacing w:after="0"/>
              <w:rPr>
                <w:sz w:val="20"/>
                <w:szCs w:val="20"/>
                <w:color w:val="auto"/>
              </w:rPr>
            </w:pPr>
            <w:r>
              <w:rPr>
                <w:rFonts w:ascii="Arial" w:cs="Arial" w:eastAsia="Arial" w:hAnsi="Arial"/>
                <w:sz w:val="14"/>
                <w:szCs w:val="14"/>
                <w:color w:val="auto"/>
              </w:rPr>
              <w:t>auditors’ remuneration.</w:t>
            </w:r>
          </w:p>
        </w:tc>
        <w:tc>
          <w:tcPr>
            <w:tcW w:w="16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8"/>
        </w:trPr>
        <w:tc>
          <w:tcPr>
            <w:tcW w:w="20" w:type="dxa"/>
            <w:vAlign w:val="bottom"/>
          </w:tcPr>
          <w:p>
            <w:pPr>
              <w:spacing w:after="0"/>
              <w:rPr>
                <w:sz w:val="3"/>
                <w:szCs w:val="3"/>
                <w:color w:val="auto"/>
              </w:rPr>
            </w:pPr>
          </w:p>
        </w:tc>
        <w:tc>
          <w:tcPr>
            <w:tcW w:w="340" w:type="dxa"/>
            <w:vAlign w:val="bottom"/>
            <w:tcBorders>
              <w:bottom w:val="single" w:sz="8" w:color="666666"/>
            </w:tcBorders>
          </w:tcPr>
          <w:p>
            <w:pPr>
              <w:spacing w:after="0"/>
              <w:rPr>
                <w:sz w:val="3"/>
                <w:szCs w:val="3"/>
                <w:color w:val="auto"/>
              </w:rPr>
            </w:pPr>
          </w:p>
        </w:tc>
        <w:tc>
          <w:tcPr>
            <w:tcW w:w="7460" w:type="dxa"/>
            <w:vAlign w:val="bottom"/>
            <w:tcBorders>
              <w:bottom w:val="single" w:sz="8" w:color="666666"/>
            </w:tcBorders>
          </w:tcPr>
          <w:p>
            <w:pPr>
              <w:spacing w:after="0"/>
              <w:rPr>
                <w:sz w:val="3"/>
                <w:szCs w:val="3"/>
                <w:color w:val="auto"/>
              </w:rPr>
            </w:pPr>
          </w:p>
        </w:tc>
        <w:tc>
          <w:tcPr>
            <w:tcW w:w="1680" w:type="dxa"/>
            <w:vAlign w:val="bottom"/>
            <w:tcBorders>
              <w:bottom w:val="single" w:sz="8" w:color="666666"/>
            </w:tcBorders>
          </w:tcPr>
          <w:p>
            <w:pPr>
              <w:spacing w:after="0"/>
              <w:rPr>
                <w:sz w:val="3"/>
                <w:szCs w:val="3"/>
                <w:color w:val="auto"/>
              </w:rPr>
            </w:pPr>
          </w:p>
        </w:tc>
        <w:tc>
          <w:tcPr>
            <w:tcW w:w="1400" w:type="dxa"/>
            <w:vAlign w:val="bottom"/>
            <w:tcBorders>
              <w:bottom w:val="single" w:sz="8" w:color="666666"/>
            </w:tcBorders>
          </w:tcPr>
          <w:p>
            <w:pPr>
              <w:spacing w:after="0"/>
              <w:rPr>
                <w:sz w:val="3"/>
                <w:szCs w:val="3"/>
                <w:color w:val="auto"/>
              </w:rPr>
            </w:pPr>
          </w:p>
        </w:tc>
      </w:tr>
      <w:tr>
        <w:trPr>
          <w:trHeight w:val="212"/>
        </w:trPr>
        <w:tc>
          <w:tcPr>
            <w:tcW w:w="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3.</w:t>
            </w:r>
          </w:p>
        </w:tc>
        <w:tc>
          <w:tcPr>
            <w:tcW w:w="7460" w:type="dxa"/>
            <w:vAlign w:val="bottom"/>
          </w:tcPr>
          <w:p>
            <w:pPr>
              <w:ind w:left="240"/>
              <w:spacing w:after="0"/>
              <w:rPr>
                <w:sz w:val="20"/>
                <w:szCs w:val="20"/>
                <w:color w:val="auto"/>
              </w:rPr>
            </w:pPr>
            <w:r>
              <w:rPr>
                <w:rFonts w:ascii="Arial" w:cs="Arial" w:eastAsia="Arial" w:hAnsi="Arial"/>
                <w:sz w:val="14"/>
                <w:szCs w:val="14"/>
                <w:b w:val="1"/>
                <w:bCs w:val="1"/>
                <w:color w:val="auto"/>
              </w:rPr>
              <w:t xml:space="preserve">Approve Executive Compensation. </w:t>
            </w:r>
            <w:r>
              <w:rPr>
                <w:rFonts w:ascii="Arial" w:cs="Arial" w:eastAsia="Arial" w:hAnsi="Arial"/>
                <w:sz w:val="14"/>
                <w:szCs w:val="14"/>
                <w:color w:val="auto"/>
              </w:rPr>
              <w:t>To approve, in an advisory vote, the compensation of our named</w:t>
            </w:r>
          </w:p>
        </w:tc>
        <w:tc>
          <w:tcPr>
            <w:tcW w:w="1680" w:type="dxa"/>
            <w:vAlign w:val="bottom"/>
          </w:tcPr>
          <w:p>
            <w:pPr>
              <w:ind w:left="220"/>
              <w:spacing w:after="0"/>
              <w:rPr>
                <w:sz w:val="20"/>
                <w:szCs w:val="20"/>
                <w:color w:val="auto"/>
              </w:rPr>
            </w:pPr>
            <w:r>
              <w:rPr>
                <w:rFonts w:ascii="Arial" w:cs="Arial" w:eastAsia="Arial" w:hAnsi="Arial"/>
                <w:sz w:val="14"/>
                <w:szCs w:val="14"/>
                <w:color w:val="auto"/>
              </w:rPr>
              <w:t>Majority of Votes</w:t>
            </w:r>
          </w:p>
        </w:tc>
        <w:tc>
          <w:tcPr>
            <w:tcW w:w="1400" w:type="dxa"/>
            <w:vAlign w:val="bottom"/>
          </w:tcPr>
          <w:p>
            <w:pPr>
              <w:jc w:val="center"/>
              <w:ind w:left="149"/>
              <w:spacing w:after="0"/>
              <w:rPr>
                <w:sz w:val="20"/>
                <w:szCs w:val="20"/>
                <w:color w:val="auto"/>
              </w:rPr>
            </w:pPr>
            <w:r>
              <w:rPr>
                <w:rFonts w:ascii="Arial" w:cs="Arial" w:eastAsia="Arial" w:hAnsi="Arial"/>
                <w:sz w:val="14"/>
                <w:szCs w:val="14"/>
                <w:b w:val="1"/>
                <w:bCs w:val="1"/>
                <w:color w:val="C3002F"/>
              </w:rPr>
              <w:t>FOR</w:t>
            </w: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60" w:type="dxa"/>
            <w:vAlign w:val="bottom"/>
          </w:tcPr>
          <w:p>
            <w:pPr>
              <w:ind w:left="240"/>
              <w:spacing w:after="0"/>
              <w:rPr>
                <w:sz w:val="20"/>
                <w:szCs w:val="20"/>
                <w:color w:val="auto"/>
              </w:rPr>
            </w:pPr>
            <w:r>
              <w:rPr>
                <w:rFonts w:ascii="Arial" w:cs="Arial" w:eastAsia="Arial" w:hAnsi="Arial"/>
                <w:sz w:val="14"/>
                <w:szCs w:val="14"/>
                <w:color w:val="auto"/>
              </w:rPr>
              <w:t>executive officers.</w:t>
            </w:r>
          </w:p>
        </w:tc>
        <w:tc>
          <w:tcPr>
            <w:tcW w:w="1680" w:type="dxa"/>
            <w:vAlign w:val="bottom"/>
          </w:tcPr>
          <w:p>
            <w:pPr>
              <w:ind w:left="220"/>
              <w:spacing w:after="0"/>
              <w:rPr>
                <w:sz w:val="20"/>
                <w:szCs w:val="20"/>
                <w:color w:val="auto"/>
              </w:rPr>
            </w:pPr>
            <w:r>
              <w:rPr>
                <w:rFonts w:ascii="Arial" w:cs="Arial" w:eastAsia="Arial" w:hAnsi="Arial"/>
                <w:sz w:val="14"/>
                <w:szCs w:val="14"/>
                <w:color w:val="auto"/>
              </w:rPr>
              <w:t>Cast</w:t>
            </w:r>
          </w:p>
        </w:tc>
        <w:tc>
          <w:tcPr>
            <w:tcW w:w="1400" w:type="dxa"/>
            <w:vAlign w:val="bottom"/>
          </w:tcPr>
          <w:p>
            <w:pPr>
              <w:spacing w:after="0"/>
              <w:rPr>
                <w:sz w:val="14"/>
                <w:szCs w:val="14"/>
                <w:color w:val="auto"/>
              </w:rPr>
            </w:pPr>
          </w:p>
        </w:tc>
      </w:tr>
      <w:tr>
        <w:trPr>
          <w:trHeight w:val="38"/>
        </w:trPr>
        <w:tc>
          <w:tcPr>
            <w:tcW w:w="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bl>
    <w:p>
      <w:pPr>
        <w:spacing w:after="0" w:line="192" w:lineRule="exact"/>
        <w:rPr>
          <w:sz w:val="20"/>
          <w:szCs w:val="20"/>
          <w:color w:val="auto"/>
        </w:rPr>
      </w:pPr>
    </w:p>
    <w:p>
      <w:pPr>
        <w:ind w:left="260" w:right="660"/>
        <w:spacing w:after="0" w:line="253" w:lineRule="auto"/>
        <w:rPr>
          <w:sz w:val="20"/>
          <w:szCs w:val="20"/>
          <w:color w:val="auto"/>
        </w:rPr>
      </w:pPr>
      <w:r>
        <w:rPr>
          <w:rFonts w:ascii="Arial" w:cs="Arial" w:eastAsia="Arial" w:hAnsi="Arial"/>
          <w:sz w:val="14"/>
          <w:szCs w:val="14"/>
          <w:color w:val="auto"/>
        </w:rPr>
        <w:t>During the Annual General Meeting, management will present the Company’s Irish Statutory Accounts for the fiscal year ended December 31, 2017 and review the Company’s affairs.</w:t>
      </w:r>
    </w:p>
    <w:p>
      <w:pPr>
        <w:spacing w:after="0" w:line="350"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WHO CAN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40"/>
        <w:spacing w:after="0" w:line="243" w:lineRule="auto"/>
        <w:rPr>
          <w:sz w:val="20"/>
          <w:szCs w:val="20"/>
          <w:color w:val="auto"/>
        </w:rPr>
      </w:pPr>
      <w:r>
        <w:rPr>
          <w:rFonts w:ascii="Arial" w:cs="Arial" w:eastAsia="Arial" w:hAnsi="Arial"/>
          <w:sz w:val="14"/>
          <w:szCs w:val="14"/>
          <w:color w:val="auto"/>
        </w:rPr>
        <w:t>All registered shareholders at the close of business on March 2, 2018 (the “Record Date”) have the right to notice of, and to vote, in person or by proxy, at the Annual General Meeting. Registered shareholders are entitled, on a poll, to one vote per ordinary share on all matters submitted to a vote of shareholders at the Annual General Meeting, so long as those shares are represented at the Annual General Meeting in person or by proxy. A registered shareholder may appoint one or more proxies to attend, speak and vote in their place at the Annual General Meeting. A proxy holder does not need to be a registered shareholder.</w:t>
      </w:r>
    </w:p>
    <w:p>
      <w:pPr>
        <w:spacing w:after="0" w:line="358"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jc w:val="both"/>
        <w:ind w:left="260" w:right="320"/>
        <w:spacing w:after="0" w:line="246" w:lineRule="auto"/>
        <w:rPr>
          <w:sz w:val="20"/>
          <w:szCs w:val="20"/>
          <w:color w:val="auto"/>
        </w:rPr>
      </w:pPr>
      <w:r>
        <w:rPr>
          <w:rFonts w:ascii="Arial" w:cs="Arial" w:eastAsia="Arial" w:hAnsi="Arial"/>
          <w:sz w:val="14"/>
          <w:szCs w:val="14"/>
          <w:color w:val="auto"/>
        </w:rPr>
        <w:t>If you wish to attend the Annual General Meeting in person, you will need to bring proof of identification along with proof of your share ownership. If your shares are held beneficially in the name of a bank, broker or other nominee, you may bring a bank or brokerage account statement as your proof of ownership of shares as of the record date.</w:t>
      </w:r>
    </w:p>
    <w:p>
      <w:pPr>
        <w:spacing w:after="0" w:line="199" w:lineRule="exact"/>
        <w:rPr>
          <w:sz w:val="20"/>
          <w:szCs w:val="20"/>
          <w:color w:val="auto"/>
        </w:rPr>
      </w:pPr>
    </w:p>
    <w:p>
      <w:pPr>
        <w:ind w:left="260" w:right="100"/>
        <w:spacing w:after="0" w:line="253" w:lineRule="auto"/>
        <w:rPr>
          <w:sz w:val="20"/>
          <w:szCs w:val="20"/>
          <w:color w:val="auto"/>
        </w:rPr>
      </w:pPr>
      <w:r>
        <w:rPr>
          <w:rFonts w:ascii="Arial" w:cs="Arial" w:eastAsia="Arial" w:hAnsi="Arial"/>
          <w:sz w:val="14"/>
          <w:szCs w:val="14"/>
          <w:color w:val="auto"/>
        </w:rPr>
        <w:t>Registered shareholders who wish to so participate in the Annual General Meeting may do so by attending in person or at the offices of our Irish lawyers, Matheson, located at 70 Sir John Rogerson’s Quay, Dublin 2, Ireland, at the time of the meeting. All attendees will need to bring proof of identification along with proof of 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86360</wp:posOffset>
            </wp:positionV>
            <wp:extent cx="69176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ectPr>
          <w:pgSz w:w="11900" w:h="16838" w:orient="portrait"/>
          <w:cols w:equalWidth="0" w:num="1">
            <w:col w:w="11160"/>
          </w:cols>
          <w:pgMar w:left="240" w:top="455" w:right="4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7440"/>
        <w:spacing w:after="0"/>
        <w:tabs>
          <w:tab w:leader="none" w:pos="11060" w:val="left"/>
        </w:tabs>
        <w:rPr>
          <w:sz w:val="20"/>
          <w:szCs w:val="20"/>
          <w:color w:val="auto"/>
        </w:rPr>
      </w:pPr>
      <w:r>
        <w:rPr>
          <w:rFonts w:ascii="Arial" w:cs="Arial" w:eastAsia="Arial" w:hAnsi="Arial"/>
          <w:sz w:val="14"/>
          <w:szCs w:val="14"/>
          <w:color w:val="666666"/>
        </w:rPr>
        <w:t>Weatherford International plc — 2018 Proxy Statement</w:t>
      </w:r>
      <w:r>
        <w:rPr>
          <w:sz w:val="20"/>
          <w:szCs w:val="20"/>
          <w:color w:val="auto"/>
        </w:rPr>
        <w:tab/>
      </w:r>
      <w:r>
        <w:rPr>
          <w:rFonts w:ascii="Arial" w:cs="Arial" w:eastAsia="Arial" w:hAnsi="Arial"/>
          <w:sz w:val="14"/>
          <w:szCs w:val="14"/>
          <w:b w:val="1"/>
          <w:bCs w:val="1"/>
          <w:color w:val="666666"/>
        </w:rPr>
        <w:t>1</w:t>
      </w:r>
    </w:p>
    <w:p>
      <w:pPr>
        <w:sectPr>
          <w:pgSz w:w="11900" w:h="16838" w:orient="portrait"/>
          <w:cols w:equalWidth="0" w:num="1">
            <w:col w:w="11160"/>
          </w:cols>
          <w:pgMar w:left="240" w:top="455" w:right="4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666666"/>
        </w:rPr>
        <w:t>PROXY STATEMENT</w:t>
      </w:r>
    </w:p>
    <w:p>
      <w:pPr>
        <w:spacing w:after="0" w:line="200" w:lineRule="exact"/>
        <w:rPr>
          <w:sz w:val="20"/>
          <w:szCs w:val="20"/>
          <w:color w:val="auto"/>
        </w:rPr>
      </w:pPr>
    </w:p>
    <w:p>
      <w:pPr>
        <w:spacing w:after="0" w:line="333"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160"/>
        <w:spacing w:after="0" w:line="246" w:lineRule="auto"/>
        <w:rPr>
          <w:sz w:val="20"/>
          <w:szCs w:val="20"/>
          <w:color w:val="auto"/>
        </w:rPr>
      </w:pPr>
      <w:r>
        <w:rPr>
          <w:rFonts w:ascii="Arial" w:cs="Arial" w:eastAsia="Arial" w:hAnsi="Arial"/>
          <w:sz w:val="14"/>
          <w:szCs w:val="14"/>
          <w:color w:val="auto"/>
        </w:rPr>
        <w:t>To ensure your representation at the Annual General Meeting, we request that you grant your proxy to vote on each of the proposals in this Proxy Statement and any other matters that may properly come before the meeting to the persons named in the proxy card by voting in one of the ways described on page iii no later than the Voting Deadline (defined below) whether or not you plan to attend.</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C3002F"/>
        </w:rPr>
        <w:t xml:space="preserve">Voting Deadline: </w:t>
      </w:r>
      <w:r>
        <w:rPr>
          <w:rFonts w:ascii="Arial" w:cs="Arial" w:eastAsia="Arial" w:hAnsi="Arial"/>
          <w:sz w:val="14"/>
          <w:szCs w:val="14"/>
          <w:color w:val="000000"/>
        </w:rPr>
        <w:t>5:59 a.m. (Central European Time) on April 26, 2018 (11:59 p.m. (Eastern Time) on April 25, 2018).</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Most of our individual beneficial owners hold their shares through a brokerage account and therefore are not listed in our share registry.</w:t>
      </w:r>
    </w:p>
    <w:p>
      <w:pPr>
        <w:spacing w:after="0" w:line="168" w:lineRule="exact"/>
        <w:rPr>
          <w:sz w:val="20"/>
          <w:szCs w:val="20"/>
          <w:color w:val="auto"/>
        </w:rPr>
      </w:pPr>
    </w:p>
    <w:p>
      <w:pPr>
        <w:ind w:left="260" w:right="60"/>
        <w:spacing w:after="0" w:line="252" w:lineRule="auto"/>
        <w:rPr>
          <w:sz w:val="20"/>
          <w:szCs w:val="20"/>
          <w:color w:val="auto"/>
        </w:rPr>
      </w:pPr>
      <w:r>
        <w:rPr>
          <w:rFonts w:ascii="Arial" w:cs="Arial" w:eastAsia="Arial" w:hAnsi="Arial"/>
          <w:sz w:val="14"/>
          <w:szCs w:val="14"/>
          <w:b w:val="1"/>
          <w:bCs w:val="1"/>
          <w:color w:val="auto"/>
        </w:rPr>
        <w:t xml:space="preserve">Shareholders who hold their shares through a broker or other nominee (in “street name”) must vote their shares in the manner prescribed by their broker or other nominee. </w:t>
      </w:r>
      <w:r>
        <w:rPr>
          <w:rFonts w:ascii="Arial" w:cs="Arial" w:eastAsia="Arial" w:hAnsi="Arial"/>
          <w:sz w:val="14"/>
          <w:szCs w:val="14"/>
          <w:color w:val="auto"/>
        </w:rPr>
        <w:t>Shareholders who hold their shares in this manner and wish to vote in person at the meeting must obtain a valid proxy from the organization that holds their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shares. </w:t>
      </w:r>
      <w:r>
        <w:rPr>
          <w:rFonts w:ascii="Arial" w:cs="Arial" w:eastAsia="Arial" w:hAnsi="Arial"/>
          <w:sz w:val="14"/>
          <w:szCs w:val="14"/>
          <w:b w:val="1"/>
          <w:bCs w:val="1"/>
          <w:color w:val="auto"/>
        </w:rPr>
        <w:t>This may be very difficult for an individual shareholder to do, so individual shareholders holding in street name are strongly encouraged to submit their</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proxy to their broker, who in turn will vote in accordance with their directions. </w:t>
      </w:r>
      <w:r>
        <w:rPr>
          <w:rFonts w:ascii="Arial" w:cs="Arial" w:eastAsia="Arial" w:hAnsi="Arial"/>
          <w:sz w:val="14"/>
          <w:szCs w:val="14"/>
          <w:color w:val="auto"/>
        </w:rPr>
        <w:t>See “Quorum and Voting” as to the effect of broker non-votes.</w:t>
      </w:r>
    </w:p>
    <w:p>
      <w:pPr>
        <w:spacing w:after="0" w:line="352"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QUORUM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 quorum at our Annual General Meeting will be two or more persons holding or representing by proxy more than 50% of the total issued voting rights of our ordinary shares.</w:t>
      </w:r>
    </w:p>
    <w:p>
      <w:pPr>
        <w:ind w:left="260"/>
        <w:spacing w:after="0"/>
        <w:rPr>
          <w:sz w:val="20"/>
          <w:szCs w:val="20"/>
          <w:color w:val="auto"/>
        </w:rPr>
      </w:pPr>
      <w:r>
        <w:rPr>
          <w:rFonts w:ascii="Arial" w:cs="Arial" w:eastAsia="Arial" w:hAnsi="Arial"/>
          <w:sz w:val="14"/>
          <w:szCs w:val="14"/>
          <w:color w:val="auto"/>
        </w:rPr>
        <w:t>As of the Record Date, there were approximately 993,680,800 ordinary shares issued and entitled to vote.</w:t>
      </w:r>
    </w:p>
    <w:p>
      <w:pPr>
        <w:spacing w:after="0" w:line="173" w:lineRule="exact"/>
        <w:rPr>
          <w:sz w:val="20"/>
          <w:szCs w:val="20"/>
          <w:color w:val="auto"/>
        </w:rPr>
      </w:pPr>
    </w:p>
    <w:p>
      <w:pPr>
        <w:ind w:left="260" w:right="260"/>
        <w:spacing w:after="0" w:line="246" w:lineRule="auto"/>
        <w:rPr>
          <w:sz w:val="20"/>
          <w:szCs w:val="20"/>
          <w:color w:val="auto"/>
        </w:rPr>
      </w:pPr>
      <w:r>
        <w:rPr>
          <w:rFonts w:ascii="Arial" w:cs="Arial" w:eastAsia="Arial" w:hAnsi="Arial"/>
          <w:sz w:val="14"/>
          <w:szCs w:val="14"/>
          <w:color w:val="auto"/>
        </w:rPr>
        <w:t>For purposes of determining a quorum, abstentions and “broker non-votes” present in person or by proxy are counted as represented.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w:t>
      </w:r>
    </w:p>
    <w:p>
      <w:pPr>
        <w:spacing w:after="0" w:line="159" w:lineRule="exact"/>
        <w:rPr>
          <w:sz w:val="20"/>
          <w:szCs w:val="20"/>
          <w:color w:val="auto"/>
        </w:rPr>
      </w:pPr>
    </w:p>
    <w:p>
      <w:pPr>
        <w:ind w:left="260" w:right="80"/>
        <w:spacing w:after="0" w:line="243" w:lineRule="auto"/>
        <w:rPr>
          <w:sz w:val="20"/>
          <w:szCs w:val="20"/>
          <w:color w:val="auto"/>
        </w:rPr>
      </w:pPr>
      <w:r>
        <w:rPr>
          <w:rFonts w:ascii="Arial" w:cs="Arial" w:eastAsia="Arial" w:hAnsi="Arial"/>
          <w:sz w:val="14"/>
          <w:szCs w:val="14"/>
          <w:color w:val="auto"/>
        </w:rPr>
        <w:t>If you are a beneficial shareholder and your broker or other nominee holds your shares in its name (in “street name”), the broker generally has discretion to vote your shares with respect to “routine” proposals. The “routine” proposal in this Proxy Statement is Proposal 2. All other proposals (i.e., Proposals 1 and 3) are “non-routine” and your broker may not vote your shares. Accordingly, if you hold your shares in “street name,” your broker will not be able to vote your shares on these matters unless your broker receives voting instructions from you.</w:t>
      </w:r>
    </w:p>
    <w:p>
      <w:pPr>
        <w:spacing w:after="0" w:line="176" w:lineRule="exact"/>
        <w:rPr>
          <w:sz w:val="20"/>
          <w:szCs w:val="20"/>
          <w:color w:val="auto"/>
        </w:rPr>
      </w:pPr>
    </w:p>
    <w:p>
      <w:pPr>
        <w:ind w:left="260" w:right="100"/>
        <w:spacing w:after="0" w:line="253" w:lineRule="auto"/>
        <w:rPr>
          <w:sz w:val="20"/>
          <w:szCs w:val="20"/>
          <w:color w:val="auto"/>
        </w:rPr>
      </w:pPr>
      <w:r>
        <w:rPr>
          <w:rFonts w:ascii="Arial" w:cs="Arial" w:eastAsia="Arial" w:hAnsi="Arial"/>
          <w:sz w:val="14"/>
          <w:szCs w:val="14"/>
          <w:color w:val="auto"/>
        </w:rPr>
        <w:t>Approval of each proposal will be decided by an “ordinary resolution” (i.e., by a simple majority of the votes cast “For” or “Against,” in person or by proxy, provided a quorum is present). Abstentions and broker “non-votes” will not affect the voting results for any agenda items under Irish law or NYSE rules.</w:t>
      </w:r>
    </w:p>
    <w:p>
      <w:pPr>
        <w:spacing w:after="0" w:line="155" w:lineRule="exact"/>
        <w:rPr>
          <w:sz w:val="20"/>
          <w:szCs w:val="20"/>
          <w:color w:val="auto"/>
        </w:rPr>
      </w:pPr>
    </w:p>
    <w:p>
      <w:pPr>
        <w:ind w:left="260" w:right="60"/>
        <w:spacing w:after="0" w:line="243" w:lineRule="auto"/>
        <w:rPr>
          <w:sz w:val="20"/>
          <w:szCs w:val="20"/>
          <w:color w:val="auto"/>
        </w:rPr>
      </w:pPr>
      <w:r>
        <w:rPr>
          <w:rFonts w:ascii="Arial" w:cs="Arial" w:eastAsia="Arial" w:hAnsi="Arial"/>
          <w:sz w:val="14"/>
          <w:szCs w:val="14"/>
          <w:color w:val="auto"/>
        </w:rPr>
        <w:t>The election of each director nominee will be considered and voted upon as a separate proposal. There is no cumulative voting in the election of directors. If the proposal for the election of a director nominee does not receive the required majority of the votes cast, then the director will not be elected and the position on the Board that would have been filled by the director nominee will become vacant. The Board has the ability to fill the vacancy upon the recommendation of its Corporate Governance and Nominating Committee, subject to re-election by the Company’s shareholders at the next annual general meeting of shareholders.</w:t>
      </w:r>
    </w:p>
    <w:p>
      <w:pPr>
        <w:spacing w:after="0" w:line="162" w:lineRule="exact"/>
        <w:rPr>
          <w:sz w:val="20"/>
          <w:szCs w:val="20"/>
          <w:color w:val="auto"/>
        </w:rPr>
      </w:pPr>
    </w:p>
    <w:p>
      <w:pPr>
        <w:ind w:left="260" w:right="260"/>
        <w:spacing w:after="0" w:line="253" w:lineRule="auto"/>
        <w:rPr>
          <w:sz w:val="20"/>
          <w:szCs w:val="20"/>
          <w:color w:val="auto"/>
        </w:rPr>
      </w:pPr>
      <w:r>
        <w:rPr>
          <w:rFonts w:ascii="Arial" w:cs="Arial" w:eastAsia="Arial" w:hAnsi="Arial"/>
          <w:sz w:val="14"/>
          <w:szCs w:val="14"/>
          <w:color w:val="auto"/>
        </w:rPr>
        <w:t>The chart below summarizes the voting requirements and effects of broker non-votes and abstentions on the outcome of the vote for the proposals at the Annual General Meeting.</w:t>
      </w:r>
    </w:p>
    <w:p>
      <w:pPr>
        <w:spacing w:after="0" w:line="17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Broker</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0"/>
        </w:trPr>
        <w:tc>
          <w:tcPr>
            <w:tcW w:w="1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Discretionary</w:t>
            </w: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Voting</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Broker</w:t>
            </w:r>
          </w:p>
        </w:tc>
        <w:tc>
          <w:tcPr>
            <w:tcW w:w="1000" w:type="dxa"/>
            <w:vAlign w:val="bottom"/>
          </w:tcPr>
          <w:p>
            <w:pPr>
              <w:spacing w:after="0"/>
              <w:rPr>
                <w:sz w:val="13"/>
                <w:szCs w:val="13"/>
                <w:color w:val="auto"/>
              </w:rPr>
            </w:pPr>
          </w:p>
        </w:tc>
      </w:tr>
      <w:tr>
        <w:trPr>
          <w:trHeight w:val="187"/>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Proposal</w:t>
            </w:r>
          </w:p>
        </w:tc>
        <w:tc>
          <w:tcPr>
            <w:tcW w:w="3160" w:type="dxa"/>
            <w:vAlign w:val="bottom"/>
            <w:tcBorders>
              <w:bottom w:val="single" w:sz="8" w:color="auto"/>
            </w:tcBorders>
          </w:tcPr>
          <w:p>
            <w:pPr>
              <w:jc w:val="center"/>
              <w:ind w:left="1389"/>
              <w:spacing w:after="0"/>
              <w:rPr>
                <w:sz w:val="20"/>
                <w:szCs w:val="20"/>
                <w:color w:val="auto"/>
              </w:rPr>
            </w:pPr>
            <w:r>
              <w:rPr>
                <w:rFonts w:ascii="Arial" w:cs="Arial" w:eastAsia="Arial" w:hAnsi="Arial"/>
                <w:sz w:val="14"/>
                <w:szCs w:val="14"/>
                <w:b w:val="1"/>
                <w:bCs w:val="1"/>
                <w:color w:val="auto"/>
              </w:rPr>
              <w:t>Required Approval</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Allowed</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Non-Votes</w:t>
            </w:r>
          </w:p>
        </w:tc>
        <w:tc>
          <w:tcPr>
            <w:tcW w:w="1000" w:type="dxa"/>
            <w:vAlign w:val="bottom"/>
            <w:tcBorders>
              <w:bottom w:val="single" w:sz="8" w:color="auto"/>
            </w:tcBorders>
          </w:tcPr>
          <w:p>
            <w:pPr>
              <w:jc w:val="center"/>
              <w:ind w:left="69"/>
              <w:spacing w:after="0"/>
              <w:rPr>
                <w:sz w:val="20"/>
                <w:szCs w:val="20"/>
                <w:color w:val="auto"/>
              </w:rPr>
            </w:pPr>
            <w:r>
              <w:rPr>
                <w:rFonts w:ascii="Arial" w:cs="Arial" w:eastAsia="Arial" w:hAnsi="Arial"/>
                <w:sz w:val="14"/>
                <w:szCs w:val="14"/>
                <w:b w:val="1"/>
                <w:bCs w:val="1"/>
                <w:color w:val="auto"/>
              </w:rPr>
              <w:t>Abstentions</w:t>
            </w:r>
          </w:p>
        </w:tc>
      </w:tr>
      <w:tr>
        <w:trPr>
          <w:trHeight w:val="228"/>
        </w:trPr>
        <w:tc>
          <w:tcPr>
            <w:tcW w:w="140" w:type="dxa"/>
            <w:vAlign w:val="bottom"/>
            <w:tcBorders>
              <w:bottom w:val="single" w:sz="8" w:color="666666"/>
            </w:tcBorders>
          </w:tcPr>
          <w:p>
            <w:pPr>
              <w:spacing w:after="0"/>
              <w:rPr>
                <w:sz w:val="20"/>
                <w:szCs w:val="20"/>
                <w:color w:val="auto"/>
              </w:rPr>
            </w:pPr>
            <w:r>
              <w:rPr>
                <w:rFonts w:ascii="Arial" w:cs="Arial" w:eastAsia="Arial" w:hAnsi="Arial"/>
                <w:sz w:val="14"/>
                <w:szCs w:val="14"/>
                <w:color w:val="auto"/>
              </w:rPr>
              <w:t>1.</w:t>
            </w:r>
          </w:p>
        </w:tc>
        <w:tc>
          <w:tcPr>
            <w:tcW w:w="438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Election of Directors</w:t>
            </w:r>
          </w:p>
        </w:tc>
        <w:tc>
          <w:tcPr>
            <w:tcW w:w="3160" w:type="dxa"/>
            <w:vAlign w:val="bottom"/>
            <w:tcBorders>
              <w:bottom w:val="single" w:sz="8" w:color="666666"/>
            </w:tcBorders>
          </w:tcPr>
          <w:p>
            <w:pPr>
              <w:jc w:val="center"/>
              <w:ind w:left="1389"/>
              <w:spacing w:after="0"/>
              <w:rPr>
                <w:sz w:val="20"/>
                <w:szCs w:val="20"/>
                <w:color w:val="auto"/>
              </w:rPr>
            </w:pPr>
            <w:r>
              <w:rPr>
                <w:rFonts w:ascii="Arial" w:cs="Arial" w:eastAsia="Arial" w:hAnsi="Arial"/>
                <w:sz w:val="14"/>
                <w:szCs w:val="14"/>
                <w:color w:val="auto"/>
              </w:rPr>
              <w:t>Majority of Votes Cast</w:t>
            </w:r>
          </w:p>
        </w:tc>
        <w:tc>
          <w:tcPr>
            <w:tcW w:w="12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w:t>
            </w:r>
          </w:p>
        </w:tc>
        <w:tc>
          <w:tcPr>
            <w:tcW w:w="102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w w:val="99"/>
              </w:rPr>
              <w:t>No effect</w:t>
            </w:r>
          </w:p>
        </w:tc>
        <w:tc>
          <w:tcPr>
            <w:tcW w:w="1000" w:type="dxa"/>
            <w:vAlign w:val="bottom"/>
            <w:tcBorders>
              <w:bottom w:val="single" w:sz="8" w:color="666666"/>
            </w:tcBorders>
          </w:tcPr>
          <w:p>
            <w:pPr>
              <w:jc w:val="center"/>
              <w:ind w:left="69"/>
              <w:spacing w:after="0"/>
              <w:rPr>
                <w:sz w:val="20"/>
                <w:szCs w:val="20"/>
                <w:color w:val="auto"/>
              </w:rPr>
            </w:pPr>
            <w:r>
              <w:rPr>
                <w:rFonts w:ascii="Arial" w:cs="Arial" w:eastAsia="Arial" w:hAnsi="Arial"/>
                <w:sz w:val="14"/>
                <w:szCs w:val="14"/>
                <w:color w:val="auto"/>
              </w:rPr>
              <w:t>No effect</w:t>
            </w:r>
          </w:p>
        </w:tc>
      </w:tr>
      <w:tr>
        <w:trPr>
          <w:trHeight w:val="234"/>
        </w:trPr>
        <w:tc>
          <w:tcPr>
            <w:tcW w:w="140" w:type="dxa"/>
            <w:vAlign w:val="bottom"/>
            <w:tcBorders>
              <w:bottom w:val="single" w:sz="8" w:color="666666"/>
            </w:tcBorders>
          </w:tcPr>
          <w:p>
            <w:pPr>
              <w:spacing w:after="0"/>
              <w:rPr>
                <w:sz w:val="20"/>
                <w:szCs w:val="20"/>
                <w:color w:val="auto"/>
              </w:rPr>
            </w:pPr>
            <w:r>
              <w:rPr>
                <w:rFonts w:ascii="Arial" w:cs="Arial" w:eastAsia="Arial" w:hAnsi="Arial"/>
                <w:sz w:val="14"/>
                <w:szCs w:val="14"/>
                <w:color w:val="auto"/>
              </w:rPr>
              <w:t>2.</w:t>
            </w:r>
          </w:p>
        </w:tc>
        <w:tc>
          <w:tcPr>
            <w:tcW w:w="438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Ratify Appointment of Independent Auditors</w:t>
            </w:r>
          </w:p>
        </w:tc>
        <w:tc>
          <w:tcPr>
            <w:tcW w:w="3160" w:type="dxa"/>
            <w:vAlign w:val="bottom"/>
            <w:tcBorders>
              <w:bottom w:val="single" w:sz="8" w:color="666666"/>
            </w:tcBorders>
          </w:tcPr>
          <w:p>
            <w:pPr>
              <w:jc w:val="center"/>
              <w:ind w:left="1389"/>
              <w:spacing w:after="0"/>
              <w:rPr>
                <w:sz w:val="20"/>
                <w:szCs w:val="20"/>
                <w:color w:val="auto"/>
              </w:rPr>
            </w:pPr>
            <w:r>
              <w:rPr>
                <w:rFonts w:ascii="Arial" w:cs="Arial" w:eastAsia="Arial" w:hAnsi="Arial"/>
                <w:sz w:val="14"/>
                <w:szCs w:val="14"/>
                <w:color w:val="auto"/>
              </w:rPr>
              <w:t>Majority of Votes Cast</w:t>
            </w:r>
          </w:p>
        </w:tc>
        <w:tc>
          <w:tcPr>
            <w:tcW w:w="12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w w:val="99"/>
              </w:rPr>
              <w:t>Yes</w:t>
            </w:r>
          </w:p>
        </w:tc>
        <w:tc>
          <w:tcPr>
            <w:tcW w:w="102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N/A</w:t>
            </w:r>
          </w:p>
        </w:tc>
        <w:tc>
          <w:tcPr>
            <w:tcW w:w="1000" w:type="dxa"/>
            <w:vAlign w:val="bottom"/>
            <w:tcBorders>
              <w:bottom w:val="single" w:sz="8" w:color="666666"/>
            </w:tcBorders>
          </w:tcPr>
          <w:p>
            <w:pPr>
              <w:jc w:val="center"/>
              <w:ind w:left="69"/>
              <w:spacing w:after="0"/>
              <w:rPr>
                <w:sz w:val="20"/>
                <w:szCs w:val="20"/>
                <w:color w:val="auto"/>
              </w:rPr>
            </w:pPr>
            <w:r>
              <w:rPr>
                <w:rFonts w:ascii="Arial" w:cs="Arial" w:eastAsia="Arial" w:hAnsi="Arial"/>
                <w:sz w:val="14"/>
                <w:szCs w:val="14"/>
                <w:color w:val="auto"/>
              </w:rPr>
              <w:t>No effect</w:t>
            </w:r>
          </w:p>
        </w:tc>
      </w:tr>
      <w:tr>
        <w:trPr>
          <w:trHeight w:val="234"/>
        </w:trPr>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3.</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Approve Executive Compensation</w:t>
            </w:r>
          </w:p>
        </w:tc>
        <w:tc>
          <w:tcPr>
            <w:tcW w:w="3160" w:type="dxa"/>
            <w:vAlign w:val="bottom"/>
            <w:tcBorders>
              <w:bottom w:val="single" w:sz="8" w:color="auto"/>
            </w:tcBorders>
          </w:tcPr>
          <w:p>
            <w:pPr>
              <w:jc w:val="center"/>
              <w:ind w:left="1389"/>
              <w:spacing w:after="0"/>
              <w:rPr>
                <w:sz w:val="20"/>
                <w:szCs w:val="20"/>
                <w:color w:val="auto"/>
              </w:rPr>
            </w:pPr>
            <w:r>
              <w:rPr>
                <w:rFonts w:ascii="Arial" w:cs="Arial" w:eastAsia="Arial" w:hAnsi="Arial"/>
                <w:sz w:val="14"/>
                <w:szCs w:val="14"/>
                <w:color w:val="auto"/>
              </w:rPr>
              <w:t>Majority of Votes Cast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No effect</w:t>
            </w:r>
          </w:p>
        </w:tc>
        <w:tc>
          <w:tcPr>
            <w:tcW w:w="1000" w:type="dxa"/>
            <w:vAlign w:val="bottom"/>
            <w:tcBorders>
              <w:bottom w:val="single" w:sz="8" w:color="auto"/>
            </w:tcBorders>
          </w:tcPr>
          <w:p>
            <w:pPr>
              <w:jc w:val="center"/>
              <w:ind w:left="69"/>
              <w:spacing w:after="0"/>
              <w:rPr>
                <w:sz w:val="20"/>
                <w:szCs w:val="20"/>
                <w:color w:val="auto"/>
              </w:rPr>
            </w:pPr>
            <w:r>
              <w:rPr>
                <w:rFonts w:ascii="Arial" w:cs="Arial" w:eastAsia="Arial" w:hAnsi="Arial"/>
                <w:sz w:val="14"/>
                <w:szCs w:val="14"/>
                <w:color w:val="auto"/>
              </w:rPr>
              <w:t>No effect</w:t>
            </w:r>
          </w:p>
        </w:tc>
      </w:tr>
    </w:tbl>
    <w:p>
      <w:pPr>
        <w:spacing w:after="0" w:line="374"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-304800</wp:posOffset>
            </wp:positionV>
            <wp:extent cx="822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 copy of either:</w:t>
      </w:r>
    </w:p>
    <w:p>
      <w:pPr>
        <w:spacing w:after="0" w:line="213" w:lineRule="exact"/>
        <w:rPr>
          <w:sz w:val="20"/>
          <w:szCs w:val="20"/>
          <w:color w:val="auto"/>
        </w:rPr>
      </w:pPr>
    </w:p>
    <w:p>
      <w:pPr>
        <w:ind w:left="800" w:right="140" w:hanging="426"/>
        <w:spacing w:after="0" w:line="246" w:lineRule="auto"/>
        <w:tabs>
          <w:tab w:leader="none" w:pos="8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 Notice of Internet Availability of Proxy Materials (“Notice of Internet Availability”) notifying each shareholder entitled to vote at the Annual General Meeting how to vote and how to electronically access a copy of this Proxy Statement and our Annual Report and Irish Statutory Accounts for the year ended December 31, 2017 (the “Proxy Materials)” or</w:t>
      </w:r>
    </w:p>
    <w:p>
      <w:pPr>
        <w:spacing w:after="0" w:line="199" w:lineRule="exact"/>
        <w:rPr>
          <w:rFonts w:ascii="Arial" w:cs="Arial" w:eastAsia="Arial" w:hAnsi="Arial"/>
          <w:sz w:val="14"/>
          <w:szCs w:val="14"/>
          <w:color w:val="auto"/>
        </w:rPr>
      </w:pPr>
    </w:p>
    <w:p>
      <w:pPr>
        <w:ind w:left="800" w:hanging="426"/>
        <w:spacing w:after="0"/>
        <w:tabs>
          <w:tab w:leader="none" w:pos="8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Proxy Materials and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106680</wp:posOffset>
            </wp:positionV>
            <wp:extent cx="6917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ectPr>
          <w:pgSz w:w="11900" w:h="16838" w:orient="portrait"/>
          <w:cols w:equalWidth="0" w:num="1">
            <w:col w:w="11160"/>
          </w:cols>
          <w:pgMar w:left="240" w:top="455" w:right="49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540" w:hanging="273"/>
        <w:spacing w:after="0"/>
        <w:tabs>
          <w:tab w:leader="none" w:pos="540" w:val="left"/>
        </w:tabs>
        <w:numPr>
          <w:ilvl w:val="0"/>
          <w:numId w:val="26"/>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2018 Proxy Statement</w:t>
      </w:r>
    </w:p>
    <w:p>
      <w:pPr>
        <w:sectPr>
          <w:pgSz w:w="11900" w:h="16838" w:orient="portrait"/>
          <w:cols w:equalWidth="0" w:num="1">
            <w:col w:w="11160"/>
          </w:cols>
          <w:pgMar w:left="240" w:top="455" w:right="49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9780"/>
        <w:spacing w:after="0"/>
        <w:rPr>
          <w:sz w:val="20"/>
          <w:szCs w:val="20"/>
          <w:color w:val="auto"/>
        </w:rPr>
      </w:pPr>
      <w:r>
        <w:rPr>
          <w:rFonts w:ascii="Arial" w:cs="Arial" w:eastAsia="Arial" w:hAnsi="Arial"/>
          <w:sz w:val="13"/>
          <w:szCs w:val="13"/>
          <w:b w:val="1"/>
          <w:bCs w:val="1"/>
          <w:color w:val="666666"/>
        </w:rPr>
        <w:t>PROXY STATEMENT</w:t>
      </w:r>
    </w:p>
    <w:p>
      <w:pPr>
        <w:spacing w:after="0" w:line="176" w:lineRule="exact"/>
        <w:rPr>
          <w:sz w:val="20"/>
          <w:szCs w:val="20"/>
          <w:color w:val="auto"/>
        </w:rPr>
      </w:pPr>
    </w:p>
    <w:p>
      <w:pPr>
        <w:ind w:left="260" w:right="20"/>
        <w:spacing w:after="0" w:line="246" w:lineRule="auto"/>
        <w:rPr>
          <w:sz w:val="20"/>
          <w:szCs w:val="20"/>
          <w:color w:val="auto"/>
        </w:rPr>
      </w:pPr>
      <w:r>
        <w:rPr>
          <w:rFonts w:ascii="Arial" w:cs="Arial" w:eastAsia="Arial" w:hAnsi="Arial"/>
          <w:sz w:val="14"/>
          <w:szCs w:val="14"/>
          <w:color w:val="auto"/>
        </w:rPr>
        <w:t>are being sent to each shareholder registered in our share register as of the Record Date. Shareholders not registered in our share register as of the Record Date, will not be entitled to attend, vote or grant proxies to vote at the Annual General Meeting. Your vote and proxy are being solicited by our Board of Directors in favor of Christina M. Ibrahim or, failing her, Mark A. McCollum (the “Proxy Holders”), for use at the Annual General Meeting.</w:t>
      </w:r>
    </w:p>
    <w:p>
      <w:pPr>
        <w:spacing w:after="0" w:line="159" w:lineRule="exact"/>
        <w:rPr>
          <w:sz w:val="20"/>
          <w:szCs w:val="20"/>
          <w:color w:val="auto"/>
        </w:rPr>
      </w:pPr>
    </w:p>
    <w:p>
      <w:pPr>
        <w:ind w:left="260" w:right="20"/>
        <w:spacing w:after="0" w:line="246" w:lineRule="auto"/>
        <w:rPr>
          <w:sz w:val="20"/>
          <w:szCs w:val="20"/>
          <w:color w:val="auto"/>
        </w:rPr>
      </w:pPr>
      <w:r>
        <w:rPr>
          <w:rFonts w:ascii="Arial" w:cs="Arial" w:eastAsia="Arial" w:hAnsi="Arial"/>
          <w:sz w:val="14"/>
          <w:szCs w:val="14"/>
          <w:color w:val="auto"/>
        </w:rPr>
        <w:t>We request that you grant your proxy to vote on each of the proposals in this notice and any other matters that may properly come before the meeting to the Proxy Holders by completing, signing, dating and returning the proxy card in accordance with the instructions thereon, for receipt by us no later than the Voting Deadline, whether or not you plan to attend.</w:t>
      </w:r>
    </w:p>
    <w:p>
      <w:pPr>
        <w:spacing w:after="0" w:line="159" w:lineRule="exact"/>
        <w:rPr>
          <w:sz w:val="20"/>
          <w:szCs w:val="20"/>
          <w:color w:val="auto"/>
        </w:rPr>
      </w:pPr>
    </w:p>
    <w:p>
      <w:pPr>
        <w:ind w:left="260" w:right="60"/>
        <w:spacing w:after="0" w:line="242" w:lineRule="auto"/>
        <w:rPr>
          <w:sz w:val="20"/>
          <w:szCs w:val="20"/>
          <w:color w:val="auto"/>
        </w:rPr>
      </w:pPr>
      <w:r>
        <w:rPr>
          <w:rFonts w:ascii="Arial" w:cs="Arial" w:eastAsia="Arial" w:hAnsi="Arial"/>
          <w:sz w:val="14"/>
          <w:szCs w:val="14"/>
          <w:color w:val="auto"/>
        </w:rPr>
        <w:t>If you are a registered holder and you properly complete and submit your proxy card in a timely manner, you will be legally designating the individual or individuals named by you in the proxy card, or if you do not name your proxy or proxies, the Proxy Holders, to vote your shares in accordance with your instructions indicated on the card. If you are a registered shareholder and properly complete and submit your proxy card in a timely manner without naming your proxy or proxies and you do not indicate how your shares are to be voted, then the Proxy Holders will vote as the Board of Directors recommends on each proposal and if other matters properly come before the Annual General Meeting, the Proxy Holders will have your authority to vote your shares in their discretion on such matters.</w:t>
      </w:r>
    </w:p>
    <w:p>
      <w:pPr>
        <w:spacing w:after="0" w:line="176" w:lineRule="exact"/>
        <w:rPr>
          <w:sz w:val="20"/>
          <w:szCs w:val="20"/>
          <w:color w:val="auto"/>
        </w:rPr>
      </w:pPr>
    </w:p>
    <w:p>
      <w:pPr>
        <w:ind w:left="260" w:right="440"/>
        <w:spacing w:after="0" w:line="253" w:lineRule="auto"/>
        <w:rPr>
          <w:sz w:val="20"/>
          <w:szCs w:val="20"/>
          <w:color w:val="auto"/>
        </w:rPr>
      </w:pPr>
      <w:r>
        <w:rPr>
          <w:rFonts w:ascii="Arial" w:cs="Arial" w:eastAsia="Arial" w:hAnsi="Arial"/>
          <w:sz w:val="14"/>
          <w:szCs w:val="14"/>
          <w:color w:val="auto"/>
        </w:rPr>
        <w:t>We may accept a proxy by any form of communication permitted by Irish law and as the Board of Directors may approve in accordance with our Articles of Association (“Articles”).</w:t>
      </w:r>
    </w:p>
    <w:p>
      <w:pPr>
        <w:spacing w:after="0" w:line="350"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REVOKING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If you are a registered shareholder, you may revoke your proxy by:</w:t>
      </w:r>
    </w:p>
    <w:p>
      <w:pPr>
        <w:spacing w:after="0" w:line="213" w:lineRule="exact"/>
        <w:rPr>
          <w:sz w:val="20"/>
          <w:szCs w:val="20"/>
          <w:color w:val="auto"/>
        </w:rPr>
      </w:pPr>
    </w:p>
    <w:p>
      <w:pPr>
        <w:ind w:left="480" w:right="100" w:hanging="213"/>
        <w:spacing w:after="0" w:line="253" w:lineRule="auto"/>
        <w:tabs>
          <w:tab w:leader="none" w:pos="480" w:val="left"/>
        </w:tabs>
        <w:numPr>
          <w:ilvl w:val="0"/>
          <w:numId w:val="27"/>
        </w:numPr>
        <w:rPr>
          <w:rFonts w:ascii="Arial" w:cs="Arial" w:eastAsia="Arial" w:hAnsi="Arial"/>
          <w:sz w:val="14"/>
          <w:szCs w:val="14"/>
          <w:color w:val="C3002F"/>
        </w:rPr>
      </w:pPr>
      <w:r>
        <w:rPr>
          <w:rFonts w:ascii="Arial" w:cs="Arial" w:eastAsia="Arial" w:hAnsi="Arial"/>
          <w:sz w:val="14"/>
          <w:szCs w:val="14"/>
          <w:color w:val="auto"/>
        </w:rPr>
        <w:t>writing to the Corporate Secretary at Weststrasse 1, 6340 Baar, Switzerland, or at the Company’s registered office, 70 Sir John Rogerson’s Quay, Dublin 2, Ireland, such that the revocation is received at least one hour prior to the commencement of the Annual General Meeting; or</w:t>
      </w:r>
    </w:p>
    <w:p>
      <w:pPr>
        <w:spacing w:after="0" w:line="194" w:lineRule="exact"/>
        <w:rPr>
          <w:rFonts w:ascii="Arial" w:cs="Arial" w:eastAsia="Arial" w:hAnsi="Arial"/>
          <w:sz w:val="14"/>
          <w:szCs w:val="14"/>
          <w:color w:val="C3002F"/>
        </w:rPr>
      </w:pPr>
    </w:p>
    <w:p>
      <w:pPr>
        <w:ind w:left="480" w:hanging="213"/>
        <w:spacing w:after="0"/>
        <w:tabs>
          <w:tab w:leader="none" w:pos="480" w:val="left"/>
        </w:tabs>
        <w:numPr>
          <w:ilvl w:val="0"/>
          <w:numId w:val="27"/>
        </w:numPr>
        <w:rPr>
          <w:rFonts w:ascii="Arial" w:cs="Arial" w:eastAsia="Arial" w:hAnsi="Arial"/>
          <w:sz w:val="14"/>
          <w:szCs w:val="14"/>
          <w:color w:val="C3002F"/>
        </w:rPr>
      </w:pPr>
      <w:r>
        <w:rPr>
          <w:rFonts w:ascii="Arial" w:cs="Arial" w:eastAsia="Arial" w:hAnsi="Arial"/>
          <w:sz w:val="14"/>
          <w:szCs w:val="14"/>
          <w:color w:val="auto"/>
        </w:rPr>
        <w:t>submitting a later-dated proxy via mail, to the address specified in the proxy materials, for receipt by us no later than the Voting Deadline.</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If you have revoked your proxy as described above, you may attend and vote in person at the Annual General Meeting.</w:t>
      </w:r>
    </w:p>
    <w:p>
      <w:pPr>
        <w:spacing w:after="0" w:line="173" w:lineRule="exact"/>
        <w:rPr>
          <w:sz w:val="20"/>
          <w:szCs w:val="20"/>
          <w:color w:val="auto"/>
        </w:rPr>
      </w:pPr>
    </w:p>
    <w:p>
      <w:pPr>
        <w:ind w:left="260" w:right="200"/>
        <w:spacing w:after="0" w:line="253" w:lineRule="auto"/>
        <w:rPr>
          <w:sz w:val="20"/>
          <w:szCs w:val="20"/>
          <w:color w:val="auto"/>
        </w:rPr>
      </w:pPr>
      <w:r>
        <w:rPr>
          <w:rFonts w:ascii="Arial" w:cs="Arial" w:eastAsia="Arial" w:hAnsi="Arial"/>
          <w:sz w:val="14"/>
          <w:szCs w:val="14"/>
          <w:color w:val="auto"/>
        </w:rPr>
        <w:t>If you are not a registered holder, but you hold your shares through a broker or other nominee, you must follow the instructions provided by your broker or other nominee if you wish to revoke a previously granted proxy, since attending the Annual General Meeting alone will not revoke any proxy.</w:t>
      </w:r>
    </w:p>
    <w:p>
      <w:pPr>
        <w:spacing w:after="0" w:line="350"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MULTIPLE PROXY CARDS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-304800</wp:posOffset>
            </wp:positionV>
            <wp:extent cx="822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If you receive multiple proxy cards, this indicates that your shares are held in more than one account, such as two brokerage accounts and are registered in different names.</w:t>
      </w:r>
    </w:p>
    <w:p>
      <w:pPr>
        <w:ind w:left="260"/>
        <w:spacing w:after="0"/>
        <w:rPr>
          <w:sz w:val="20"/>
          <w:szCs w:val="20"/>
          <w:color w:val="auto"/>
        </w:rPr>
      </w:pPr>
      <w:r>
        <w:rPr>
          <w:rFonts w:ascii="Arial" w:cs="Arial" w:eastAsia="Arial" w:hAnsi="Arial"/>
          <w:sz w:val="14"/>
          <w:szCs w:val="14"/>
          <w:color w:val="auto"/>
        </w:rPr>
        <w:t>You should complete and return each of the proxy cards to ensure that all of your shares are voted.</w:t>
      </w:r>
    </w:p>
    <w:p>
      <w:pPr>
        <w:spacing w:after="0" w:line="368"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COST OF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-304800</wp:posOffset>
            </wp:positionV>
            <wp:extent cx="822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jc w:val="both"/>
        <w:ind w:left="260" w:right="80"/>
        <w:spacing w:after="0" w:line="246" w:lineRule="auto"/>
        <w:rPr>
          <w:sz w:val="20"/>
          <w:szCs w:val="20"/>
          <w:color w:val="auto"/>
        </w:rPr>
      </w:pPr>
      <w:r>
        <w:rPr>
          <w:rFonts w:ascii="Arial" w:cs="Arial" w:eastAsia="Arial" w:hAnsi="Arial"/>
          <w:sz w:val="14"/>
          <w:szCs w:val="14"/>
          <w:color w:val="auto"/>
        </w:rPr>
        <w:t>We have retained Okapi Partners LLC to solicit proxies from our shareholders at an estimated fee of $20,000, plus expenses. Some of our directors, officers and employees may solicit proxies personally, without any additional compensation, electronically, by telephone or by mail. Proxy materials also will be furnished without cost to brokers and other nominees to forward to the beneficial owners of shares held in their names. All costs of proxy solicitation will be borne by the Company.</w:t>
      </w:r>
    </w:p>
    <w:p>
      <w:pPr>
        <w:spacing w:after="0" w:line="355"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-304800</wp:posOffset>
            </wp:positionV>
            <wp:extent cx="822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100"/>
        <w:spacing w:after="0" w:line="246" w:lineRule="auto"/>
        <w:rPr>
          <w:sz w:val="20"/>
          <w:szCs w:val="20"/>
          <w:color w:val="auto"/>
        </w:rPr>
      </w:pPr>
      <w:r>
        <w:rPr>
          <w:rFonts w:ascii="Arial" w:cs="Arial" w:eastAsia="Arial" w:hAnsi="Arial"/>
          <w:sz w:val="14"/>
          <w:szCs w:val="14"/>
          <w:color w:val="auto"/>
        </w:rPr>
        <w:t>You may call our proxy solicitor, Okapi Partners LLC, toll-free at (855) 305-0857 (U.S. callers) or +1 (212) 297-0720 (international callers), or our U.S. Investor Relations Department at +1 (713) 836-4000, or email us at investor.relations@weatherford.com if you have any questions or need directions to be able to attend the meeting and vote in person.</w:t>
      </w:r>
    </w:p>
    <w:p>
      <w:pPr>
        <w:spacing w:after="0" w:line="334" w:lineRule="exact"/>
        <w:rPr>
          <w:sz w:val="20"/>
          <w:szCs w:val="20"/>
          <w:color w:val="auto"/>
        </w:rPr>
      </w:pPr>
    </w:p>
    <w:p>
      <w:pPr>
        <w:ind w:left="260"/>
        <w:spacing w:after="0"/>
        <w:rPr>
          <w:sz w:val="20"/>
          <w:szCs w:val="20"/>
          <w:color w:val="auto"/>
        </w:rPr>
      </w:pPr>
      <w:r>
        <w:rPr>
          <w:rFonts w:ascii="Arial" w:cs="Arial" w:eastAsia="Arial" w:hAnsi="Arial"/>
          <w:sz w:val="63"/>
          <w:szCs w:val="63"/>
          <w:b w:val="1"/>
          <w:bCs w:val="1"/>
          <w:color w:val="C3002F"/>
        </w:rPr>
        <w:t>Please Vote. 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-437515</wp:posOffset>
            </wp:positionV>
            <wp:extent cx="822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2325"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163830</wp:posOffset>
            </wp:positionV>
            <wp:extent cx="6917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ectPr>
          <w:pgSz w:w="11900" w:h="16838" w:orient="portrait"/>
          <w:cols w:equalWidth="0" w:num="1">
            <w:col w:w="11160"/>
          </w:cols>
          <w:pgMar w:left="240" w:top="455" w:right="49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7440"/>
        <w:spacing w:after="0"/>
        <w:tabs>
          <w:tab w:leader="none" w:pos="11060" w:val="left"/>
        </w:tabs>
        <w:rPr>
          <w:sz w:val="20"/>
          <w:szCs w:val="20"/>
          <w:color w:val="auto"/>
        </w:rPr>
      </w:pPr>
      <w:r>
        <w:rPr>
          <w:rFonts w:ascii="Arial" w:cs="Arial" w:eastAsia="Arial" w:hAnsi="Arial"/>
          <w:sz w:val="14"/>
          <w:szCs w:val="14"/>
          <w:color w:val="666666"/>
        </w:rPr>
        <w:t>Weatherford International plc — 2018 Proxy Statement</w:t>
      </w:r>
      <w:r>
        <w:rPr>
          <w:sz w:val="20"/>
          <w:szCs w:val="20"/>
          <w:color w:val="auto"/>
        </w:rPr>
        <w:tab/>
      </w:r>
      <w:r>
        <w:rPr>
          <w:rFonts w:ascii="Arial" w:cs="Arial" w:eastAsia="Arial" w:hAnsi="Arial"/>
          <w:sz w:val="14"/>
          <w:szCs w:val="14"/>
          <w:b w:val="1"/>
          <w:bCs w:val="1"/>
          <w:color w:val="666666"/>
        </w:rPr>
        <w:t>3</w:t>
      </w:r>
    </w:p>
    <w:p>
      <w:pPr>
        <w:sectPr>
          <w:pgSz w:w="11900" w:h="16838" w:orient="portrait"/>
          <w:cols w:equalWidth="0" w:num="1">
            <w:col w:w="11160"/>
          </w:cols>
          <w:pgMar w:left="240" w:top="455" w:right="49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0" w:right="980"/>
        <w:spacing w:after="0" w:line="277" w:lineRule="auto"/>
        <w:rPr>
          <w:sz w:val="20"/>
          <w:szCs w:val="20"/>
          <w:color w:val="auto"/>
        </w:rPr>
      </w:pPr>
      <w:r>
        <w:rPr>
          <w:rFonts w:ascii="Arial" w:cs="Arial" w:eastAsia="Arial" w:hAnsi="Arial"/>
          <w:sz w:val="64"/>
          <w:szCs w:val="64"/>
          <w:b w:val="1"/>
          <w:bCs w:val="1"/>
          <w:color w:val="C3002F"/>
        </w:rPr>
        <w:t>AGENDA 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-1056005</wp:posOffset>
            </wp:positionV>
            <wp:extent cx="822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5"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 xml:space="preserve">The Board of Directors recommends that you vote </w:t>
      </w:r>
      <w:r>
        <w:rPr>
          <w:rFonts w:ascii="Arial" w:cs="Arial" w:eastAsia="Arial" w:hAnsi="Arial"/>
          <w:sz w:val="21"/>
          <w:szCs w:val="21"/>
          <w:b w:val="1"/>
          <w:bCs w:val="1"/>
          <w:color w:val="C3002F"/>
        </w:rPr>
        <w:t>“FOR”</w:t>
      </w:r>
      <w:r>
        <w:rPr>
          <w:rFonts w:ascii="Arial" w:cs="Arial" w:eastAsia="Arial" w:hAnsi="Arial"/>
          <w:sz w:val="21"/>
          <w:szCs w:val="21"/>
          <w:b w:val="1"/>
          <w:bCs w:val="1"/>
          <w:color w:val="auto"/>
        </w:rPr>
        <w:t xml:space="preserve"> each nominee for director.</w:t>
      </w:r>
    </w:p>
    <w:p>
      <w:pPr>
        <w:spacing w:after="0" w:line="223" w:lineRule="exact"/>
        <w:rPr>
          <w:sz w:val="20"/>
          <w:szCs w:val="20"/>
          <w:color w:val="auto"/>
        </w:rPr>
      </w:pPr>
    </w:p>
    <w:p>
      <w:pPr>
        <w:jc w:val="both"/>
        <w:ind w:left="260" w:right="220"/>
        <w:spacing w:after="0" w:line="246" w:lineRule="auto"/>
        <w:rPr>
          <w:sz w:val="20"/>
          <w:szCs w:val="20"/>
          <w:color w:val="auto"/>
        </w:rPr>
      </w:pPr>
      <w:r>
        <w:rPr>
          <w:rFonts w:ascii="Arial" w:cs="Arial" w:eastAsia="Arial" w:hAnsi="Arial"/>
          <w:sz w:val="14"/>
          <w:szCs w:val="14"/>
          <w:color w:val="auto"/>
        </w:rPr>
        <w:t>Upon the recommendation of the Corporate Governance and Nominating Committee, the Company’s Board of Directors has nominated the following ten nominees to be elected at the Annual General Meeting: Mohamed A. Awad, Roxanne J. Decyk, John D. Gass, Emyr Jones Parry, Francis S. Kalman, David S. King, William E. Macaulay, Mark A. McCollum, Angela A. Minas and Guillermo Ortiz.</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All of the non-employee nominees for director, i.e., all of the nominees other than Mr. McCollum, are independent under the rules of the NYSE.</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Each director is an existing director who, in accordance with the Articles, shall retire at the Annual General Meeting and is eligible for re-election.</w:t>
      </w:r>
    </w:p>
    <w:p>
      <w:pPr>
        <w:spacing w:after="0" w:line="186" w:lineRule="exact"/>
        <w:rPr>
          <w:sz w:val="20"/>
          <w:szCs w:val="20"/>
          <w:color w:val="auto"/>
        </w:rPr>
      </w:pPr>
    </w:p>
    <w:p>
      <w:pPr>
        <w:jc w:val="both"/>
        <w:ind w:left="260" w:right="220"/>
        <w:spacing w:after="0" w:line="253" w:lineRule="auto"/>
        <w:rPr>
          <w:sz w:val="20"/>
          <w:szCs w:val="20"/>
          <w:color w:val="auto"/>
        </w:rPr>
      </w:pPr>
      <w:r>
        <w:rPr>
          <w:rFonts w:ascii="Arial" w:cs="Arial" w:eastAsia="Arial" w:hAnsi="Arial"/>
          <w:sz w:val="14"/>
          <w:szCs w:val="14"/>
          <w:color w:val="auto"/>
        </w:rPr>
        <w:t>Each director elected will serve until the 2019 AGM or, in each case, until his or her earlier death, retirement, resignation or removal from the position of director. All of our nominees have consented to serve as directors. Our Board of Directors has no reason to believe that any of the nominees will be unable to act as a director.</w:t>
      </w:r>
    </w:p>
    <w:p>
      <w:pPr>
        <w:spacing w:after="0" w:line="141" w:lineRule="exact"/>
        <w:rPr>
          <w:sz w:val="20"/>
          <w:szCs w:val="20"/>
          <w:color w:val="auto"/>
        </w:rPr>
      </w:pPr>
    </w:p>
    <w:p>
      <w:pPr>
        <w:ind w:left="260" w:right="60"/>
        <w:spacing w:after="0" w:line="256" w:lineRule="auto"/>
        <w:rPr>
          <w:sz w:val="20"/>
          <w:szCs w:val="20"/>
          <w:color w:val="auto"/>
        </w:rPr>
      </w:pPr>
      <w:r>
        <w:rPr>
          <w:rFonts w:ascii="Arial" w:cs="Arial" w:eastAsia="Arial" w:hAnsi="Arial"/>
          <w:sz w:val="14"/>
          <w:szCs w:val="14"/>
          <w:color w:val="auto"/>
        </w:rPr>
        <w:t>The vote will be held by a separate resolution for each director nominee. A director nominee will be re-elected if approved by an ordinary resolution (i.e.</w:t>
      </w:r>
      <w:r>
        <w:rPr>
          <w:rFonts w:ascii="Arial" w:cs="Arial" w:eastAsia="Arial" w:hAnsi="Arial"/>
          <w:sz w:val="14"/>
          <w:szCs w:val="14"/>
          <w:i w:val="1"/>
          <w:iCs w:val="1"/>
          <w:color w:val="auto"/>
        </w:rPr>
        <w:t>,</w:t>
      </w:r>
      <w:r>
        <w:rPr>
          <w:rFonts w:ascii="Arial" w:cs="Arial" w:eastAsia="Arial" w:hAnsi="Arial"/>
          <w:sz w:val="14"/>
          <w:szCs w:val="14"/>
          <w:color w:val="auto"/>
        </w:rPr>
        <w:t xml:space="preserve"> a simple majority of the votes cast “For” or “Against”). If you properly submit a proxy card but do not indicate how you wish to vote, the Proxy Holders will vote for all of the listed nominees for director.</w:t>
      </w:r>
    </w:p>
    <w:p>
      <w:pPr>
        <w:spacing w:after="0" w:line="348" w:lineRule="exact"/>
        <w:rPr>
          <w:sz w:val="20"/>
          <w:szCs w:val="20"/>
          <w:color w:val="auto"/>
        </w:rPr>
      </w:pPr>
    </w:p>
    <w:p>
      <w:pPr>
        <w:ind w:left="260" w:right="2480"/>
        <w:spacing w:after="0" w:line="275" w:lineRule="auto"/>
        <w:rPr>
          <w:sz w:val="20"/>
          <w:szCs w:val="20"/>
          <w:color w:val="auto"/>
        </w:rPr>
      </w:pPr>
      <w:r>
        <w:rPr>
          <w:rFonts w:ascii="Arial" w:cs="Arial" w:eastAsia="Arial" w:hAnsi="Arial"/>
          <w:sz w:val="43"/>
          <w:szCs w:val="43"/>
          <w:b w:val="1"/>
          <w:bCs w:val="1"/>
          <w:color w:val="666666"/>
        </w:rPr>
        <w:t>DIRECTORS’ DIVERSITY OF 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-718820</wp:posOffset>
            </wp:positionV>
            <wp:extent cx="822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07" w:lineRule="exact"/>
        <w:rPr>
          <w:sz w:val="20"/>
          <w:szCs w:val="20"/>
          <w:color w:val="auto"/>
        </w:rPr>
      </w:pPr>
    </w:p>
    <w:p>
      <w:pPr>
        <w:ind w:left="260"/>
        <w:spacing w:after="0" w:line="243" w:lineRule="auto"/>
        <w:rPr>
          <w:sz w:val="20"/>
          <w:szCs w:val="20"/>
          <w:color w:val="auto"/>
        </w:rPr>
      </w:pPr>
      <w:r>
        <w:rPr>
          <w:rFonts w:ascii="Arial" w:cs="Arial" w:eastAsia="Arial" w:hAnsi="Arial"/>
          <w:sz w:val="14"/>
          <w:szCs w:val="14"/>
          <w:color w:val="auto"/>
        </w:rPr>
        <w:t>Our Board’s composition is carefully considered by the Corporate Governance and Nominating Committee to ensure diversity in the broadest sense – of culture, background, outlook, experience, and tenure to bring together multiple, complementary perspectives. The Board membership qualifications and nomination process can be found in our Corporate Governance Principles at www.weatherford.com by clicking on the “Investor Relations” section then “Corporate Governance,” then “Corporate Documents,” then selecting “Corporate Governance Principles.”</w:t>
      </w:r>
    </w:p>
    <w:p>
      <w:pPr>
        <w:spacing w:after="0" w:line="162" w:lineRule="exact"/>
        <w:rPr>
          <w:sz w:val="20"/>
          <w:szCs w:val="20"/>
          <w:color w:val="auto"/>
        </w:rPr>
      </w:pPr>
    </w:p>
    <w:p>
      <w:pPr>
        <w:ind w:left="260" w:right="420"/>
        <w:spacing w:after="0" w:line="242" w:lineRule="auto"/>
        <w:rPr>
          <w:sz w:val="20"/>
          <w:szCs w:val="20"/>
          <w:color w:val="auto"/>
        </w:rPr>
      </w:pPr>
      <w:r>
        <w:rPr>
          <w:rFonts w:ascii="Arial" w:cs="Arial" w:eastAsia="Arial" w:hAnsi="Arial"/>
          <w:sz w:val="14"/>
          <w:szCs w:val="14"/>
          <w:color w:val="auto"/>
        </w:rPr>
        <w:t>Our director nominees bring a powerful range of skills and experience in relevant areas, including finance, exploration and production, environment, public policy, international business and leadership, as well as oilfield services. This unique and highly impactful cross section of capabilities enables our Board to help guide the Company’s strategic objectives and leading corporate governance practices. Further, while each member of our Board has held significant leadership positions in their respective professional fields, of equal importance is each director’s personal ethics and integrity. Each of our directors embodies the highest degree of personal and professional standards, arming them with the qualified insights to deliver sustainable shareholder value.</w:t>
      </w:r>
    </w:p>
    <w:p>
      <w:pPr>
        <w:spacing w:after="0" w:line="372" w:lineRule="exact"/>
        <w:rPr>
          <w:sz w:val="20"/>
          <w:szCs w:val="20"/>
          <w:color w:val="auto"/>
        </w:rPr>
      </w:pPr>
    </w:p>
    <w:p>
      <w:pPr>
        <w:ind w:left="260"/>
        <w:spacing w:after="0"/>
        <w:rPr>
          <w:sz w:val="20"/>
          <w:szCs w:val="20"/>
          <w:color w:val="auto"/>
        </w:rPr>
      </w:pPr>
      <w:r>
        <w:rPr>
          <w:rFonts w:ascii="Arial" w:cs="Arial" w:eastAsia="Arial" w:hAnsi="Arial"/>
          <w:sz w:val="28"/>
          <w:szCs w:val="28"/>
          <w:b w:val="1"/>
          <w:bCs w:val="1"/>
          <w:color w:val="C3002F"/>
        </w:rPr>
        <w:t>Directors’ Skills, Tenure, and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-203835</wp:posOffset>
            </wp:positionV>
            <wp:extent cx="822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Please see the following information regarding our directors’ significant skills and expertise, tenure, and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149225</wp:posOffset>
            </wp:positionV>
            <wp:extent cx="6917690" cy="22212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17690" cy="2221230"/>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40" w:hanging="273"/>
        <w:spacing w:after="0"/>
        <w:tabs>
          <w:tab w:leader="none" w:pos="540" w:val="left"/>
        </w:tabs>
        <w:numPr>
          <w:ilvl w:val="0"/>
          <w:numId w:val="28"/>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2018 Proxy Statement</w:t>
      </w:r>
    </w:p>
    <w:p>
      <w:pPr>
        <w:sectPr>
          <w:pgSz w:w="11900" w:h="16838" w:orient="portrait"/>
          <w:cols w:equalWidth="0" w:num="1">
            <w:col w:w="11140"/>
          </w:cols>
          <w:pgMar w:left="240" w:top="455" w:right="51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0" w:lineRule="exact"/>
        <w:rPr>
          <w:sz w:val="20"/>
          <w:szCs w:val="20"/>
          <w:color w:val="auto"/>
        </w:rPr>
      </w:pPr>
    </w:p>
    <w:p>
      <w:pPr>
        <w:spacing w:after="0" w:line="333"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auto"/>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2325"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262255</wp:posOffset>
            </wp:positionV>
            <wp:extent cx="6917690" cy="1432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17690" cy="1432560"/>
                    </a:xfrm>
                    <a:prstGeom prst="rect">
                      <a:avLst/>
                    </a:prstGeom>
                    <a:noFill/>
                  </pic:spPr>
                </pic:pic>
              </a:graphicData>
            </a:graphic>
          </wp:anchor>
        </w:drawing>
      </w:r>
    </w:p>
    <w:p>
      <w:pPr>
        <w:sectPr>
          <w:pgSz w:w="11900" w:h="16838" w:orient="portrait"/>
          <w:cols w:equalWidth="0" w:num="1">
            <w:col w:w="11160"/>
          </w:cols>
          <w:pgMar w:left="240" w:top="45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-169545</wp:posOffset>
            </wp:positionV>
            <wp:extent cx="1432560" cy="9747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32560" cy="97472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2014</w:t>
      </w:r>
    </w:p>
    <w:p>
      <w:pPr>
        <w:ind w:left="340"/>
        <w:spacing w:after="0"/>
        <w:rPr>
          <w:sz w:val="20"/>
          <w:szCs w:val="20"/>
          <w:color w:val="auto"/>
        </w:rPr>
      </w:pPr>
      <w:r>
        <w:rPr>
          <w:rFonts w:ascii="Arial" w:cs="Arial" w:eastAsia="Arial" w:hAnsi="Arial"/>
          <w:sz w:val="14"/>
          <w:szCs w:val="14"/>
          <w:b w:val="1"/>
          <w:bCs w:val="1"/>
          <w:color w:val="FFFFFF"/>
        </w:rPr>
        <w:t>COMMITTEES:</w:t>
      </w:r>
    </w:p>
    <w:p>
      <w:pPr>
        <w:ind w:left="420"/>
        <w:spacing w:after="0"/>
        <w:rPr>
          <w:sz w:val="20"/>
          <w:szCs w:val="20"/>
          <w:color w:val="auto"/>
        </w:rPr>
      </w:pPr>
      <w:r>
        <w:rPr>
          <w:rFonts w:ascii="Arial" w:cs="Arial" w:eastAsia="Arial" w:hAnsi="Arial"/>
          <w:sz w:val="14"/>
          <w:szCs w:val="14"/>
          <w:color w:val="FFFFFF"/>
        </w:rPr>
        <w:t>Compensation</w:t>
      </w:r>
    </w:p>
    <w:p>
      <w:pPr>
        <w:ind w:left="420"/>
        <w:spacing w:after="0"/>
        <w:rPr>
          <w:sz w:val="20"/>
          <w:szCs w:val="20"/>
          <w:color w:val="auto"/>
        </w:rPr>
      </w:pPr>
      <w:r>
        <w:rPr>
          <w:rFonts w:ascii="Arial" w:cs="Arial" w:eastAsia="Arial" w:hAnsi="Arial"/>
          <w:sz w:val="14"/>
          <w:szCs w:val="14"/>
          <w:color w:val="FFFFFF"/>
        </w:rPr>
        <w:t>Health, Safety and Environment</w:t>
      </w:r>
    </w:p>
    <w:p>
      <w:pPr>
        <w:ind w:left="340" w:right="680"/>
        <w:spacing w:after="0" w:line="246" w:lineRule="auto"/>
        <w:rPr>
          <w:sz w:val="20"/>
          <w:szCs w:val="20"/>
          <w:color w:val="auto"/>
        </w:rPr>
      </w:pPr>
      <w:r>
        <w:rPr>
          <w:rFonts w:ascii="Arial" w:cs="Arial" w:eastAsia="Arial" w:hAnsi="Arial"/>
          <w:sz w:val="14"/>
          <w:szCs w:val="14"/>
          <w:b w:val="1"/>
          <w:bCs w:val="1"/>
          <w:color w:val="FFFFFF"/>
        </w:rPr>
        <w:t xml:space="preserve">OTHER PUBLIC COMPANY BOARDS: </w:t>
      </w:r>
      <w:r>
        <w:rPr>
          <w:rFonts w:ascii="Arial" w:cs="Arial" w:eastAsia="Arial" w:hAnsi="Arial"/>
          <w:sz w:val="14"/>
          <w:szCs w:val="14"/>
          <w:color w:val="FFFFFF"/>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225425</wp:posOffset>
            </wp:positionV>
            <wp:extent cx="1432560" cy="1432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32560" cy="143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8"/>
          <w:szCs w:val="28"/>
          <w:b w:val="1"/>
          <w:bCs w:val="1"/>
          <w:color w:val="C3002F"/>
        </w:rPr>
        <w:t>MOHAMED A. AWAD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97" w:lineRule="exact"/>
        <w:rPr>
          <w:sz w:val="20"/>
          <w:szCs w:val="20"/>
          <w:color w:val="auto"/>
        </w:rPr>
      </w:pPr>
    </w:p>
    <w:p>
      <w:pPr>
        <w:ind w:right="80"/>
        <w:spacing w:after="0" w:line="242" w:lineRule="auto"/>
        <w:rPr>
          <w:sz w:val="20"/>
          <w:szCs w:val="20"/>
          <w:color w:val="auto"/>
        </w:rPr>
      </w:pPr>
      <w:r>
        <w:rPr>
          <w:rFonts w:ascii="Arial" w:cs="Arial" w:eastAsia="Arial" w:hAnsi="Arial"/>
          <w:sz w:val="14"/>
          <w:szCs w:val="14"/>
          <w:color w:val="auto"/>
        </w:rPr>
        <w:t>Mr. Awad is a retired executive who most recently served as Chairman of Schlumberger–Middle East and Asia, a role he held from 2001 to 2012. Mr. Awad joined Schlumberger in 1981 and over the next 30 years, held positions of increasing responsibility, both internationally and in the U.S., including in the wireline, well services, drilling and measurement, oilfield services and corporate groups. In addition to his role at Schlumberger, Mr. Awad served as a director of Arabian Drilling Company in Saudi Arabia from 2005 until 2012.</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University of Tulsa, M.S., Petroleum Engineering</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Cairo University, B.S., Petroleum Engineering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97" w:lineRule="exact"/>
        <w:rPr>
          <w:sz w:val="20"/>
          <w:szCs w:val="20"/>
          <w:color w:val="auto"/>
        </w:rPr>
      </w:pPr>
    </w:p>
    <w:p>
      <w:pPr>
        <w:ind w:left="300" w:hanging="154"/>
        <w:spacing w:after="0"/>
        <w:tabs>
          <w:tab w:leader="none" w:pos="300" w:val="left"/>
        </w:tabs>
        <w:numPr>
          <w:ilvl w:val="0"/>
          <w:numId w:val="29"/>
        </w:numPr>
        <w:rPr>
          <w:rFonts w:ascii="Arial" w:cs="Arial" w:eastAsia="Arial" w:hAnsi="Arial"/>
          <w:sz w:val="14"/>
          <w:szCs w:val="14"/>
          <w:color w:val="C3002F"/>
        </w:rPr>
      </w:pPr>
      <w:r>
        <w:rPr>
          <w:rFonts w:ascii="Arial" w:cs="Arial" w:eastAsia="Arial" w:hAnsi="Arial"/>
          <w:sz w:val="14"/>
          <w:szCs w:val="14"/>
          <w:color w:val="auto"/>
        </w:rPr>
        <w:t>Wealth of experience with a career in the oilfield services industry spanning 30+ years</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29"/>
        </w:numPr>
        <w:rPr>
          <w:rFonts w:ascii="Arial" w:cs="Arial" w:eastAsia="Arial" w:hAnsi="Arial"/>
          <w:sz w:val="14"/>
          <w:szCs w:val="14"/>
          <w:color w:val="C3002F"/>
        </w:rPr>
      </w:pPr>
      <w:r>
        <w:rPr>
          <w:rFonts w:ascii="Arial" w:cs="Arial" w:eastAsia="Arial" w:hAnsi="Arial"/>
          <w:sz w:val="14"/>
          <w:szCs w:val="14"/>
          <w:color w:val="auto"/>
        </w:rPr>
        <w:t>Strong technology background which enables him to help guide the Company’s strategic direction</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29"/>
        </w:numPr>
        <w:rPr>
          <w:rFonts w:ascii="Arial" w:cs="Arial" w:eastAsia="Arial" w:hAnsi="Arial"/>
          <w:sz w:val="14"/>
          <w:szCs w:val="14"/>
          <w:color w:val="C3002F"/>
        </w:rPr>
      </w:pPr>
      <w:r>
        <w:rPr>
          <w:rFonts w:ascii="Arial" w:cs="Arial" w:eastAsia="Arial" w:hAnsi="Arial"/>
          <w:sz w:val="14"/>
          <w:szCs w:val="14"/>
          <w:color w:val="auto"/>
        </w:rPr>
        <w:t>Deep appreciation for diversity established through international leadership experience</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29"/>
        </w:numPr>
        <w:rPr>
          <w:rFonts w:ascii="Arial" w:cs="Arial" w:eastAsia="Arial" w:hAnsi="Arial"/>
          <w:sz w:val="14"/>
          <w:szCs w:val="14"/>
          <w:color w:val="C3002F"/>
        </w:rPr>
      </w:pPr>
      <w:r>
        <w:rPr>
          <w:rFonts w:ascii="Arial" w:cs="Arial" w:eastAsia="Arial" w:hAnsi="Arial"/>
          <w:sz w:val="14"/>
          <w:szCs w:val="14"/>
          <w:color w:val="auto"/>
        </w:rPr>
        <w:t>Expertise in Middle East and Asia regions proves beneficial in conducting business in emerging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437515</wp:posOffset>
            </wp:positionV>
            <wp:extent cx="53574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520" w:lineRule="exact"/>
        <w:rPr>
          <w:sz w:val="20"/>
          <w:szCs w:val="20"/>
          <w:color w:val="auto"/>
        </w:rPr>
      </w:pPr>
    </w:p>
    <w:p>
      <w:pPr>
        <w:sectPr>
          <w:pgSz w:w="11900" w:h="16838" w:orient="portrait"/>
          <w:cols w:equalWidth="0" w:num="2">
            <w:col w:w="2440" w:space="280"/>
            <w:col w:w="8440"/>
          </w:cols>
          <w:pgMar w:left="240" w:top="455"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-169545</wp:posOffset>
            </wp:positionV>
            <wp:extent cx="1432560" cy="1178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32560" cy="11785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2017</w:t>
      </w:r>
    </w:p>
    <w:p>
      <w:pPr>
        <w:ind w:left="340"/>
        <w:spacing w:after="0"/>
        <w:rPr>
          <w:sz w:val="20"/>
          <w:szCs w:val="20"/>
          <w:color w:val="auto"/>
        </w:rPr>
      </w:pPr>
      <w:r>
        <w:rPr>
          <w:rFonts w:ascii="Arial" w:cs="Arial" w:eastAsia="Arial" w:hAnsi="Arial"/>
          <w:sz w:val="14"/>
          <w:szCs w:val="14"/>
          <w:b w:val="1"/>
          <w:bCs w:val="1"/>
          <w:color w:val="FFFFFF"/>
        </w:rPr>
        <w:t>COMMITTEES:</w:t>
      </w:r>
    </w:p>
    <w:p>
      <w:pPr>
        <w:ind w:left="420"/>
        <w:spacing w:after="0"/>
        <w:rPr>
          <w:sz w:val="20"/>
          <w:szCs w:val="20"/>
          <w:color w:val="auto"/>
        </w:rPr>
      </w:pPr>
      <w:r>
        <w:rPr>
          <w:rFonts w:ascii="Arial" w:cs="Arial" w:eastAsia="Arial" w:hAnsi="Arial"/>
          <w:sz w:val="14"/>
          <w:szCs w:val="14"/>
          <w:color w:val="FFFFFF"/>
        </w:rPr>
        <w:t>Compensation</w:t>
      </w:r>
    </w:p>
    <w:p>
      <w:pPr>
        <w:ind w:left="420"/>
        <w:spacing w:after="0"/>
        <w:rPr>
          <w:sz w:val="20"/>
          <w:szCs w:val="20"/>
          <w:color w:val="auto"/>
        </w:rPr>
      </w:pPr>
      <w:r>
        <w:rPr>
          <w:rFonts w:ascii="Arial" w:cs="Arial" w:eastAsia="Arial" w:hAnsi="Arial"/>
          <w:sz w:val="14"/>
          <w:szCs w:val="14"/>
          <w:color w:val="FFFFFF"/>
        </w:rPr>
        <w:t>Health, Safety and Environment</w:t>
      </w:r>
    </w:p>
    <w:p>
      <w:pPr>
        <w:ind w:left="340" w:right="280"/>
        <w:spacing w:after="0" w:line="238" w:lineRule="auto"/>
        <w:rPr>
          <w:sz w:val="20"/>
          <w:szCs w:val="20"/>
          <w:color w:val="auto"/>
        </w:rPr>
      </w:pPr>
      <w:r>
        <w:rPr>
          <w:rFonts w:ascii="Arial" w:cs="Arial" w:eastAsia="Arial" w:hAnsi="Arial"/>
          <w:sz w:val="14"/>
          <w:szCs w:val="14"/>
          <w:b w:val="1"/>
          <w:bCs w:val="1"/>
          <w:color w:val="FFFFFF"/>
        </w:rPr>
        <w:t>OTHER PUBLIC COMPANY BOARDS:</w:t>
      </w:r>
    </w:p>
    <w:p>
      <w:pPr>
        <w:ind w:left="420"/>
        <w:spacing w:after="0"/>
        <w:rPr>
          <w:sz w:val="20"/>
          <w:szCs w:val="20"/>
          <w:color w:val="auto"/>
        </w:rPr>
      </w:pPr>
      <w:r>
        <w:rPr>
          <w:rFonts w:ascii="Arial" w:cs="Arial" w:eastAsia="Arial" w:hAnsi="Arial"/>
          <w:sz w:val="14"/>
          <w:szCs w:val="14"/>
          <w:color w:val="FFFFFF"/>
        </w:rPr>
        <w:t>Ensco plc</w:t>
      </w:r>
    </w:p>
    <w:p>
      <w:pPr>
        <w:ind w:left="420"/>
        <w:spacing w:after="0"/>
        <w:rPr>
          <w:sz w:val="20"/>
          <w:szCs w:val="20"/>
          <w:color w:val="auto"/>
        </w:rPr>
      </w:pPr>
      <w:r>
        <w:rPr>
          <w:rFonts w:ascii="Arial" w:cs="Arial" w:eastAsia="Arial" w:hAnsi="Arial"/>
          <w:sz w:val="14"/>
          <w:szCs w:val="14"/>
          <w:color w:val="FFFFFF"/>
        </w:rPr>
        <w:t>Orbital ATK, Inc.</w:t>
      </w:r>
    </w:p>
    <w:p>
      <w:pPr>
        <w:ind w:left="420"/>
        <w:spacing w:after="0"/>
        <w:rPr>
          <w:sz w:val="20"/>
          <w:szCs w:val="20"/>
          <w:color w:val="auto"/>
        </w:rPr>
      </w:pPr>
      <w:r>
        <w:rPr>
          <w:rFonts w:ascii="Arial" w:cs="Arial" w:eastAsia="Arial" w:hAnsi="Arial"/>
          <w:sz w:val="14"/>
          <w:szCs w:val="14"/>
          <w:color w:val="FFFFFF"/>
        </w:rPr>
        <w:t>DigitalGlobe Inc.</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28"/>
          <w:szCs w:val="28"/>
          <w:b w:val="1"/>
          <w:bCs w:val="1"/>
          <w:color w:val="C3002F"/>
        </w:rPr>
        <w:t>ROXANNE J. DECYK</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97" w:lineRule="exact"/>
        <w:rPr>
          <w:sz w:val="20"/>
          <w:szCs w:val="20"/>
          <w:color w:val="auto"/>
        </w:rPr>
      </w:pPr>
    </w:p>
    <w:p>
      <w:pPr>
        <w:ind w:right="120"/>
        <w:spacing w:after="0" w:line="241" w:lineRule="auto"/>
        <w:rPr>
          <w:sz w:val="20"/>
          <w:szCs w:val="20"/>
          <w:color w:val="auto"/>
        </w:rPr>
      </w:pPr>
      <w:r>
        <w:rPr>
          <w:rFonts w:ascii="Arial" w:cs="Arial" w:eastAsia="Arial" w:hAnsi="Arial"/>
          <w:sz w:val="14"/>
          <w:szCs w:val="14"/>
          <w:color w:val="auto"/>
        </w:rPr>
        <w:t>Ms. Decyk is a retired executive who most recently served as Former Executive Vice President of Global Government Relations for Royal Dutch Shell plc, a role she held from 2009 to 2010. From 2008 until 2009, Ms. Decyk served as Corporate Affairs and Sustainable Development Director of Royal Dutch Shell plc, from 2005 to 2009, she served on the Executive Committee and from 2005 to 2008, she served as Corporate Affairs Director. Prior thereto, Ms. Decyk was Senior Vice President — Corporate Affairs and Human Resources of Shell Oil Company and Vice President of Corporate Strategy of Shell International Limited. She was previously a director of Petrofac Limited from 2011 until May 2015, and Snap-on Incorporated from 1993 until June 2014.</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University of Illinois at Urbana-Champaign, B.A., English Literature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Marquette University Law School, J.D.</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97" w:lineRule="exact"/>
        <w:rPr>
          <w:sz w:val="20"/>
          <w:szCs w:val="20"/>
          <w:color w:val="auto"/>
        </w:rPr>
      </w:pPr>
    </w:p>
    <w:p>
      <w:pPr>
        <w:ind w:left="300" w:hanging="154"/>
        <w:spacing w:after="0"/>
        <w:tabs>
          <w:tab w:leader="none" w:pos="300" w:val="left"/>
        </w:tabs>
        <w:numPr>
          <w:ilvl w:val="0"/>
          <w:numId w:val="30"/>
        </w:numPr>
        <w:rPr>
          <w:rFonts w:ascii="Arial" w:cs="Arial" w:eastAsia="Arial" w:hAnsi="Arial"/>
          <w:sz w:val="14"/>
          <w:szCs w:val="14"/>
          <w:color w:val="C3002F"/>
        </w:rPr>
      </w:pPr>
      <w:r>
        <w:rPr>
          <w:rFonts w:ascii="Arial" w:cs="Arial" w:eastAsia="Arial" w:hAnsi="Arial"/>
          <w:sz w:val="14"/>
          <w:szCs w:val="14"/>
          <w:color w:val="auto"/>
        </w:rPr>
        <w:t>Significant experience in corporate strategy and planning</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30"/>
        </w:numPr>
        <w:rPr>
          <w:rFonts w:ascii="Arial" w:cs="Arial" w:eastAsia="Arial" w:hAnsi="Arial"/>
          <w:sz w:val="14"/>
          <w:szCs w:val="14"/>
          <w:color w:val="C3002F"/>
        </w:rPr>
      </w:pPr>
      <w:r>
        <w:rPr>
          <w:rFonts w:ascii="Arial" w:cs="Arial" w:eastAsia="Arial" w:hAnsi="Arial"/>
          <w:sz w:val="14"/>
          <w:szCs w:val="14"/>
          <w:color w:val="auto"/>
        </w:rPr>
        <w:t>Experience in various executive leadership positions for international, integrated energy companies</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30"/>
        </w:numPr>
        <w:rPr>
          <w:rFonts w:ascii="Arial" w:cs="Arial" w:eastAsia="Arial" w:hAnsi="Arial"/>
          <w:sz w:val="14"/>
          <w:szCs w:val="14"/>
          <w:color w:val="C3002F"/>
        </w:rPr>
      </w:pPr>
      <w:r>
        <w:rPr>
          <w:rFonts w:ascii="Arial" w:cs="Arial" w:eastAsia="Arial" w:hAnsi="Arial"/>
          <w:sz w:val="14"/>
          <w:szCs w:val="14"/>
          <w:color w:val="auto"/>
        </w:rPr>
        <w:t>Extensive knowledge in human resources and executive compensation</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30"/>
        </w:numPr>
        <w:rPr>
          <w:rFonts w:ascii="Arial" w:cs="Arial" w:eastAsia="Arial" w:hAnsi="Arial"/>
          <w:sz w:val="14"/>
          <w:szCs w:val="14"/>
          <w:color w:val="C3002F"/>
        </w:rPr>
      </w:pPr>
      <w:r>
        <w:rPr>
          <w:rFonts w:ascii="Arial" w:cs="Arial" w:eastAsia="Arial" w:hAnsi="Arial"/>
          <w:sz w:val="14"/>
          <w:szCs w:val="14"/>
          <w:color w:val="auto"/>
        </w:rPr>
        <w:t>Expertise in global government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581660</wp:posOffset>
            </wp:positionV>
            <wp:extent cx="6917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667" w:lineRule="exact"/>
        <w:rPr>
          <w:sz w:val="20"/>
          <w:szCs w:val="20"/>
          <w:color w:val="auto"/>
        </w:rPr>
      </w:pPr>
    </w:p>
    <w:p>
      <w:pPr>
        <w:sectPr>
          <w:pgSz w:w="11900" w:h="16838" w:orient="portrait"/>
          <w:cols w:equalWidth="0" w:num="2">
            <w:col w:w="2440" w:space="280"/>
            <w:col w:w="8440"/>
          </w:cols>
          <w:pgMar w:left="240" w:top="455" w:right="49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7440"/>
        <w:spacing w:after="0"/>
        <w:tabs>
          <w:tab w:leader="none" w:pos="11060" w:val="left"/>
        </w:tabs>
        <w:rPr>
          <w:sz w:val="20"/>
          <w:szCs w:val="20"/>
          <w:color w:val="auto"/>
        </w:rPr>
      </w:pPr>
      <w:r>
        <w:rPr>
          <w:rFonts w:ascii="Arial" w:cs="Arial" w:eastAsia="Arial" w:hAnsi="Arial"/>
          <w:sz w:val="14"/>
          <w:szCs w:val="14"/>
          <w:color w:val="666666"/>
        </w:rPr>
        <w:t>Weatherford International plc — 2018 Proxy Statement</w:t>
      </w:r>
      <w:r>
        <w:rPr>
          <w:sz w:val="20"/>
          <w:szCs w:val="20"/>
          <w:color w:val="auto"/>
        </w:rPr>
        <w:tab/>
      </w:r>
      <w:r>
        <w:rPr>
          <w:rFonts w:ascii="Arial" w:cs="Arial" w:eastAsia="Arial" w:hAnsi="Arial"/>
          <w:sz w:val="14"/>
          <w:szCs w:val="14"/>
          <w:b w:val="1"/>
          <w:bCs w:val="1"/>
          <w:color w:val="666666"/>
        </w:rPr>
        <w:t>5</w:t>
      </w:r>
    </w:p>
    <w:p>
      <w:pPr>
        <w:sectPr>
          <w:pgSz w:w="11900" w:h="16838" w:orient="portrait"/>
          <w:cols w:equalWidth="0" w:num="1">
            <w:col w:w="11160"/>
          </w:cols>
          <w:pgMar w:left="240" w:top="455" w:right="499" w:bottom="1440" w:gutter="0" w:footer="0" w:header="0"/>
          <w:type w:val="continuous"/>
        </w:sectPr>
      </w:pPr>
    </w:p>
    <w:bookmarkStart w:id="19" w:name="page20"/>
    <w:bookmarkEnd w:id="1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248285</wp:posOffset>
            </wp:positionV>
            <wp:extent cx="6917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ectPr>
          <w:pgSz w:w="11900" w:h="16838" w:orient="portrait"/>
          <w:cols w:equalWidth="0" w:num="1">
            <w:col w:w="11160"/>
          </w:cols>
          <w:pgMar w:left="240" w:top="455" w:right="49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100965</wp:posOffset>
            </wp:positionV>
            <wp:extent cx="1432560" cy="26955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32560" cy="2695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65</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2013</w:t>
      </w:r>
    </w:p>
    <w:p>
      <w:pPr>
        <w:ind w:left="340"/>
        <w:spacing w:after="0"/>
        <w:rPr>
          <w:sz w:val="20"/>
          <w:szCs w:val="20"/>
          <w:color w:val="auto"/>
        </w:rPr>
      </w:pPr>
      <w:r>
        <w:rPr>
          <w:rFonts w:ascii="Arial" w:cs="Arial" w:eastAsia="Arial" w:hAnsi="Arial"/>
          <w:sz w:val="14"/>
          <w:szCs w:val="14"/>
          <w:b w:val="1"/>
          <w:bCs w:val="1"/>
          <w:color w:val="FFFFFF"/>
        </w:rPr>
        <w:t>COMMITTEES:</w:t>
      </w:r>
    </w:p>
    <w:p>
      <w:pPr>
        <w:ind w:left="420" w:right="620"/>
        <w:spacing w:after="0" w:line="238" w:lineRule="auto"/>
        <w:rPr>
          <w:sz w:val="20"/>
          <w:szCs w:val="20"/>
          <w:color w:val="auto"/>
        </w:rPr>
      </w:pPr>
      <w:r>
        <w:rPr>
          <w:rFonts w:ascii="Arial" w:cs="Arial" w:eastAsia="Arial" w:hAnsi="Arial"/>
          <w:sz w:val="14"/>
          <w:szCs w:val="14"/>
          <w:color w:val="FFFFFF"/>
        </w:rPr>
        <w:t>Compensation (Chair) Health, Safety and Environment</w:t>
      </w:r>
    </w:p>
    <w:p>
      <w:pPr>
        <w:spacing w:after="0" w:line="2" w:lineRule="exact"/>
        <w:rPr>
          <w:sz w:val="20"/>
          <w:szCs w:val="20"/>
          <w:color w:val="auto"/>
        </w:rPr>
      </w:pPr>
    </w:p>
    <w:p>
      <w:pPr>
        <w:ind w:left="340"/>
        <w:spacing w:after="0" w:line="238" w:lineRule="auto"/>
        <w:rPr>
          <w:sz w:val="20"/>
          <w:szCs w:val="20"/>
          <w:color w:val="auto"/>
        </w:rPr>
      </w:pPr>
      <w:r>
        <w:rPr>
          <w:rFonts w:ascii="Arial" w:cs="Arial" w:eastAsia="Arial" w:hAnsi="Arial"/>
          <w:sz w:val="14"/>
          <w:szCs w:val="14"/>
          <w:b w:val="1"/>
          <w:bCs w:val="1"/>
          <w:color w:val="FFFFFF"/>
        </w:rPr>
        <w:t xml:space="preserve">OTHER PUBLIC COMPANY BOARDS: </w:t>
      </w:r>
      <w:r>
        <w:rPr>
          <w:rFonts w:ascii="Arial" w:cs="Arial" w:eastAsia="Arial" w:hAnsi="Arial"/>
          <w:sz w:val="14"/>
          <w:szCs w:val="14"/>
          <w:color w:val="FFFFFF"/>
        </w:rPr>
        <w:t>Southwestern Energy Company</w:t>
      </w:r>
    </w:p>
    <w:p>
      <w:pPr>
        <w:spacing w:after="0" w:line="2" w:lineRule="exact"/>
        <w:rPr>
          <w:sz w:val="20"/>
          <w:szCs w:val="20"/>
          <w:color w:val="auto"/>
        </w:rPr>
      </w:pPr>
    </w:p>
    <w:p>
      <w:pPr>
        <w:ind w:left="420"/>
        <w:spacing w:after="0"/>
        <w:rPr>
          <w:sz w:val="20"/>
          <w:szCs w:val="20"/>
          <w:color w:val="auto"/>
        </w:rPr>
      </w:pPr>
      <w:r>
        <w:rPr>
          <w:rFonts w:ascii="Arial" w:cs="Arial" w:eastAsia="Arial" w:hAnsi="Arial"/>
          <w:sz w:val="14"/>
          <w:szCs w:val="14"/>
          <w:color w:val="FFFFFF"/>
        </w:rPr>
        <w:t>Suncor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259080</wp:posOffset>
            </wp:positionV>
            <wp:extent cx="1432560" cy="1432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32560" cy="143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8"/>
          <w:szCs w:val="28"/>
          <w:b w:val="1"/>
          <w:bCs w:val="1"/>
          <w:color w:val="C3002F"/>
        </w:rPr>
        <w:t>JOHN D. GASS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-212090</wp:posOffset>
            </wp:positionV>
            <wp:extent cx="53574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97"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Mr. Gass is a retired executive who was formerly a Vice President of Chevron Corporation and President of Chevron Gas and Midstream, a role held from 2003 until 2012. Mr. Gass joined Chevron in 1974 and his career spanned 38 years during which he held positions of increasing responsibility in engineering, operations and executive management, serving both domestically and various global locations.</w:t>
      </w:r>
    </w:p>
    <w:p>
      <w:pPr>
        <w:spacing w:after="0" w:line="69" w:lineRule="exact"/>
        <w:rPr>
          <w:sz w:val="20"/>
          <w:szCs w:val="20"/>
          <w:color w:val="auto"/>
        </w:rPr>
      </w:pPr>
    </w:p>
    <w:p>
      <w:pPr>
        <w:jc w:val="both"/>
        <w:ind w:right="120"/>
        <w:spacing w:after="0" w:line="246" w:lineRule="auto"/>
        <w:rPr>
          <w:sz w:val="20"/>
          <w:szCs w:val="20"/>
          <w:color w:val="auto"/>
        </w:rPr>
      </w:pPr>
      <w:r>
        <w:rPr>
          <w:rFonts w:ascii="Arial" w:cs="Arial" w:eastAsia="Arial" w:hAnsi="Arial"/>
          <w:sz w:val="14"/>
          <w:szCs w:val="14"/>
          <w:color w:val="auto"/>
        </w:rPr>
        <w:t>Mr. Gass has been a director of Southwestern Energy Company since November 2012. He became a director of Suncor Energy Inc. in February 2014. Mr. Gass serves on the Vanderbilt University School of Engineering Board of Visitors and is on the Advisory Board for the Vanderbilt Eye Institute. He is a member of the American Society of Civil Engineers and the Society of Petroleum Engineers.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Vanderbilt University, B.E., Civil Engineering</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Tulane University, M.E., Civil Engineering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97" w:lineRule="exact"/>
        <w:rPr>
          <w:sz w:val="20"/>
          <w:szCs w:val="20"/>
          <w:color w:val="auto"/>
        </w:rPr>
      </w:pPr>
    </w:p>
    <w:p>
      <w:pPr>
        <w:ind w:left="280" w:right="320" w:hanging="134"/>
        <w:spacing w:after="0" w:line="253" w:lineRule="auto"/>
        <w:tabs>
          <w:tab w:leader="none" w:pos="287" w:val="left"/>
        </w:tabs>
        <w:numPr>
          <w:ilvl w:val="0"/>
          <w:numId w:val="31"/>
        </w:numPr>
        <w:rPr>
          <w:rFonts w:ascii="Arial" w:cs="Arial" w:eastAsia="Arial" w:hAnsi="Arial"/>
          <w:sz w:val="14"/>
          <w:szCs w:val="14"/>
          <w:color w:val="C3002F"/>
        </w:rPr>
      </w:pPr>
      <w:r>
        <w:rPr>
          <w:rFonts w:ascii="Arial" w:cs="Arial" w:eastAsia="Arial" w:hAnsi="Arial"/>
          <w:sz w:val="14"/>
          <w:szCs w:val="14"/>
          <w:color w:val="auto"/>
        </w:rPr>
        <w:t>38 years of experience in the energy exploration and production industry, providing insight into the needs and priorities of the Company’s clients</w:t>
      </w:r>
    </w:p>
    <w:p>
      <w:pPr>
        <w:spacing w:after="0" w:line="61" w:lineRule="exact"/>
        <w:rPr>
          <w:rFonts w:ascii="Arial" w:cs="Arial" w:eastAsia="Arial" w:hAnsi="Arial"/>
          <w:sz w:val="14"/>
          <w:szCs w:val="14"/>
          <w:color w:val="C3002F"/>
        </w:rPr>
      </w:pPr>
    </w:p>
    <w:p>
      <w:pPr>
        <w:ind w:left="280" w:right="420" w:hanging="134"/>
        <w:spacing w:after="0" w:line="253" w:lineRule="auto"/>
        <w:tabs>
          <w:tab w:leader="none" w:pos="287" w:val="left"/>
        </w:tabs>
        <w:numPr>
          <w:ilvl w:val="0"/>
          <w:numId w:val="31"/>
        </w:numPr>
        <w:rPr>
          <w:rFonts w:ascii="Arial" w:cs="Arial" w:eastAsia="Arial" w:hAnsi="Arial"/>
          <w:sz w:val="14"/>
          <w:szCs w:val="14"/>
          <w:color w:val="C3002F"/>
        </w:rPr>
      </w:pPr>
      <w:r>
        <w:rPr>
          <w:rFonts w:ascii="Arial" w:cs="Arial" w:eastAsia="Arial" w:hAnsi="Arial"/>
          <w:sz w:val="14"/>
          <w:szCs w:val="14"/>
          <w:color w:val="auto"/>
        </w:rPr>
        <w:t>Executive leadership experience, with a strong emphasis in operational strategy, major project development, and executive management</w:t>
      </w:r>
    </w:p>
    <w:p>
      <w:pPr>
        <w:spacing w:after="0" w:line="61" w:lineRule="exact"/>
        <w:rPr>
          <w:rFonts w:ascii="Arial" w:cs="Arial" w:eastAsia="Arial" w:hAnsi="Arial"/>
          <w:sz w:val="14"/>
          <w:szCs w:val="14"/>
          <w:color w:val="C3002F"/>
        </w:rPr>
      </w:pPr>
    </w:p>
    <w:p>
      <w:pPr>
        <w:ind w:left="300" w:hanging="154"/>
        <w:spacing w:after="0"/>
        <w:tabs>
          <w:tab w:leader="none" w:pos="300" w:val="left"/>
        </w:tabs>
        <w:numPr>
          <w:ilvl w:val="0"/>
          <w:numId w:val="31"/>
        </w:numPr>
        <w:rPr>
          <w:rFonts w:ascii="Arial" w:cs="Arial" w:eastAsia="Arial" w:hAnsi="Arial"/>
          <w:sz w:val="14"/>
          <w:szCs w:val="14"/>
          <w:color w:val="C3002F"/>
        </w:rPr>
      </w:pPr>
      <w:r>
        <w:rPr>
          <w:rFonts w:ascii="Arial" w:cs="Arial" w:eastAsia="Arial" w:hAnsi="Arial"/>
          <w:sz w:val="14"/>
          <w:szCs w:val="14"/>
          <w:color w:val="auto"/>
        </w:rPr>
        <w:t>Significant international experience in Europe, Africa and the Asia Pacific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361315</wp:posOffset>
            </wp:positionV>
            <wp:extent cx="53574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346" w:lineRule="exact"/>
        <w:rPr>
          <w:sz w:val="20"/>
          <w:szCs w:val="20"/>
          <w:color w:val="auto"/>
        </w:rPr>
      </w:pPr>
    </w:p>
    <w:p>
      <w:pPr>
        <w:sectPr>
          <w:pgSz w:w="11900" w:h="16838" w:orient="portrait"/>
          <w:cols w:equalWidth="0" w:num="2">
            <w:col w:w="2440" w:space="280"/>
            <w:col w:w="8440"/>
          </w:cols>
          <w:pgMar w:left="240" w:top="455"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-169545</wp:posOffset>
            </wp:positionV>
            <wp:extent cx="1432560" cy="1178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32560" cy="11785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2010</w:t>
      </w:r>
    </w:p>
    <w:p>
      <w:pPr>
        <w:ind w:left="340"/>
        <w:spacing w:after="0"/>
        <w:rPr>
          <w:sz w:val="20"/>
          <w:szCs w:val="20"/>
          <w:color w:val="auto"/>
        </w:rPr>
      </w:pPr>
      <w:r>
        <w:rPr>
          <w:rFonts w:ascii="Arial" w:cs="Arial" w:eastAsia="Arial" w:hAnsi="Arial"/>
          <w:sz w:val="14"/>
          <w:szCs w:val="14"/>
          <w:b w:val="1"/>
          <w:bCs w:val="1"/>
          <w:color w:val="FFFFFF"/>
        </w:rPr>
        <w:t>COMMITTEES:</w:t>
      </w:r>
    </w:p>
    <w:p>
      <w:pPr>
        <w:ind w:left="420"/>
        <w:spacing w:after="0" w:line="238" w:lineRule="auto"/>
        <w:rPr>
          <w:sz w:val="20"/>
          <w:szCs w:val="20"/>
          <w:color w:val="auto"/>
        </w:rPr>
      </w:pPr>
      <w:r>
        <w:rPr>
          <w:rFonts w:ascii="Arial" w:cs="Arial" w:eastAsia="Arial" w:hAnsi="Arial"/>
          <w:sz w:val="14"/>
          <w:szCs w:val="14"/>
          <w:color w:val="FFFFFF"/>
        </w:rPr>
        <w:t>Health, Safety and Environment (Chair) Corporate Governance and Nominating</w:t>
      </w:r>
    </w:p>
    <w:p>
      <w:pPr>
        <w:spacing w:after="0" w:line="2" w:lineRule="exact"/>
        <w:rPr>
          <w:sz w:val="20"/>
          <w:szCs w:val="20"/>
          <w:color w:val="auto"/>
        </w:rPr>
      </w:pPr>
    </w:p>
    <w:p>
      <w:pPr>
        <w:ind w:left="340" w:right="380"/>
        <w:spacing w:after="0" w:line="246" w:lineRule="auto"/>
        <w:rPr>
          <w:sz w:val="20"/>
          <w:szCs w:val="20"/>
          <w:color w:val="auto"/>
        </w:rPr>
      </w:pPr>
      <w:r>
        <w:rPr>
          <w:rFonts w:ascii="Arial" w:cs="Arial" w:eastAsia="Arial" w:hAnsi="Arial"/>
          <w:sz w:val="14"/>
          <w:szCs w:val="14"/>
          <w:b w:val="1"/>
          <w:bCs w:val="1"/>
          <w:color w:val="FFFFFF"/>
        </w:rPr>
        <w:t xml:space="preserve">OTHER PUBLIC COMPANY BOARDS: </w:t>
      </w:r>
      <w:r>
        <w:rPr>
          <w:rFonts w:ascii="Arial" w:cs="Arial" w:eastAsia="Arial" w:hAnsi="Arial"/>
          <w:sz w:val="14"/>
          <w:szCs w:val="14"/>
          <w:color w:val="FFFFFF"/>
        </w:rPr>
        <w:t>None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28"/>
          <w:szCs w:val="28"/>
          <w:b w:val="1"/>
          <w:bCs w:val="1"/>
          <w:color w:val="C3002F"/>
        </w:rPr>
        <w:t>EMYR JONES PARRY</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97"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Sir Emyr served as the Chancellor of Aberystwyth University, located in Wales, from 2008 to 2017 and was Chairman of the All Wales Convention, a body established by the Welsh Assembly Government to review Wales’s constitutional arrangements, from 2007 to 2009. He was Chairman of the Corporate and Social Responsibility External Advisory Group of First Group plc, a transport operator, from 2008 to 2011 and was the Chairman of Redress, a human rights organization, from 2008 to 2016. Sir Emyr previously held numerous diplomatic positions, including UK Permanent Representative to the UN from 2003 to 2007 and UK Ambassador to NATO from 2001 to 2003, specializing in European Union affairs including energy policy. He was also the President of the Learned Society of Wales from May of 2014 to May of 2017.</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University of Cardiff, B.Sc., Theoretical Physics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University of Cambridge, Ph.D., Polymer Physics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97" w:lineRule="exact"/>
        <w:rPr>
          <w:sz w:val="20"/>
          <w:szCs w:val="20"/>
          <w:color w:val="auto"/>
        </w:rPr>
      </w:pPr>
    </w:p>
    <w:p>
      <w:pPr>
        <w:ind w:left="300" w:hanging="154"/>
        <w:spacing w:after="0"/>
        <w:tabs>
          <w:tab w:leader="none" w:pos="300" w:val="left"/>
        </w:tabs>
        <w:numPr>
          <w:ilvl w:val="0"/>
          <w:numId w:val="32"/>
        </w:numPr>
        <w:rPr>
          <w:rFonts w:ascii="Arial" w:cs="Arial" w:eastAsia="Arial" w:hAnsi="Arial"/>
          <w:sz w:val="14"/>
          <w:szCs w:val="14"/>
          <w:color w:val="C3002F"/>
        </w:rPr>
      </w:pPr>
      <w:r>
        <w:rPr>
          <w:rFonts w:ascii="Arial" w:cs="Arial" w:eastAsia="Arial" w:hAnsi="Arial"/>
          <w:sz w:val="14"/>
          <w:szCs w:val="14"/>
          <w:color w:val="auto"/>
        </w:rPr>
        <w:t>Wealth of government relations, diplomatic and negotiations experience</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32"/>
        </w:numPr>
        <w:rPr>
          <w:rFonts w:ascii="Arial" w:cs="Arial" w:eastAsia="Arial" w:hAnsi="Arial"/>
          <w:sz w:val="14"/>
          <w:szCs w:val="14"/>
          <w:color w:val="C3002F"/>
        </w:rPr>
      </w:pPr>
      <w:r>
        <w:rPr>
          <w:rFonts w:ascii="Arial" w:cs="Arial" w:eastAsia="Arial" w:hAnsi="Arial"/>
          <w:sz w:val="14"/>
          <w:szCs w:val="14"/>
          <w:color w:val="auto"/>
        </w:rPr>
        <w:t>High level of public and social policy knowledge</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32"/>
        </w:numPr>
        <w:rPr>
          <w:rFonts w:ascii="Arial" w:cs="Arial" w:eastAsia="Arial" w:hAnsi="Arial"/>
          <w:sz w:val="14"/>
          <w:szCs w:val="14"/>
          <w:color w:val="C3002F"/>
        </w:rPr>
      </w:pPr>
      <w:r>
        <w:rPr>
          <w:rFonts w:ascii="Arial" w:cs="Arial" w:eastAsia="Arial" w:hAnsi="Arial"/>
          <w:sz w:val="14"/>
          <w:szCs w:val="14"/>
          <w:color w:val="auto"/>
        </w:rPr>
        <w:t>Important international perspective, with an emphasis on global issues and European markets</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32"/>
        </w:numPr>
        <w:rPr>
          <w:rFonts w:ascii="Arial" w:cs="Arial" w:eastAsia="Arial" w:hAnsi="Arial"/>
          <w:sz w:val="14"/>
          <w:szCs w:val="14"/>
          <w:color w:val="C3002F"/>
        </w:rPr>
      </w:pPr>
      <w:r>
        <w:rPr>
          <w:rFonts w:ascii="Arial" w:cs="Arial" w:eastAsia="Arial" w:hAnsi="Arial"/>
          <w:sz w:val="14"/>
          <w:szCs w:val="14"/>
          <w:color w:val="auto"/>
        </w:rPr>
        <w:t>Years of dedicated focus on social responsibility, sustainability and human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479425</wp:posOffset>
            </wp:positionV>
            <wp:extent cx="6917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520" w:lineRule="exact"/>
        <w:rPr>
          <w:sz w:val="20"/>
          <w:szCs w:val="20"/>
          <w:color w:val="auto"/>
        </w:rPr>
      </w:pPr>
    </w:p>
    <w:p>
      <w:pPr>
        <w:sectPr>
          <w:pgSz w:w="11900" w:h="16838" w:orient="portrait"/>
          <w:cols w:equalWidth="0" w:num="2">
            <w:col w:w="2140" w:space="580"/>
            <w:col w:w="8440"/>
          </w:cols>
          <w:pgMar w:left="240" w:top="455" w:right="49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ind w:left="540" w:hanging="273"/>
        <w:spacing w:after="0"/>
        <w:tabs>
          <w:tab w:leader="none" w:pos="540" w:val="left"/>
        </w:tabs>
        <w:numPr>
          <w:ilvl w:val="0"/>
          <w:numId w:val="33"/>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2018 Proxy Statement</w:t>
      </w:r>
    </w:p>
    <w:p>
      <w:pPr>
        <w:sectPr>
          <w:pgSz w:w="11900" w:h="16838" w:orient="portrait"/>
          <w:cols w:equalWidth="0" w:num="1">
            <w:col w:w="11160"/>
          </w:cols>
          <w:pgMar w:left="240" w:top="455" w:right="499" w:bottom="1440" w:gutter="0" w:footer="0" w:header="0"/>
          <w:type w:val="continuous"/>
        </w:sectPr>
      </w:pPr>
    </w:p>
    <w:bookmarkStart w:id="20" w:name="page21"/>
    <w:bookmarkEnd w:id="2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248285</wp:posOffset>
            </wp:positionV>
            <wp:extent cx="6917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ectPr>
          <w:pgSz w:w="11900" w:h="16838" w:orient="portrait"/>
          <w:cols w:equalWidth="0" w:num="1">
            <w:col w:w="11160"/>
          </w:cols>
          <w:pgMar w:left="240" w:top="45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-1771650</wp:posOffset>
            </wp:positionV>
            <wp:extent cx="1432560" cy="27463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32560" cy="274637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2013</w:t>
      </w:r>
    </w:p>
    <w:p>
      <w:pPr>
        <w:ind w:left="340"/>
        <w:spacing w:after="0"/>
        <w:rPr>
          <w:sz w:val="20"/>
          <w:szCs w:val="20"/>
          <w:color w:val="auto"/>
        </w:rPr>
      </w:pPr>
      <w:r>
        <w:rPr>
          <w:rFonts w:ascii="Arial" w:cs="Arial" w:eastAsia="Arial" w:hAnsi="Arial"/>
          <w:sz w:val="14"/>
          <w:szCs w:val="14"/>
          <w:b w:val="1"/>
          <w:bCs w:val="1"/>
          <w:color w:val="FFFFFF"/>
        </w:rPr>
        <w:t>COMMITTEES:</w:t>
      </w:r>
    </w:p>
    <w:p>
      <w:pPr>
        <w:ind w:left="420"/>
        <w:spacing w:after="0"/>
        <w:rPr>
          <w:sz w:val="20"/>
          <w:szCs w:val="20"/>
          <w:color w:val="auto"/>
        </w:rPr>
      </w:pPr>
      <w:r>
        <w:rPr>
          <w:rFonts w:ascii="Arial" w:cs="Arial" w:eastAsia="Arial" w:hAnsi="Arial"/>
          <w:sz w:val="14"/>
          <w:szCs w:val="14"/>
          <w:color w:val="FFFFFF"/>
        </w:rPr>
        <w:t>Audit (Chair)</w:t>
      </w:r>
    </w:p>
    <w:p>
      <w:pPr>
        <w:ind w:left="420"/>
        <w:spacing w:after="0"/>
        <w:rPr>
          <w:sz w:val="20"/>
          <w:szCs w:val="20"/>
          <w:color w:val="auto"/>
        </w:rPr>
      </w:pPr>
      <w:r>
        <w:rPr>
          <w:rFonts w:ascii="Arial" w:cs="Arial" w:eastAsia="Arial" w:hAnsi="Arial"/>
          <w:sz w:val="14"/>
          <w:szCs w:val="14"/>
          <w:color w:val="FFFFFF"/>
        </w:rPr>
        <w:t>Corporate Governance and</w:t>
      </w:r>
    </w:p>
    <w:p>
      <w:pPr>
        <w:ind w:left="420"/>
        <w:spacing w:after="0"/>
        <w:rPr>
          <w:sz w:val="20"/>
          <w:szCs w:val="20"/>
          <w:color w:val="auto"/>
        </w:rPr>
      </w:pPr>
      <w:r>
        <w:rPr>
          <w:rFonts w:ascii="Arial" w:cs="Arial" w:eastAsia="Arial" w:hAnsi="Arial"/>
          <w:sz w:val="14"/>
          <w:szCs w:val="14"/>
          <w:color w:val="FFFFFF"/>
        </w:rPr>
        <w:t>Nominating</w:t>
      </w:r>
    </w:p>
    <w:p>
      <w:pPr>
        <w:ind w:left="340" w:right="280"/>
        <w:spacing w:after="0" w:line="238"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4"/>
          <w:szCs w:val="14"/>
          <w:color w:val="FFFFFF"/>
        </w:rPr>
        <w:t>Ensco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284480</wp:posOffset>
            </wp:positionV>
            <wp:extent cx="1432560" cy="24923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32560" cy="249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AGE</w:t>
      </w:r>
      <w:r>
        <w:rPr>
          <w:rFonts w:ascii="Arial" w:cs="Arial" w:eastAsia="Arial" w:hAnsi="Arial"/>
          <w:sz w:val="14"/>
          <w:szCs w:val="14"/>
          <w:color w:val="FFFFFF"/>
        </w:rPr>
        <w:t>:</w:t>
      </w:r>
      <w:r>
        <w:rPr>
          <w:rFonts w:ascii="Arial" w:cs="Arial" w:eastAsia="Arial" w:hAnsi="Arial"/>
          <w:sz w:val="14"/>
          <w:szCs w:val="14"/>
          <w:b w:val="1"/>
          <w:bCs w:val="1"/>
          <w:color w:val="FFFFFF"/>
        </w:rPr>
        <w:t xml:space="preserve"> </w:t>
      </w:r>
      <w:r>
        <w:rPr>
          <w:rFonts w:ascii="Arial" w:cs="Arial" w:eastAsia="Arial" w:hAnsi="Arial"/>
          <w:sz w:val="12"/>
          <w:szCs w:val="12"/>
          <w:color w:val="FFFFFF"/>
        </w:rPr>
        <w:t>61</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2017</w:t>
      </w:r>
    </w:p>
    <w:p>
      <w:pPr>
        <w:ind w:left="340"/>
        <w:spacing w:after="0"/>
        <w:rPr>
          <w:sz w:val="20"/>
          <w:szCs w:val="20"/>
          <w:color w:val="auto"/>
        </w:rPr>
      </w:pPr>
      <w:r>
        <w:rPr>
          <w:rFonts w:ascii="Arial" w:cs="Arial" w:eastAsia="Arial" w:hAnsi="Arial"/>
          <w:sz w:val="14"/>
          <w:szCs w:val="14"/>
          <w:b w:val="1"/>
          <w:bCs w:val="1"/>
          <w:color w:val="FFFFFF"/>
        </w:rPr>
        <w:t>COMMITTEES:</w:t>
      </w:r>
    </w:p>
    <w:p>
      <w:pPr>
        <w:ind w:left="420"/>
        <w:spacing w:after="0"/>
        <w:rPr>
          <w:sz w:val="20"/>
          <w:szCs w:val="20"/>
          <w:color w:val="auto"/>
        </w:rPr>
      </w:pPr>
      <w:r>
        <w:rPr>
          <w:rFonts w:ascii="Arial" w:cs="Arial" w:eastAsia="Arial" w:hAnsi="Arial"/>
          <w:sz w:val="14"/>
          <w:szCs w:val="14"/>
          <w:color w:val="FFFFFF"/>
        </w:rPr>
        <w:t>Audit</w:t>
      </w:r>
    </w:p>
    <w:p>
      <w:pPr>
        <w:ind w:left="420"/>
        <w:spacing w:after="0"/>
        <w:rPr>
          <w:sz w:val="20"/>
          <w:szCs w:val="20"/>
          <w:color w:val="auto"/>
        </w:rPr>
      </w:pPr>
      <w:r>
        <w:rPr>
          <w:rFonts w:ascii="Arial" w:cs="Arial" w:eastAsia="Arial" w:hAnsi="Arial"/>
          <w:sz w:val="14"/>
          <w:szCs w:val="14"/>
          <w:color w:val="FFFFFF"/>
        </w:rPr>
        <w:t>Health, Safety and Environment</w:t>
      </w:r>
    </w:p>
    <w:p>
      <w:pPr>
        <w:ind w:left="340" w:right="280"/>
        <w:spacing w:after="0" w:line="238"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4"/>
          <w:szCs w:val="14"/>
          <w:color w:val="FFFFFF"/>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109855</wp:posOffset>
            </wp:positionV>
            <wp:extent cx="53574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28"/>
          <w:szCs w:val="28"/>
          <w:b w:val="1"/>
          <w:bCs w:val="1"/>
          <w:color w:val="C3002F"/>
        </w:rPr>
        <w:t>FRANCIS S. KALMAN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97"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color w:val="auto"/>
        </w:rPr>
        <w:t>Mr. Kalman serves as a senior advisor to a private investment subsidiary of Tudor, Pickering, Holt and Co., LLC that specializes in direct investments in upstream, midstream and oilfield service companies. Mr. Kalman served as Executive Vice President of McDermott International, Inc. from 2002 until his retirement in 2008 and as Chief Financial Officer from 2002 until 2007. From 2000 to 2002, he was Senior Vice President and Chief Financial Officer of Chemical Logistics Corporation; from 1999 to 2000, he was a principal of Pinnacle Equity Partners, LLC; from 1998 to 1999, he was Executive Vice President and Chief Financial Officer of Chemical Logistics Corporation; and from 1996 to 1997, he was Senior Vice President and Chief Financial Officer of Keystone International, Inc.</w:t>
      </w:r>
    </w:p>
    <w:p>
      <w:pPr>
        <w:spacing w:after="0" w:line="232"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Mr. Kalman started his career as a Certified Public Accountant with PriceWaterhouse and Co. In addition to the above, he has served in various financial capacities with Atlantic Richfield Company (1975 to 1982), United Gas Pipeline (1982 to 1991) and American Ref-Fuel (1991 to 1996).</w:t>
      </w:r>
    </w:p>
    <w:p>
      <w:pPr>
        <w:spacing w:after="0" w:line="66" w:lineRule="exact"/>
        <w:rPr>
          <w:sz w:val="20"/>
          <w:szCs w:val="20"/>
          <w:color w:val="auto"/>
        </w:rPr>
      </w:pPr>
    </w:p>
    <w:p>
      <w:pPr>
        <w:ind w:right="300"/>
        <w:spacing w:after="0" w:line="253" w:lineRule="auto"/>
        <w:rPr>
          <w:sz w:val="20"/>
          <w:szCs w:val="20"/>
          <w:color w:val="auto"/>
        </w:rPr>
      </w:pPr>
      <w:r>
        <w:rPr>
          <w:rFonts w:ascii="Arial" w:cs="Arial" w:eastAsia="Arial" w:hAnsi="Arial"/>
          <w:sz w:val="14"/>
          <w:szCs w:val="14"/>
          <w:color w:val="auto"/>
        </w:rPr>
        <w:t>In addition to his existing directorships, during the past five years, Mr. Kalman has also served on the board of Pride International, Inc., which merged into Ensco plc, CHC Group Ltd. and Kraton Corporation.</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Long Island University, B.S., Accounting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97" w:lineRule="exact"/>
        <w:rPr>
          <w:sz w:val="20"/>
          <w:szCs w:val="20"/>
          <w:color w:val="auto"/>
        </w:rPr>
      </w:pPr>
    </w:p>
    <w:p>
      <w:pPr>
        <w:ind w:left="300" w:hanging="154"/>
        <w:spacing w:after="0"/>
        <w:tabs>
          <w:tab w:leader="none" w:pos="300" w:val="left"/>
        </w:tabs>
        <w:numPr>
          <w:ilvl w:val="0"/>
          <w:numId w:val="34"/>
        </w:numPr>
        <w:rPr>
          <w:rFonts w:ascii="Arial" w:cs="Arial" w:eastAsia="Arial" w:hAnsi="Arial"/>
          <w:sz w:val="14"/>
          <w:szCs w:val="14"/>
          <w:color w:val="C3002F"/>
        </w:rPr>
      </w:pPr>
      <w:r>
        <w:rPr>
          <w:rFonts w:ascii="Arial" w:cs="Arial" w:eastAsia="Arial" w:hAnsi="Arial"/>
          <w:sz w:val="14"/>
          <w:szCs w:val="14"/>
          <w:color w:val="auto"/>
        </w:rPr>
        <w:t>Extensive knowledge in accounting and financial reporting</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34"/>
        </w:numPr>
        <w:rPr>
          <w:rFonts w:ascii="Arial" w:cs="Arial" w:eastAsia="Arial" w:hAnsi="Arial"/>
          <w:sz w:val="14"/>
          <w:szCs w:val="14"/>
          <w:color w:val="C3002F"/>
        </w:rPr>
      </w:pPr>
      <w:r>
        <w:rPr>
          <w:rFonts w:ascii="Arial" w:cs="Arial" w:eastAsia="Arial" w:hAnsi="Arial"/>
          <w:sz w:val="14"/>
          <w:szCs w:val="14"/>
          <w:color w:val="auto"/>
        </w:rPr>
        <w:t>Chief financial officer experience and serving as chairman of the audit committee of other public companies</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34"/>
        </w:numPr>
        <w:rPr>
          <w:rFonts w:ascii="Arial" w:cs="Arial" w:eastAsia="Arial" w:hAnsi="Arial"/>
          <w:sz w:val="14"/>
          <w:szCs w:val="14"/>
          <w:color w:val="C3002F"/>
        </w:rPr>
      </w:pPr>
      <w:r>
        <w:rPr>
          <w:rFonts w:ascii="Arial" w:cs="Arial" w:eastAsia="Arial" w:hAnsi="Arial"/>
          <w:sz w:val="14"/>
          <w:szCs w:val="14"/>
          <w:color w:val="auto"/>
        </w:rPr>
        <w:t>Executive leadership and strategic planning experience in the international energy service industry</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34"/>
        </w:numPr>
        <w:rPr>
          <w:rFonts w:ascii="Arial" w:cs="Arial" w:eastAsia="Arial" w:hAnsi="Arial"/>
          <w:sz w:val="14"/>
          <w:szCs w:val="14"/>
          <w:color w:val="C3002F"/>
        </w:rPr>
      </w:pPr>
      <w:r>
        <w:rPr>
          <w:rFonts w:ascii="Arial" w:cs="Arial" w:eastAsia="Arial" w:hAnsi="Arial"/>
          <w:sz w:val="14"/>
          <w:szCs w:val="14"/>
          <w:color w:val="auto"/>
        </w:rPr>
        <w:t>Experience in multiple components of the energy industry, including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53574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8"/>
          <w:szCs w:val="28"/>
          <w:b w:val="1"/>
          <w:bCs w:val="1"/>
          <w:color w:val="C3002F"/>
        </w:rPr>
        <w:t>DAVID S. KING</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97"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color w:val="auto"/>
        </w:rPr>
        <w:t>Mr. King has more than 35 years’ experience in the international oilfield service industry, including serving in executive operational leadership positions at Halliburton Company. He retired from Halliburton in 2010 where he served as the President of the Completions and Production Division, a $7 billion business. In 2013, he came out of retirement when he was recruited to serve as CEO of Archer Company Ltd. In this capacity, Mr. King was instrumental in driving a turnaround, which created strong financial and operational performance over six consecutive quarters and led to the successful divestiture of their North American assets in 2015. Mr. King recently retired from Archer in 2016. During the past five years, Mr. King has served as a director on the board of Seventy Seven Energy Inc.</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University of Alabama, B.S., Civil Engineering</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Harvard Business School, Advanced Management Program</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97" w:lineRule="exact"/>
        <w:rPr>
          <w:sz w:val="20"/>
          <w:szCs w:val="20"/>
          <w:color w:val="auto"/>
        </w:rPr>
      </w:pPr>
    </w:p>
    <w:p>
      <w:pPr>
        <w:ind w:left="300" w:hanging="154"/>
        <w:spacing w:after="0"/>
        <w:tabs>
          <w:tab w:leader="none" w:pos="300" w:val="left"/>
        </w:tabs>
        <w:numPr>
          <w:ilvl w:val="0"/>
          <w:numId w:val="35"/>
        </w:numPr>
        <w:rPr>
          <w:rFonts w:ascii="Arial" w:cs="Arial" w:eastAsia="Arial" w:hAnsi="Arial"/>
          <w:sz w:val="14"/>
          <w:szCs w:val="14"/>
          <w:color w:val="C3002F"/>
        </w:rPr>
      </w:pPr>
      <w:r>
        <w:rPr>
          <w:rFonts w:ascii="Arial" w:cs="Arial" w:eastAsia="Arial" w:hAnsi="Arial"/>
          <w:sz w:val="14"/>
          <w:szCs w:val="14"/>
          <w:color w:val="auto"/>
        </w:rPr>
        <w:t>More than 35 years of broad experience in the oilfield service industry</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35"/>
        </w:numPr>
        <w:rPr>
          <w:rFonts w:ascii="Arial" w:cs="Arial" w:eastAsia="Arial" w:hAnsi="Arial"/>
          <w:sz w:val="14"/>
          <w:szCs w:val="14"/>
          <w:color w:val="C3002F"/>
        </w:rPr>
      </w:pPr>
      <w:r>
        <w:rPr>
          <w:rFonts w:ascii="Arial" w:cs="Arial" w:eastAsia="Arial" w:hAnsi="Arial"/>
          <w:sz w:val="14"/>
          <w:szCs w:val="14"/>
          <w:color w:val="auto"/>
        </w:rPr>
        <w:t>Significant Chief Executive Officer and Board experience</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35"/>
        </w:numPr>
        <w:rPr>
          <w:rFonts w:ascii="Arial" w:cs="Arial" w:eastAsia="Arial" w:hAnsi="Arial"/>
          <w:sz w:val="14"/>
          <w:szCs w:val="14"/>
          <w:color w:val="C3002F"/>
        </w:rPr>
      </w:pPr>
      <w:r>
        <w:rPr>
          <w:rFonts w:ascii="Arial" w:cs="Arial" w:eastAsia="Arial" w:hAnsi="Arial"/>
          <w:sz w:val="14"/>
          <w:szCs w:val="14"/>
          <w:color w:val="auto"/>
        </w:rPr>
        <w:t>Highly qualified operational leader with keen understanding of customer needs</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35"/>
        </w:numPr>
        <w:rPr>
          <w:rFonts w:ascii="Arial" w:cs="Arial" w:eastAsia="Arial" w:hAnsi="Arial"/>
          <w:sz w:val="14"/>
          <w:szCs w:val="14"/>
          <w:color w:val="C3002F"/>
        </w:rPr>
      </w:pPr>
      <w:r>
        <w:rPr>
          <w:rFonts w:ascii="Arial" w:cs="Arial" w:eastAsia="Arial" w:hAnsi="Arial"/>
          <w:sz w:val="14"/>
          <w:szCs w:val="14"/>
          <w:color w:val="auto"/>
        </w:rPr>
        <w:t>Extensive knowledge of oilfield services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301625</wp:posOffset>
            </wp:positionV>
            <wp:extent cx="6917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280"/>
            <w:col w:w="8440"/>
          </w:cols>
          <w:pgMar w:left="240" w:top="455" w:right="49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ind w:left="7440"/>
        <w:spacing w:after="0"/>
        <w:tabs>
          <w:tab w:leader="none" w:pos="11060" w:val="left"/>
        </w:tabs>
        <w:rPr>
          <w:sz w:val="20"/>
          <w:szCs w:val="20"/>
          <w:color w:val="auto"/>
        </w:rPr>
      </w:pPr>
      <w:r>
        <w:rPr>
          <w:rFonts w:ascii="Arial" w:cs="Arial" w:eastAsia="Arial" w:hAnsi="Arial"/>
          <w:sz w:val="14"/>
          <w:szCs w:val="14"/>
          <w:color w:val="666666"/>
        </w:rPr>
        <w:t>Weatherford International plc — 2018 Proxy Statement</w:t>
      </w:r>
      <w:r>
        <w:rPr>
          <w:sz w:val="20"/>
          <w:szCs w:val="20"/>
          <w:color w:val="auto"/>
        </w:rPr>
        <w:tab/>
      </w:r>
      <w:r>
        <w:rPr>
          <w:rFonts w:ascii="Arial" w:cs="Arial" w:eastAsia="Arial" w:hAnsi="Arial"/>
          <w:sz w:val="14"/>
          <w:szCs w:val="14"/>
          <w:b w:val="1"/>
          <w:bCs w:val="1"/>
          <w:color w:val="666666"/>
        </w:rPr>
        <w:t>7</w:t>
      </w:r>
    </w:p>
    <w:p>
      <w:pPr>
        <w:sectPr>
          <w:pgSz w:w="11900" w:h="16838" w:orient="portrait"/>
          <w:cols w:equalWidth="0" w:num="1">
            <w:col w:w="11160"/>
          </w:cols>
          <w:pgMar w:left="240" w:top="455" w:right="499" w:bottom="1440" w:gutter="0" w:footer="0" w:header="0"/>
          <w:type w:val="continuous"/>
        </w:sectPr>
      </w:pPr>
    </w:p>
    <w:bookmarkStart w:id="21" w:name="page22"/>
    <w:bookmarkEnd w:id="2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248285</wp:posOffset>
            </wp:positionV>
            <wp:extent cx="6917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ectPr>
          <w:pgSz w:w="11900" w:h="16838" w:orient="portrait"/>
          <w:cols w:equalWidth="0" w:num="1">
            <w:col w:w="11120"/>
          </w:cols>
          <w:pgMar w:left="240" w:top="455" w:right="5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100965</wp:posOffset>
            </wp:positionV>
            <wp:extent cx="1432560" cy="2687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32560" cy="2687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72</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1998</w:t>
      </w:r>
    </w:p>
    <w:p>
      <w:pPr>
        <w:ind w:left="340"/>
        <w:spacing w:after="0"/>
        <w:rPr>
          <w:sz w:val="20"/>
          <w:szCs w:val="20"/>
          <w:color w:val="auto"/>
        </w:rPr>
      </w:pPr>
      <w:r>
        <w:rPr>
          <w:rFonts w:ascii="Arial" w:cs="Arial" w:eastAsia="Arial" w:hAnsi="Arial"/>
          <w:sz w:val="14"/>
          <w:szCs w:val="14"/>
          <w:b w:val="1"/>
          <w:bCs w:val="1"/>
          <w:color w:val="FFFFFF"/>
        </w:rPr>
        <w:t>COMMITTEES:</w:t>
      </w:r>
    </w:p>
    <w:p>
      <w:pPr>
        <w:ind w:left="420"/>
        <w:spacing w:after="0"/>
        <w:rPr>
          <w:sz w:val="20"/>
          <w:szCs w:val="20"/>
          <w:color w:val="auto"/>
        </w:rPr>
      </w:pPr>
      <w:r>
        <w:rPr>
          <w:rFonts w:ascii="Arial" w:cs="Arial" w:eastAsia="Arial" w:hAnsi="Arial"/>
          <w:sz w:val="14"/>
          <w:szCs w:val="14"/>
          <w:color w:val="FFFFFF"/>
        </w:rPr>
        <w:t>None – Chairman of</w:t>
      </w:r>
    </w:p>
    <w:p>
      <w:pPr>
        <w:ind w:left="420"/>
        <w:spacing w:after="0"/>
        <w:rPr>
          <w:sz w:val="20"/>
          <w:szCs w:val="20"/>
          <w:color w:val="auto"/>
        </w:rPr>
      </w:pPr>
      <w:r>
        <w:rPr>
          <w:rFonts w:ascii="Arial" w:cs="Arial" w:eastAsia="Arial" w:hAnsi="Arial"/>
          <w:sz w:val="14"/>
          <w:szCs w:val="14"/>
          <w:color w:val="FFFFFF"/>
        </w:rPr>
        <w:t>the Board</w:t>
      </w:r>
    </w:p>
    <w:p>
      <w:pPr>
        <w:ind w:left="340"/>
        <w:spacing w:after="0" w:line="238"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4"/>
          <w:szCs w:val="14"/>
          <w:color w:val="FFFFFF"/>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377825</wp:posOffset>
            </wp:positionV>
            <wp:extent cx="1432560" cy="24161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32560" cy="241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59</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2017</w:t>
      </w:r>
    </w:p>
    <w:p>
      <w:pPr>
        <w:ind w:left="340"/>
        <w:spacing w:after="0"/>
        <w:rPr>
          <w:sz w:val="20"/>
          <w:szCs w:val="20"/>
          <w:color w:val="auto"/>
        </w:rPr>
      </w:pPr>
      <w:r>
        <w:rPr>
          <w:rFonts w:ascii="Arial" w:cs="Arial" w:eastAsia="Arial" w:hAnsi="Arial"/>
          <w:sz w:val="14"/>
          <w:szCs w:val="14"/>
          <w:b w:val="1"/>
          <w:bCs w:val="1"/>
          <w:color w:val="FFFFFF"/>
        </w:rPr>
        <w:t>COMMITTEES:</w:t>
      </w:r>
    </w:p>
    <w:p>
      <w:pPr>
        <w:ind w:left="420"/>
        <w:spacing w:after="0"/>
        <w:rPr>
          <w:sz w:val="20"/>
          <w:szCs w:val="20"/>
          <w:color w:val="auto"/>
        </w:rPr>
      </w:pPr>
      <w:r>
        <w:rPr>
          <w:rFonts w:ascii="Arial" w:cs="Arial" w:eastAsia="Arial" w:hAnsi="Arial"/>
          <w:sz w:val="14"/>
          <w:szCs w:val="14"/>
          <w:color w:val="FFFFFF"/>
        </w:rPr>
        <w:t>None</w:t>
      </w:r>
    </w:p>
    <w:p>
      <w:pPr>
        <w:ind w:left="340"/>
        <w:spacing w:after="0" w:line="238"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4"/>
          <w:szCs w:val="14"/>
          <w:color w:val="FFFFFF"/>
        </w:rPr>
        <w:t>ArchRock,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8"/>
          <w:szCs w:val="28"/>
          <w:b w:val="1"/>
          <w:bCs w:val="1"/>
          <w:color w:val="C3002F"/>
        </w:rPr>
        <w:t>WILLIAM E. MACAULAY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-212090</wp:posOffset>
            </wp:positionV>
            <wp:extent cx="53574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97" w:lineRule="exact"/>
        <w:rPr>
          <w:sz w:val="20"/>
          <w:szCs w:val="20"/>
          <w:color w:val="auto"/>
        </w:rPr>
      </w:pPr>
    </w:p>
    <w:p>
      <w:pPr>
        <w:ind w:right="420"/>
        <w:spacing w:after="0" w:line="238" w:lineRule="auto"/>
        <w:rPr>
          <w:sz w:val="20"/>
          <w:szCs w:val="20"/>
          <w:color w:val="auto"/>
        </w:rPr>
      </w:pPr>
      <w:r>
        <w:rPr>
          <w:rFonts w:ascii="Arial" w:cs="Arial" w:eastAsia="Arial" w:hAnsi="Arial"/>
          <w:sz w:val="14"/>
          <w:szCs w:val="14"/>
          <w:color w:val="auto"/>
        </w:rPr>
        <w:t>Mr. Macaulay is the Executive Chairman of First Reserve, a global private equity and infrastructure firm focused on the energy industry. He has been with First Reserve since 1983. Mr. Macaulay is jointly responsible for supervision of the firm’s investment program and strategy, as well as overall management of the firm. Mr. Macaulay sits on all of the firm’s investment committees.</w:t>
      </w:r>
    </w:p>
    <w:p>
      <w:pPr>
        <w:spacing w:after="0" w:line="2" w:lineRule="exact"/>
        <w:rPr>
          <w:sz w:val="20"/>
          <w:szCs w:val="20"/>
          <w:color w:val="auto"/>
        </w:rPr>
      </w:pPr>
    </w:p>
    <w:p>
      <w:pPr>
        <w:ind w:right="160"/>
        <w:spacing w:after="0" w:line="253" w:lineRule="auto"/>
        <w:rPr>
          <w:sz w:val="20"/>
          <w:szCs w:val="20"/>
          <w:color w:val="auto"/>
        </w:rPr>
      </w:pPr>
      <w:r>
        <w:rPr>
          <w:rFonts w:ascii="Arial" w:cs="Arial" w:eastAsia="Arial" w:hAnsi="Arial"/>
          <w:sz w:val="14"/>
          <w:szCs w:val="14"/>
          <w:color w:val="auto"/>
        </w:rPr>
        <w:t>Mr. Macaulay served as a director of Weatherford Enterra from October 1995 to May 1998. Mr. Macaulay also served as Director of Corporate Finance for Oppenheimer &amp; Co., Inc., where he worked from 1972 to 1982.</w:t>
      </w:r>
    </w:p>
    <w:p>
      <w:pPr>
        <w:spacing w:after="0" w:line="61" w:lineRule="exact"/>
        <w:rPr>
          <w:sz w:val="20"/>
          <w:szCs w:val="20"/>
          <w:color w:val="auto"/>
        </w:rPr>
      </w:pPr>
    </w:p>
    <w:p>
      <w:pPr>
        <w:ind w:right="320"/>
        <w:spacing w:after="0" w:line="253" w:lineRule="auto"/>
        <w:rPr>
          <w:sz w:val="20"/>
          <w:szCs w:val="20"/>
          <w:color w:val="auto"/>
        </w:rPr>
      </w:pPr>
      <w:r>
        <w:rPr>
          <w:rFonts w:ascii="Arial" w:cs="Arial" w:eastAsia="Arial" w:hAnsi="Arial"/>
          <w:sz w:val="14"/>
          <w:szCs w:val="14"/>
          <w:color w:val="auto"/>
        </w:rPr>
        <w:t>Previously, Mr. Macaulay served as Chairman of CHC Group Ltd., Dresser-Rand Group, Inc., Foundation Coal Holdings Inc. and Pride International, and as a director of Dresser, Inc. and National Oilwell Varco.</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City College of New York, B.B.A.</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University of Pennsylvania, Wharton School of Business, M.B.A.</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97" w:lineRule="exact"/>
        <w:rPr>
          <w:sz w:val="20"/>
          <w:szCs w:val="20"/>
          <w:color w:val="auto"/>
        </w:rPr>
      </w:pPr>
    </w:p>
    <w:p>
      <w:pPr>
        <w:ind w:left="300" w:hanging="154"/>
        <w:spacing w:after="0"/>
        <w:tabs>
          <w:tab w:leader="none" w:pos="300" w:val="left"/>
        </w:tabs>
        <w:numPr>
          <w:ilvl w:val="0"/>
          <w:numId w:val="36"/>
        </w:numPr>
        <w:rPr>
          <w:rFonts w:ascii="Arial" w:cs="Arial" w:eastAsia="Arial" w:hAnsi="Arial"/>
          <w:sz w:val="14"/>
          <w:szCs w:val="14"/>
          <w:color w:val="C3002F"/>
        </w:rPr>
      </w:pPr>
      <w:r>
        <w:rPr>
          <w:rFonts w:ascii="Arial" w:cs="Arial" w:eastAsia="Arial" w:hAnsi="Arial"/>
          <w:sz w:val="14"/>
          <w:szCs w:val="14"/>
          <w:color w:val="auto"/>
        </w:rPr>
        <w:t>Serves as Chairman, i.e., the lead director, of the Company’s Board</w:t>
      </w:r>
    </w:p>
    <w:p>
      <w:pPr>
        <w:spacing w:after="0" w:line="79" w:lineRule="exact"/>
        <w:rPr>
          <w:rFonts w:ascii="Arial" w:cs="Arial" w:eastAsia="Arial" w:hAnsi="Arial"/>
          <w:sz w:val="14"/>
          <w:szCs w:val="14"/>
          <w:color w:val="C3002F"/>
        </w:rPr>
      </w:pPr>
    </w:p>
    <w:p>
      <w:pPr>
        <w:ind w:left="280" w:right="580" w:hanging="134"/>
        <w:spacing w:after="0" w:line="253" w:lineRule="auto"/>
        <w:tabs>
          <w:tab w:leader="none" w:pos="287" w:val="left"/>
        </w:tabs>
        <w:numPr>
          <w:ilvl w:val="0"/>
          <w:numId w:val="36"/>
        </w:numPr>
        <w:rPr>
          <w:rFonts w:ascii="Arial" w:cs="Arial" w:eastAsia="Arial" w:hAnsi="Arial"/>
          <w:sz w:val="14"/>
          <w:szCs w:val="14"/>
          <w:color w:val="C3002F"/>
        </w:rPr>
      </w:pPr>
      <w:r>
        <w:rPr>
          <w:rFonts w:ascii="Arial" w:cs="Arial" w:eastAsia="Arial" w:hAnsi="Arial"/>
          <w:sz w:val="14"/>
          <w:szCs w:val="14"/>
          <w:color w:val="auto"/>
        </w:rPr>
        <w:t>Significant investment and financial expertise as previous chairman of one of the world’s leading energy and natural gas resources private equity firms</w:t>
      </w:r>
    </w:p>
    <w:p>
      <w:pPr>
        <w:spacing w:after="0" w:line="61" w:lineRule="exact"/>
        <w:rPr>
          <w:rFonts w:ascii="Arial" w:cs="Arial" w:eastAsia="Arial" w:hAnsi="Arial"/>
          <w:sz w:val="14"/>
          <w:szCs w:val="14"/>
          <w:color w:val="C3002F"/>
        </w:rPr>
      </w:pPr>
    </w:p>
    <w:p>
      <w:pPr>
        <w:ind w:left="300" w:hanging="154"/>
        <w:spacing w:after="0"/>
        <w:tabs>
          <w:tab w:leader="none" w:pos="300" w:val="left"/>
        </w:tabs>
        <w:numPr>
          <w:ilvl w:val="0"/>
          <w:numId w:val="36"/>
        </w:numPr>
        <w:rPr>
          <w:rFonts w:ascii="Arial" w:cs="Arial" w:eastAsia="Arial" w:hAnsi="Arial"/>
          <w:sz w:val="14"/>
          <w:szCs w:val="14"/>
          <w:color w:val="C3002F"/>
        </w:rPr>
      </w:pPr>
      <w:r>
        <w:rPr>
          <w:rFonts w:ascii="Arial" w:cs="Arial" w:eastAsia="Arial" w:hAnsi="Arial"/>
          <w:sz w:val="14"/>
          <w:szCs w:val="14"/>
          <w:color w:val="auto"/>
        </w:rPr>
        <w:t>Chief executive officer experience</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36"/>
        </w:numPr>
        <w:rPr>
          <w:rFonts w:ascii="Arial" w:cs="Arial" w:eastAsia="Arial" w:hAnsi="Arial"/>
          <w:sz w:val="14"/>
          <w:szCs w:val="14"/>
          <w:color w:val="C3002F"/>
        </w:rPr>
      </w:pPr>
      <w:r>
        <w:rPr>
          <w:rFonts w:ascii="Arial" w:cs="Arial" w:eastAsia="Arial" w:hAnsi="Arial"/>
          <w:sz w:val="14"/>
          <w:szCs w:val="14"/>
          <w:color w:val="auto"/>
        </w:rPr>
        <w:t>Extensive knowledge of the oilfield service industry</w:t>
      </w:r>
    </w:p>
    <w:p>
      <w:pPr>
        <w:spacing w:after="0" w:line="79" w:lineRule="exact"/>
        <w:rPr>
          <w:rFonts w:ascii="Arial" w:cs="Arial" w:eastAsia="Arial" w:hAnsi="Arial"/>
          <w:sz w:val="14"/>
          <w:szCs w:val="14"/>
          <w:color w:val="C3002F"/>
        </w:rPr>
      </w:pPr>
    </w:p>
    <w:p>
      <w:pPr>
        <w:ind w:left="280" w:right="120" w:hanging="134"/>
        <w:spacing w:after="0" w:line="253" w:lineRule="auto"/>
        <w:tabs>
          <w:tab w:leader="none" w:pos="287" w:val="left"/>
        </w:tabs>
        <w:numPr>
          <w:ilvl w:val="0"/>
          <w:numId w:val="36"/>
        </w:numPr>
        <w:rPr>
          <w:rFonts w:ascii="Arial" w:cs="Arial" w:eastAsia="Arial" w:hAnsi="Arial"/>
          <w:sz w:val="14"/>
          <w:szCs w:val="14"/>
          <w:color w:val="C3002F"/>
        </w:rPr>
      </w:pPr>
      <w:r>
        <w:rPr>
          <w:rFonts w:ascii="Arial" w:cs="Arial" w:eastAsia="Arial" w:hAnsi="Arial"/>
          <w:sz w:val="14"/>
          <w:szCs w:val="14"/>
          <w:color w:val="auto"/>
        </w:rPr>
        <w:t>Expansive depth of knowledge of the Company’s business, as a result of his 20+ years of experience with the Company and its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78105</wp:posOffset>
            </wp:positionV>
            <wp:extent cx="53574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28"/>
          <w:szCs w:val="28"/>
          <w:b w:val="1"/>
          <w:bCs w:val="1"/>
          <w:color w:val="C3002F"/>
        </w:rPr>
        <w:t>MARK A. MCCOLLUM</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Mr. McCollum has over 36 years of leadership experience in the energy sector. Most recently he served as Chief Financial Officer of Halliburton Company, a position he started in 2008 and resumed in July of 2016 following an interim role as Chief Integration Officer during the pendency of Halliburton’s proposed acquisition of Baker Hughes Incorporated. Prior to joining Halliburton, Mr. McCollum held a number of senior positions at Tenneco, Inc., including Chief Financial Officer, and served as an Audit and Advisory Partner in Arthur Andersen’s Energy Division, where he began his career. He is also a registered CPA in the State of Texas. Mr. McCollum is a member of the Board of Directors and the Audit and Compensation Committees at Archrock, Inc., previously known as Exterran Holdings. He is a member of the Board of Regents of Baylor University and he also serves on the board of trustees for Baylor College of Medicine and the advisory board of Every Village.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Baylor University, Bachelor Degree in Business Administration, Major in Accounting and Business Law</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97" w:lineRule="exact"/>
        <w:rPr>
          <w:sz w:val="20"/>
          <w:szCs w:val="20"/>
          <w:color w:val="auto"/>
        </w:rPr>
      </w:pPr>
    </w:p>
    <w:p>
      <w:pPr>
        <w:ind w:left="300" w:hanging="154"/>
        <w:spacing w:after="0"/>
        <w:tabs>
          <w:tab w:leader="none" w:pos="300" w:val="left"/>
        </w:tabs>
        <w:numPr>
          <w:ilvl w:val="0"/>
          <w:numId w:val="37"/>
        </w:numPr>
        <w:rPr>
          <w:rFonts w:ascii="Arial" w:cs="Arial" w:eastAsia="Arial" w:hAnsi="Arial"/>
          <w:sz w:val="14"/>
          <w:szCs w:val="14"/>
          <w:color w:val="C3002F"/>
        </w:rPr>
      </w:pPr>
      <w:r>
        <w:rPr>
          <w:rFonts w:ascii="Arial" w:cs="Arial" w:eastAsia="Arial" w:hAnsi="Arial"/>
          <w:sz w:val="14"/>
          <w:szCs w:val="14"/>
          <w:color w:val="auto"/>
        </w:rPr>
        <w:t>Extensive knowledge of and experience in the oilfield service industry</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37"/>
        </w:numPr>
        <w:rPr>
          <w:rFonts w:ascii="Arial" w:cs="Arial" w:eastAsia="Arial" w:hAnsi="Arial"/>
          <w:sz w:val="14"/>
          <w:szCs w:val="14"/>
          <w:color w:val="C3002F"/>
        </w:rPr>
      </w:pPr>
      <w:r>
        <w:rPr>
          <w:rFonts w:ascii="Arial" w:cs="Arial" w:eastAsia="Arial" w:hAnsi="Arial"/>
          <w:sz w:val="14"/>
          <w:szCs w:val="14"/>
          <w:color w:val="auto"/>
        </w:rPr>
        <w:t>Significant leadership experience, with a strong background in accounting and finance</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37"/>
        </w:numPr>
        <w:rPr>
          <w:rFonts w:ascii="Arial" w:cs="Arial" w:eastAsia="Arial" w:hAnsi="Arial"/>
          <w:sz w:val="14"/>
          <w:szCs w:val="14"/>
          <w:color w:val="C3002F"/>
        </w:rPr>
      </w:pPr>
      <w:r>
        <w:rPr>
          <w:rFonts w:ascii="Arial" w:cs="Arial" w:eastAsia="Arial" w:hAnsi="Arial"/>
          <w:sz w:val="14"/>
          <w:szCs w:val="14"/>
          <w:color w:val="auto"/>
        </w:rPr>
        <w:t>Deep understanding of the challenges facing the industry</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37"/>
        </w:numPr>
        <w:rPr>
          <w:rFonts w:ascii="Arial" w:cs="Arial" w:eastAsia="Arial" w:hAnsi="Arial"/>
          <w:sz w:val="14"/>
          <w:szCs w:val="14"/>
          <w:color w:val="C3002F"/>
        </w:rPr>
      </w:pPr>
      <w:r>
        <w:rPr>
          <w:rFonts w:ascii="Arial" w:cs="Arial" w:eastAsia="Arial" w:hAnsi="Arial"/>
          <w:sz w:val="14"/>
          <w:szCs w:val="14"/>
          <w:color w:val="auto"/>
        </w:rPr>
        <w:t>Strong knowledge of customer demands and desires</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37"/>
        </w:numPr>
        <w:rPr>
          <w:rFonts w:ascii="Arial" w:cs="Arial" w:eastAsia="Arial" w:hAnsi="Arial"/>
          <w:sz w:val="14"/>
          <w:szCs w:val="14"/>
          <w:color w:val="C3002F"/>
        </w:rPr>
      </w:pPr>
      <w:r>
        <w:rPr>
          <w:rFonts w:ascii="Arial" w:cs="Arial" w:eastAsia="Arial" w:hAnsi="Arial"/>
          <w:sz w:val="14"/>
          <w:szCs w:val="14"/>
          <w:color w:val="auto"/>
        </w:rPr>
        <w:t>Commitment to organizational discipline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106680</wp:posOffset>
            </wp:positionV>
            <wp:extent cx="69176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560"/>
            <w:col w:w="8400"/>
          </w:cols>
          <w:pgMar w:left="240" w:top="455" w:right="539" w:bottom="1440" w:gutter="0" w:footer="0" w:header="0"/>
          <w:type w:val="continuous"/>
        </w:sectPr>
      </w:pPr>
    </w:p>
    <w:p>
      <w:pPr>
        <w:spacing w:after="0" w:line="253" w:lineRule="exact"/>
        <w:rPr>
          <w:sz w:val="20"/>
          <w:szCs w:val="20"/>
          <w:color w:val="auto"/>
        </w:rPr>
      </w:pPr>
    </w:p>
    <w:p>
      <w:pPr>
        <w:ind w:left="540" w:hanging="273"/>
        <w:spacing w:after="0"/>
        <w:tabs>
          <w:tab w:leader="none" w:pos="540" w:val="left"/>
        </w:tabs>
        <w:numPr>
          <w:ilvl w:val="0"/>
          <w:numId w:val="38"/>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2018 Proxy Statement</w:t>
      </w:r>
    </w:p>
    <w:p>
      <w:pPr>
        <w:sectPr>
          <w:pgSz w:w="11900" w:h="16838" w:orient="portrait"/>
          <w:cols w:equalWidth="0" w:num="1">
            <w:col w:w="11120"/>
          </w:cols>
          <w:pgMar w:left="240" w:top="455" w:right="539" w:bottom="1440" w:gutter="0" w:footer="0" w:header="0"/>
          <w:type w:val="continuous"/>
        </w:sectPr>
      </w:pPr>
    </w:p>
    <w:bookmarkStart w:id="22" w:name="page23"/>
    <w:bookmarkEnd w:id="2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248285</wp:posOffset>
            </wp:positionV>
            <wp:extent cx="6917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ectPr>
          <w:pgSz w:w="11900" w:h="16838" w:orient="portrait"/>
          <w:cols w:equalWidth="0" w:num="1">
            <w:col w:w="11160"/>
          </w:cols>
          <w:pgMar w:left="240" w:top="45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-1687195</wp:posOffset>
            </wp:positionV>
            <wp:extent cx="1432560" cy="25939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32560" cy="259397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2018</w:t>
      </w:r>
    </w:p>
    <w:p>
      <w:pPr>
        <w:ind w:left="340"/>
        <w:spacing w:after="0"/>
        <w:rPr>
          <w:sz w:val="20"/>
          <w:szCs w:val="20"/>
          <w:color w:val="auto"/>
        </w:rPr>
      </w:pPr>
      <w:r>
        <w:rPr>
          <w:rFonts w:ascii="Arial" w:cs="Arial" w:eastAsia="Arial" w:hAnsi="Arial"/>
          <w:sz w:val="14"/>
          <w:szCs w:val="14"/>
          <w:b w:val="1"/>
          <w:bCs w:val="1"/>
          <w:color w:val="FFFFFF"/>
        </w:rPr>
        <w:t>COMMITTEES:</w:t>
      </w:r>
    </w:p>
    <w:p>
      <w:pPr>
        <w:ind w:left="420"/>
        <w:spacing w:after="0"/>
        <w:rPr>
          <w:sz w:val="20"/>
          <w:szCs w:val="20"/>
          <w:color w:val="auto"/>
        </w:rPr>
      </w:pPr>
      <w:r>
        <w:rPr>
          <w:rFonts w:ascii="Arial" w:cs="Arial" w:eastAsia="Arial" w:hAnsi="Arial"/>
          <w:sz w:val="14"/>
          <w:szCs w:val="14"/>
          <w:color w:val="FFFFFF"/>
        </w:rPr>
        <w:t>Audit</w:t>
      </w:r>
    </w:p>
    <w:p>
      <w:pPr>
        <w:ind w:left="420"/>
        <w:spacing w:after="0"/>
        <w:rPr>
          <w:sz w:val="20"/>
          <w:szCs w:val="20"/>
          <w:color w:val="auto"/>
        </w:rPr>
      </w:pPr>
      <w:r>
        <w:rPr>
          <w:rFonts w:ascii="Arial" w:cs="Arial" w:eastAsia="Arial" w:hAnsi="Arial"/>
          <w:sz w:val="14"/>
          <w:szCs w:val="14"/>
          <w:color w:val="FFFFFF"/>
        </w:rPr>
        <w:t>Health, Safety and Environment</w:t>
      </w:r>
    </w:p>
    <w:p>
      <w:pPr>
        <w:ind w:left="340" w:right="680"/>
        <w:spacing w:after="0" w:line="238"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420"/>
        <w:spacing w:after="0" w:line="253" w:lineRule="auto"/>
        <w:rPr>
          <w:sz w:val="20"/>
          <w:szCs w:val="20"/>
          <w:color w:val="auto"/>
        </w:rPr>
      </w:pPr>
      <w:r>
        <w:rPr>
          <w:rFonts w:ascii="Arial" w:cs="Arial" w:eastAsia="Arial" w:hAnsi="Arial"/>
          <w:sz w:val="14"/>
          <w:szCs w:val="14"/>
          <w:color w:val="FFFFFF"/>
        </w:rPr>
        <w:t>Westlake Chemical Partners LP CNX Midstream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222250</wp:posOffset>
            </wp:positionV>
            <wp:extent cx="1432560" cy="1432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32560" cy="143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109855</wp:posOffset>
            </wp:positionV>
            <wp:extent cx="53574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28"/>
          <w:szCs w:val="28"/>
          <w:b w:val="1"/>
          <w:bCs w:val="1"/>
          <w:color w:val="C3002F"/>
        </w:rPr>
        <w:t>ANGELA A. MINAS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97"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Ms. Minas has more than 30 years of experience in the energy sector. Most recently, she served as the Chief Financial Officer of DCP Midstream Partners LP a role she held from 2008 to 2012, and the Chief Financial Officer of Constellation Energy Partners LLC, a role she held from 2006 to 2008. Prior to her experience in the master limited partnership sector, Ms. Minas served as Senior Vice President, Global Consulting at Science Applications International Corporation and as a partner at Arthur Andersen LLP, leading the firm’s North American oil and gas consulting practice. Ms. Minas also serves as a director of Westlake Chemical Partners LP and the general partner of CNX Midstream Partners LP. She currently serves on the Council of Overseers at Rice University Gradule Business School.</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Rice University, Jesse H. Jones Graduate Business School, M.B.A., Finance and Accounting</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Rice University, B.A., Managerial Studies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97" w:lineRule="exact"/>
        <w:rPr>
          <w:sz w:val="20"/>
          <w:szCs w:val="20"/>
          <w:color w:val="auto"/>
        </w:rPr>
      </w:pPr>
    </w:p>
    <w:p>
      <w:pPr>
        <w:ind w:left="300" w:hanging="154"/>
        <w:spacing w:after="0"/>
        <w:tabs>
          <w:tab w:leader="none" w:pos="300" w:val="left"/>
        </w:tabs>
        <w:numPr>
          <w:ilvl w:val="0"/>
          <w:numId w:val="39"/>
        </w:numPr>
        <w:rPr>
          <w:rFonts w:ascii="Arial" w:cs="Arial" w:eastAsia="Arial" w:hAnsi="Arial"/>
          <w:sz w:val="14"/>
          <w:szCs w:val="14"/>
          <w:color w:val="C3002F"/>
        </w:rPr>
      </w:pPr>
      <w:r>
        <w:rPr>
          <w:rFonts w:ascii="Arial" w:cs="Arial" w:eastAsia="Arial" w:hAnsi="Arial"/>
          <w:sz w:val="14"/>
          <w:szCs w:val="14"/>
          <w:color w:val="auto"/>
        </w:rPr>
        <w:t>Extensive executive leadership and board experience, including audit committee experience</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39"/>
        </w:numPr>
        <w:rPr>
          <w:rFonts w:ascii="Arial" w:cs="Arial" w:eastAsia="Arial" w:hAnsi="Arial"/>
          <w:sz w:val="14"/>
          <w:szCs w:val="14"/>
          <w:color w:val="C3002F"/>
        </w:rPr>
      </w:pPr>
      <w:r>
        <w:rPr>
          <w:rFonts w:ascii="Arial" w:cs="Arial" w:eastAsia="Arial" w:hAnsi="Arial"/>
          <w:sz w:val="14"/>
          <w:szCs w:val="14"/>
          <w:color w:val="auto"/>
        </w:rPr>
        <w:t>Deep understanding of oil and gas, and broader energy sectors</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39"/>
        </w:numPr>
        <w:rPr>
          <w:rFonts w:ascii="Arial" w:cs="Arial" w:eastAsia="Arial" w:hAnsi="Arial"/>
          <w:sz w:val="14"/>
          <w:szCs w:val="14"/>
          <w:color w:val="C3002F"/>
        </w:rPr>
      </w:pPr>
      <w:r>
        <w:rPr>
          <w:rFonts w:ascii="Arial" w:cs="Arial" w:eastAsia="Arial" w:hAnsi="Arial"/>
          <w:sz w:val="14"/>
          <w:szCs w:val="14"/>
          <w:color w:val="auto"/>
        </w:rPr>
        <w:t>Significant financial and accounting expertise with strong knowledge of the capital markets</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39"/>
        </w:numPr>
        <w:rPr>
          <w:rFonts w:ascii="Arial" w:cs="Arial" w:eastAsia="Arial" w:hAnsi="Arial"/>
          <w:sz w:val="14"/>
          <w:szCs w:val="14"/>
          <w:color w:val="C3002F"/>
        </w:rPr>
      </w:pPr>
      <w:r>
        <w:rPr>
          <w:rFonts w:ascii="Arial" w:cs="Arial" w:eastAsia="Arial" w:hAnsi="Arial"/>
          <w:sz w:val="14"/>
          <w:szCs w:val="14"/>
          <w:color w:val="auto"/>
        </w:rPr>
        <w:t>Proven track record of implementing high-performing corporate growth strategies and business transformation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335915</wp:posOffset>
            </wp:positionV>
            <wp:extent cx="53574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365" w:lineRule="exact"/>
        <w:rPr>
          <w:sz w:val="20"/>
          <w:szCs w:val="20"/>
          <w:color w:val="auto"/>
        </w:rPr>
      </w:pPr>
    </w:p>
    <w:p>
      <w:pPr>
        <w:sectPr>
          <w:pgSz w:w="11900" w:h="16838" w:orient="portrait"/>
          <w:cols w:equalWidth="0" w:num="2">
            <w:col w:w="2440" w:space="280"/>
            <w:col w:w="8440"/>
          </w:cols>
          <w:pgMar w:left="240" w:top="455"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-169545</wp:posOffset>
            </wp:positionV>
            <wp:extent cx="1432560" cy="13817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32560" cy="13817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2010</w:t>
      </w:r>
    </w:p>
    <w:p>
      <w:pPr>
        <w:ind w:left="340"/>
        <w:spacing w:after="0"/>
        <w:rPr>
          <w:sz w:val="20"/>
          <w:szCs w:val="20"/>
          <w:color w:val="auto"/>
        </w:rPr>
      </w:pPr>
      <w:r>
        <w:rPr>
          <w:rFonts w:ascii="Arial" w:cs="Arial" w:eastAsia="Arial" w:hAnsi="Arial"/>
          <w:sz w:val="14"/>
          <w:szCs w:val="14"/>
          <w:b w:val="1"/>
          <w:bCs w:val="1"/>
          <w:color w:val="FFFFFF"/>
        </w:rPr>
        <w:t>COMMITTEES:</w:t>
      </w:r>
    </w:p>
    <w:p>
      <w:pPr>
        <w:ind w:left="420"/>
        <w:spacing w:after="0"/>
        <w:rPr>
          <w:sz w:val="20"/>
          <w:szCs w:val="20"/>
          <w:color w:val="auto"/>
        </w:rPr>
      </w:pPr>
      <w:r>
        <w:rPr>
          <w:rFonts w:ascii="Arial" w:cs="Arial" w:eastAsia="Arial" w:hAnsi="Arial"/>
          <w:sz w:val="14"/>
          <w:szCs w:val="14"/>
          <w:color w:val="FFFFFF"/>
        </w:rPr>
        <w:t>Audit (Vice Chair)</w:t>
      </w:r>
    </w:p>
    <w:p>
      <w:pPr>
        <w:ind w:left="420"/>
        <w:spacing w:after="0"/>
        <w:rPr>
          <w:sz w:val="20"/>
          <w:szCs w:val="20"/>
          <w:color w:val="auto"/>
        </w:rPr>
      </w:pPr>
      <w:r>
        <w:rPr>
          <w:rFonts w:ascii="Arial" w:cs="Arial" w:eastAsia="Arial" w:hAnsi="Arial"/>
          <w:sz w:val="14"/>
          <w:szCs w:val="14"/>
          <w:color w:val="FFFFFF"/>
        </w:rPr>
        <w:t>Compensation</w:t>
      </w:r>
    </w:p>
    <w:p>
      <w:pPr>
        <w:ind w:left="340" w:right="60"/>
        <w:spacing w:after="0" w:line="238" w:lineRule="auto"/>
        <w:rPr>
          <w:sz w:val="20"/>
          <w:szCs w:val="20"/>
          <w:color w:val="auto"/>
        </w:rPr>
      </w:pPr>
      <w:r>
        <w:rPr>
          <w:rFonts w:ascii="Arial" w:cs="Arial" w:eastAsia="Arial" w:hAnsi="Arial"/>
          <w:sz w:val="14"/>
          <w:szCs w:val="14"/>
          <w:b w:val="1"/>
          <w:bCs w:val="1"/>
          <w:color w:val="FFFFFF"/>
        </w:rPr>
        <w:t xml:space="preserve">OTHER PUBLIC COMPANY BOARDS: </w:t>
      </w:r>
      <w:r>
        <w:rPr>
          <w:rFonts w:ascii="Arial" w:cs="Arial" w:eastAsia="Arial" w:hAnsi="Arial"/>
          <w:sz w:val="14"/>
          <w:szCs w:val="14"/>
          <w:color w:val="FFFFFF"/>
        </w:rPr>
        <w:t>Grupo Aeroportuario del</w:t>
      </w:r>
    </w:p>
    <w:p>
      <w:pPr>
        <w:spacing w:after="0" w:line="2" w:lineRule="exact"/>
        <w:rPr>
          <w:sz w:val="20"/>
          <w:szCs w:val="20"/>
          <w:color w:val="auto"/>
        </w:rPr>
      </w:pPr>
    </w:p>
    <w:p>
      <w:pPr>
        <w:ind w:left="420"/>
        <w:spacing w:after="0" w:line="243" w:lineRule="auto"/>
        <w:rPr>
          <w:sz w:val="20"/>
          <w:szCs w:val="20"/>
          <w:color w:val="auto"/>
        </w:rPr>
      </w:pPr>
      <w:r>
        <w:rPr>
          <w:rFonts w:ascii="Arial" w:cs="Arial" w:eastAsia="Arial" w:hAnsi="Arial"/>
          <w:sz w:val="14"/>
          <w:szCs w:val="14"/>
          <w:color w:val="FFFFFF"/>
        </w:rPr>
        <w:t>Sureste S.A.B. de C.V. Mexichem S.A.B. de C.V. Vitro S.A.B. de C.V. BTG Pactual</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28"/>
          <w:szCs w:val="28"/>
          <w:b w:val="1"/>
          <w:bCs w:val="1"/>
          <w:color w:val="C3002F"/>
        </w:rPr>
        <w:t>GUILLERMO ORTIZ</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97"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color w:val="auto"/>
        </w:rPr>
        <w:t>Dr. Ortiz is currently a partner and Chairman for BTG Pactual for Latin America, a Latin American investment bank based in Brazil. He served as the Chairman of Banorte, the third largest bank in Mexico from 2010 until 2014; Governor of the Bank of Mexico from 1998 until 2009; and as Chairman of the Board of the Bank for International Settlements (BIS) in 2009. He previously served as Secretary of Finance and Public Credit in Mexico from 1994 to 1998. Dr. Ortiz was also Executive Director at the International Monetary Fund and is a director of several international non-profit organizations. He is currently a member of “The Group of Thirty,” an international body of leading financiers and academics.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National Autonomous University of Mexico, B.A., Economics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Stanford University, M.Sc. and Ph.D., Economics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97" w:lineRule="exact"/>
        <w:rPr>
          <w:sz w:val="20"/>
          <w:szCs w:val="20"/>
          <w:color w:val="auto"/>
        </w:rPr>
      </w:pPr>
    </w:p>
    <w:p>
      <w:pPr>
        <w:ind w:left="300" w:hanging="154"/>
        <w:spacing w:after="0"/>
        <w:tabs>
          <w:tab w:leader="none" w:pos="300" w:val="left"/>
        </w:tabs>
        <w:numPr>
          <w:ilvl w:val="0"/>
          <w:numId w:val="40"/>
        </w:numPr>
        <w:rPr>
          <w:rFonts w:ascii="Arial" w:cs="Arial" w:eastAsia="Arial" w:hAnsi="Arial"/>
          <w:sz w:val="14"/>
          <w:szCs w:val="14"/>
          <w:color w:val="C3002F"/>
        </w:rPr>
      </w:pPr>
      <w:r>
        <w:rPr>
          <w:rFonts w:ascii="Arial" w:cs="Arial" w:eastAsia="Arial" w:hAnsi="Arial"/>
          <w:sz w:val="14"/>
          <w:szCs w:val="14"/>
          <w:color w:val="auto"/>
        </w:rPr>
        <w:t>Extensive international finance and banking experience in the public and private sector</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40"/>
        </w:numPr>
        <w:rPr>
          <w:rFonts w:ascii="Arial" w:cs="Arial" w:eastAsia="Arial" w:hAnsi="Arial"/>
          <w:sz w:val="14"/>
          <w:szCs w:val="14"/>
          <w:color w:val="C3002F"/>
        </w:rPr>
      </w:pPr>
      <w:r>
        <w:rPr>
          <w:rFonts w:ascii="Arial" w:cs="Arial" w:eastAsia="Arial" w:hAnsi="Arial"/>
          <w:sz w:val="14"/>
          <w:szCs w:val="14"/>
          <w:color w:val="auto"/>
        </w:rPr>
        <w:t>Expertise regarding global economic matters and multi-national financing, an important element of the Company’s global strategy</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40"/>
        </w:numPr>
        <w:rPr>
          <w:rFonts w:ascii="Arial" w:cs="Arial" w:eastAsia="Arial" w:hAnsi="Arial"/>
          <w:sz w:val="14"/>
          <w:szCs w:val="14"/>
          <w:color w:val="C3002F"/>
        </w:rPr>
      </w:pPr>
      <w:r>
        <w:rPr>
          <w:rFonts w:ascii="Arial" w:cs="Arial" w:eastAsia="Arial" w:hAnsi="Arial"/>
          <w:sz w:val="14"/>
          <w:szCs w:val="14"/>
          <w:color w:val="auto"/>
        </w:rPr>
        <w:t>International perspective, with a focus on Latin America</w:t>
      </w:r>
    </w:p>
    <w:p>
      <w:pPr>
        <w:spacing w:after="0" w:line="79" w:lineRule="exact"/>
        <w:rPr>
          <w:rFonts w:ascii="Arial" w:cs="Arial" w:eastAsia="Arial" w:hAnsi="Arial"/>
          <w:sz w:val="14"/>
          <w:szCs w:val="14"/>
          <w:color w:val="C3002F"/>
        </w:rPr>
      </w:pPr>
    </w:p>
    <w:p>
      <w:pPr>
        <w:ind w:left="300" w:hanging="154"/>
        <w:spacing w:after="0"/>
        <w:tabs>
          <w:tab w:leader="none" w:pos="300" w:val="left"/>
        </w:tabs>
        <w:numPr>
          <w:ilvl w:val="0"/>
          <w:numId w:val="40"/>
        </w:numPr>
        <w:rPr>
          <w:rFonts w:ascii="Arial" w:cs="Arial" w:eastAsia="Arial" w:hAnsi="Arial"/>
          <w:sz w:val="14"/>
          <w:szCs w:val="14"/>
          <w:color w:val="C3002F"/>
        </w:rPr>
      </w:pPr>
      <w:r>
        <w:rPr>
          <w:rFonts w:ascii="Arial" w:cs="Arial" w:eastAsia="Arial" w:hAnsi="Arial"/>
          <w:sz w:val="14"/>
          <w:szCs w:val="14"/>
          <w:color w:val="auto"/>
        </w:rPr>
        <w:t>Frequent speaker, author of topical articles, and educator, providing a current perspective on financial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683260</wp:posOffset>
            </wp:positionV>
            <wp:extent cx="69176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998" w:lineRule="exact"/>
        <w:rPr>
          <w:sz w:val="20"/>
          <w:szCs w:val="20"/>
          <w:color w:val="auto"/>
        </w:rPr>
      </w:pPr>
    </w:p>
    <w:p>
      <w:pPr>
        <w:sectPr>
          <w:pgSz w:w="11900" w:h="16838" w:orient="portrait"/>
          <w:cols w:equalWidth="0" w:num="2">
            <w:col w:w="2020" w:space="700"/>
            <w:col w:w="8440"/>
          </w:cols>
          <w:pgMar w:left="240" w:top="455" w:right="499" w:bottom="1440" w:gutter="0" w:footer="0" w:header="0"/>
          <w:type w:val="continuous"/>
        </w:sectPr>
      </w:pPr>
    </w:p>
    <w:p>
      <w:pPr>
        <w:spacing w:after="0" w:line="345" w:lineRule="exact"/>
        <w:rPr>
          <w:sz w:val="20"/>
          <w:szCs w:val="20"/>
          <w:color w:val="auto"/>
        </w:rPr>
      </w:pPr>
    </w:p>
    <w:p>
      <w:pPr>
        <w:ind w:left="7440"/>
        <w:spacing w:after="0"/>
        <w:tabs>
          <w:tab w:leader="none" w:pos="11060" w:val="left"/>
        </w:tabs>
        <w:rPr>
          <w:sz w:val="20"/>
          <w:szCs w:val="20"/>
          <w:color w:val="auto"/>
        </w:rPr>
      </w:pPr>
      <w:r>
        <w:rPr>
          <w:rFonts w:ascii="Arial" w:cs="Arial" w:eastAsia="Arial" w:hAnsi="Arial"/>
          <w:sz w:val="14"/>
          <w:szCs w:val="14"/>
          <w:color w:val="666666"/>
        </w:rPr>
        <w:t>Weatherford International plc — 2018 Proxy Statement</w:t>
      </w:r>
      <w:r>
        <w:rPr>
          <w:sz w:val="20"/>
          <w:szCs w:val="20"/>
          <w:color w:val="auto"/>
        </w:rPr>
        <w:tab/>
      </w:r>
      <w:r>
        <w:rPr>
          <w:rFonts w:ascii="Arial" w:cs="Arial" w:eastAsia="Arial" w:hAnsi="Arial"/>
          <w:sz w:val="14"/>
          <w:szCs w:val="14"/>
          <w:b w:val="1"/>
          <w:bCs w:val="1"/>
          <w:color w:val="666666"/>
        </w:rPr>
        <w:t>9</w:t>
      </w:r>
    </w:p>
    <w:p>
      <w:pPr>
        <w:sectPr>
          <w:pgSz w:w="11900" w:h="16838" w:orient="portrait"/>
          <w:cols w:equalWidth="0" w:num="1">
            <w:col w:w="11160"/>
          </w:cols>
          <w:pgMar w:left="240" w:top="455" w:right="49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666666"/>
        </w:rPr>
        <w:t>AGENDA ITEM 1</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auto"/>
        </w:rPr>
        <w:t>OUR BOARD AND OUR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spacing w:after="0" w:line="241" w:lineRule="auto"/>
        <w:rPr>
          <w:sz w:val="20"/>
          <w:szCs w:val="20"/>
          <w:color w:val="auto"/>
        </w:rPr>
      </w:pPr>
      <w:r>
        <w:rPr>
          <w:rFonts w:ascii="Arial" w:cs="Arial" w:eastAsia="Arial" w:hAnsi="Arial"/>
          <w:sz w:val="14"/>
          <w:szCs w:val="14"/>
          <w:color w:val="auto"/>
        </w:rPr>
        <w:t>The Board directs and oversees the management of the business and affairs of the Company, and serves as the ultimate decision-making body of the Company, except for those matters reserved to our shareholders. The Board oversees the Weatherford management team, to whom it has delegated responsibility for the Company’s day-to-day operations. While the Board’s oversight role is very broad and may concentrate on different areas from time to time, its primary areas of focus are oversight, strategy, governance and compliance, as well as assessing management and making changes as circumstances warrant. In many of these areas, significant responsibilities are delegated to the Board’s Committees, which in turn are responsible for reporting to the Board on their activities and actions. Our Board has established the following committees: Audit; Compensation; Corporate Governance and Nominating; and Health, Safety and Environment, all of which are further described below. Members are as of the date of this Proxy Statement and, as indicated, Mr. Butters and Mr. Moses, will not be standing for re-election in accordance with our mandatory retirement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126365</wp:posOffset>
            </wp:positionV>
            <wp:extent cx="6917690" cy="5676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17690" cy="567690"/>
                    </a:xfrm>
                    <a:prstGeom prst="rect">
                      <a:avLst/>
                    </a:prstGeom>
                    <a:noFill/>
                  </pic:spPr>
                </pic:pic>
              </a:graphicData>
            </a:graphic>
          </wp:anchor>
        </w:drawing>
      </w:r>
    </w:p>
    <w:p>
      <w:pPr>
        <w:sectPr>
          <w:pgSz w:w="11900" w:h="16838" w:orient="portrait"/>
          <w:cols w:equalWidth="0" w:num="1">
            <w:col w:w="11120"/>
          </w:cols>
          <w:pgMar w:left="240" w:top="455" w:right="539" w:bottom="1440" w:gutter="0" w:footer="0" w:header="0"/>
        </w:sectPr>
      </w:pPr>
    </w:p>
    <w:p>
      <w:pPr>
        <w:spacing w:after="0" w:line="323" w:lineRule="exact"/>
        <w:rPr>
          <w:sz w:val="20"/>
          <w:szCs w:val="20"/>
          <w:color w:val="auto"/>
        </w:rPr>
      </w:pPr>
    </w:p>
    <w:p>
      <w:pPr>
        <w:ind w:left="760"/>
        <w:spacing w:after="0"/>
        <w:rPr>
          <w:sz w:val="20"/>
          <w:szCs w:val="20"/>
          <w:color w:val="auto"/>
        </w:rPr>
      </w:pPr>
      <w:r>
        <w:rPr>
          <w:rFonts w:ascii="Arial" w:cs="Arial" w:eastAsia="Arial" w:hAnsi="Arial"/>
          <w:sz w:val="14"/>
          <w:szCs w:val="14"/>
          <w:color w:val="FFFFFF"/>
        </w:rPr>
        <w:t>AUDIT</w:t>
      </w:r>
    </w:p>
    <w:p>
      <w:pPr>
        <w:ind w:left="760"/>
        <w:spacing w:after="0"/>
        <w:rPr>
          <w:sz w:val="20"/>
          <w:szCs w:val="20"/>
          <w:color w:val="auto"/>
        </w:rPr>
      </w:pPr>
      <w:r>
        <w:rPr>
          <w:rFonts w:ascii="Arial" w:cs="Arial" w:eastAsia="Arial" w:hAnsi="Arial"/>
          <w:sz w:val="14"/>
          <w:szCs w:val="14"/>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284480</wp:posOffset>
            </wp:positionV>
            <wp:extent cx="1584960" cy="5213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84960" cy="521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Members:</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4"/>
          <w:szCs w:val="14"/>
          <w:color w:val="auto"/>
        </w:rPr>
        <w:t xml:space="preserve">Mr. Butters </w:t>
      </w:r>
      <w:r>
        <w:rPr>
          <w:rFonts w:ascii="Arial" w:cs="Arial" w:eastAsia="Arial" w:hAnsi="Arial"/>
          <w:sz w:val="14"/>
          <w:szCs w:val="14"/>
          <w:color w:val="C3002F"/>
        </w:rPr>
        <w:t>(Retiring)</w:t>
      </w:r>
      <w:r>
        <w:rPr>
          <w:rFonts w:ascii="Arial" w:cs="Arial" w:eastAsia="Arial" w:hAnsi="Arial"/>
          <w:sz w:val="14"/>
          <w:szCs w:val="14"/>
          <w:color w:val="auto"/>
        </w:rPr>
        <w:t>,</w:t>
      </w:r>
    </w:p>
    <w:p>
      <w:pPr>
        <w:ind w:left="760"/>
        <w:spacing w:after="0"/>
        <w:rPr>
          <w:sz w:val="20"/>
          <w:szCs w:val="20"/>
          <w:color w:val="auto"/>
        </w:rPr>
      </w:pPr>
      <w:r>
        <w:rPr>
          <w:rFonts w:ascii="Arial" w:cs="Arial" w:eastAsia="Arial" w:hAnsi="Arial"/>
          <w:sz w:val="14"/>
          <w:szCs w:val="14"/>
          <w:color w:val="auto"/>
        </w:rPr>
        <w:t>Mr. Kalman (Chair),</w:t>
      </w:r>
    </w:p>
    <w:p>
      <w:pPr>
        <w:ind w:left="760"/>
        <w:spacing w:after="0"/>
        <w:rPr>
          <w:sz w:val="20"/>
          <w:szCs w:val="20"/>
          <w:color w:val="auto"/>
        </w:rPr>
      </w:pPr>
      <w:r>
        <w:rPr>
          <w:rFonts w:ascii="Arial" w:cs="Arial" w:eastAsia="Arial" w:hAnsi="Arial"/>
          <w:sz w:val="14"/>
          <w:szCs w:val="14"/>
          <w:color w:val="auto"/>
        </w:rPr>
        <w:t>Mr. King,</w:t>
      </w:r>
    </w:p>
    <w:p>
      <w:pPr>
        <w:ind w:left="760"/>
        <w:spacing w:after="0"/>
        <w:rPr>
          <w:sz w:val="20"/>
          <w:szCs w:val="20"/>
          <w:color w:val="auto"/>
        </w:rPr>
      </w:pPr>
      <w:r>
        <w:rPr>
          <w:rFonts w:ascii="Arial" w:cs="Arial" w:eastAsia="Arial" w:hAnsi="Arial"/>
          <w:sz w:val="14"/>
          <w:szCs w:val="14"/>
          <w:color w:val="auto"/>
        </w:rPr>
        <w:t>Ms. Minas,</w:t>
      </w:r>
    </w:p>
    <w:p>
      <w:pPr>
        <w:ind w:left="760"/>
        <w:spacing w:after="0"/>
        <w:rPr>
          <w:sz w:val="20"/>
          <w:szCs w:val="20"/>
          <w:color w:val="auto"/>
        </w:rPr>
      </w:pPr>
      <w:r>
        <w:rPr>
          <w:rFonts w:ascii="Arial" w:cs="Arial" w:eastAsia="Arial" w:hAnsi="Arial"/>
          <w:sz w:val="14"/>
          <w:szCs w:val="14"/>
          <w:color w:val="auto"/>
        </w:rPr>
        <w:t>Dr. Ortiz (Vice Chair)</w:t>
      </w:r>
    </w:p>
    <w:p>
      <w:pPr>
        <w:spacing w:after="0" w:line="200" w:lineRule="exact"/>
        <w:rPr>
          <w:sz w:val="20"/>
          <w:szCs w:val="20"/>
          <w:color w:val="auto"/>
        </w:rPr>
      </w:pPr>
    </w:p>
    <w:p>
      <w:pPr>
        <w:spacing w:after="0" w:line="342" w:lineRule="exact"/>
        <w:rPr>
          <w:sz w:val="20"/>
          <w:szCs w:val="20"/>
          <w:color w:val="auto"/>
        </w:rPr>
      </w:pPr>
    </w:p>
    <w:p>
      <w:pPr>
        <w:jc w:val="center"/>
        <w:ind w:left="662"/>
        <w:spacing w:after="0"/>
        <w:rPr>
          <w:sz w:val="20"/>
          <w:szCs w:val="20"/>
          <w:color w:val="auto"/>
        </w:rPr>
      </w:pPr>
      <w:r>
        <w:rPr>
          <w:rFonts w:ascii="Arial" w:cs="Arial" w:eastAsia="Arial" w:hAnsi="Arial"/>
          <w:sz w:val="14"/>
          <w:szCs w:val="14"/>
          <w:b w:val="1"/>
          <w:bCs w:val="1"/>
          <w:color w:val="auto"/>
        </w:rPr>
        <w:t>Primary Responsibilities:</w:t>
      </w:r>
    </w:p>
    <w:p>
      <w:pPr>
        <w:spacing w:after="0" w:line="97" w:lineRule="exact"/>
        <w:rPr>
          <w:sz w:val="20"/>
          <w:szCs w:val="20"/>
          <w:color w:val="auto"/>
        </w:rPr>
      </w:pPr>
    </w:p>
    <w:p>
      <w:pPr>
        <w:ind w:left="740" w:right="158" w:hanging="139"/>
        <w:spacing w:after="0" w:line="242" w:lineRule="auto"/>
        <w:tabs>
          <w:tab w:leader="none" w:pos="747" w:val="left"/>
        </w:tabs>
        <w:numPr>
          <w:ilvl w:val="0"/>
          <w:numId w:val="41"/>
        </w:numPr>
        <w:rPr>
          <w:rFonts w:ascii="Arial" w:cs="Arial" w:eastAsia="Arial" w:hAnsi="Arial"/>
          <w:sz w:val="14"/>
          <w:szCs w:val="14"/>
          <w:color w:val="C3002F"/>
        </w:rPr>
      </w:pPr>
      <w:r>
        <w:rPr>
          <w:rFonts w:ascii="Arial" w:cs="Arial" w:eastAsia="Arial" w:hAnsi="Arial"/>
          <w:sz w:val="14"/>
          <w:szCs w:val="14"/>
          <w:color w:val="auto"/>
        </w:rPr>
        <w:t>Overseeing the integrity of our financial reporting process and systems of internal accounting and financial controls;</w:t>
      </w:r>
    </w:p>
    <w:p>
      <w:pPr>
        <w:spacing w:after="0" w:line="69" w:lineRule="exact"/>
        <w:rPr>
          <w:rFonts w:ascii="Arial" w:cs="Arial" w:eastAsia="Arial" w:hAnsi="Arial"/>
          <w:sz w:val="14"/>
          <w:szCs w:val="14"/>
          <w:color w:val="C3002F"/>
        </w:rPr>
      </w:pPr>
    </w:p>
    <w:p>
      <w:pPr>
        <w:ind w:left="740" w:right="418" w:hanging="139"/>
        <w:spacing w:after="0" w:line="253" w:lineRule="auto"/>
        <w:tabs>
          <w:tab w:leader="none" w:pos="747" w:val="left"/>
        </w:tabs>
        <w:numPr>
          <w:ilvl w:val="0"/>
          <w:numId w:val="41"/>
        </w:numPr>
        <w:rPr>
          <w:rFonts w:ascii="Arial" w:cs="Arial" w:eastAsia="Arial" w:hAnsi="Arial"/>
          <w:sz w:val="14"/>
          <w:szCs w:val="14"/>
          <w:color w:val="C3002F"/>
        </w:rPr>
      </w:pPr>
      <w:r>
        <w:rPr>
          <w:rFonts w:ascii="Arial" w:cs="Arial" w:eastAsia="Arial" w:hAnsi="Arial"/>
          <w:sz w:val="14"/>
          <w:szCs w:val="14"/>
          <w:color w:val="auto"/>
        </w:rPr>
        <w:t>reviewing our financial statements;</w:t>
      </w:r>
    </w:p>
    <w:p>
      <w:pPr>
        <w:spacing w:after="0" w:line="61" w:lineRule="exact"/>
        <w:rPr>
          <w:rFonts w:ascii="Arial" w:cs="Arial" w:eastAsia="Arial" w:hAnsi="Arial"/>
          <w:sz w:val="14"/>
          <w:szCs w:val="14"/>
          <w:color w:val="C3002F"/>
        </w:rPr>
      </w:pPr>
    </w:p>
    <w:p>
      <w:pPr>
        <w:ind w:left="740" w:right="118" w:hanging="139"/>
        <w:spacing w:after="0" w:line="246" w:lineRule="auto"/>
        <w:tabs>
          <w:tab w:leader="none" w:pos="747" w:val="left"/>
        </w:tabs>
        <w:numPr>
          <w:ilvl w:val="0"/>
          <w:numId w:val="41"/>
        </w:numPr>
        <w:rPr>
          <w:rFonts w:ascii="Arial" w:cs="Arial" w:eastAsia="Arial" w:hAnsi="Arial"/>
          <w:sz w:val="14"/>
          <w:szCs w:val="14"/>
          <w:color w:val="C3002F"/>
        </w:rPr>
      </w:pPr>
      <w:r>
        <w:rPr>
          <w:rFonts w:ascii="Arial" w:cs="Arial" w:eastAsia="Arial" w:hAnsi="Arial"/>
          <w:sz w:val="14"/>
          <w:szCs w:val="14"/>
          <w:color w:val="auto"/>
        </w:rPr>
        <w:t>overseeing our compliance with legal and regulatory requirements;</w:t>
      </w:r>
    </w:p>
    <w:p>
      <w:pPr>
        <w:spacing w:after="0" w:line="65" w:lineRule="exact"/>
        <w:rPr>
          <w:rFonts w:ascii="Arial" w:cs="Arial" w:eastAsia="Arial" w:hAnsi="Arial"/>
          <w:sz w:val="14"/>
          <w:szCs w:val="14"/>
          <w:color w:val="C3002F"/>
        </w:rPr>
      </w:pPr>
    </w:p>
    <w:p>
      <w:pPr>
        <w:ind w:left="740" w:right="38" w:hanging="139"/>
        <w:spacing w:after="0" w:line="242" w:lineRule="auto"/>
        <w:tabs>
          <w:tab w:leader="none" w:pos="747" w:val="left"/>
        </w:tabs>
        <w:numPr>
          <w:ilvl w:val="0"/>
          <w:numId w:val="41"/>
        </w:numPr>
        <w:rPr>
          <w:rFonts w:ascii="Arial" w:cs="Arial" w:eastAsia="Arial" w:hAnsi="Arial"/>
          <w:sz w:val="14"/>
          <w:szCs w:val="14"/>
          <w:color w:val="C3002F"/>
        </w:rPr>
      </w:pPr>
      <w:r>
        <w:rPr>
          <w:rFonts w:ascii="Arial" w:cs="Arial" w:eastAsia="Arial" w:hAnsi="Arial"/>
          <w:sz w:val="14"/>
          <w:szCs w:val="14"/>
          <w:color w:val="auto"/>
        </w:rPr>
        <w:t>together with the Board, being responsible for the appointment, compensation, retention, and oversight of our independent auditor;</w:t>
      </w:r>
    </w:p>
    <w:p>
      <w:pPr>
        <w:spacing w:after="0" w:line="69" w:lineRule="exact"/>
        <w:rPr>
          <w:rFonts w:ascii="Arial" w:cs="Arial" w:eastAsia="Arial" w:hAnsi="Arial"/>
          <w:sz w:val="14"/>
          <w:szCs w:val="14"/>
          <w:color w:val="C3002F"/>
        </w:rPr>
      </w:pPr>
    </w:p>
    <w:p>
      <w:pPr>
        <w:ind w:left="740" w:right="58" w:hanging="139"/>
        <w:spacing w:after="0" w:line="246" w:lineRule="auto"/>
        <w:tabs>
          <w:tab w:leader="none" w:pos="747" w:val="left"/>
        </w:tabs>
        <w:numPr>
          <w:ilvl w:val="0"/>
          <w:numId w:val="41"/>
        </w:numPr>
        <w:rPr>
          <w:rFonts w:ascii="Arial" w:cs="Arial" w:eastAsia="Arial" w:hAnsi="Arial"/>
          <w:sz w:val="14"/>
          <w:szCs w:val="14"/>
          <w:color w:val="C3002F"/>
        </w:rPr>
      </w:pPr>
      <w:r>
        <w:rPr>
          <w:rFonts w:ascii="Arial" w:cs="Arial" w:eastAsia="Arial" w:hAnsi="Arial"/>
          <w:sz w:val="14"/>
          <w:szCs w:val="14"/>
          <w:color w:val="auto"/>
        </w:rPr>
        <w:t>overseeing our independent auditor’s qualifications and independence; and</w:t>
      </w:r>
    </w:p>
    <w:p>
      <w:pPr>
        <w:spacing w:after="0" w:line="65" w:lineRule="exact"/>
        <w:rPr>
          <w:rFonts w:ascii="Arial" w:cs="Arial" w:eastAsia="Arial" w:hAnsi="Arial"/>
          <w:sz w:val="14"/>
          <w:szCs w:val="14"/>
          <w:color w:val="C3002F"/>
        </w:rPr>
      </w:pPr>
    </w:p>
    <w:p>
      <w:pPr>
        <w:ind w:left="740" w:right="58" w:hanging="139"/>
        <w:spacing w:after="0" w:line="241" w:lineRule="auto"/>
        <w:tabs>
          <w:tab w:leader="none" w:pos="747" w:val="left"/>
        </w:tabs>
        <w:numPr>
          <w:ilvl w:val="0"/>
          <w:numId w:val="41"/>
        </w:numPr>
        <w:rPr>
          <w:rFonts w:ascii="Arial" w:cs="Arial" w:eastAsia="Arial" w:hAnsi="Arial"/>
          <w:sz w:val="14"/>
          <w:szCs w:val="14"/>
          <w:color w:val="C3002F"/>
        </w:rPr>
      </w:pPr>
      <w:r>
        <w:rPr>
          <w:rFonts w:ascii="Arial" w:cs="Arial" w:eastAsia="Arial" w:hAnsi="Arial"/>
          <w:sz w:val="14"/>
          <w:szCs w:val="14"/>
          <w:color w:val="auto"/>
        </w:rPr>
        <w:t>overseeing the performance of our internal assurance function, including internal audits and investigations, and our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1245870</wp:posOffset>
            </wp:positionV>
            <wp:extent cx="1584960" cy="161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84960" cy="16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 xml:space="preserve">Meetings in 2017: </w:t>
      </w: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left="162"/>
        <w:spacing w:after="0"/>
        <w:rPr>
          <w:sz w:val="20"/>
          <w:szCs w:val="20"/>
          <w:color w:val="auto"/>
        </w:rPr>
      </w:pPr>
      <w:r>
        <w:rPr>
          <w:rFonts w:ascii="Arial" w:cs="Arial" w:eastAsia="Arial" w:hAnsi="Arial"/>
          <w:sz w:val="14"/>
          <w:szCs w:val="14"/>
          <w:color w:val="FFFFFF"/>
        </w:rPr>
        <w:t>COMPENSATION</w:t>
      </w:r>
    </w:p>
    <w:p>
      <w:pPr>
        <w:ind w:left="162"/>
        <w:spacing w:after="0"/>
        <w:rPr>
          <w:sz w:val="20"/>
          <w:szCs w:val="20"/>
          <w:color w:val="auto"/>
        </w:rPr>
      </w:pPr>
      <w:r>
        <w:rPr>
          <w:rFonts w:ascii="Arial" w:cs="Arial" w:eastAsia="Arial" w:hAnsi="Arial"/>
          <w:sz w:val="14"/>
          <w:szCs w:val="14"/>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284480</wp:posOffset>
            </wp:positionV>
            <wp:extent cx="1652905" cy="5213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52905" cy="521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62"/>
        <w:spacing w:after="0"/>
        <w:rPr>
          <w:sz w:val="20"/>
          <w:szCs w:val="20"/>
          <w:color w:val="auto"/>
        </w:rPr>
      </w:pPr>
      <w:r>
        <w:rPr>
          <w:rFonts w:ascii="Arial" w:cs="Arial" w:eastAsia="Arial" w:hAnsi="Arial"/>
          <w:sz w:val="14"/>
          <w:szCs w:val="14"/>
          <w:b w:val="1"/>
          <w:bCs w:val="1"/>
          <w:color w:val="auto"/>
        </w:rPr>
        <w:t>Members:</w:t>
      </w:r>
    </w:p>
    <w:p>
      <w:pPr>
        <w:spacing w:after="0" w:line="16" w:lineRule="exact"/>
        <w:rPr>
          <w:sz w:val="20"/>
          <w:szCs w:val="20"/>
          <w:color w:val="auto"/>
        </w:rPr>
      </w:pPr>
    </w:p>
    <w:p>
      <w:pPr>
        <w:ind w:left="162"/>
        <w:spacing w:after="0"/>
        <w:rPr>
          <w:sz w:val="20"/>
          <w:szCs w:val="20"/>
          <w:color w:val="auto"/>
        </w:rPr>
      </w:pPr>
      <w:r>
        <w:rPr>
          <w:rFonts w:ascii="Arial" w:cs="Arial" w:eastAsia="Arial" w:hAnsi="Arial"/>
          <w:sz w:val="14"/>
          <w:szCs w:val="14"/>
          <w:color w:val="auto"/>
        </w:rPr>
        <w:t>Mr. Awad,</w:t>
      </w:r>
    </w:p>
    <w:p>
      <w:pPr>
        <w:ind w:left="162"/>
        <w:spacing w:after="0"/>
        <w:rPr>
          <w:sz w:val="20"/>
          <w:szCs w:val="20"/>
          <w:color w:val="auto"/>
        </w:rPr>
      </w:pPr>
      <w:r>
        <w:rPr>
          <w:rFonts w:ascii="Arial" w:cs="Arial" w:eastAsia="Arial" w:hAnsi="Arial"/>
          <w:sz w:val="14"/>
          <w:szCs w:val="14"/>
          <w:color w:val="auto"/>
        </w:rPr>
        <w:t>Ms. Decyk,</w:t>
      </w:r>
    </w:p>
    <w:p>
      <w:pPr>
        <w:ind w:left="162"/>
        <w:spacing w:after="0"/>
        <w:rPr>
          <w:sz w:val="20"/>
          <w:szCs w:val="20"/>
          <w:color w:val="auto"/>
        </w:rPr>
      </w:pPr>
      <w:r>
        <w:rPr>
          <w:rFonts w:ascii="Arial" w:cs="Arial" w:eastAsia="Arial" w:hAnsi="Arial"/>
          <w:sz w:val="14"/>
          <w:szCs w:val="14"/>
          <w:color w:val="auto"/>
        </w:rPr>
        <w:t>Mr. Gass (Chair),</w:t>
      </w:r>
    </w:p>
    <w:p>
      <w:pPr>
        <w:ind w:left="162"/>
        <w:spacing w:after="0"/>
        <w:rPr>
          <w:sz w:val="20"/>
          <w:szCs w:val="20"/>
          <w:color w:val="auto"/>
        </w:rPr>
      </w:pPr>
      <w:r>
        <w:rPr>
          <w:rFonts w:ascii="Arial" w:cs="Arial" w:eastAsia="Arial" w:hAnsi="Arial"/>
          <w:sz w:val="14"/>
          <w:szCs w:val="14"/>
          <w:color w:val="auto"/>
        </w:rPr>
        <w:t>Dr. Ortiz</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2"/>
        <w:spacing w:after="0"/>
        <w:rPr>
          <w:sz w:val="20"/>
          <w:szCs w:val="20"/>
          <w:color w:val="auto"/>
        </w:rPr>
      </w:pPr>
      <w:r>
        <w:rPr>
          <w:rFonts w:ascii="Arial" w:cs="Arial" w:eastAsia="Arial" w:hAnsi="Arial"/>
          <w:sz w:val="14"/>
          <w:szCs w:val="14"/>
          <w:b w:val="1"/>
          <w:bCs w:val="1"/>
          <w:color w:val="auto"/>
        </w:rPr>
        <w:t>Primary Responsibilities:</w:t>
      </w:r>
    </w:p>
    <w:p>
      <w:pPr>
        <w:spacing w:after="0" w:line="97" w:lineRule="exact"/>
        <w:rPr>
          <w:sz w:val="20"/>
          <w:szCs w:val="20"/>
          <w:color w:val="auto"/>
        </w:rPr>
      </w:pPr>
    </w:p>
    <w:p>
      <w:pPr>
        <w:ind w:left="142" w:right="135" w:hanging="142"/>
        <w:spacing w:after="0" w:line="241" w:lineRule="auto"/>
        <w:tabs>
          <w:tab w:leader="none" w:pos="149" w:val="left"/>
        </w:tabs>
        <w:numPr>
          <w:ilvl w:val="0"/>
          <w:numId w:val="42"/>
        </w:numPr>
        <w:rPr>
          <w:rFonts w:ascii="Arial" w:cs="Arial" w:eastAsia="Arial" w:hAnsi="Arial"/>
          <w:sz w:val="14"/>
          <w:szCs w:val="14"/>
          <w:color w:val="C3002F"/>
        </w:rPr>
      </w:pPr>
      <w:r>
        <w:rPr>
          <w:rFonts w:ascii="Arial" w:cs="Arial" w:eastAsia="Arial" w:hAnsi="Arial"/>
          <w:sz w:val="14"/>
          <w:szCs w:val="14"/>
          <w:color w:val="auto"/>
        </w:rPr>
        <w:t>Monitoring and reviewing the Company’s overall compensation and benefits program design to ensure program discourages excess risk taking;</w:t>
      </w:r>
    </w:p>
    <w:p>
      <w:pPr>
        <w:spacing w:after="0" w:line="71" w:lineRule="exact"/>
        <w:rPr>
          <w:rFonts w:ascii="Arial" w:cs="Arial" w:eastAsia="Arial" w:hAnsi="Arial"/>
          <w:sz w:val="14"/>
          <w:szCs w:val="14"/>
          <w:color w:val="C3002F"/>
        </w:rPr>
      </w:pPr>
    </w:p>
    <w:p>
      <w:pPr>
        <w:ind w:left="142" w:right="315" w:hanging="142"/>
        <w:spacing w:after="0" w:line="241" w:lineRule="auto"/>
        <w:tabs>
          <w:tab w:leader="none" w:pos="149" w:val="left"/>
        </w:tabs>
        <w:numPr>
          <w:ilvl w:val="0"/>
          <w:numId w:val="42"/>
        </w:numPr>
        <w:rPr>
          <w:rFonts w:ascii="Arial" w:cs="Arial" w:eastAsia="Arial" w:hAnsi="Arial"/>
          <w:sz w:val="14"/>
          <w:szCs w:val="14"/>
          <w:color w:val="C3002F"/>
        </w:rPr>
      </w:pPr>
      <w:r>
        <w:rPr>
          <w:rFonts w:ascii="Arial" w:cs="Arial" w:eastAsia="Arial" w:hAnsi="Arial"/>
          <w:sz w:val="14"/>
          <w:szCs w:val="14"/>
          <w:color w:val="auto"/>
        </w:rPr>
        <w:t>assessing compensation program’s continued competiveness and consistency with compensation philosophy, corporate strategy and objectives;</w:t>
      </w:r>
    </w:p>
    <w:p>
      <w:pPr>
        <w:spacing w:after="0" w:line="69" w:lineRule="exact"/>
        <w:rPr>
          <w:rFonts w:ascii="Arial" w:cs="Arial" w:eastAsia="Arial" w:hAnsi="Arial"/>
          <w:sz w:val="14"/>
          <w:szCs w:val="14"/>
          <w:color w:val="C3002F"/>
        </w:rPr>
      </w:pPr>
    </w:p>
    <w:p>
      <w:pPr>
        <w:ind w:left="142" w:right="415" w:hanging="142"/>
        <w:spacing w:after="0" w:line="246" w:lineRule="auto"/>
        <w:tabs>
          <w:tab w:leader="none" w:pos="149" w:val="left"/>
        </w:tabs>
        <w:numPr>
          <w:ilvl w:val="0"/>
          <w:numId w:val="42"/>
        </w:numPr>
        <w:rPr>
          <w:rFonts w:ascii="Arial" w:cs="Arial" w:eastAsia="Arial" w:hAnsi="Arial"/>
          <w:sz w:val="14"/>
          <w:szCs w:val="14"/>
          <w:color w:val="C3002F"/>
        </w:rPr>
      </w:pPr>
      <w:r>
        <w:rPr>
          <w:rFonts w:ascii="Arial" w:cs="Arial" w:eastAsia="Arial" w:hAnsi="Arial"/>
          <w:sz w:val="14"/>
          <w:szCs w:val="14"/>
          <w:color w:val="auto"/>
        </w:rPr>
        <w:t>reviewing and approving corporate goals and objectives;</w:t>
      </w:r>
    </w:p>
    <w:p>
      <w:pPr>
        <w:spacing w:after="0" w:line="65" w:lineRule="exact"/>
        <w:rPr>
          <w:rFonts w:ascii="Arial" w:cs="Arial" w:eastAsia="Arial" w:hAnsi="Arial"/>
          <w:sz w:val="14"/>
          <w:szCs w:val="14"/>
          <w:color w:val="C3002F"/>
        </w:rPr>
      </w:pPr>
    </w:p>
    <w:p>
      <w:pPr>
        <w:ind w:left="142" w:right="75" w:hanging="142"/>
        <w:spacing w:after="0" w:line="243" w:lineRule="auto"/>
        <w:tabs>
          <w:tab w:leader="none" w:pos="149" w:val="left"/>
        </w:tabs>
        <w:numPr>
          <w:ilvl w:val="0"/>
          <w:numId w:val="42"/>
        </w:numPr>
        <w:rPr>
          <w:rFonts w:ascii="Arial" w:cs="Arial" w:eastAsia="Arial" w:hAnsi="Arial"/>
          <w:sz w:val="14"/>
          <w:szCs w:val="14"/>
          <w:color w:val="C3002F"/>
        </w:rPr>
      </w:pPr>
      <w:r>
        <w:rPr>
          <w:rFonts w:ascii="Arial" w:cs="Arial" w:eastAsia="Arial" w:hAnsi="Arial"/>
          <w:sz w:val="14"/>
          <w:szCs w:val="14"/>
          <w:color w:val="auto"/>
        </w:rPr>
        <w:t>reviewing, with the CEO, and approving each component of compensation of our executive officers;</w:t>
      </w:r>
    </w:p>
    <w:p>
      <w:pPr>
        <w:spacing w:after="0" w:line="68" w:lineRule="exact"/>
        <w:rPr>
          <w:rFonts w:ascii="Arial" w:cs="Arial" w:eastAsia="Arial" w:hAnsi="Arial"/>
          <w:sz w:val="14"/>
          <w:szCs w:val="14"/>
          <w:color w:val="C3002F"/>
        </w:rPr>
      </w:pPr>
    </w:p>
    <w:p>
      <w:pPr>
        <w:ind w:left="142" w:right="235" w:hanging="142"/>
        <w:spacing w:after="0" w:line="246" w:lineRule="auto"/>
        <w:tabs>
          <w:tab w:leader="none" w:pos="149" w:val="left"/>
        </w:tabs>
        <w:numPr>
          <w:ilvl w:val="0"/>
          <w:numId w:val="42"/>
        </w:numPr>
        <w:rPr>
          <w:rFonts w:ascii="Arial" w:cs="Arial" w:eastAsia="Arial" w:hAnsi="Arial"/>
          <w:sz w:val="14"/>
          <w:szCs w:val="14"/>
          <w:color w:val="C3002F"/>
        </w:rPr>
      </w:pPr>
      <w:r>
        <w:rPr>
          <w:rFonts w:ascii="Arial" w:cs="Arial" w:eastAsia="Arial" w:hAnsi="Arial"/>
          <w:sz w:val="14"/>
          <w:szCs w:val="14"/>
          <w:color w:val="auto"/>
        </w:rPr>
        <w:t>selecting appropriate compensation peer groups; and</w:t>
      </w:r>
    </w:p>
    <w:p>
      <w:pPr>
        <w:spacing w:after="0" w:line="65" w:lineRule="exact"/>
        <w:rPr>
          <w:rFonts w:ascii="Arial" w:cs="Arial" w:eastAsia="Arial" w:hAnsi="Arial"/>
          <w:sz w:val="14"/>
          <w:szCs w:val="14"/>
          <w:color w:val="C3002F"/>
        </w:rPr>
      </w:pPr>
    </w:p>
    <w:p>
      <w:pPr>
        <w:ind w:left="142" w:right="55" w:hanging="142"/>
        <w:spacing w:after="0" w:line="241" w:lineRule="auto"/>
        <w:tabs>
          <w:tab w:leader="none" w:pos="149" w:val="left"/>
        </w:tabs>
        <w:numPr>
          <w:ilvl w:val="0"/>
          <w:numId w:val="42"/>
        </w:numPr>
        <w:rPr>
          <w:rFonts w:ascii="Arial" w:cs="Arial" w:eastAsia="Arial" w:hAnsi="Arial"/>
          <w:sz w:val="14"/>
          <w:szCs w:val="14"/>
          <w:color w:val="C3002F"/>
        </w:rPr>
      </w:pPr>
      <w:r>
        <w:rPr>
          <w:rFonts w:ascii="Arial" w:cs="Arial" w:eastAsia="Arial" w:hAnsi="Arial"/>
          <w:sz w:val="14"/>
          <w:szCs w:val="14"/>
          <w:color w:val="auto"/>
        </w:rPr>
        <w:t>making decisions regarding severance, executive compensation plans, incentive compensation plans and equity-based plans and administering such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737235</wp:posOffset>
            </wp:positionV>
            <wp:extent cx="1652905" cy="161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52905" cy="16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2"/>
        <w:spacing w:after="0"/>
        <w:rPr>
          <w:sz w:val="20"/>
          <w:szCs w:val="20"/>
          <w:color w:val="auto"/>
        </w:rPr>
      </w:pPr>
      <w:r>
        <w:rPr>
          <w:rFonts w:ascii="Arial" w:cs="Arial" w:eastAsia="Arial" w:hAnsi="Arial"/>
          <w:sz w:val="14"/>
          <w:szCs w:val="14"/>
          <w:b w:val="1"/>
          <w:bCs w:val="1"/>
          <w:color w:val="auto"/>
        </w:rPr>
        <w:t xml:space="preserve">Meetings in 2017: </w:t>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-1919605</wp:posOffset>
            </wp:positionH>
            <wp:positionV relativeFrom="paragraph">
              <wp:posOffset>126365</wp:posOffset>
            </wp:positionV>
            <wp:extent cx="69176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left="165"/>
        <w:spacing w:after="0"/>
        <w:rPr>
          <w:sz w:val="20"/>
          <w:szCs w:val="20"/>
          <w:color w:val="auto"/>
        </w:rPr>
      </w:pPr>
      <w:r>
        <w:rPr>
          <w:rFonts w:ascii="Arial" w:cs="Arial" w:eastAsia="Arial" w:hAnsi="Arial"/>
          <w:sz w:val="14"/>
          <w:szCs w:val="14"/>
          <w:color w:val="FFFFFF"/>
        </w:rPr>
        <w:t>CORPORATE</w:t>
      </w:r>
    </w:p>
    <w:p>
      <w:pPr>
        <w:ind w:left="165"/>
        <w:spacing w:after="0"/>
        <w:rPr>
          <w:sz w:val="20"/>
          <w:szCs w:val="20"/>
          <w:color w:val="auto"/>
        </w:rPr>
      </w:pPr>
      <w:r>
        <w:rPr>
          <w:rFonts w:ascii="Arial" w:cs="Arial" w:eastAsia="Arial" w:hAnsi="Arial"/>
          <w:sz w:val="14"/>
          <w:szCs w:val="14"/>
          <w:color w:val="FFFFFF"/>
        </w:rPr>
        <w:t>GOVERNANCE</w:t>
      </w:r>
    </w:p>
    <w:p>
      <w:pPr>
        <w:ind w:left="145"/>
        <w:spacing w:after="0"/>
        <w:rPr>
          <w:sz w:val="20"/>
          <w:szCs w:val="20"/>
          <w:color w:val="auto"/>
        </w:rPr>
      </w:pPr>
      <w:r>
        <w:rPr>
          <w:rFonts w:ascii="Arial" w:cs="Arial" w:eastAsia="Arial" w:hAnsi="Arial"/>
          <w:sz w:val="14"/>
          <w:szCs w:val="14"/>
          <w:color w:val="FFFFFF"/>
        </w:rPr>
        <w:t>AND NOMINATING</w:t>
      </w:r>
    </w:p>
    <w:p>
      <w:pPr>
        <w:ind w:left="165"/>
        <w:spacing w:after="0"/>
        <w:rPr>
          <w:sz w:val="20"/>
          <w:szCs w:val="20"/>
          <w:color w:val="auto"/>
        </w:rPr>
      </w:pPr>
      <w:r>
        <w:rPr>
          <w:rFonts w:ascii="Arial" w:cs="Arial" w:eastAsia="Arial" w:hAnsi="Arial"/>
          <w:sz w:val="14"/>
          <w:szCs w:val="14"/>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81280</wp:posOffset>
            </wp:positionV>
            <wp:extent cx="1652905" cy="5213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652905" cy="5213350"/>
                    </a:xfrm>
                    <a:prstGeom prst="rect">
                      <a:avLst/>
                    </a:prstGeom>
                    <a:noFill/>
                  </pic:spPr>
                </pic:pic>
              </a:graphicData>
            </a:graphic>
          </wp:anchor>
        </w:drawing>
      </w:r>
    </w:p>
    <w:p>
      <w:pPr>
        <w:spacing w:after="0" w:line="322" w:lineRule="exact"/>
        <w:rPr>
          <w:sz w:val="20"/>
          <w:szCs w:val="20"/>
          <w:color w:val="auto"/>
        </w:rPr>
      </w:pPr>
    </w:p>
    <w:p>
      <w:pPr>
        <w:ind w:left="165"/>
        <w:spacing w:after="0"/>
        <w:rPr>
          <w:sz w:val="20"/>
          <w:szCs w:val="20"/>
          <w:color w:val="auto"/>
        </w:rPr>
      </w:pPr>
      <w:r>
        <w:rPr>
          <w:rFonts w:ascii="Arial" w:cs="Arial" w:eastAsia="Arial" w:hAnsi="Arial"/>
          <w:sz w:val="14"/>
          <w:szCs w:val="14"/>
          <w:b w:val="1"/>
          <w:bCs w:val="1"/>
          <w:color w:val="auto"/>
        </w:rPr>
        <w:t>Members:</w:t>
      </w:r>
    </w:p>
    <w:p>
      <w:pPr>
        <w:spacing w:after="0" w:line="17" w:lineRule="exact"/>
        <w:rPr>
          <w:sz w:val="20"/>
          <w:szCs w:val="20"/>
          <w:color w:val="auto"/>
        </w:rPr>
      </w:pPr>
    </w:p>
    <w:p>
      <w:pPr>
        <w:ind w:left="165" w:right="111"/>
        <w:spacing w:after="0" w:line="246" w:lineRule="auto"/>
        <w:rPr>
          <w:sz w:val="20"/>
          <w:szCs w:val="20"/>
          <w:color w:val="auto"/>
        </w:rPr>
      </w:pPr>
      <w:r>
        <w:rPr>
          <w:rFonts w:ascii="Arial" w:cs="Arial" w:eastAsia="Arial" w:hAnsi="Arial"/>
          <w:sz w:val="14"/>
          <w:szCs w:val="14"/>
          <w:color w:val="auto"/>
        </w:rPr>
        <w:t xml:space="preserve">Mr. Butters (Chair) </w:t>
      </w:r>
      <w:r>
        <w:rPr>
          <w:rFonts w:ascii="Arial" w:cs="Arial" w:eastAsia="Arial" w:hAnsi="Arial"/>
          <w:sz w:val="14"/>
          <w:szCs w:val="14"/>
          <w:color w:val="C3002F"/>
        </w:rPr>
        <w:t>(Retiring)</w:t>
      </w:r>
      <w:r>
        <w:rPr>
          <w:rFonts w:ascii="Arial" w:cs="Arial" w:eastAsia="Arial" w:hAnsi="Arial"/>
          <w:sz w:val="14"/>
          <w:szCs w:val="14"/>
          <w:color w:val="auto"/>
        </w:rPr>
        <w:t>, Sir Emyr Jones Parry, Mr. Kalman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6"/>
        <w:spacing w:after="0"/>
        <w:rPr>
          <w:sz w:val="20"/>
          <w:szCs w:val="20"/>
          <w:color w:val="auto"/>
        </w:rPr>
      </w:pPr>
      <w:r>
        <w:rPr>
          <w:rFonts w:ascii="Arial" w:cs="Arial" w:eastAsia="Arial" w:hAnsi="Arial"/>
          <w:sz w:val="14"/>
          <w:szCs w:val="14"/>
          <w:b w:val="1"/>
          <w:bCs w:val="1"/>
          <w:color w:val="auto"/>
        </w:rPr>
        <w:t>Primary Responsibilities:</w:t>
      </w:r>
    </w:p>
    <w:p>
      <w:pPr>
        <w:spacing w:after="0" w:line="97" w:lineRule="exact"/>
        <w:rPr>
          <w:sz w:val="20"/>
          <w:szCs w:val="20"/>
          <w:color w:val="auto"/>
        </w:rPr>
      </w:pPr>
    </w:p>
    <w:p>
      <w:pPr>
        <w:ind w:left="145" w:right="271" w:hanging="145"/>
        <w:spacing w:after="0" w:line="246" w:lineRule="auto"/>
        <w:tabs>
          <w:tab w:leader="none" w:pos="152" w:val="left"/>
        </w:tabs>
        <w:numPr>
          <w:ilvl w:val="0"/>
          <w:numId w:val="43"/>
        </w:numPr>
        <w:rPr>
          <w:rFonts w:ascii="Arial" w:cs="Arial" w:eastAsia="Arial" w:hAnsi="Arial"/>
          <w:sz w:val="14"/>
          <w:szCs w:val="14"/>
          <w:color w:val="C3002F"/>
        </w:rPr>
      </w:pPr>
      <w:r>
        <w:rPr>
          <w:rFonts w:ascii="Arial" w:cs="Arial" w:eastAsia="Arial" w:hAnsi="Arial"/>
          <w:sz w:val="14"/>
          <w:szCs w:val="14"/>
          <w:color w:val="auto"/>
        </w:rPr>
        <w:t>Identifying individuals qualified to serve as Board members;</w:t>
      </w:r>
    </w:p>
    <w:p>
      <w:pPr>
        <w:spacing w:after="0" w:line="65" w:lineRule="exact"/>
        <w:rPr>
          <w:rFonts w:ascii="Arial" w:cs="Arial" w:eastAsia="Arial" w:hAnsi="Arial"/>
          <w:sz w:val="14"/>
          <w:szCs w:val="14"/>
          <w:color w:val="C3002F"/>
        </w:rPr>
      </w:pPr>
    </w:p>
    <w:p>
      <w:pPr>
        <w:ind w:left="145" w:right="231" w:hanging="145"/>
        <w:spacing w:after="0" w:line="241" w:lineRule="auto"/>
        <w:tabs>
          <w:tab w:leader="none" w:pos="152" w:val="left"/>
        </w:tabs>
        <w:numPr>
          <w:ilvl w:val="0"/>
          <w:numId w:val="43"/>
        </w:numPr>
        <w:rPr>
          <w:rFonts w:ascii="Arial" w:cs="Arial" w:eastAsia="Arial" w:hAnsi="Arial"/>
          <w:sz w:val="14"/>
          <w:szCs w:val="14"/>
          <w:color w:val="C3002F"/>
        </w:rPr>
      </w:pPr>
      <w:r>
        <w:rPr>
          <w:rFonts w:ascii="Arial" w:cs="Arial" w:eastAsia="Arial" w:hAnsi="Arial"/>
          <w:sz w:val="14"/>
          <w:szCs w:val="14"/>
          <w:color w:val="auto"/>
        </w:rPr>
        <w:t>recommending director nominees for each annual general meeting of shareholders, to fill any vacancies, and recommending directors for each committee;</w:t>
      </w:r>
    </w:p>
    <w:p>
      <w:pPr>
        <w:spacing w:after="0" w:line="69" w:lineRule="exact"/>
        <w:rPr>
          <w:rFonts w:ascii="Arial" w:cs="Arial" w:eastAsia="Arial" w:hAnsi="Arial"/>
          <w:sz w:val="14"/>
          <w:szCs w:val="14"/>
          <w:color w:val="C3002F"/>
        </w:rPr>
      </w:pPr>
    </w:p>
    <w:p>
      <w:pPr>
        <w:ind w:left="145" w:right="111" w:hanging="145"/>
        <w:spacing w:after="0" w:line="242" w:lineRule="auto"/>
        <w:tabs>
          <w:tab w:leader="none" w:pos="152" w:val="left"/>
        </w:tabs>
        <w:numPr>
          <w:ilvl w:val="0"/>
          <w:numId w:val="43"/>
        </w:numPr>
        <w:rPr>
          <w:rFonts w:ascii="Arial" w:cs="Arial" w:eastAsia="Arial" w:hAnsi="Arial"/>
          <w:sz w:val="14"/>
          <w:szCs w:val="14"/>
          <w:color w:val="C3002F"/>
        </w:rPr>
      </w:pPr>
      <w:r>
        <w:rPr>
          <w:rFonts w:ascii="Arial" w:cs="Arial" w:eastAsia="Arial" w:hAnsi="Arial"/>
          <w:sz w:val="14"/>
          <w:szCs w:val="14"/>
          <w:color w:val="auto"/>
        </w:rPr>
        <w:t>reviewing and structuring our compensation policy regarding fees and equity compensation paid and granted to our directors;</w:t>
      </w:r>
    </w:p>
    <w:p>
      <w:pPr>
        <w:spacing w:after="0" w:line="69" w:lineRule="exact"/>
        <w:rPr>
          <w:rFonts w:ascii="Arial" w:cs="Arial" w:eastAsia="Arial" w:hAnsi="Arial"/>
          <w:sz w:val="14"/>
          <w:szCs w:val="14"/>
          <w:color w:val="C3002F"/>
        </w:rPr>
      </w:pPr>
    </w:p>
    <w:p>
      <w:pPr>
        <w:ind w:left="145" w:right="91" w:hanging="145"/>
        <w:spacing w:after="0" w:line="243" w:lineRule="auto"/>
        <w:tabs>
          <w:tab w:leader="none" w:pos="152" w:val="left"/>
        </w:tabs>
        <w:numPr>
          <w:ilvl w:val="0"/>
          <w:numId w:val="43"/>
        </w:numPr>
        <w:rPr>
          <w:rFonts w:ascii="Arial" w:cs="Arial" w:eastAsia="Arial" w:hAnsi="Arial"/>
          <w:sz w:val="14"/>
          <w:szCs w:val="14"/>
          <w:color w:val="C3002F"/>
        </w:rPr>
      </w:pPr>
      <w:r>
        <w:rPr>
          <w:rFonts w:ascii="Arial" w:cs="Arial" w:eastAsia="Arial" w:hAnsi="Arial"/>
          <w:sz w:val="14"/>
          <w:szCs w:val="14"/>
          <w:color w:val="auto"/>
        </w:rPr>
        <w:t>reviewing and recommending changes to the Company’s Corporate Governance Principles for Board approval;</w:t>
      </w:r>
    </w:p>
    <w:p>
      <w:pPr>
        <w:spacing w:after="0" w:line="68" w:lineRule="exact"/>
        <w:rPr>
          <w:rFonts w:ascii="Arial" w:cs="Arial" w:eastAsia="Arial" w:hAnsi="Arial"/>
          <w:sz w:val="14"/>
          <w:szCs w:val="14"/>
          <w:color w:val="C3002F"/>
        </w:rPr>
      </w:pPr>
    </w:p>
    <w:p>
      <w:pPr>
        <w:ind w:left="145" w:right="171" w:hanging="145"/>
        <w:spacing w:after="0" w:line="243" w:lineRule="auto"/>
        <w:tabs>
          <w:tab w:leader="none" w:pos="152" w:val="left"/>
        </w:tabs>
        <w:numPr>
          <w:ilvl w:val="0"/>
          <w:numId w:val="43"/>
        </w:numPr>
        <w:rPr>
          <w:rFonts w:ascii="Arial" w:cs="Arial" w:eastAsia="Arial" w:hAnsi="Arial"/>
          <w:sz w:val="14"/>
          <w:szCs w:val="14"/>
          <w:color w:val="C3002F"/>
        </w:rPr>
      </w:pPr>
      <w:r>
        <w:rPr>
          <w:rFonts w:ascii="Arial" w:cs="Arial" w:eastAsia="Arial" w:hAnsi="Arial"/>
          <w:sz w:val="14"/>
          <w:szCs w:val="14"/>
          <w:color w:val="auto"/>
        </w:rPr>
        <w:t>overseeing the Board in its annual review of the Board’s and management’s performance;</w:t>
      </w:r>
    </w:p>
    <w:p>
      <w:pPr>
        <w:spacing w:after="0" w:line="68" w:lineRule="exact"/>
        <w:rPr>
          <w:rFonts w:ascii="Arial" w:cs="Arial" w:eastAsia="Arial" w:hAnsi="Arial"/>
          <w:sz w:val="14"/>
          <w:szCs w:val="14"/>
          <w:color w:val="C3002F"/>
        </w:rPr>
      </w:pPr>
    </w:p>
    <w:p>
      <w:pPr>
        <w:ind w:left="145" w:hanging="145"/>
        <w:spacing w:after="0"/>
        <w:tabs>
          <w:tab w:leader="none" w:pos="145" w:val="left"/>
        </w:tabs>
        <w:numPr>
          <w:ilvl w:val="0"/>
          <w:numId w:val="43"/>
        </w:numPr>
        <w:rPr>
          <w:rFonts w:ascii="Arial" w:cs="Arial" w:eastAsia="Arial" w:hAnsi="Arial"/>
          <w:sz w:val="14"/>
          <w:szCs w:val="14"/>
          <w:color w:val="C3002F"/>
        </w:rPr>
      </w:pPr>
      <w:r>
        <w:rPr>
          <w:rFonts w:ascii="Arial" w:cs="Arial" w:eastAsia="Arial" w:hAnsi="Arial"/>
          <w:sz w:val="14"/>
          <w:szCs w:val="14"/>
          <w:color w:val="auto"/>
        </w:rPr>
        <w:t>overseeing director education;</w:t>
      </w:r>
    </w:p>
    <w:p>
      <w:pPr>
        <w:spacing w:after="0" w:line="79" w:lineRule="exact"/>
        <w:rPr>
          <w:rFonts w:ascii="Arial" w:cs="Arial" w:eastAsia="Arial" w:hAnsi="Arial"/>
          <w:sz w:val="14"/>
          <w:szCs w:val="14"/>
          <w:color w:val="C3002F"/>
        </w:rPr>
      </w:pPr>
    </w:p>
    <w:p>
      <w:pPr>
        <w:ind w:left="145" w:right="151" w:hanging="145"/>
        <w:spacing w:after="0" w:line="242" w:lineRule="auto"/>
        <w:tabs>
          <w:tab w:leader="none" w:pos="152" w:val="left"/>
        </w:tabs>
        <w:numPr>
          <w:ilvl w:val="0"/>
          <w:numId w:val="43"/>
        </w:numPr>
        <w:rPr>
          <w:rFonts w:ascii="Arial" w:cs="Arial" w:eastAsia="Arial" w:hAnsi="Arial"/>
          <w:sz w:val="14"/>
          <w:szCs w:val="14"/>
          <w:color w:val="C3002F"/>
        </w:rPr>
      </w:pPr>
      <w:r>
        <w:rPr>
          <w:rFonts w:ascii="Arial" w:cs="Arial" w:eastAsia="Arial" w:hAnsi="Arial"/>
          <w:sz w:val="14"/>
          <w:szCs w:val="14"/>
          <w:color w:val="auto"/>
        </w:rPr>
        <w:t>oversee the Company’s risk-management process in relation to corporate governance and business standards; and</w:t>
      </w:r>
    </w:p>
    <w:p>
      <w:pPr>
        <w:spacing w:after="0" w:line="69" w:lineRule="exact"/>
        <w:rPr>
          <w:rFonts w:ascii="Arial" w:cs="Arial" w:eastAsia="Arial" w:hAnsi="Arial"/>
          <w:sz w:val="14"/>
          <w:szCs w:val="14"/>
          <w:color w:val="C3002F"/>
        </w:rPr>
      </w:pPr>
    </w:p>
    <w:p>
      <w:pPr>
        <w:ind w:left="145" w:right="171" w:hanging="145"/>
        <w:spacing w:after="0" w:line="242" w:lineRule="auto"/>
        <w:tabs>
          <w:tab w:leader="none" w:pos="152" w:val="left"/>
        </w:tabs>
        <w:numPr>
          <w:ilvl w:val="0"/>
          <w:numId w:val="43"/>
        </w:numPr>
        <w:rPr>
          <w:rFonts w:ascii="Arial" w:cs="Arial" w:eastAsia="Arial" w:hAnsi="Arial"/>
          <w:sz w:val="14"/>
          <w:szCs w:val="14"/>
          <w:color w:val="C3002F"/>
        </w:rPr>
      </w:pPr>
      <w:r>
        <w:rPr>
          <w:rFonts w:ascii="Arial" w:cs="Arial" w:eastAsia="Arial" w:hAnsi="Arial"/>
          <w:sz w:val="14"/>
          <w:szCs w:val="14"/>
          <w:color w:val="auto"/>
        </w:rPr>
        <w:t>succession planning for the Company’s CEO and reviewing CEO’s succession planning for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125730</wp:posOffset>
            </wp:positionV>
            <wp:extent cx="1652905" cy="161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52905" cy="161290"/>
                    </a:xfrm>
                    <a:prstGeom prst="rect">
                      <a:avLst/>
                    </a:prstGeom>
                    <a:noFill/>
                  </pic:spPr>
                </pic:pic>
              </a:graphicData>
            </a:graphic>
          </wp:anchor>
        </w:drawing>
      </w:r>
    </w:p>
    <w:p>
      <w:pPr>
        <w:spacing w:after="0" w:line="232" w:lineRule="exact"/>
        <w:rPr>
          <w:sz w:val="20"/>
          <w:szCs w:val="20"/>
          <w:color w:val="auto"/>
        </w:rPr>
      </w:pPr>
    </w:p>
    <w:p>
      <w:pPr>
        <w:jc w:val="center"/>
        <w:ind w:right="46"/>
        <w:spacing w:after="0"/>
        <w:rPr>
          <w:sz w:val="20"/>
          <w:szCs w:val="20"/>
          <w:color w:val="auto"/>
        </w:rPr>
      </w:pPr>
      <w:r>
        <w:rPr>
          <w:rFonts w:ascii="Arial" w:cs="Arial" w:eastAsia="Arial" w:hAnsi="Arial"/>
          <w:sz w:val="14"/>
          <w:szCs w:val="14"/>
          <w:b w:val="1"/>
          <w:bCs w:val="1"/>
          <w:color w:val="auto"/>
        </w:rPr>
        <w:t xml:space="preserve">Meetings in 2017: </w:t>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left="149"/>
        <w:spacing w:after="0"/>
        <w:rPr>
          <w:sz w:val="20"/>
          <w:szCs w:val="20"/>
          <w:color w:val="auto"/>
        </w:rPr>
      </w:pPr>
      <w:r>
        <w:rPr>
          <w:rFonts w:ascii="Arial" w:cs="Arial" w:eastAsia="Arial" w:hAnsi="Arial"/>
          <w:sz w:val="14"/>
          <w:szCs w:val="14"/>
          <w:color w:val="FFFFFF"/>
        </w:rPr>
        <w:t>HEALTH, SAFETY</w:t>
      </w:r>
    </w:p>
    <w:p>
      <w:pPr>
        <w:ind w:left="149"/>
        <w:spacing w:after="0"/>
        <w:rPr>
          <w:sz w:val="20"/>
          <w:szCs w:val="20"/>
          <w:color w:val="auto"/>
        </w:rPr>
      </w:pPr>
      <w:r>
        <w:rPr>
          <w:rFonts w:ascii="Arial" w:cs="Arial" w:eastAsia="Arial" w:hAnsi="Arial"/>
          <w:sz w:val="14"/>
          <w:szCs w:val="14"/>
          <w:color w:val="FFFFFF"/>
        </w:rPr>
        <w:t>AND</w:t>
      </w:r>
    </w:p>
    <w:p>
      <w:pPr>
        <w:ind w:left="149"/>
        <w:spacing w:after="0"/>
        <w:rPr>
          <w:sz w:val="20"/>
          <w:szCs w:val="20"/>
          <w:color w:val="auto"/>
        </w:rPr>
      </w:pPr>
      <w:r>
        <w:rPr>
          <w:rFonts w:ascii="Arial" w:cs="Arial" w:eastAsia="Arial" w:hAnsi="Arial"/>
          <w:sz w:val="14"/>
          <w:szCs w:val="14"/>
          <w:color w:val="FFFFFF"/>
        </w:rPr>
        <w:t>ENVIRONMENT</w:t>
      </w:r>
    </w:p>
    <w:p>
      <w:pPr>
        <w:ind w:left="149"/>
        <w:spacing w:after="0"/>
        <w:rPr>
          <w:sz w:val="20"/>
          <w:szCs w:val="20"/>
          <w:color w:val="auto"/>
        </w:rPr>
      </w:pPr>
      <w:r>
        <w:rPr>
          <w:rFonts w:ascii="Arial" w:cs="Arial" w:eastAsia="Arial" w:hAnsi="Arial"/>
          <w:sz w:val="14"/>
          <w:szCs w:val="14"/>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81280</wp:posOffset>
            </wp:positionV>
            <wp:extent cx="1619250" cy="5213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619250" cy="5213350"/>
                    </a:xfrm>
                    <a:prstGeom prst="rect">
                      <a:avLst/>
                    </a:prstGeom>
                    <a:noFill/>
                  </pic:spPr>
                </pic:pic>
              </a:graphicData>
            </a:graphic>
          </wp:anchor>
        </w:drawing>
      </w:r>
    </w:p>
    <w:p>
      <w:pPr>
        <w:spacing w:after="0" w:line="322" w:lineRule="exact"/>
        <w:rPr>
          <w:sz w:val="20"/>
          <w:szCs w:val="20"/>
          <w:color w:val="auto"/>
        </w:rPr>
      </w:pPr>
    </w:p>
    <w:p>
      <w:pPr>
        <w:ind w:left="149"/>
        <w:spacing w:after="0"/>
        <w:rPr>
          <w:sz w:val="20"/>
          <w:szCs w:val="20"/>
          <w:color w:val="auto"/>
        </w:rPr>
      </w:pPr>
      <w:r>
        <w:rPr>
          <w:rFonts w:ascii="Arial" w:cs="Arial" w:eastAsia="Arial" w:hAnsi="Arial"/>
          <w:sz w:val="14"/>
          <w:szCs w:val="14"/>
          <w:b w:val="1"/>
          <w:bCs w:val="1"/>
          <w:color w:val="auto"/>
        </w:rPr>
        <w:t>Members:</w:t>
      </w:r>
    </w:p>
    <w:p>
      <w:pPr>
        <w:spacing w:after="0" w:line="16" w:lineRule="exact"/>
        <w:rPr>
          <w:sz w:val="20"/>
          <w:szCs w:val="20"/>
          <w:color w:val="auto"/>
        </w:rPr>
      </w:pPr>
    </w:p>
    <w:p>
      <w:pPr>
        <w:ind w:left="149"/>
        <w:spacing w:after="0"/>
        <w:rPr>
          <w:sz w:val="20"/>
          <w:szCs w:val="20"/>
          <w:color w:val="auto"/>
        </w:rPr>
      </w:pPr>
      <w:r>
        <w:rPr>
          <w:rFonts w:ascii="Arial" w:cs="Arial" w:eastAsia="Arial" w:hAnsi="Arial"/>
          <w:sz w:val="14"/>
          <w:szCs w:val="14"/>
          <w:color w:val="auto"/>
        </w:rPr>
        <w:t>Mr. Awad,</w:t>
      </w:r>
    </w:p>
    <w:p>
      <w:pPr>
        <w:ind w:left="149"/>
        <w:spacing w:after="0"/>
        <w:rPr>
          <w:sz w:val="20"/>
          <w:szCs w:val="20"/>
          <w:color w:val="auto"/>
        </w:rPr>
      </w:pPr>
      <w:r>
        <w:rPr>
          <w:rFonts w:ascii="Arial" w:cs="Arial" w:eastAsia="Arial" w:hAnsi="Arial"/>
          <w:sz w:val="14"/>
          <w:szCs w:val="14"/>
          <w:color w:val="auto"/>
        </w:rPr>
        <w:t>Ms. Decyk,</w:t>
      </w:r>
    </w:p>
    <w:p>
      <w:pPr>
        <w:ind w:left="149"/>
        <w:spacing w:after="0"/>
        <w:rPr>
          <w:sz w:val="20"/>
          <w:szCs w:val="20"/>
          <w:color w:val="auto"/>
        </w:rPr>
      </w:pPr>
      <w:r>
        <w:rPr>
          <w:rFonts w:ascii="Arial" w:cs="Arial" w:eastAsia="Arial" w:hAnsi="Arial"/>
          <w:sz w:val="14"/>
          <w:szCs w:val="14"/>
          <w:color w:val="auto"/>
        </w:rPr>
        <w:t>Mr. Gass,</w:t>
      </w:r>
    </w:p>
    <w:p>
      <w:pPr>
        <w:ind w:left="149"/>
        <w:spacing w:after="0"/>
        <w:rPr>
          <w:sz w:val="20"/>
          <w:szCs w:val="20"/>
          <w:color w:val="auto"/>
        </w:rPr>
      </w:pPr>
      <w:r>
        <w:rPr>
          <w:rFonts w:ascii="Arial" w:cs="Arial" w:eastAsia="Arial" w:hAnsi="Arial"/>
          <w:sz w:val="14"/>
          <w:szCs w:val="14"/>
          <w:color w:val="auto"/>
        </w:rPr>
        <w:t>Sir Emyr Jones Parry (Chair),</w:t>
      </w:r>
    </w:p>
    <w:p>
      <w:pPr>
        <w:ind w:left="149"/>
        <w:spacing w:after="0"/>
        <w:rPr>
          <w:sz w:val="20"/>
          <w:szCs w:val="20"/>
          <w:color w:val="auto"/>
        </w:rPr>
      </w:pPr>
      <w:r>
        <w:rPr>
          <w:rFonts w:ascii="Arial" w:cs="Arial" w:eastAsia="Arial" w:hAnsi="Arial"/>
          <w:sz w:val="14"/>
          <w:szCs w:val="14"/>
          <w:color w:val="auto"/>
        </w:rPr>
        <w:t>Mr. King,</w:t>
      </w:r>
    </w:p>
    <w:p>
      <w:pPr>
        <w:ind w:left="149"/>
        <w:spacing w:after="0"/>
        <w:rPr>
          <w:sz w:val="20"/>
          <w:szCs w:val="20"/>
          <w:color w:val="auto"/>
        </w:rPr>
      </w:pPr>
      <w:r>
        <w:rPr>
          <w:rFonts w:ascii="Arial" w:cs="Arial" w:eastAsia="Arial" w:hAnsi="Arial"/>
          <w:sz w:val="14"/>
          <w:szCs w:val="14"/>
          <w:color w:val="auto"/>
        </w:rPr>
        <w:t>Ms. Minas,</w:t>
      </w:r>
    </w:p>
    <w:p>
      <w:pPr>
        <w:ind w:left="149"/>
        <w:spacing w:after="0"/>
        <w:rPr>
          <w:sz w:val="20"/>
          <w:szCs w:val="20"/>
          <w:color w:val="auto"/>
        </w:rPr>
      </w:pPr>
      <w:r>
        <w:rPr>
          <w:rFonts w:ascii="Arial" w:cs="Arial" w:eastAsia="Arial" w:hAnsi="Arial"/>
          <w:sz w:val="14"/>
          <w:szCs w:val="14"/>
          <w:color w:val="auto"/>
        </w:rPr>
        <w:t xml:space="preserve">Mr. Moses </w:t>
      </w:r>
      <w:r>
        <w:rPr>
          <w:rFonts w:ascii="Arial" w:cs="Arial" w:eastAsia="Arial" w:hAnsi="Arial"/>
          <w:sz w:val="14"/>
          <w:szCs w:val="14"/>
          <w:color w:val="C3002F"/>
        </w:rPr>
        <w:t>(Retiring)</w:t>
      </w:r>
    </w:p>
    <w:p>
      <w:pPr>
        <w:spacing w:after="0" w:line="222" w:lineRule="exact"/>
        <w:rPr>
          <w:sz w:val="20"/>
          <w:szCs w:val="20"/>
          <w:color w:val="auto"/>
        </w:rPr>
      </w:pPr>
    </w:p>
    <w:p>
      <w:pPr>
        <w:ind w:left="149"/>
        <w:spacing w:after="0"/>
        <w:rPr>
          <w:sz w:val="20"/>
          <w:szCs w:val="20"/>
          <w:color w:val="auto"/>
        </w:rPr>
      </w:pPr>
      <w:r>
        <w:rPr>
          <w:rFonts w:ascii="Arial" w:cs="Arial" w:eastAsia="Arial" w:hAnsi="Arial"/>
          <w:sz w:val="14"/>
          <w:szCs w:val="14"/>
          <w:b w:val="1"/>
          <w:bCs w:val="1"/>
          <w:color w:val="auto"/>
        </w:rPr>
        <w:t>Primary Responsibilities:</w:t>
      </w:r>
    </w:p>
    <w:p>
      <w:pPr>
        <w:spacing w:after="0" w:line="97" w:lineRule="exact"/>
        <w:rPr>
          <w:sz w:val="20"/>
          <w:szCs w:val="20"/>
          <w:color w:val="auto"/>
        </w:rPr>
      </w:pPr>
    </w:p>
    <w:p>
      <w:pPr>
        <w:ind w:left="149" w:right="300" w:hanging="149"/>
        <w:spacing w:after="0"/>
        <w:tabs>
          <w:tab w:leader="none" w:pos="156" w:val="left"/>
        </w:tabs>
        <w:numPr>
          <w:ilvl w:val="0"/>
          <w:numId w:val="44"/>
        </w:numPr>
        <w:rPr>
          <w:rFonts w:ascii="Arial" w:cs="Arial" w:eastAsia="Arial" w:hAnsi="Arial"/>
          <w:sz w:val="14"/>
          <w:szCs w:val="14"/>
          <w:color w:val="C3002F"/>
        </w:rPr>
      </w:pPr>
      <w:r>
        <w:rPr>
          <w:rFonts w:ascii="Arial" w:cs="Arial" w:eastAsia="Arial" w:hAnsi="Arial"/>
          <w:sz w:val="14"/>
          <w:szCs w:val="14"/>
          <w:color w:val="auto"/>
        </w:rPr>
        <w:t>Reviewing the Company’s policies relating to quality, health, safety, security, environmental stewardship, and corporate responsibility and overseeing adherence and enforcement of these policies and related programs;</w:t>
      </w:r>
    </w:p>
    <w:p>
      <w:pPr>
        <w:spacing w:after="0" w:line="72" w:lineRule="exact"/>
        <w:rPr>
          <w:rFonts w:ascii="Arial" w:cs="Arial" w:eastAsia="Arial" w:hAnsi="Arial"/>
          <w:sz w:val="14"/>
          <w:szCs w:val="14"/>
          <w:color w:val="C3002F"/>
        </w:rPr>
      </w:pPr>
    </w:p>
    <w:p>
      <w:pPr>
        <w:ind w:left="149" w:right="320" w:hanging="149"/>
        <w:spacing w:after="0" w:line="243" w:lineRule="auto"/>
        <w:tabs>
          <w:tab w:leader="none" w:pos="156" w:val="left"/>
        </w:tabs>
        <w:numPr>
          <w:ilvl w:val="0"/>
          <w:numId w:val="44"/>
        </w:numPr>
        <w:rPr>
          <w:rFonts w:ascii="Arial" w:cs="Arial" w:eastAsia="Arial" w:hAnsi="Arial"/>
          <w:sz w:val="14"/>
          <w:szCs w:val="14"/>
          <w:color w:val="C3002F"/>
        </w:rPr>
      </w:pPr>
      <w:r>
        <w:rPr>
          <w:rFonts w:ascii="Arial" w:cs="Arial" w:eastAsia="Arial" w:hAnsi="Arial"/>
          <w:sz w:val="14"/>
          <w:szCs w:val="14"/>
          <w:color w:val="auto"/>
        </w:rPr>
        <w:t>overseeing the Company’s initiatives to promote safety awareness among all employees;</w:t>
      </w:r>
    </w:p>
    <w:p>
      <w:pPr>
        <w:spacing w:after="0" w:line="68" w:lineRule="exact"/>
        <w:rPr>
          <w:rFonts w:ascii="Arial" w:cs="Arial" w:eastAsia="Arial" w:hAnsi="Arial"/>
          <w:sz w:val="14"/>
          <w:szCs w:val="14"/>
          <w:color w:val="C3002F"/>
        </w:rPr>
      </w:pPr>
    </w:p>
    <w:p>
      <w:pPr>
        <w:ind w:left="149" w:right="280" w:hanging="149"/>
        <w:spacing w:after="0" w:line="241" w:lineRule="auto"/>
        <w:tabs>
          <w:tab w:leader="none" w:pos="156" w:val="left"/>
        </w:tabs>
        <w:numPr>
          <w:ilvl w:val="0"/>
          <w:numId w:val="44"/>
        </w:numPr>
        <w:rPr>
          <w:rFonts w:ascii="Arial" w:cs="Arial" w:eastAsia="Arial" w:hAnsi="Arial"/>
          <w:sz w:val="14"/>
          <w:szCs w:val="14"/>
          <w:color w:val="C3002F"/>
        </w:rPr>
      </w:pPr>
      <w:r>
        <w:rPr>
          <w:rFonts w:ascii="Arial" w:cs="Arial" w:eastAsia="Arial" w:hAnsi="Arial"/>
          <w:sz w:val="14"/>
          <w:szCs w:val="14"/>
          <w:color w:val="auto"/>
        </w:rPr>
        <w:t>reviewing strategy and resources of the Company’s QHHSE organization and approving the annual QHHSE plan, including related processes;</w:t>
      </w:r>
    </w:p>
    <w:p>
      <w:pPr>
        <w:spacing w:after="0" w:line="71" w:lineRule="exact"/>
        <w:rPr>
          <w:rFonts w:ascii="Arial" w:cs="Arial" w:eastAsia="Arial" w:hAnsi="Arial"/>
          <w:sz w:val="14"/>
          <w:szCs w:val="14"/>
          <w:color w:val="C3002F"/>
        </w:rPr>
      </w:pPr>
    </w:p>
    <w:p>
      <w:pPr>
        <w:ind w:left="149" w:right="180" w:hanging="149"/>
        <w:spacing w:after="0" w:line="241" w:lineRule="auto"/>
        <w:tabs>
          <w:tab w:leader="none" w:pos="156" w:val="left"/>
        </w:tabs>
        <w:numPr>
          <w:ilvl w:val="0"/>
          <w:numId w:val="44"/>
        </w:numPr>
        <w:rPr>
          <w:rFonts w:ascii="Arial" w:cs="Arial" w:eastAsia="Arial" w:hAnsi="Arial"/>
          <w:sz w:val="14"/>
          <w:szCs w:val="14"/>
          <w:color w:val="C3002F"/>
        </w:rPr>
      </w:pPr>
      <w:r>
        <w:rPr>
          <w:rFonts w:ascii="Arial" w:cs="Arial" w:eastAsia="Arial" w:hAnsi="Arial"/>
          <w:sz w:val="14"/>
          <w:szCs w:val="14"/>
          <w:color w:val="auto"/>
        </w:rPr>
        <w:t>reviewing periodic updates on significant technology, health, safety, environmental and sustainable-development and social and public policy issues;</w:t>
      </w:r>
    </w:p>
    <w:p>
      <w:pPr>
        <w:spacing w:after="0" w:line="71" w:lineRule="exact"/>
        <w:rPr>
          <w:rFonts w:ascii="Arial" w:cs="Arial" w:eastAsia="Arial" w:hAnsi="Arial"/>
          <w:sz w:val="14"/>
          <w:szCs w:val="14"/>
          <w:color w:val="C3002F"/>
        </w:rPr>
      </w:pPr>
    </w:p>
    <w:p>
      <w:pPr>
        <w:ind w:left="149" w:right="220" w:hanging="149"/>
        <w:spacing w:after="0" w:line="246" w:lineRule="auto"/>
        <w:tabs>
          <w:tab w:leader="none" w:pos="156" w:val="left"/>
        </w:tabs>
        <w:numPr>
          <w:ilvl w:val="0"/>
          <w:numId w:val="44"/>
        </w:numPr>
        <w:rPr>
          <w:rFonts w:ascii="Arial" w:cs="Arial" w:eastAsia="Arial" w:hAnsi="Arial"/>
          <w:sz w:val="14"/>
          <w:szCs w:val="14"/>
          <w:color w:val="C3002F"/>
        </w:rPr>
      </w:pPr>
      <w:r>
        <w:rPr>
          <w:rFonts w:ascii="Arial" w:cs="Arial" w:eastAsia="Arial" w:hAnsi="Arial"/>
          <w:sz w:val="14"/>
          <w:szCs w:val="14"/>
          <w:color w:val="auto"/>
        </w:rPr>
        <w:t>reviewing findings related to any QHSSE incident and making periodic facility visits;</w:t>
      </w:r>
    </w:p>
    <w:p>
      <w:pPr>
        <w:spacing w:after="0" w:line="65" w:lineRule="exact"/>
        <w:rPr>
          <w:rFonts w:ascii="Arial" w:cs="Arial" w:eastAsia="Arial" w:hAnsi="Arial"/>
          <w:sz w:val="14"/>
          <w:szCs w:val="14"/>
          <w:color w:val="C3002F"/>
        </w:rPr>
      </w:pPr>
    </w:p>
    <w:p>
      <w:pPr>
        <w:jc w:val="both"/>
        <w:ind w:left="149" w:right="220" w:hanging="149"/>
        <w:spacing w:after="0" w:line="246" w:lineRule="auto"/>
        <w:tabs>
          <w:tab w:leader="none" w:pos="156" w:val="left"/>
        </w:tabs>
        <w:numPr>
          <w:ilvl w:val="0"/>
          <w:numId w:val="44"/>
        </w:numPr>
        <w:rPr>
          <w:rFonts w:ascii="Arial" w:cs="Arial" w:eastAsia="Arial" w:hAnsi="Arial"/>
          <w:sz w:val="14"/>
          <w:szCs w:val="14"/>
          <w:color w:val="C3002F"/>
        </w:rPr>
      </w:pPr>
      <w:r>
        <w:rPr>
          <w:rFonts w:ascii="Arial" w:cs="Arial" w:eastAsia="Arial" w:hAnsi="Arial"/>
          <w:sz w:val="14"/>
          <w:szCs w:val="14"/>
          <w:color w:val="auto"/>
        </w:rPr>
        <w:t>ensuring annual preparation and review of a sustainability report; and</w:t>
      </w:r>
    </w:p>
    <w:p>
      <w:pPr>
        <w:spacing w:after="0" w:line="65" w:lineRule="exact"/>
        <w:rPr>
          <w:rFonts w:ascii="Arial" w:cs="Arial" w:eastAsia="Arial" w:hAnsi="Arial"/>
          <w:sz w:val="14"/>
          <w:szCs w:val="14"/>
          <w:color w:val="C3002F"/>
        </w:rPr>
      </w:pPr>
    </w:p>
    <w:p>
      <w:pPr>
        <w:ind w:left="149" w:right="320" w:hanging="149"/>
        <w:spacing w:after="0" w:line="243" w:lineRule="auto"/>
        <w:tabs>
          <w:tab w:leader="none" w:pos="156" w:val="left"/>
        </w:tabs>
        <w:numPr>
          <w:ilvl w:val="0"/>
          <w:numId w:val="44"/>
        </w:numPr>
        <w:rPr>
          <w:rFonts w:ascii="Arial" w:cs="Arial" w:eastAsia="Arial" w:hAnsi="Arial"/>
          <w:sz w:val="14"/>
          <w:szCs w:val="14"/>
          <w:color w:val="C3002F"/>
        </w:rPr>
      </w:pPr>
      <w:r>
        <w:rPr>
          <w:rFonts w:ascii="Arial" w:cs="Arial" w:eastAsia="Arial" w:hAnsi="Arial"/>
          <w:sz w:val="14"/>
          <w:szCs w:val="14"/>
          <w:color w:val="auto"/>
        </w:rPr>
        <w:t>assisting the Board with oversight of the Company’s risk-management and security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74930</wp:posOffset>
            </wp:positionV>
            <wp:extent cx="1619250" cy="161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19250" cy="161290"/>
                    </a:xfrm>
                    <a:prstGeom prst="rect">
                      <a:avLst/>
                    </a:prstGeom>
                    <a:noFill/>
                  </pic:spPr>
                </pic:pic>
              </a:graphicData>
            </a:graphic>
          </wp:anchor>
        </w:drawing>
      </w:r>
    </w:p>
    <w:p>
      <w:pPr>
        <w:spacing w:after="0" w:line="151" w:lineRule="exact"/>
        <w:rPr>
          <w:sz w:val="20"/>
          <w:szCs w:val="20"/>
          <w:color w:val="auto"/>
        </w:rPr>
      </w:pPr>
    </w:p>
    <w:p>
      <w:pPr>
        <w:ind w:left="329"/>
        <w:spacing w:after="0"/>
        <w:rPr>
          <w:sz w:val="20"/>
          <w:szCs w:val="20"/>
          <w:color w:val="auto"/>
        </w:rPr>
      </w:pPr>
      <w:r>
        <w:rPr>
          <w:rFonts w:ascii="Arial" w:cs="Arial" w:eastAsia="Arial" w:hAnsi="Arial"/>
          <w:sz w:val="14"/>
          <w:szCs w:val="14"/>
          <w:b w:val="1"/>
          <w:bCs w:val="1"/>
          <w:color w:val="auto"/>
        </w:rPr>
        <w:t xml:space="preserve">Meetings in 2017: </w:t>
      </w:r>
      <w:r>
        <w:rPr>
          <w:rFonts w:ascii="Arial" w:cs="Arial" w:eastAsia="Arial" w:hAnsi="Arial"/>
          <w:sz w:val="14"/>
          <w:szCs w:val="14"/>
          <w:color w:val="auto"/>
        </w:rPr>
        <w:t>4</w:t>
      </w:r>
    </w:p>
    <w:p>
      <w:pPr>
        <w:spacing w:after="0" w:line="200" w:lineRule="exact"/>
        <w:rPr>
          <w:sz w:val="20"/>
          <w:szCs w:val="20"/>
          <w:color w:val="auto"/>
        </w:rPr>
      </w:pPr>
    </w:p>
    <w:p>
      <w:pPr>
        <w:sectPr>
          <w:pgSz w:w="11900" w:h="16838" w:orient="portrait"/>
          <w:cols w:equalWidth="0" w:num="4">
            <w:col w:w="2578" w:space="720"/>
            <w:col w:w="2097" w:space="720"/>
            <w:col w:w="2097" w:space="720"/>
            <w:col w:w="2189"/>
          </w:cols>
          <w:pgMar w:left="240" w:top="455" w:right="539" w:bottom="1440" w:gutter="0" w:footer="0" w:header="0"/>
          <w:type w:val="continuous"/>
        </w:sectPr>
      </w:pPr>
    </w:p>
    <w:p>
      <w:pPr>
        <w:spacing w:after="0" w:line="284" w:lineRule="exact"/>
        <w:rPr>
          <w:sz w:val="20"/>
          <w:szCs w:val="20"/>
          <w:color w:val="auto"/>
        </w:rPr>
      </w:pPr>
    </w:p>
    <w:p>
      <w:pPr>
        <w:ind w:left="620" w:hanging="353"/>
        <w:spacing w:after="0"/>
        <w:tabs>
          <w:tab w:leader="none" w:pos="620" w:val="left"/>
        </w:tabs>
        <w:numPr>
          <w:ilvl w:val="0"/>
          <w:numId w:val="45"/>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2018 Proxy Statement</w:t>
      </w:r>
    </w:p>
    <w:p>
      <w:pPr>
        <w:sectPr>
          <w:pgSz w:w="11900" w:h="16838" w:orient="portrait"/>
          <w:cols w:equalWidth="0" w:num="1">
            <w:col w:w="11120"/>
          </w:cols>
          <w:pgMar w:left="240" w:top="455" w:right="5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0040"/>
        <w:spacing w:after="0"/>
        <w:rPr>
          <w:sz w:val="20"/>
          <w:szCs w:val="20"/>
          <w:color w:val="auto"/>
        </w:rPr>
      </w:pPr>
      <w:r>
        <w:rPr>
          <w:rFonts w:ascii="Arial" w:cs="Arial" w:eastAsia="Arial" w:hAnsi="Arial"/>
          <w:sz w:val="14"/>
          <w:szCs w:val="14"/>
          <w:b w:val="1"/>
          <w:bCs w:val="1"/>
          <w:color w:val="666666"/>
        </w:rPr>
        <w:t>AGENDA ITEM 1</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auto"/>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60"/>
        <w:spacing w:after="0" w:line="246" w:lineRule="auto"/>
        <w:rPr>
          <w:sz w:val="20"/>
          <w:szCs w:val="20"/>
          <w:color w:val="auto"/>
        </w:rPr>
      </w:pPr>
      <w:r>
        <w:rPr>
          <w:rFonts w:ascii="Arial" w:cs="Arial" w:eastAsia="Arial" w:hAnsi="Arial"/>
          <w:sz w:val="14"/>
          <w:szCs w:val="14"/>
          <w:color w:val="auto"/>
        </w:rPr>
        <w:t>Our Board believes sound corporate governance processes and practices, as well as high ethical standards, are critical to handling challenges and to achieving business success. We embrace leading governance practices and also conduct ongoing reviews of our governance structure and processes to reflect shareholder input and changing circumstances. Below are highlights of our corporate governance practices and principles.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HIGHLIGHTS</w:t>
      </w:r>
    </w:p>
    <w:p>
      <w:pPr>
        <w:spacing w:after="0" w:line="13" w:lineRule="exact"/>
        <w:rPr>
          <w:sz w:val="20"/>
          <w:szCs w:val="20"/>
          <w:color w:val="auto"/>
        </w:rPr>
      </w:pPr>
    </w:p>
    <w:tbl>
      <w:tblPr>
        <w:tblLayout w:type="fixed"/>
        <w:tblInd w:w="260" w:type="dxa"/>
        <w:tblCellMar>
          <w:top w:w="0" w:type="dxa"/>
          <w:left w:w="0" w:type="dxa"/>
          <w:bottom w:w="0" w:type="dxa"/>
          <w:right w:w="0" w:type="dxa"/>
        </w:tblCellMar>
      </w:tblPr>
      <w:tr>
        <w:trPr>
          <w:trHeight w:val="167"/>
        </w:trPr>
        <w:tc>
          <w:tcPr>
            <w:tcW w:w="3520" w:type="dxa"/>
            <w:vAlign w:val="bottom"/>
            <w:tcBorders>
              <w:top w:val="single" w:sz="8" w:color="auto"/>
              <w:bottom w:val="single" w:sz="8" w:color="666666"/>
            </w:tcBorders>
            <w:gridSpan w:val="2"/>
          </w:tcPr>
          <w:p>
            <w:pPr>
              <w:spacing w:after="0"/>
              <w:rPr>
                <w:sz w:val="20"/>
                <w:szCs w:val="20"/>
                <w:color w:val="auto"/>
              </w:rPr>
            </w:pPr>
            <w:r>
              <w:rPr>
                <w:rFonts w:ascii="Arial" w:cs="Arial" w:eastAsia="Arial" w:hAnsi="Arial"/>
                <w:sz w:val="14"/>
                <w:szCs w:val="14"/>
                <w:color w:val="C3002F"/>
              </w:rPr>
              <w:t>Director Independence</w:t>
            </w:r>
          </w:p>
        </w:tc>
        <w:tc>
          <w:tcPr>
            <w:tcW w:w="7380" w:type="dxa"/>
            <w:vAlign w:val="bottom"/>
            <w:tcBorders>
              <w:top w:val="single" w:sz="8" w:color="auto"/>
              <w:bottom w:val="single" w:sz="8" w:color="666666"/>
            </w:tcBorders>
          </w:tcPr>
          <w:p>
            <w:pPr>
              <w:ind w:left="6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9 out of 10 of our directors are independent.</w:t>
            </w:r>
          </w:p>
        </w:tc>
      </w:tr>
      <w:tr>
        <w:trPr>
          <w:trHeight w:val="148"/>
        </w:trPr>
        <w:tc>
          <w:tcPr>
            <w:tcW w:w="3520" w:type="dxa"/>
            <w:vAlign w:val="bottom"/>
            <w:gridSpan w:val="2"/>
          </w:tcPr>
          <w:p>
            <w:pPr>
              <w:spacing w:after="0" w:line="149" w:lineRule="exact"/>
              <w:rPr>
                <w:sz w:val="20"/>
                <w:szCs w:val="20"/>
                <w:color w:val="auto"/>
              </w:rPr>
            </w:pPr>
            <w:r>
              <w:rPr>
                <w:rFonts w:ascii="Arial" w:cs="Arial" w:eastAsia="Arial" w:hAnsi="Arial"/>
                <w:sz w:val="14"/>
                <w:szCs w:val="14"/>
                <w:color w:val="C3002F"/>
              </w:rPr>
              <w:t>Chairman of the Board</w:t>
            </w:r>
          </w:p>
        </w:tc>
        <w:tc>
          <w:tcPr>
            <w:tcW w:w="7380" w:type="dxa"/>
            <w:vAlign w:val="bottom"/>
          </w:tcPr>
          <w:p>
            <w:pPr>
              <w:ind w:left="640"/>
              <w:spacing w:after="0" w:line="149"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We have an independent Chairman of the Board who, among other items:</w:t>
            </w:r>
          </w:p>
        </w:tc>
      </w:tr>
      <w:tr>
        <w:trPr>
          <w:trHeight w:val="184"/>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7380" w:type="dxa"/>
            <w:vAlign w:val="bottom"/>
          </w:tcPr>
          <w:p>
            <w:pPr>
              <w:ind w:left="96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reviews Board meeting schedules and agendas to assure there is an adequate number of</w:t>
            </w:r>
          </w:p>
        </w:tc>
      </w:tr>
      <w:tr>
        <w:trPr>
          <w:trHeight w:val="160"/>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7380" w:type="dxa"/>
            <w:vAlign w:val="bottom"/>
          </w:tcPr>
          <w:p>
            <w:pPr>
              <w:ind w:left="1180"/>
              <w:spacing w:after="0"/>
              <w:rPr>
                <w:sz w:val="20"/>
                <w:szCs w:val="20"/>
                <w:color w:val="auto"/>
              </w:rPr>
            </w:pPr>
            <w:r>
              <w:rPr>
                <w:rFonts w:ascii="Arial" w:cs="Arial" w:eastAsia="Arial" w:hAnsi="Arial"/>
                <w:sz w:val="14"/>
                <w:szCs w:val="14"/>
                <w:color w:val="auto"/>
              </w:rPr>
              <w:t>scheduled meetings and sufficient time for discussion of all agenda items and all topics deemed</w:t>
            </w:r>
          </w:p>
        </w:tc>
      </w:tr>
      <w:tr>
        <w:trPr>
          <w:trHeight w:val="137"/>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7380" w:type="dxa"/>
            <w:vAlign w:val="bottom"/>
          </w:tcPr>
          <w:p>
            <w:pPr>
              <w:ind w:left="1180"/>
              <w:spacing w:after="0" w:line="137" w:lineRule="exact"/>
              <w:rPr>
                <w:sz w:val="20"/>
                <w:szCs w:val="20"/>
                <w:color w:val="auto"/>
              </w:rPr>
            </w:pPr>
            <w:r>
              <w:rPr>
                <w:rFonts w:ascii="Arial" w:cs="Arial" w:eastAsia="Arial" w:hAnsi="Arial"/>
                <w:sz w:val="14"/>
                <w:szCs w:val="14"/>
                <w:color w:val="auto"/>
              </w:rPr>
              <w:t>important by the independent directors are included;</w:t>
            </w:r>
          </w:p>
        </w:tc>
      </w:tr>
      <w:tr>
        <w:trPr>
          <w:trHeight w:val="184"/>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7380" w:type="dxa"/>
            <w:vAlign w:val="bottom"/>
          </w:tcPr>
          <w:p>
            <w:pPr>
              <w:ind w:left="96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presides at all meetings of the Board, including executive sessions, and can call for executive</w:t>
            </w:r>
          </w:p>
        </w:tc>
      </w:tr>
      <w:tr>
        <w:trPr>
          <w:trHeight w:val="137"/>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7380" w:type="dxa"/>
            <w:vAlign w:val="bottom"/>
          </w:tcPr>
          <w:p>
            <w:pPr>
              <w:ind w:left="1180"/>
              <w:spacing w:after="0" w:line="137" w:lineRule="exact"/>
              <w:rPr>
                <w:sz w:val="20"/>
                <w:szCs w:val="20"/>
                <w:color w:val="auto"/>
              </w:rPr>
            </w:pPr>
            <w:r>
              <w:rPr>
                <w:rFonts w:ascii="Arial" w:cs="Arial" w:eastAsia="Arial" w:hAnsi="Arial"/>
                <w:sz w:val="14"/>
                <w:szCs w:val="14"/>
                <w:color w:val="auto"/>
              </w:rPr>
              <w:t>sessions of the Board’s independent directors, if and when deemed appropriate;</w:t>
            </w:r>
          </w:p>
        </w:tc>
      </w:tr>
      <w:tr>
        <w:trPr>
          <w:trHeight w:val="160"/>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7380" w:type="dxa"/>
            <w:vAlign w:val="bottom"/>
          </w:tcPr>
          <w:p>
            <w:pPr>
              <w:ind w:left="96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leads the Board’s annual evaluation of the Chief Executive Officer;</w:t>
            </w:r>
          </w:p>
        </w:tc>
      </w:tr>
      <w:tr>
        <w:trPr>
          <w:trHeight w:val="160"/>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7380" w:type="dxa"/>
            <w:vAlign w:val="bottom"/>
          </w:tcPr>
          <w:p>
            <w:pPr>
              <w:ind w:left="96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monitors and collaborates with management regarding corporate governance matters; and</w:t>
            </w:r>
          </w:p>
        </w:tc>
      </w:tr>
      <w:tr>
        <w:trPr>
          <w:trHeight w:val="184"/>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7380" w:type="dxa"/>
            <w:vAlign w:val="bottom"/>
          </w:tcPr>
          <w:p>
            <w:pPr>
              <w:ind w:left="96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is available for communication with shareholders, in coordination with management, when</w:t>
            </w:r>
          </w:p>
        </w:tc>
      </w:tr>
      <w:tr>
        <w:trPr>
          <w:trHeight w:val="155"/>
        </w:trPr>
        <w:tc>
          <w:tcPr>
            <w:tcW w:w="20" w:type="dxa"/>
            <w:vAlign w:val="bottom"/>
          </w:tcPr>
          <w:p>
            <w:pPr>
              <w:spacing w:after="0"/>
              <w:rPr>
                <w:sz w:val="13"/>
                <w:szCs w:val="13"/>
                <w:color w:val="auto"/>
              </w:rPr>
            </w:pPr>
          </w:p>
        </w:tc>
        <w:tc>
          <w:tcPr>
            <w:tcW w:w="3500" w:type="dxa"/>
            <w:vAlign w:val="bottom"/>
            <w:tcBorders>
              <w:bottom w:val="single" w:sz="8" w:color="666666"/>
            </w:tcBorders>
          </w:tcPr>
          <w:p>
            <w:pPr>
              <w:spacing w:after="0"/>
              <w:rPr>
                <w:sz w:val="13"/>
                <w:szCs w:val="13"/>
                <w:color w:val="auto"/>
              </w:rPr>
            </w:pPr>
          </w:p>
        </w:tc>
        <w:tc>
          <w:tcPr>
            <w:tcW w:w="7380" w:type="dxa"/>
            <w:vAlign w:val="bottom"/>
            <w:tcBorders>
              <w:bottom w:val="single" w:sz="8" w:color="666666"/>
            </w:tcBorders>
          </w:tcPr>
          <w:p>
            <w:pPr>
              <w:ind w:left="1180"/>
              <w:spacing w:after="0" w:line="155" w:lineRule="exact"/>
              <w:rPr>
                <w:sz w:val="20"/>
                <w:szCs w:val="20"/>
                <w:color w:val="auto"/>
              </w:rPr>
            </w:pPr>
            <w:r>
              <w:rPr>
                <w:rFonts w:ascii="Arial" w:cs="Arial" w:eastAsia="Arial" w:hAnsi="Arial"/>
                <w:sz w:val="14"/>
                <w:szCs w:val="14"/>
                <w:color w:val="auto"/>
              </w:rPr>
              <w:t>appropriate.</w:t>
            </w:r>
          </w:p>
        </w:tc>
      </w:tr>
      <w:tr>
        <w:trPr>
          <w:trHeight w:val="158"/>
        </w:trPr>
        <w:tc>
          <w:tcPr>
            <w:tcW w:w="3520" w:type="dxa"/>
            <w:vAlign w:val="bottom"/>
            <w:gridSpan w:val="2"/>
          </w:tcPr>
          <w:p>
            <w:pPr>
              <w:spacing w:after="0" w:line="158" w:lineRule="exact"/>
              <w:rPr>
                <w:sz w:val="20"/>
                <w:szCs w:val="20"/>
                <w:color w:val="auto"/>
              </w:rPr>
            </w:pPr>
            <w:r>
              <w:rPr>
                <w:rFonts w:ascii="Arial" w:cs="Arial" w:eastAsia="Arial" w:hAnsi="Arial"/>
                <w:sz w:val="14"/>
                <w:szCs w:val="14"/>
                <w:color w:val="C3002F"/>
              </w:rPr>
              <w:t>Committee Structure</w:t>
            </w:r>
          </w:p>
        </w:tc>
        <w:tc>
          <w:tcPr>
            <w:tcW w:w="7380" w:type="dxa"/>
            <w:vAlign w:val="bottom"/>
          </w:tcPr>
          <w:p>
            <w:pPr>
              <w:ind w:left="640"/>
              <w:spacing w:after="0" w:line="158"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Our Committees are composed entirely of independent directors; on an annual basis, the Corporate</w:t>
            </w:r>
          </w:p>
        </w:tc>
      </w:tr>
      <w:tr>
        <w:trPr>
          <w:trHeight w:val="160"/>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7380" w:type="dxa"/>
            <w:vAlign w:val="bottom"/>
          </w:tcPr>
          <w:p>
            <w:pPr>
              <w:ind w:left="960"/>
              <w:spacing w:after="0"/>
              <w:rPr>
                <w:sz w:val="20"/>
                <w:szCs w:val="20"/>
                <w:color w:val="auto"/>
              </w:rPr>
            </w:pPr>
            <w:r>
              <w:rPr>
                <w:rFonts w:ascii="Arial" w:cs="Arial" w:eastAsia="Arial" w:hAnsi="Arial"/>
                <w:sz w:val="14"/>
                <w:szCs w:val="14"/>
                <w:color w:val="auto"/>
              </w:rPr>
              <w:t>Governance and Nominating Committee evaluates and recommends Committee chairs to the Board</w:t>
            </w:r>
          </w:p>
        </w:tc>
      </w:tr>
      <w:tr>
        <w:trPr>
          <w:trHeight w:val="155"/>
        </w:trPr>
        <w:tc>
          <w:tcPr>
            <w:tcW w:w="20" w:type="dxa"/>
            <w:vAlign w:val="bottom"/>
          </w:tcPr>
          <w:p>
            <w:pPr>
              <w:spacing w:after="0"/>
              <w:rPr>
                <w:sz w:val="13"/>
                <w:szCs w:val="13"/>
                <w:color w:val="auto"/>
              </w:rPr>
            </w:pPr>
          </w:p>
        </w:tc>
        <w:tc>
          <w:tcPr>
            <w:tcW w:w="3500" w:type="dxa"/>
            <w:vAlign w:val="bottom"/>
            <w:tcBorders>
              <w:bottom w:val="single" w:sz="8" w:color="666666"/>
            </w:tcBorders>
          </w:tcPr>
          <w:p>
            <w:pPr>
              <w:spacing w:after="0"/>
              <w:rPr>
                <w:sz w:val="13"/>
                <w:szCs w:val="13"/>
                <w:color w:val="auto"/>
              </w:rPr>
            </w:pPr>
          </w:p>
        </w:tc>
        <w:tc>
          <w:tcPr>
            <w:tcW w:w="7380" w:type="dxa"/>
            <w:vAlign w:val="bottom"/>
            <w:tcBorders>
              <w:bottom w:val="single" w:sz="8" w:color="666666"/>
            </w:tcBorders>
          </w:tcPr>
          <w:p>
            <w:pPr>
              <w:ind w:left="960"/>
              <w:spacing w:after="0" w:line="155" w:lineRule="exact"/>
              <w:rPr>
                <w:sz w:val="20"/>
                <w:szCs w:val="20"/>
                <w:color w:val="auto"/>
              </w:rPr>
            </w:pPr>
            <w:r>
              <w:rPr>
                <w:rFonts w:ascii="Arial" w:cs="Arial" w:eastAsia="Arial" w:hAnsi="Arial"/>
                <w:sz w:val="14"/>
                <w:szCs w:val="14"/>
                <w:color w:val="auto"/>
              </w:rPr>
              <w:t>and assesses the appropriateness of any further chair rotations.</w:t>
            </w:r>
          </w:p>
        </w:tc>
      </w:tr>
      <w:tr>
        <w:trPr>
          <w:trHeight w:val="158"/>
        </w:trPr>
        <w:tc>
          <w:tcPr>
            <w:tcW w:w="3520" w:type="dxa"/>
            <w:vAlign w:val="bottom"/>
            <w:gridSpan w:val="2"/>
          </w:tcPr>
          <w:p>
            <w:pPr>
              <w:spacing w:after="0" w:line="158" w:lineRule="exact"/>
              <w:rPr>
                <w:sz w:val="20"/>
                <w:szCs w:val="20"/>
                <w:color w:val="auto"/>
              </w:rPr>
            </w:pPr>
            <w:r>
              <w:rPr>
                <w:rFonts w:ascii="Arial" w:cs="Arial" w:eastAsia="Arial" w:hAnsi="Arial"/>
                <w:sz w:val="14"/>
                <w:szCs w:val="14"/>
                <w:color w:val="C3002F"/>
              </w:rPr>
              <w:t>Executive Sessions</w:t>
            </w:r>
          </w:p>
        </w:tc>
        <w:tc>
          <w:tcPr>
            <w:tcW w:w="7380" w:type="dxa"/>
            <w:vAlign w:val="bottom"/>
          </w:tcPr>
          <w:p>
            <w:pPr>
              <w:ind w:left="640"/>
              <w:spacing w:after="0" w:line="158"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Independent directors meet regularly in executive session, including after all regularly scheduled</w:t>
            </w:r>
          </w:p>
        </w:tc>
      </w:tr>
      <w:tr>
        <w:trPr>
          <w:trHeight w:val="160"/>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7380" w:type="dxa"/>
            <w:vAlign w:val="bottom"/>
          </w:tcPr>
          <w:p>
            <w:pPr>
              <w:ind w:left="960"/>
              <w:spacing w:after="0"/>
              <w:rPr>
                <w:sz w:val="20"/>
                <w:szCs w:val="20"/>
                <w:color w:val="auto"/>
              </w:rPr>
            </w:pPr>
            <w:r>
              <w:rPr>
                <w:rFonts w:ascii="Arial" w:cs="Arial" w:eastAsia="Arial" w:hAnsi="Arial"/>
                <w:sz w:val="14"/>
                <w:szCs w:val="14"/>
                <w:color w:val="auto"/>
              </w:rPr>
              <w:t>meetings; in 2017, executive sessions were held at each of the regularly scheduled Board meetings</w:t>
            </w:r>
          </w:p>
        </w:tc>
      </w:tr>
      <w:tr>
        <w:trPr>
          <w:trHeight w:val="155"/>
        </w:trPr>
        <w:tc>
          <w:tcPr>
            <w:tcW w:w="20" w:type="dxa"/>
            <w:vAlign w:val="bottom"/>
          </w:tcPr>
          <w:p>
            <w:pPr>
              <w:spacing w:after="0"/>
              <w:rPr>
                <w:sz w:val="13"/>
                <w:szCs w:val="13"/>
                <w:color w:val="auto"/>
              </w:rPr>
            </w:pPr>
          </w:p>
        </w:tc>
        <w:tc>
          <w:tcPr>
            <w:tcW w:w="3500" w:type="dxa"/>
            <w:vAlign w:val="bottom"/>
            <w:tcBorders>
              <w:bottom w:val="single" w:sz="8" w:color="666666"/>
            </w:tcBorders>
          </w:tcPr>
          <w:p>
            <w:pPr>
              <w:spacing w:after="0"/>
              <w:rPr>
                <w:sz w:val="13"/>
                <w:szCs w:val="13"/>
                <w:color w:val="auto"/>
              </w:rPr>
            </w:pPr>
          </w:p>
        </w:tc>
        <w:tc>
          <w:tcPr>
            <w:tcW w:w="7380" w:type="dxa"/>
            <w:vAlign w:val="bottom"/>
            <w:tcBorders>
              <w:bottom w:val="single" w:sz="8" w:color="666666"/>
            </w:tcBorders>
          </w:tcPr>
          <w:p>
            <w:pPr>
              <w:ind w:left="960"/>
              <w:spacing w:after="0" w:line="155" w:lineRule="exact"/>
              <w:rPr>
                <w:sz w:val="20"/>
                <w:szCs w:val="20"/>
                <w:color w:val="auto"/>
              </w:rPr>
            </w:pPr>
            <w:r>
              <w:rPr>
                <w:rFonts w:ascii="Arial" w:cs="Arial" w:eastAsia="Arial" w:hAnsi="Arial"/>
                <w:sz w:val="14"/>
                <w:szCs w:val="14"/>
                <w:color w:val="auto"/>
              </w:rPr>
              <w:t>and, if appropriate, certain Committee meetings.</w:t>
            </w:r>
          </w:p>
        </w:tc>
      </w:tr>
      <w:tr>
        <w:trPr>
          <w:trHeight w:val="158"/>
        </w:trPr>
        <w:tc>
          <w:tcPr>
            <w:tcW w:w="3520" w:type="dxa"/>
            <w:vAlign w:val="bottom"/>
            <w:gridSpan w:val="2"/>
          </w:tcPr>
          <w:p>
            <w:pPr>
              <w:spacing w:after="0" w:line="158" w:lineRule="exact"/>
              <w:rPr>
                <w:sz w:val="20"/>
                <w:szCs w:val="20"/>
                <w:color w:val="auto"/>
              </w:rPr>
            </w:pPr>
            <w:r>
              <w:rPr>
                <w:rFonts w:ascii="Arial" w:cs="Arial" w:eastAsia="Arial" w:hAnsi="Arial"/>
                <w:sz w:val="14"/>
                <w:szCs w:val="14"/>
                <w:color w:val="C3002F"/>
              </w:rPr>
              <w:t>Annual Voting</w:t>
            </w:r>
          </w:p>
        </w:tc>
        <w:tc>
          <w:tcPr>
            <w:tcW w:w="7380" w:type="dxa"/>
            <w:vAlign w:val="bottom"/>
          </w:tcPr>
          <w:p>
            <w:pPr>
              <w:ind w:left="640"/>
              <w:spacing w:after="0" w:line="158"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Each member of our Board is elected annually with a majority voting standard for uncontested</w:t>
            </w:r>
          </w:p>
        </w:tc>
      </w:tr>
      <w:tr>
        <w:trPr>
          <w:trHeight w:val="155"/>
        </w:trPr>
        <w:tc>
          <w:tcPr>
            <w:tcW w:w="20" w:type="dxa"/>
            <w:vAlign w:val="bottom"/>
          </w:tcPr>
          <w:p>
            <w:pPr>
              <w:spacing w:after="0"/>
              <w:rPr>
                <w:sz w:val="13"/>
                <w:szCs w:val="13"/>
                <w:color w:val="auto"/>
              </w:rPr>
            </w:pPr>
          </w:p>
        </w:tc>
        <w:tc>
          <w:tcPr>
            <w:tcW w:w="3500" w:type="dxa"/>
            <w:vAlign w:val="bottom"/>
            <w:tcBorders>
              <w:bottom w:val="single" w:sz="8" w:color="666666"/>
            </w:tcBorders>
          </w:tcPr>
          <w:p>
            <w:pPr>
              <w:spacing w:after="0"/>
              <w:rPr>
                <w:sz w:val="13"/>
                <w:szCs w:val="13"/>
                <w:color w:val="auto"/>
              </w:rPr>
            </w:pPr>
          </w:p>
        </w:tc>
        <w:tc>
          <w:tcPr>
            <w:tcW w:w="7380" w:type="dxa"/>
            <w:vAlign w:val="bottom"/>
            <w:tcBorders>
              <w:bottom w:val="single" w:sz="8" w:color="666666"/>
            </w:tcBorders>
          </w:tcPr>
          <w:p>
            <w:pPr>
              <w:ind w:left="960"/>
              <w:spacing w:after="0" w:line="155" w:lineRule="exact"/>
              <w:rPr>
                <w:sz w:val="20"/>
                <w:szCs w:val="20"/>
                <w:color w:val="auto"/>
              </w:rPr>
            </w:pPr>
            <w:r>
              <w:rPr>
                <w:rFonts w:ascii="Arial" w:cs="Arial" w:eastAsia="Arial" w:hAnsi="Arial"/>
                <w:sz w:val="14"/>
                <w:szCs w:val="14"/>
                <w:color w:val="auto"/>
              </w:rPr>
              <w:t>elections.</w:t>
            </w:r>
          </w:p>
        </w:tc>
      </w:tr>
      <w:tr>
        <w:trPr>
          <w:trHeight w:val="158"/>
        </w:trPr>
        <w:tc>
          <w:tcPr>
            <w:tcW w:w="3520" w:type="dxa"/>
            <w:vAlign w:val="bottom"/>
            <w:gridSpan w:val="2"/>
          </w:tcPr>
          <w:p>
            <w:pPr>
              <w:spacing w:after="0" w:line="158" w:lineRule="exact"/>
              <w:rPr>
                <w:sz w:val="20"/>
                <w:szCs w:val="20"/>
                <w:color w:val="auto"/>
              </w:rPr>
            </w:pPr>
            <w:r>
              <w:rPr>
                <w:rFonts w:ascii="Arial" w:cs="Arial" w:eastAsia="Arial" w:hAnsi="Arial"/>
                <w:sz w:val="14"/>
                <w:szCs w:val="14"/>
                <w:color w:val="C3002F"/>
              </w:rPr>
              <w:t>Shareholder Rights</w:t>
            </w:r>
          </w:p>
        </w:tc>
        <w:tc>
          <w:tcPr>
            <w:tcW w:w="7380" w:type="dxa"/>
            <w:vAlign w:val="bottom"/>
          </w:tcPr>
          <w:p>
            <w:pPr>
              <w:ind w:left="640"/>
              <w:spacing w:after="0" w:line="158"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Shareholders representing 10% or more of outstanding shares can call a special shareholders</w:t>
            </w:r>
          </w:p>
        </w:tc>
      </w:tr>
      <w:tr>
        <w:trPr>
          <w:trHeight w:val="155"/>
        </w:trPr>
        <w:tc>
          <w:tcPr>
            <w:tcW w:w="20" w:type="dxa"/>
            <w:vAlign w:val="bottom"/>
          </w:tcPr>
          <w:p>
            <w:pPr>
              <w:spacing w:after="0"/>
              <w:rPr>
                <w:sz w:val="13"/>
                <w:szCs w:val="13"/>
                <w:color w:val="auto"/>
              </w:rPr>
            </w:pPr>
          </w:p>
        </w:tc>
        <w:tc>
          <w:tcPr>
            <w:tcW w:w="3500" w:type="dxa"/>
            <w:vAlign w:val="bottom"/>
            <w:tcBorders>
              <w:bottom w:val="single" w:sz="8" w:color="666666"/>
            </w:tcBorders>
          </w:tcPr>
          <w:p>
            <w:pPr>
              <w:spacing w:after="0"/>
              <w:rPr>
                <w:sz w:val="13"/>
                <w:szCs w:val="13"/>
                <w:color w:val="auto"/>
              </w:rPr>
            </w:pPr>
          </w:p>
        </w:tc>
        <w:tc>
          <w:tcPr>
            <w:tcW w:w="7380" w:type="dxa"/>
            <w:vAlign w:val="bottom"/>
            <w:tcBorders>
              <w:bottom w:val="single" w:sz="8" w:color="666666"/>
            </w:tcBorders>
          </w:tcPr>
          <w:p>
            <w:pPr>
              <w:ind w:left="960"/>
              <w:spacing w:after="0" w:line="155" w:lineRule="exact"/>
              <w:rPr>
                <w:sz w:val="20"/>
                <w:szCs w:val="20"/>
                <w:color w:val="auto"/>
              </w:rPr>
            </w:pPr>
            <w:r>
              <w:rPr>
                <w:rFonts w:ascii="Arial" w:cs="Arial" w:eastAsia="Arial" w:hAnsi="Arial"/>
                <w:sz w:val="14"/>
                <w:szCs w:val="14"/>
                <w:color w:val="auto"/>
              </w:rPr>
              <w:t>meeting.</w:t>
            </w:r>
          </w:p>
        </w:tc>
      </w:tr>
      <w:tr>
        <w:trPr>
          <w:trHeight w:val="158"/>
        </w:trPr>
        <w:tc>
          <w:tcPr>
            <w:tcW w:w="3520" w:type="dxa"/>
            <w:vAlign w:val="bottom"/>
            <w:gridSpan w:val="2"/>
          </w:tcPr>
          <w:p>
            <w:pPr>
              <w:spacing w:after="0" w:line="158" w:lineRule="exact"/>
              <w:rPr>
                <w:sz w:val="20"/>
                <w:szCs w:val="20"/>
                <w:color w:val="auto"/>
              </w:rPr>
            </w:pPr>
            <w:r>
              <w:rPr>
                <w:rFonts w:ascii="Arial" w:cs="Arial" w:eastAsia="Arial" w:hAnsi="Arial"/>
                <w:sz w:val="14"/>
                <w:szCs w:val="14"/>
                <w:color w:val="C3002F"/>
              </w:rPr>
              <w:t>Annual Board and Committee Self Evaluation</w:t>
            </w:r>
          </w:p>
        </w:tc>
        <w:tc>
          <w:tcPr>
            <w:tcW w:w="7380" w:type="dxa"/>
            <w:vAlign w:val="bottom"/>
          </w:tcPr>
          <w:p>
            <w:pPr>
              <w:ind w:left="640"/>
              <w:spacing w:after="0" w:line="158"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The Board and each Committee conduct annual self-evaluations. In addition, each independent</w:t>
            </w:r>
          </w:p>
        </w:tc>
      </w:tr>
      <w:tr>
        <w:trPr>
          <w:trHeight w:val="155"/>
        </w:trPr>
        <w:tc>
          <w:tcPr>
            <w:tcW w:w="20" w:type="dxa"/>
            <w:vAlign w:val="bottom"/>
          </w:tcPr>
          <w:p>
            <w:pPr>
              <w:spacing w:after="0"/>
              <w:rPr>
                <w:sz w:val="13"/>
                <w:szCs w:val="13"/>
                <w:color w:val="auto"/>
              </w:rPr>
            </w:pPr>
          </w:p>
        </w:tc>
        <w:tc>
          <w:tcPr>
            <w:tcW w:w="3500" w:type="dxa"/>
            <w:vAlign w:val="bottom"/>
            <w:tcBorders>
              <w:bottom w:val="single" w:sz="8" w:color="666666"/>
            </w:tcBorders>
          </w:tcPr>
          <w:p>
            <w:pPr>
              <w:spacing w:after="0"/>
              <w:rPr>
                <w:sz w:val="13"/>
                <w:szCs w:val="13"/>
                <w:color w:val="auto"/>
              </w:rPr>
            </w:pPr>
          </w:p>
        </w:tc>
        <w:tc>
          <w:tcPr>
            <w:tcW w:w="7380" w:type="dxa"/>
            <w:vAlign w:val="bottom"/>
            <w:tcBorders>
              <w:bottom w:val="single" w:sz="8" w:color="666666"/>
            </w:tcBorders>
          </w:tcPr>
          <w:p>
            <w:pPr>
              <w:ind w:left="960"/>
              <w:spacing w:after="0" w:line="155" w:lineRule="exact"/>
              <w:rPr>
                <w:sz w:val="20"/>
                <w:szCs w:val="20"/>
                <w:color w:val="auto"/>
              </w:rPr>
            </w:pPr>
            <w:r>
              <w:rPr>
                <w:rFonts w:ascii="Arial" w:cs="Arial" w:eastAsia="Arial" w:hAnsi="Arial"/>
                <w:sz w:val="14"/>
                <w:szCs w:val="14"/>
                <w:color w:val="auto"/>
              </w:rPr>
              <w:t>director completes an individual evaluation of each other director.</w:t>
            </w:r>
          </w:p>
        </w:tc>
      </w:tr>
      <w:tr>
        <w:trPr>
          <w:trHeight w:val="158"/>
        </w:trPr>
        <w:tc>
          <w:tcPr>
            <w:tcW w:w="3520" w:type="dxa"/>
            <w:vAlign w:val="bottom"/>
            <w:gridSpan w:val="2"/>
          </w:tcPr>
          <w:p>
            <w:pPr>
              <w:spacing w:after="0" w:line="158" w:lineRule="exact"/>
              <w:rPr>
                <w:sz w:val="20"/>
                <w:szCs w:val="20"/>
                <w:color w:val="auto"/>
              </w:rPr>
            </w:pPr>
            <w:r>
              <w:rPr>
                <w:rFonts w:ascii="Arial" w:cs="Arial" w:eastAsia="Arial" w:hAnsi="Arial"/>
                <w:sz w:val="14"/>
                <w:szCs w:val="14"/>
                <w:color w:val="C3002F"/>
              </w:rPr>
              <w:t>Share Ownership Guidelines</w:t>
            </w:r>
          </w:p>
        </w:tc>
        <w:tc>
          <w:tcPr>
            <w:tcW w:w="7380" w:type="dxa"/>
            <w:vAlign w:val="bottom"/>
          </w:tcPr>
          <w:p>
            <w:pPr>
              <w:ind w:left="640"/>
              <w:spacing w:after="0" w:line="158"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Subject to a five-year transition period, our directors are required to own at least five times their</w:t>
            </w:r>
          </w:p>
        </w:tc>
      </w:tr>
      <w:tr>
        <w:trPr>
          <w:trHeight w:val="160"/>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7380" w:type="dxa"/>
            <w:vAlign w:val="bottom"/>
          </w:tcPr>
          <w:p>
            <w:pPr>
              <w:ind w:left="960"/>
              <w:spacing w:after="0"/>
              <w:rPr>
                <w:sz w:val="20"/>
                <w:szCs w:val="20"/>
                <w:color w:val="auto"/>
              </w:rPr>
            </w:pPr>
            <w:r>
              <w:rPr>
                <w:rFonts w:ascii="Arial" w:cs="Arial" w:eastAsia="Arial" w:hAnsi="Arial"/>
                <w:sz w:val="14"/>
                <w:szCs w:val="14"/>
                <w:color w:val="auto"/>
              </w:rPr>
              <w:t>annual cash retainer; our CEO is required to own at least six times his annual base salary; and our</w:t>
            </w:r>
          </w:p>
        </w:tc>
      </w:tr>
      <w:tr>
        <w:trPr>
          <w:trHeight w:val="155"/>
        </w:trPr>
        <w:tc>
          <w:tcPr>
            <w:tcW w:w="20" w:type="dxa"/>
            <w:vAlign w:val="bottom"/>
          </w:tcPr>
          <w:p>
            <w:pPr>
              <w:spacing w:after="0"/>
              <w:rPr>
                <w:sz w:val="13"/>
                <w:szCs w:val="13"/>
                <w:color w:val="auto"/>
              </w:rPr>
            </w:pPr>
          </w:p>
        </w:tc>
        <w:tc>
          <w:tcPr>
            <w:tcW w:w="3500" w:type="dxa"/>
            <w:vAlign w:val="bottom"/>
            <w:tcBorders>
              <w:bottom w:val="single" w:sz="8" w:color="666666"/>
            </w:tcBorders>
          </w:tcPr>
          <w:p>
            <w:pPr>
              <w:spacing w:after="0"/>
              <w:rPr>
                <w:sz w:val="13"/>
                <w:szCs w:val="13"/>
                <w:color w:val="auto"/>
              </w:rPr>
            </w:pPr>
          </w:p>
        </w:tc>
        <w:tc>
          <w:tcPr>
            <w:tcW w:w="7380" w:type="dxa"/>
            <w:vAlign w:val="bottom"/>
            <w:tcBorders>
              <w:bottom w:val="single" w:sz="8" w:color="666666"/>
            </w:tcBorders>
          </w:tcPr>
          <w:p>
            <w:pPr>
              <w:ind w:left="960"/>
              <w:spacing w:after="0" w:line="155" w:lineRule="exact"/>
              <w:rPr>
                <w:sz w:val="20"/>
                <w:szCs w:val="20"/>
                <w:color w:val="auto"/>
              </w:rPr>
            </w:pPr>
            <w:r>
              <w:rPr>
                <w:rFonts w:ascii="Arial" w:cs="Arial" w:eastAsia="Arial" w:hAnsi="Arial"/>
                <w:sz w:val="14"/>
                <w:szCs w:val="14"/>
                <w:color w:val="auto"/>
              </w:rPr>
              <w:t>other NEOs are required to own three times their annual base salary.</w:t>
            </w:r>
          </w:p>
        </w:tc>
      </w:tr>
      <w:tr>
        <w:trPr>
          <w:trHeight w:val="158"/>
        </w:trPr>
        <w:tc>
          <w:tcPr>
            <w:tcW w:w="3520" w:type="dxa"/>
            <w:vAlign w:val="bottom"/>
            <w:gridSpan w:val="2"/>
          </w:tcPr>
          <w:p>
            <w:pPr>
              <w:spacing w:after="0" w:line="158" w:lineRule="exact"/>
              <w:rPr>
                <w:sz w:val="20"/>
                <w:szCs w:val="20"/>
                <w:color w:val="auto"/>
              </w:rPr>
            </w:pPr>
            <w:r>
              <w:rPr>
                <w:rFonts w:ascii="Arial" w:cs="Arial" w:eastAsia="Arial" w:hAnsi="Arial"/>
                <w:sz w:val="14"/>
                <w:szCs w:val="14"/>
                <w:color w:val="C3002F"/>
              </w:rPr>
              <w:t>Risk Oversight</w:t>
            </w:r>
          </w:p>
        </w:tc>
        <w:tc>
          <w:tcPr>
            <w:tcW w:w="7380" w:type="dxa"/>
            <w:vAlign w:val="bottom"/>
          </w:tcPr>
          <w:p>
            <w:pPr>
              <w:ind w:left="640"/>
              <w:spacing w:after="0" w:line="158"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Our entire Board is responsible for risk management of the Company, and our Committees have</w:t>
            </w:r>
          </w:p>
        </w:tc>
      </w:tr>
      <w:tr>
        <w:trPr>
          <w:trHeight w:val="160"/>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7380" w:type="dxa"/>
            <w:vAlign w:val="bottom"/>
          </w:tcPr>
          <w:p>
            <w:pPr>
              <w:ind w:left="960"/>
              <w:spacing w:after="0"/>
              <w:rPr>
                <w:sz w:val="20"/>
                <w:szCs w:val="20"/>
                <w:color w:val="auto"/>
              </w:rPr>
            </w:pPr>
            <w:r>
              <w:rPr>
                <w:rFonts w:ascii="Arial" w:cs="Arial" w:eastAsia="Arial" w:hAnsi="Arial"/>
                <w:sz w:val="14"/>
                <w:szCs w:val="14"/>
                <w:color w:val="auto"/>
              </w:rPr>
              <w:t>particular oversight of certain key risks, including those that are identified in the Company’s enterprise</w:t>
            </w:r>
          </w:p>
        </w:tc>
      </w:tr>
      <w:tr>
        <w:trPr>
          <w:trHeight w:val="155"/>
        </w:trPr>
        <w:tc>
          <w:tcPr>
            <w:tcW w:w="20" w:type="dxa"/>
            <w:vAlign w:val="bottom"/>
          </w:tcPr>
          <w:p>
            <w:pPr>
              <w:spacing w:after="0"/>
              <w:rPr>
                <w:sz w:val="13"/>
                <w:szCs w:val="13"/>
                <w:color w:val="auto"/>
              </w:rPr>
            </w:pPr>
          </w:p>
        </w:tc>
        <w:tc>
          <w:tcPr>
            <w:tcW w:w="3500" w:type="dxa"/>
            <w:vAlign w:val="bottom"/>
            <w:tcBorders>
              <w:bottom w:val="single" w:sz="8" w:color="666666"/>
            </w:tcBorders>
          </w:tcPr>
          <w:p>
            <w:pPr>
              <w:spacing w:after="0"/>
              <w:rPr>
                <w:sz w:val="13"/>
                <w:szCs w:val="13"/>
                <w:color w:val="auto"/>
              </w:rPr>
            </w:pPr>
          </w:p>
        </w:tc>
        <w:tc>
          <w:tcPr>
            <w:tcW w:w="7380" w:type="dxa"/>
            <w:vAlign w:val="bottom"/>
            <w:tcBorders>
              <w:bottom w:val="single" w:sz="8" w:color="666666"/>
            </w:tcBorders>
          </w:tcPr>
          <w:p>
            <w:pPr>
              <w:ind w:left="960"/>
              <w:spacing w:after="0" w:line="155" w:lineRule="exact"/>
              <w:rPr>
                <w:sz w:val="20"/>
                <w:szCs w:val="20"/>
                <w:color w:val="auto"/>
              </w:rPr>
            </w:pPr>
            <w:r>
              <w:rPr>
                <w:rFonts w:ascii="Arial" w:cs="Arial" w:eastAsia="Arial" w:hAnsi="Arial"/>
                <w:sz w:val="14"/>
                <w:szCs w:val="14"/>
                <w:color w:val="auto"/>
              </w:rPr>
              <w:t>risk management program.</w:t>
            </w:r>
          </w:p>
        </w:tc>
      </w:tr>
      <w:tr>
        <w:trPr>
          <w:trHeight w:val="158"/>
        </w:trPr>
        <w:tc>
          <w:tcPr>
            <w:tcW w:w="3520" w:type="dxa"/>
            <w:vAlign w:val="bottom"/>
            <w:gridSpan w:val="2"/>
          </w:tcPr>
          <w:p>
            <w:pPr>
              <w:spacing w:after="0" w:line="158" w:lineRule="exact"/>
              <w:rPr>
                <w:sz w:val="20"/>
                <w:szCs w:val="20"/>
                <w:color w:val="auto"/>
              </w:rPr>
            </w:pPr>
            <w:r>
              <w:rPr>
                <w:rFonts w:ascii="Arial" w:cs="Arial" w:eastAsia="Arial" w:hAnsi="Arial"/>
                <w:sz w:val="14"/>
                <w:szCs w:val="14"/>
                <w:color w:val="C3002F"/>
              </w:rPr>
              <w:t>Succession Planning</w:t>
            </w:r>
          </w:p>
        </w:tc>
        <w:tc>
          <w:tcPr>
            <w:tcW w:w="7380" w:type="dxa"/>
            <w:vAlign w:val="bottom"/>
          </w:tcPr>
          <w:p>
            <w:pPr>
              <w:ind w:left="640"/>
              <w:spacing w:after="0" w:line="158"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CEO succession planning is done annually in executive session; additionally, the CEO reports to the</w:t>
            </w:r>
          </w:p>
        </w:tc>
      </w:tr>
      <w:tr>
        <w:trPr>
          <w:trHeight w:val="160"/>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7380" w:type="dxa"/>
            <w:vAlign w:val="bottom"/>
          </w:tcPr>
          <w:p>
            <w:pPr>
              <w:ind w:left="960"/>
              <w:spacing w:after="0"/>
              <w:rPr>
                <w:sz w:val="20"/>
                <w:szCs w:val="20"/>
                <w:color w:val="auto"/>
              </w:rPr>
            </w:pPr>
            <w:r>
              <w:rPr>
                <w:rFonts w:ascii="Arial" w:cs="Arial" w:eastAsia="Arial" w:hAnsi="Arial"/>
                <w:sz w:val="14"/>
                <w:szCs w:val="14"/>
                <w:color w:val="auto"/>
              </w:rPr>
              <w:t>Board on at least an annual basis concerning management development and succession planning for</w:t>
            </w:r>
          </w:p>
        </w:tc>
      </w:tr>
      <w:tr>
        <w:trPr>
          <w:trHeight w:val="155"/>
        </w:trPr>
        <w:tc>
          <w:tcPr>
            <w:tcW w:w="20" w:type="dxa"/>
            <w:vAlign w:val="bottom"/>
          </w:tcPr>
          <w:p>
            <w:pPr>
              <w:spacing w:after="0"/>
              <w:rPr>
                <w:sz w:val="13"/>
                <w:szCs w:val="13"/>
                <w:color w:val="auto"/>
              </w:rPr>
            </w:pPr>
          </w:p>
        </w:tc>
        <w:tc>
          <w:tcPr>
            <w:tcW w:w="3500" w:type="dxa"/>
            <w:vAlign w:val="bottom"/>
            <w:tcBorders>
              <w:bottom w:val="single" w:sz="8" w:color="666666"/>
            </w:tcBorders>
          </w:tcPr>
          <w:p>
            <w:pPr>
              <w:spacing w:after="0"/>
              <w:rPr>
                <w:sz w:val="13"/>
                <w:szCs w:val="13"/>
                <w:color w:val="auto"/>
              </w:rPr>
            </w:pPr>
          </w:p>
        </w:tc>
        <w:tc>
          <w:tcPr>
            <w:tcW w:w="7380" w:type="dxa"/>
            <w:vAlign w:val="bottom"/>
            <w:tcBorders>
              <w:bottom w:val="single" w:sz="8" w:color="666666"/>
            </w:tcBorders>
          </w:tcPr>
          <w:p>
            <w:pPr>
              <w:ind w:left="960"/>
              <w:spacing w:after="0" w:line="155" w:lineRule="exact"/>
              <w:rPr>
                <w:sz w:val="20"/>
                <w:szCs w:val="20"/>
                <w:color w:val="auto"/>
              </w:rPr>
            </w:pPr>
            <w:r>
              <w:rPr>
                <w:rFonts w:ascii="Arial" w:cs="Arial" w:eastAsia="Arial" w:hAnsi="Arial"/>
                <w:sz w:val="14"/>
                <w:szCs w:val="14"/>
                <w:color w:val="auto"/>
              </w:rPr>
              <w:t>all other key positions.</w:t>
            </w:r>
          </w:p>
        </w:tc>
      </w:tr>
      <w:tr>
        <w:trPr>
          <w:trHeight w:val="158"/>
        </w:trPr>
        <w:tc>
          <w:tcPr>
            <w:tcW w:w="3520" w:type="dxa"/>
            <w:vAlign w:val="bottom"/>
            <w:gridSpan w:val="2"/>
          </w:tcPr>
          <w:p>
            <w:pPr>
              <w:spacing w:after="0" w:line="158" w:lineRule="exact"/>
              <w:rPr>
                <w:sz w:val="20"/>
                <w:szCs w:val="20"/>
                <w:color w:val="auto"/>
              </w:rPr>
            </w:pPr>
            <w:r>
              <w:rPr>
                <w:rFonts w:ascii="Arial" w:cs="Arial" w:eastAsia="Arial" w:hAnsi="Arial"/>
                <w:sz w:val="14"/>
                <w:szCs w:val="14"/>
                <w:color w:val="C3002F"/>
              </w:rPr>
              <w:t>Over-boarding</w:t>
            </w:r>
          </w:p>
        </w:tc>
        <w:tc>
          <w:tcPr>
            <w:tcW w:w="7380" w:type="dxa"/>
            <w:vAlign w:val="bottom"/>
          </w:tcPr>
          <w:p>
            <w:pPr>
              <w:ind w:left="640"/>
              <w:spacing w:after="0" w:line="158"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All of our directors (other than one) serve on three or less public company boards; one director</w:t>
            </w:r>
          </w:p>
        </w:tc>
      </w:tr>
      <w:tr>
        <w:trPr>
          <w:trHeight w:val="155"/>
        </w:trPr>
        <w:tc>
          <w:tcPr>
            <w:tcW w:w="20" w:type="dxa"/>
            <w:vAlign w:val="bottom"/>
          </w:tcPr>
          <w:p>
            <w:pPr>
              <w:spacing w:after="0"/>
              <w:rPr>
                <w:sz w:val="13"/>
                <w:szCs w:val="13"/>
                <w:color w:val="auto"/>
              </w:rPr>
            </w:pPr>
          </w:p>
        </w:tc>
        <w:tc>
          <w:tcPr>
            <w:tcW w:w="3500" w:type="dxa"/>
            <w:vAlign w:val="bottom"/>
            <w:tcBorders>
              <w:bottom w:val="single" w:sz="8" w:color="666666"/>
            </w:tcBorders>
          </w:tcPr>
          <w:p>
            <w:pPr>
              <w:spacing w:after="0"/>
              <w:rPr>
                <w:sz w:val="13"/>
                <w:szCs w:val="13"/>
                <w:color w:val="auto"/>
              </w:rPr>
            </w:pPr>
          </w:p>
        </w:tc>
        <w:tc>
          <w:tcPr>
            <w:tcW w:w="7380" w:type="dxa"/>
            <w:vAlign w:val="bottom"/>
            <w:tcBorders>
              <w:bottom w:val="single" w:sz="8" w:color="666666"/>
            </w:tcBorders>
          </w:tcPr>
          <w:p>
            <w:pPr>
              <w:ind w:left="960"/>
              <w:spacing w:after="0" w:line="155" w:lineRule="exact"/>
              <w:rPr>
                <w:sz w:val="20"/>
                <w:szCs w:val="20"/>
                <w:color w:val="auto"/>
              </w:rPr>
            </w:pPr>
            <w:r>
              <w:rPr>
                <w:rFonts w:ascii="Arial" w:cs="Arial" w:eastAsia="Arial" w:hAnsi="Arial"/>
                <w:sz w:val="14"/>
                <w:szCs w:val="14"/>
                <w:color w:val="auto"/>
              </w:rPr>
              <w:t>serves on four public company boards in addition to the Company.</w:t>
            </w:r>
          </w:p>
        </w:tc>
      </w:tr>
      <w:tr>
        <w:trPr>
          <w:trHeight w:val="151"/>
        </w:trPr>
        <w:tc>
          <w:tcPr>
            <w:tcW w:w="3520" w:type="dxa"/>
            <w:vAlign w:val="bottom"/>
            <w:gridSpan w:val="2"/>
          </w:tcPr>
          <w:p>
            <w:pPr>
              <w:spacing w:after="0" w:line="151" w:lineRule="exact"/>
              <w:rPr>
                <w:sz w:val="20"/>
                <w:szCs w:val="20"/>
                <w:color w:val="auto"/>
              </w:rPr>
            </w:pPr>
            <w:r>
              <w:rPr>
                <w:rFonts w:ascii="Arial" w:cs="Arial" w:eastAsia="Arial" w:hAnsi="Arial"/>
                <w:sz w:val="14"/>
                <w:szCs w:val="14"/>
                <w:color w:val="C3002F"/>
              </w:rPr>
              <w:t>Mandatory Retirement</w:t>
            </w:r>
          </w:p>
        </w:tc>
        <w:tc>
          <w:tcPr>
            <w:tcW w:w="7380" w:type="dxa"/>
            <w:vAlign w:val="bottom"/>
          </w:tcPr>
          <w:p>
            <w:pPr>
              <w:ind w:left="640"/>
              <w:spacing w:after="0" w:line="151" w:lineRule="exact"/>
              <w:rPr>
                <w:sz w:val="20"/>
                <w:szCs w:val="20"/>
                <w:color w:val="auto"/>
              </w:rPr>
            </w:pPr>
            <w:r>
              <w:rPr>
                <w:rFonts w:ascii="MS PGothic" w:cs="MS PGothic" w:eastAsia="MS PGothic" w:hAnsi="MS PGothic"/>
                <w:sz w:val="11"/>
                <w:szCs w:val="11"/>
                <w:color w:val="C3002F"/>
              </w:rPr>
              <w:t>✓</w:t>
            </w:r>
            <w:r>
              <w:rPr>
                <w:rFonts w:ascii="Arial" w:cs="Arial" w:eastAsia="Arial" w:hAnsi="Arial"/>
                <w:sz w:val="11"/>
                <w:szCs w:val="11"/>
                <w:color w:val="auto"/>
              </w:rPr>
              <w:t xml:space="preserve">  We have a mandatory retirement policy for all directors following the earlier of (i) his or her 72</w:t>
            </w:r>
            <w:r>
              <w:rPr>
                <w:rFonts w:ascii="Arial" w:cs="Arial" w:eastAsia="Arial" w:hAnsi="Arial"/>
                <w:sz w:val="17"/>
                <w:szCs w:val="17"/>
                <w:color w:val="auto"/>
                <w:vertAlign w:val="superscript"/>
              </w:rPr>
              <w:t>nd</w:t>
            </w:r>
          </w:p>
        </w:tc>
      </w:tr>
      <w:tr>
        <w:trPr>
          <w:trHeight w:val="168"/>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380" w:type="dxa"/>
            <w:vAlign w:val="bottom"/>
          </w:tcPr>
          <w:p>
            <w:pPr>
              <w:ind w:left="960"/>
              <w:spacing w:after="0" w:line="168" w:lineRule="exact"/>
              <w:rPr>
                <w:sz w:val="20"/>
                <w:szCs w:val="20"/>
                <w:color w:val="auto"/>
              </w:rPr>
            </w:pPr>
            <w:r>
              <w:rPr>
                <w:rFonts w:ascii="Arial" w:cs="Arial" w:eastAsia="Arial" w:hAnsi="Arial"/>
                <w:sz w:val="12"/>
                <w:szCs w:val="12"/>
                <w:color w:val="auto"/>
              </w:rPr>
              <w:t>birthday and (ii) his or her 15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year of service as a director; however, to facilitate transition, all</w:t>
            </w:r>
          </w:p>
        </w:tc>
      </w:tr>
      <w:tr>
        <w:trPr>
          <w:trHeight w:val="153"/>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7380" w:type="dxa"/>
            <w:vAlign w:val="bottom"/>
          </w:tcPr>
          <w:p>
            <w:pPr>
              <w:ind w:left="960"/>
              <w:spacing w:after="0" w:line="153" w:lineRule="exact"/>
              <w:rPr>
                <w:sz w:val="20"/>
                <w:szCs w:val="20"/>
                <w:color w:val="auto"/>
              </w:rPr>
            </w:pPr>
            <w:r>
              <w:rPr>
                <w:rFonts w:ascii="Arial" w:cs="Arial" w:eastAsia="Arial" w:hAnsi="Arial"/>
                <w:sz w:val="14"/>
                <w:szCs w:val="14"/>
                <w:color w:val="auto"/>
              </w:rPr>
              <w:t>directors who were elected at the 2015 annual general meeting are not subject to mandatory</w:t>
            </w:r>
          </w:p>
        </w:tc>
      </w:tr>
      <w:tr>
        <w:trPr>
          <w:trHeight w:val="168"/>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380" w:type="dxa"/>
            <w:vAlign w:val="bottom"/>
          </w:tcPr>
          <w:p>
            <w:pPr>
              <w:ind w:left="960"/>
              <w:spacing w:after="0" w:line="168" w:lineRule="exact"/>
              <w:rPr>
                <w:sz w:val="20"/>
                <w:szCs w:val="20"/>
                <w:color w:val="auto"/>
              </w:rPr>
            </w:pPr>
            <w:r>
              <w:rPr>
                <w:rFonts w:ascii="Arial" w:cs="Arial" w:eastAsia="Arial" w:hAnsi="Arial"/>
                <w:sz w:val="12"/>
                <w:szCs w:val="12"/>
                <w:color w:val="auto"/>
              </w:rPr>
              <w:t>retirement until such director’s 75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birthday. In connection with this policy, two directors are retiring</w:t>
            </w:r>
          </w:p>
        </w:tc>
      </w:tr>
      <w:tr>
        <w:trPr>
          <w:trHeight w:val="155"/>
        </w:trPr>
        <w:tc>
          <w:tcPr>
            <w:tcW w:w="20" w:type="dxa"/>
            <w:vAlign w:val="bottom"/>
          </w:tcPr>
          <w:p>
            <w:pPr>
              <w:spacing w:after="0"/>
              <w:rPr>
                <w:sz w:val="13"/>
                <w:szCs w:val="13"/>
                <w:color w:val="auto"/>
              </w:rPr>
            </w:pPr>
          </w:p>
        </w:tc>
        <w:tc>
          <w:tcPr>
            <w:tcW w:w="3500" w:type="dxa"/>
            <w:vAlign w:val="bottom"/>
            <w:tcBorders>
              <w:bottom w:val="single" w:sz="8" w:color="666666"/>
            </w:tcBorders>
          </w:tcPr>
          <w:p>
            <w:pPr>
              <w:spacing w:after="0"/>
              <w:rPr>
                <w:sz w:val="13"/>
                <w:szCs w:val="13"/>
                <w:color w:val="auto"/>
              </w:rPr>
            </w:pPr>
          </w:p>
        </w:tc>
        <w:tc>
          <w:tcPr>
            <w:tcW w:w="7380" w:type="dxa"/>
            <w:vAlign w:val="bottom"/>
            <w:tcBorders>
              <w:bottom w:val="single" w:sz="8" w:color="666666"/>
            </w:tcBorders>
          </w:tcPr>
          <w:p>
            <w:pPr>
              <w:ind w:left="960"/>
              <w:spacing w:after="0" w:line="155" w:lineRule="exact"/>
              <w:rPr>
                <w:sz w:val="20"/>
                <w:szCs w:val="20"/>
                <w:color w:val="auto"/>
              </w:rPr>
            </w:pPr>
            <w:r>
              <w:rPr>
                <w:rFonts w:ascii="Arial" w:cs="Arial" w:eastAsia="Arial" w:hAnsi="Arial"/>
                <w:sz w:val="14"/>
                <w:szCs w:val="14"/>
                <w:color w:val="auto"/>
              </w:rPr>
              <w:t>this year.</w:t>
            </w:r>
          </w:p>
        </w:tc>
      </w:tr>
      <w:tr>
        <w:trPr>
          <w:trHeight w:val="158"/>
        </w:trPr>
        <w:tc>
          <w:tcPr>
            <w:tcW w:w="3520" w:type="dxa"/>
            <w:vAlign w:val="bottom"/>
            <w:gridSpan w:val="2"/>
          </w:tcPr>
          <w:p>
            <w:pPr>
              <w:spacing w:after="0" w:line="158" w:lineRule="exact"/>
              <w:rPr>
                <w:sz w:val="20"/>
                <w:szCs w:val="20"/>
                <w:color w:val="auto"/>
              </w:rPr>
            </w:pPr>
            <w:r>
              <w:rPr>
                <w:rFonts w:ascii="Arial" w:cs="Arial" w:eastAsia="Arial" w:hAnsi="Arial"/>
                <w:sz w:val="14"/>
                <w:szCs w:val="14"/>
                <w:color w:val="C3002F"/>
              </w:rPr>
              <w:t>Code of Business Conduct</w:t>
            </w:r>
          </w:p>
        </w:tc>
        <w:tc>
          <w:tcPr>
            <w:tcW w:w="7380" w:type="dxa"/>
            <w:vAlign w:val="bottom"/>
          </w:tcPr>
          <w:p>
            <w:pPr>
              <w:ind w:left="640"/>
              <w:spacing w:after="0" w:line="158"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We have a robust and comprehensive Code of Business Conduct that applies to all employees and</w:t>
            </w:r>
          </w:p>
        </w:tc>
      </w:tr>
      <w:tr>
        <w:trPr>
          <w:trHeight w:val="155"/>
        </w:trPr>
        <w:tc>
          <w:tcPr>
            <w:tcW w:w="20" w:type="dxa"/>
            <w:vAlign w:val="bottom"/>
          </w:tcPr>
          <w:p>
            <w:pPr>
              <w:spacing w:after="0"/>
              <w:rPr>
                <w:sz w:val="13"/>
                <w:szCs w:val="13"/>
                <w:color w:val="auto"/>
              </w:rPr>
            </w:pPr>
          </w:p>
        </w:tc>
        <w:tc>
          <w:tcPr>
            <w:tcW w:w="3500" w:type="dxa"/>
            <w:vAlign w:val="bottom"/>
            <w:tcBorders>
              <w:bottom w:val="single" w:sz="8" w:color="auto"/>
            </w:tcBorders>
          </w:tcPr>
          <w:p>
            <w:pPr>
              <w:spacing w:after="0"/>
              <w:rPr>
                <w:sz w:val="13"/>
                <w:szCs w:val="13"/>
                <w:color w:val="auto"/>
              </w:rPr>
            </w:pPr>
          </w:p>
        </w:tc>
        <w:tc>
          <w:tcPr>
            <w:tcW w:w="7380" w:type="dxa"/>
            <w:vAlign w:val="bottom"/>
            <w:tcBorders>
              <w:bottom w:val="single" w:sz="8" w:color="auto"/>
            </w:tcBorders>
          </w:tcPr>
          <w:p>
            <w:pPr>
              <w:ind w:left="960"/>
              <w:spacing w:after="0" w:line="155" w:lineRule="exact"/>
              <w:rPr>
                <w:sz w:val="20"/>
                <w:szCs w:val="20"/>
                <w:color w:val="auto"/>
              </w:rPr>
            </w:pPr>
            <w:r>
              <w:rPr>
                <w:rFonts w:ascii="Arial" w:cs="Arial" w:eastAsia="Arial" w:hAnsi="Arial"/>
                <w:sz w:val="14"/>
                <w:szCs w:val="14"/>
                <w:color w:val="auto"/>
              </w:rPr>
              <w:t>each director.</w:t>
            </w:r>
          </w:p>
        </w:tc>
      </w:tr>
    </w:tbl>
    <w:p>
      <w:pPr>
        <w:spacing w:after="0" w:line="280" w:lineRule="exact"/>
        <w:rPr>
          <w:sz w:val="20"/>
          <w:szCs w:val="20"/>
          <w:color w:val="auto"/>
        </w:rPr>
      </w:pPr>
    </w:p>
    <w:p>
      <w:pPr>
        <w:ind w:left="260"/>
        <w:spacing w:after="0"/>
        <w:rPr>
          <w:sz w:val="20"/>
          <w:szCs w:val="20"/>
          <w:color w:val="auto"/>
        </w:rPr>
      </w:pPr>
      <w:r>
        <w:rPr>
          <w:rFonts w:ascii="Arial" w:cs="Arial" w:eastAsia="Arial" w:hAnsi="Arial"/>
          <w:sz w:val="28"/>
          <w:szCs w:val="28"/>
          <w:b w:val="1"/>
          <w:bCs w:val="1"/>
          <w:color w:val="C3002F"/>
        </w:rPr>
        <w:t>ADDITIONAL BOARD INFORMATION</w:t>
      </w:r>
    </w:p>
    <w:p>
      <w:pPr>
        <w:spacing w:after="0" w:line="252" w:lineRule="exact"/>
        <w:rPr>
          <w:sz w:val="20"/>
          <w:szCs w:val="20"/>
          <w:color w:val="auto"/>
        </w:rPr>
      </w:pPr>
    </w:p>
    <w:p>
      <w:pPr>
        <w:jc w:val="both"/>
        <w:ind w:left="260" w:right="20"/>
        <w:spacing w:after="0" w:line="280" w:lineRule="auto"/>
        <w:rPr>
          <w:sz w:val="20"/>
          <w:szCs w:val="20"/>
          <w:color w:val="auto"/>
        </w:rPr>
      </w:pPr>
      <w:r>
        <w:rPr>
          <w:rFonts w:ascii="Arial" w:cs="Arial" w:eastAsia="Arial" w:hAnsi="Arial"/>
          <w:sz w:val="14"/>
          <w:szCs w:val="14"/>
          <w:b w:val="1"/>
          <w:bCs w:val="1"/>
          <w:color w:val="auto"/>
        </w:rPr>
        <w:t xml:space="preserve">Board Meetings: </w:t>
      </w:r>
      <w:r>
        <w:rPr>
          <w:rFonts w:ascii="Arial" w:cs="Arial" w:eastAsia="Arial" w:hAnsi="Arial"/>
          <w:sz w:val="14"/>
          <w:szCs w:val="14"/>
          <w:color w:val="auto"/>
        </w:rPr>
        <w:t>During 2017, the Board met five times; all of the directors participated in at least 75% of all Board of Directors and respective Committee meetings. It is our</w:t>
      </w:r>
      <w:r>
        <w:rPr>
          <w:rFonts w:ascii="Arial" w:cs="Arial" w:eastAsia="Arial" w:hAnsi="Arial"/>
          <w:sz w:val="14"/>
          <w:szCs w:val="14"/>
          <w:b w:val="1"/>
          <w:bCs w:val="1"/>
          <w:color w:val="auto"/>
        </w:rPr>
        <w:t xml:space="preserve"> </w:t>
      </w:r>
      <w:r>
        <w:rPr>
          <w:rFonts w:ascii="Arial" w:cs="Arial" w:eastAsia="Arial" w:hAnsi="Arial"/>
          <w:sz w:val="14"/>
          <w:szCs w:val="14"/>
          <w:color w:val="auto"/>
        </w:rPr>
        <w:t>policy that directors are expected to attend each annual general meeting of shareholders. All of our directors attended last year’s meeting.</w:t>
      </w:r>
    </w:p>
    <w:p>
      <w:pPr>
        <w:spacing w:after="0" w:line="118" w:lineRule="exact"/>
        <w:rPr>
          <w:sz w:val="20"/>
          <w:szCs w:val="20"/>
          <w:color w:val="auto"/>
        </w:rPr>
      </w:pPr>
    </w:p>
    <w:p>
      <w:pPr>
        <w:ind w:left="260" w:right="300"/>
        <w:spacing w:after="0" w:line="280" w:lineRule="auto"/>
        <w:rPr>
          <w:sz w:val="20"/>
          <w:szCs w:val="20"/>
          <w:color w:val="auto"/>
        </w:rPr>
      </w:pPr>
      <w:r>
        <w:rPr>
          <w:rFonts w:ascii="Arial" w:cs="Arial" w:eastAsia="Arial" w:hAnsi="Arial"/>
          <w:sz w:val="14"/>
          <w:szCs w:val="14"/>
          <w:b w:val="1"/>
          <w:bCs w:val="1"/>
          <w:color w:val="auto"/>
        </w:rPr>
        <w:t xml:space="preserve">Committee Charters: </w:t>
      </w:r>
      <w:r>
        <w:rPr>
          <w:rFonts w:ascii="Arial" w:cs="Arial" w:eastAsia="Arial" w:hAnsi="Arial"/>
          <w:sz w:val="14"/>
          <w:szCs w:val="14"/>
          <w:color w:val="auto"/>
        </w:rPr>
        <w:t>The charter for each Committee of our Board of Directors is available on our website at www.weatherford.com, by clicking on “Investor Relations,”</w:t>
      </w:r>
      <w:r>
        <w:rPr>
          <w:rFonts w:ascii="Arial" w:cs="Arial" w:eastAsia="Arial" w:hAnsi="Arial"/>
          <w:sz w:val="14"/>
          <w:szCs w:val="14"/>
          <w:b w:val="1"/>
          <w:bCs w:val="1"/>
          <w:color w:val="auto"/>
        </w:rPr>
        <w:t xml:space="preserve"> </w:t>
      </w:r>
      <w:r>
        <w:rPr>
          <w:rFonts w:ascii="Arial" w:cs="Arial" w:eastAsia="Arial" w:hAnsi="Arial"/>
          <w:sz w:val="14"/>
          <w:szCs w:val="14"/>
          <w:color w:val="auto"/>
        </w:rPr>
        <w:t>then “Corporate Governance,” then “Corporate Documents,” then the name of the applicable committee charter.</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 xml:space="preserve">Independence: </w:t>
      </w:r>
      <w:r>
        <w:rPr>
          <w:rFonts w:ascii="Arial" w:cs="Arial" w:eastAsia="Arial" w:hAnsi="Arial"/>
          <w:sz w:val="14"/>
          <w:szCs w:val="14"/>
          <w:color w:val="auto"/>
        </w:rPr>
        <w:t>Each Committee is composed entirely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118110</wp:posOffset>
            </wp:positionV>
            <wp:extent cx="6917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7360"/>
        <w:spacing w:after="0"/>
        <w:tabs>
          <w:tab w:leader="none" w:pos="10980" w:val="left"/>
        </w:tabs>
        <w:rPr>
          <w:sz w:val="20"/>
          <w:szCs w:val="20"/>
          <w:color w:val="auto"/>
        </w:rPr>
      </w:pPr>
      <w:r>
        <w:rPr>
          <w:rFonts w:ascii="Arial" w:cs="Arial" w:eastAsia="Arial" w:hAnsi="Arial"/>
          <w:sz w:val="14"/>
          <w:szCs w:val="14"/>
          <w:color w:val="666666"/>
        </w:rPr>
        <w:t>Weatherford International plc — 2018 Proxy Statement</w:t>
      </w:r>
      <w:r>
        <w:rPr>
          <w:sz w:val="20"/>
          <w:szCs w:val="20"/>
          <w:color w:val="auto"/>
        </w:rPr>
        <w:tab/>
      </w:r>
      <w:r>
        <w:rPr>
          <w:rFonts w:ascii="Arial" w:cs="Arial" w:eastAsia="Arial" w:hAnsi="Arial"/>
          <w:sz w:val="14"/>
          <w:szCs w:val="14"/>
          <w:b w:val="1"/>
          <w:bCs w:val="1"/>
          <w:color w:val="666666"/>
        </w:rPr>
        <w:t>11</w:t>
      </w:r>
    </w:p>
    <w:p>
      <w:pPr>
        <w:sectPr>
          <w:pgSz w:w="11900" w:h="16838" w:orient="portrait"/>
          <w:cols w:equalWidth="0" w:num="1">
            <w:col w:w="11160"/>
          </w:cols>
          <w:pgMar w:left="240" w:top="455"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666666"/>
        </w:rPr>
        <w:t>AGENDA ITEM 1</w:t>
      </w:r>
    </w:p>
    <w:p>
      <w:pPr>
        <w:spacing w:after="0" w:line="146" w:lineRule="exact"/>
        <w:rPr>
          <w:sz w:val="20"/>
          <w:szCs w:val="20"/>
          <w:color w:val="auto"/>
        </w:rPr>
      </w:pPr>
    </w:p>
    <w:p>
      <w:pPr>
        <w:ind w:left="260"/>
        <w:spacing w:after="0" w:line="252" w:lineRule="auto"/>
        <w:rPr>
          <w:sz w:val="20"/>
          <w:szCs w:val="20"/>
          <w:color w:val="auto"/>
        </w:rPr>
      </w:pPr>
      <w:r>
        <w:rPr>
          <w:rFonts w:ascii="Arial" w:cs="Arial" w:eastAsia="Arial" w:hAnsi="Arial"/>
          <w:sz w:val="14"/>
          <w:szCs w:val="14"/>
          <w:b w:val="1"/>
          <w:bCs w:val="1"/>
          <w:color w:val="auto"/>
        </w:rPr>
        <w:t xml:space="preserve">Committee Members: </w:t>
      </w:r>
      <w:r>
        <w:rPr>
          <w:rFonts w:ascii="Arial" w:cs="Arial" w:eastAsia="Arial" w:hAnsi="Arial"/>
          <w:sz w:val="14"/>
          <w:szCs w:val="14"/>
          <w:color w:val="auto"/>
        </w:rPr>
        <w:t>The Board has determined that each member of the Audit Committee is “financially literate” pursuant to the listing standards of the NYSE and that Mr.</w:t>
      </w:r>
      <w:r>
        <w:rPr>
          <w:rFonts w:ascii="Arial" w:cs="Arial" w:eastAsia="Arial" w:hAnsi="Arial"/>
          <w:sz w:val="14"/>
          <w:szCs w:val="14"/>
          <w:b w:val="1"/>
          <w:bCs w:val="1"/>
          <w:color w:val="auto"/>
        </w:rPr>
        <w:t xml:space="preserve"> </w:t>
      </w:r>
      <w:r>
        <w:rPr>
          <w:rFonts w:ascii="Arial" w:cs="Arial" w:eastAsia="Arial" w:hAnsi="Arial"/>
          <w:sz w:val="14"/>
          <w:szCs w:val="14"/>
          <w:color w:val="auto"/>
        </w:rPr>
        <w:t>Kalman and Dr. Ortiz are each an “audit committee financial expert,” as defined by applicable U.S. Securities and Exchange Commission (the “SEC”) rules, because of each of their individual extensive financial experience. All members of the Compensation Committee satisfy the qualification standards of section 162(m) (“section 162(m)”) of the U.S. Internal Revenue Code of 1986, as amended (the “Code”), and Section 16 of the Exchange Act.</w:t>
      </w:r>
    </w:p>
    <w:p>
      <w:pPr>
        <w:spacing w:after="0" w:line="119" w:lineRule="exact"/>
        <w:rPr>
          <w:sz w:val="20"/>
          <w:szCs w:val="20"/>
          <w:color w:val="auto"/>
        </w:rPr>
      </w:pPr>
    </w:p>
    <w:p>
      <w:pPr>
        <w:ind w:left="260" w:right="400"/>
        <w:spacing w:after="0" w:line="280" w:lineRule="auto"/>
        <w:rPr>
          <w:sz w:val="20"/>
          <w:szCs w:val="20"/>
          <w:color w:val="auto"/>
        </w:rPr>
      </w:pPr>
      <w:r>
        <w:rPr>
          <w:rFonts w:ascii="Arial" w:cs="Arial" w:eastAsia="Arial" w:hAnsi="Arial"/>
          <w:sz w:val="21"/>
          <w:szCs w:val="21"/>
          <w:b w:val="1"/>
          <w:bCs w:val="1"/>
          <w:color w:val="C3002F"/>
        </w:rPr>
        <w:t xml:space="preserve">Additional information regarding Corporate Governance at Weatherford can be found on our website at </w:t>
      </w:r>
      <w:r>
        <w:rPr>
          <w:rFonts w:ascii="Arial" w:cs="Arial" w:eastAsia="Arial" w:hAnsi="Arial"/>
          <w:sz w:val="21"/>
          <w:szCs w:val="21"/>
          <w:b w:val="1"/>
          <w:bCs w:val="1"/>
          <w:i w:val="1"/>
          <w:iCs w:val="1"/>
          <w:color w:val="C3002F"/>
        </w:rPr>
        <w:t xml:space="preserve">www.weatherford.com </w:t>
      </w:r>
      <w:r>
        <w:rPr>
          <w:rFonts w:ascii="Arial" w:cs="Arial" w:eastAsia="Arial" w:hAnsi="Arial"/>
          <w:sz w:val="21"/>
          <w:szCs w:val="21"/>
          <w:b w:val="1"/>
          <w:bCs w:val="1"/>
          <w:color w:val="C3002F"/>
        </w:rPr>
        <w:t>in the “Investor Relations” section.</w:t>
      </w:r>
    </w:p>
    <w:p>
      <w:pPr>
        <w:spacing w:after="0" w:line="323"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RISK MANAGEMENT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spacing w:after="0" w:line="243" w:lineRule="auto"/>
        <w:rPr>
          <w:sz w:val="20"/>
          <w:szCs w:val="20"/>
          <w:color w:val="auto"/>
        </w:rPr>
      </w:pPr>
      <w:r>
        <w:rPr>
          <w:rFonts w:ascii="Arial" w:cs="Arial" w:eastAsia="Arial" w:hAnsi="Arial"/>
          <w:sz w:val="14"/>
          <w:szCs w:val="14"/>
          <w:color w:val="auto"/>
        </w:rPr>
        <w:t>The Board has implemented an Enterprise Risk Management (ERM) system to identify and evaluate varying levels of risk and their potential impact on the enterprise, as well as steps to further mitigate those risks. Management representatives of the ERM committee present quarterly to the Audit Committee and annually to the full Board. Therefore, the Board is responsible for the oversight of overall risk management for the Company, and the Audit Committee is responsible for financial and compliance reporting as well as risk assessment.</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part of its oversight function, the Audit Committee discusses and implements guidelines and policies concerning financial and compliance risk assessment and management, including the process by which major financial and compliance risk exposure is monitored and mitigated. The Audit Committee works with members of management to assess and monitor risks facing the Company’s business and operations, as well as the effectiveness of the Company’s guidelines and policies for managing and assessing financial and compliance risk. The Audit Committee meets and discusses, as appropriate, issues regarding the Company’s risk management policies and procedures directly with those individuals responsible for day-to-day risk management in the Company’s assurance and compliance departments. The Audit Committee has also established policies and procedures for the pre-approval of all services provided by the independent registered public accounting firm as described in “Audit Committee Pre-Approval Policy” in this Proxy Statement. In addition, the Audit Committee has established procedures for the receipt, retention and treatment, on a confidential basis, of complaints received by the Company regarding its accounting, internal controls, Code of Conduct and other matters.</w:t>
      </w:r>
    </w:p>
    <w:p>
      <w:pPr>
        <w:spacing w:after="0" w:line="181" w:lineRule="exact"/>
        <w:rPr>
          <w:sz w:val="20"/>
          <w:szCs w:val="20"/>
          <w:color w:val="auto"/>
        </w:rPr>
      </w:pPr>
    </w:p>
    <w:p>
      <w:pPr>
        <w:ind w:left="260" w:right="20"/>
        <w:spacing w:after="0" w:line="243" w:lineRule="auto"/>
        <w:rPr>
          <w:sz w:val="20"/>
          <w:szCs w:val="20"/>
          <w:color w:val="auto"/>
        </w:rPr>
      </w:pPr>
      <w:r>
        <w:rPr>
          <w:rFonts w:ascii="Arial" w:cs="Arial" w:eastAsia="Arial" w:hAnsi="Arial"/>
          <w:sz w:val="14"/>
          <w:szCs w:val="14"/>
          <w:color w:val="auto"/>
        </w:rPr>
        <w:t>The Corporate Governance and Nominating Committee periodically provides oversight with respect to risks associated with our corporate governance policies and practices, including our Corporate Governance Principles. The Corporate Governance and Nominating Committee also oversees and reviews, on an annual basis, an evaluation of the Board and each of our Board Committees, and a director peer evaluation. The results of those evaluations are also considered as part of the Corporate Governance and Nominating Committee’s recommendations for Committee service and rotation, as appropriate.</w:t>
      </w:r>
    </w:p>
    <w:p>
      <w:pPr>
        <w:spacing w:after="0" w:line="162" w:lineRule="exact"/>
        <w:rPr>
          <w:sz w:val="20"/>
          <w:szCs w:val="20"/>
          <w:color w:val="auto"/>
        </w:rPr>
      </w:pPr>
    </w:p>
    <w:p>
      <w:pPr>
        <w:ind w:left="260"/>
        <w:spacing w:after="0" w:line="253" w:lineRule="auto"/>
        <w:rPr>
          <w:sz w:val="20"/>
          <w:szCs w:val="20"/>
          <w:color w:val="auto"/>
        </w:rPr>
      </w:pPr>
      <w:r>
        <w:rPr>
          <w:rFonts w:ascii="Arial" w:cs="Arial" w:eastAsia="Arial" w:hAnsi="Arial"/>
          <w:sz w:val="14"/>
          <w:szCs w:val="14"/>
          <w:color w:val="auto"/>
        </w:rPr>
        <w:t>The Compensation Committee reviews our compensation plans and practices to ensure they do not encourage excessive risk-taking, and, instead, encourage behaviors that support sustainable value creation. See “Risk Analysis of our Compensation Programs” in the Compensation Discussion and Analysis section of this Proxy Statement.</w:t>
      </w:r>
    </w:p>
    <w:p>
      <w:pPr>
        <w:spacing w:after="0" w:line="155" w:lineRule="exact"/>
        <w:rPr>
          <w:sz w:val="20"/>
          <w:szCs w:val="20"/>
          <w:color w:val="auto"/>
        </w:rPr>
      </w:pPr>
    </w:p>
    <w:p>
      <w:pPr>
        <w:ind w:left="260" w:right="220"/>
        <w:spacing w:after="0" w:line="246" w:lineRule="auto"/>
        <w:rPr>
          <w:sz w:val="20"/>
          <w:szCs w:val="20"/>
          <w:color w:val="auto"/>
        </w:rPr>
      </w:pPr>
      <w:r>
        <w:rPr>
          <w:rFonts w:ascii="Arial" w:cs="Arial" w:eastAsia="Arial" w:hAnsi="Arial"/>
          <w:sz w:val="14"/>
          <w:szCs w:val="14"/>
          <w:color w:val="auto"/>
        </w:rPr>
        <w:t>Our Health, Safety and Environment Committee oversees the Company’s policies and practices to promote good stewardship, to encourage safety awareness, to monitor safety performance and to provide suggestions to management for the resolution of health, safety and environmental concerns, all with a view towards reducing risks in those areas.</w:t>
      </w:r>
    </w:p>
    <w:p>
      <w:pPr>
        <w:spacing w:after="0" w:line="368" w:lineRule="exact"/>
        <w:rPr>
          <w:sz w:val="20"/>
          <w:szCs w:val="20"/>
          <w:color w:val="auto"/>
        </w:rPr>
      </w:pPr>
    </w:p>
    <w:p>
      <w:pPr>
        <w:ind w:left="260"/>
        <w:spacing w:after="0"/>
        <w:rPr>
          <w:sz w:val="20"/>
          <w:szCs w:val="20"/>
          <w:color w:val="auto"/>
        </w:rPr>
      </w:pPr>
      <w:r>
        <w:rPr>
          <w:rFonts w:ascii="Arial" w:cs="Arial" w:eastAsia="Arial" w:hAnsi="Arial"/>
          <w:sz w:val="28"/>
          <w:szCs w:val="28"/>
          <w:b w:val="1"/>
          <w:bCs w:val="1"/>
          <w:color w:val="C3002F"/>
        </w:rPr>
        <w:t>SUCCESSION PLANNING AND LEADERSHIP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-203835</wp:posOffset>
            </wp:positionV>
            <wp:extent cx="822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0" w:lineRule="exact"/>
        <w:rPr>
          <w:sz w:val="20"/>
          <w:szCs w:val="20"/>
          <w:color w:val="auto"/>
        </w:rPr>
      </w:pPr>
    </w:p>
    <w:p>
      <w:pPr>
        <w:ind w:left="260" w:right="20"/>
        <w:spacing w:after="0" w:line="242" w:lineRule="auto"/>
        <w:rPr>
          <w:sz w:val="20"/>
          <w:szCs w:val="20"/>
          <w:color w:val="auto"/>
        </w:rPr>
      </w:pPr>
      <w:r>
        <w:rPr>
          <w:rFonts w:ascii="Arial" w:cs="Arial" w:eastAsia="Arial" w:hAnsi="Arial"/>
          <w:sz w:val="14"/>
          <w:szCs w:val="14"/>
          <w:color w:val="auto"/>
        </w:rPr>
        <w:t>In addition to oversight of risk management, one of the priorities of our Board is to ensure that the Company has a long-term and evolving program for effective leadership development and succession. Our Board is committed to talent management and ensuring strong and effective leadership in the Company’s global management structure. Throughout the year, the Board is presented with high-potential leadership candidates and regularly updated on key talent metrics, including diversity, recruiting and development programs. The CEO reports to the Board on an annual (or more frequent, as needed) basis concerning management development and succession planning for other key positions. In addition, the Corporate Governance and Nominating Committee conducts annual CEO succession planning in executive session.</w:t>
      </w:r>
    </w:p>
    <w:p>
      <w:pPr>
        <w:spacing w:after="0" w:line="372" w:lineRule="exact"/>
        <w:rPr>
          <w:sz w:val="20"/>
          <w:szCs w:val="20"/>
          <w:color w:val="auto"/>
        </w:rPr>
      </w:pPr>
    </w:p>
    <w:p>
      <w:pPr>
        <w:ind w:left="260"/>
        <w:spacing w:after="0"/>
        <w:rPr>
          <w:sz w:val="20"/>
          <w:szCs w:val="20"/>
          <w:color w:val="auto"/>
        </w:rPr>
      </w:pPr>
      <w:r>
        <w:rPr>
          <w:rFonts w:ascii="Arial" w:cs="Arial" w:eastAsia="Arial" w:hAnsi="Arial"/>
          <w:sz w:val="28"/>
          <w:szCs w:val="28"/>
          <w:b w:val="1"/>
          <w:bCs w:val="1"/>
          <w:color w:val="C3002F"/>
        </w:rPr>
        <w:t>MANDATORY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-203835</wp:posOffset>
            </wp:positionV>
            <wp:extent cx="822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0" w:lineRule="exact"/>
        <w:rPr>
          <w:sz w:val="20"/>
          <w:szCs w:val="20"/>
          <w:color w:val="auto"/>
        </w:rPr>
      </w:pPr>
    </w:p>
    <w:p>
      <w:pPr>
        <w:ind w:left="260" w:right="80"/>
        <w:spacing w:after="0" w:line="182" w:lineRule="auto"/>
        <w:rPr>
          <w:sz w:val="20"/>
          <w:szCs w:val="20"/>
          <w:color w:val="auto"/>
        </w:rPr>
      </w:pPr>
      <w:r>
        <w:rPr>
          <w:rFonts w:ascii="Arial" w:cs="Arial" w:eastAsia="Arial" w:hAnsi="Arial"/>
          <w:sz w:val="14"/>
          <w:szCs w:val="14"/>
          <w:color w:val="auto"/>
        </w:rPr>
        <w:t>In 2017, we further enhanced our Corporate Governance Principles by updating and revising our mandatory retirement policy. Our policy now requires that each non-employee director retire from the Board immediately prior to the annual general meeting of shareholders following the earlier of (i) his or her 72</w:t>
      </w:r>
      <w:r>
        <w:rPr>
          <w:rFonts w:ascii="Arial" w:cs="Arial" w:eastAsia="Arial" w:hAnsi="Arial"/>
          <w:sz w:val="23"/>
          <w:szCs w:val="23"/>
          <w:color w:val="auto"/>
          <w:vertAlign w:val="superscript"/>
        </w:rPr>
        <w:t>nd</w:t>
      </w:r>
      <w:r>
        <w:rPr>
          <w:rFonts w:ascii="Arial" w:cs="Arial" w:eastAsia="Arial" w:hAnsi="Arial"/>
          <w:sz w:val="14"/>
          <w:szCs w:val="14"/>
          <w:color w:val="auto"/>
        </w:rPr>
        <w:t xml:space="preserve"> birthday and (ii) his or her 15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year of service as a director. In order to allow a smooth transition of our existing directors, the requirement was previously automatically waived for each director elected at the 2015 Annual General Meeting (i.e., such directors were grandfathered in), however we have now enhanced our policy so the grandfather/waiver provision expires after such director’s 75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birthday. We believe this policy will help increase diversity and allow for more frequent Board refreshment. In furtherance of this policy, two current directors, Mr. David J. Butters and Mr. Robert K. Moses, Jr. are retiring and will not stand for re-election this year.</w:t>
      </w:r>
    </w:p>
    <w:p>
      <w:pPr>
        <w:spacing w:after="0" w:line="362"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-304800</wp:posOffset>
            </wp:positionV>
            <wp:extent cx="822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260"/>
        <w:spacing w:after="0" w:line="242" w:lineRule="auto"/>
        <w:rPr>
          <w:sz w:val="20"/>
          <w:szCs w:val="20"/>
          <w:color w:val="auto"/>
        </w:rPr>
      </w:pPr>
      <w:r>
        <w:rPr>
          <w:rFonts w:ascii="Arial" w:cs="Arial" w:eastAsia="Arial" w:hAnsi="Arial"/>
          <w:sz w:val="14"/>
          <w:szCs w:val="14"/>
          <w:color w:val="auto"/>
        </w:rPr>
        <w:t xml:space="preserve">The Board has affirmatively determined that each non-employee director is independent under the rules of the NYSE and the SEC. As contemplated by NYSE rules, the Board has adopted categorical standards to assist it in making independence determinations. These standards are available on our website at </w:t>
      </w:r>
      <w:r>
        <w:rPr>
          <w:rFonts w:ascii="Arial" w:cs="Arial" w:eastAsia="Arial" w:hAnsi="Arial"/>
          <w:sz w:val="14"/>
          <w:szCs w:val="14"/>
          <w:i w:val="1"/>
          <w:iCs w:val="1"/>
          <w:color w:val="auto"/>
        </w:rPr>
        <w:t>www.weatherford.com</w:t>
      </w:r>
      <w:r>
        <w:rPr>
          <w:rFonts w:ascii="Arial" w:cs="Arial" w:eastAsia="Arial" w:hAnsi="Arial"/>
          <w:sz w:val="14"/>
          <w:szCs w:val="14"/>
          <w:color w:val="auto"/>
        </w:rPr>
        <w:t>, by clicking on “Investor Relations,” then “Corporate Governance,” then “Corporate Documents,” then “Corporate Governance Principles.” However, in making independence determinations, the Board considers and reviews all relationships with each director, whether or not they fall within the categorical standards. None of the independent directors had relationships relevant to an independence determination that were outside the scope of the Board’s categorical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100330</wp:posOffset>
            </wp:positionV>
            <wp:extent cx="69176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620" w:hanging="353"/>
        <w:spacing w:after="0"/>
        <w:tabs>
          <w:tab w:leader="none" w:pos="620" w:val="left"/>
        </w:tabs>
        <w:numPr>
          <w:ilvl w:val="0"/>
          <w:numId w:val="46"/>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2018 Proxy Statement</w:t>
      </w:r>
    </w:p>
    <w:p>
      <w:pPr>
        <w:sectPr>
          <w:pgSz w:w="11900" w:h="16838" w:orient="portrait"/>
          <w:cols w:equalWidth="0" w:num="1">
            <w:col w:w="11140"/>
          </w:cols>
          <w:pgMar w:left="240" w:top="455" w:right="51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0" w:lineRule="exact"/>
        <w:rPr>
          <w:sz w:val="20"/>
          <w:szCs w:val="20"/>
          <w:color w:val="auto"/>
        </w:rPr>
      </w:pPr>
    </w:p>
    <w:p>
      <w:pPr>
        <w:spacing w:after="0" w:line="333"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60"/>
        <w:spacing w:after="0" w:line="241" w:lineRule="auto"/>
        <w:rPr>
          <w:sz w:val="20"/>
          <w:szCs w:val="20"/>
          <w:color w:val="auto"/>
        </w:rPr>
      </w:pPr>
      <w:r>
        <w:rPr>
          <w:rFonts w:ascii="Arial" w:cs="Arial" w:eastAsia="Arial" w:hAnsi="Arial"/>
          <w:sz w:val="14"/>
          <w:szCs w:val="14"/>
          <w:color w:val="auto"/>
        </w:rPr>
        <w:t xml:space="preserve">Our Board has adopted a policy regarding related person transactions as part of a comprehensive governance program. This policy regarding transactions between us or any of our affiliates and our directors, executive officers and other employees is set forth in writing in our Corporate Governance Principles and our Code of Business Conduct. These documents are available on our website at </w:t>
      </w:r>
      <w:r>
        <w:rPr>
          <w:rFonts w:ascii="Arial" w:cs="Arial" w:eastAsia="Arial" w:hAnsi="Arial"/>
          <w:sz w:val="14"/>
          <w:szCs w:val="14"/>
          <w:i w:val="1"/>
          <w:iCs w:val="1"/>
          <w:color w:val="auto"/>
        </w:rPr>
        <w:t>www.weatherford.com,</w:t>
      </w:r>
      <w:r>
        <w:rPr>
          <w:rFonts w:ascii="Arial" w:cs="Arial" w:eastAsia="Arial" w:hAnsi="Arial"/>
          <w:sz w:val="14"/>
          <w:szCs w:val="14"/>
          <w:color w:val="auto"/>
        </w:rPr>
        <w:t xml:space="preserve"> by clicking on “Investor Relations,” then “Corporate Governance,” then “Corporate Documents,” then selecting “Corporate Governance Principles” or “Code of Business Conduct,” as applicable. We also have a Supplemental Code of Business Conduct that applies to our Chief Executive Officer, our Chief Financial Officer and our Chief Accounting Officer, which is available on our website at </w:t>
      </w:r>
      <w:r>
        <w:rPr>
          <w:rFonts w:ascii="Arial" w:cs="Arial" w:eastAsia="Arial" w:hAnsi="Arial"/>
          <w:sz w:val="14"/>
          <w:szCs w:val="14"/>
          <w:i w:val="1"/>
          <w:iCs w:val="1"/>
          <w:color w:val="auto"/>
        </w:rPr>
        <w:t>www.weatherford.com,</w:t>
      </w:r>
      <w:r>
        <w:rPr>
          <w:rFonts w:ascii="Arial" w:cs="Arial" w:eastAsia="Arial" w:hAnsi="Arial"/>
          <w:sz w:val="14"/>
          <w:szCs w:val="14"/>
          <w:color w:val="auto"/>
        </w:rPr>
        <w:t xml:space="preserve"> by clicking on “Investor Relations,” then “Corporate Governance,” then “Corporate Documents,” then “Supplemental Code of Conduct.” The Board believes these documents promote the effective functioning of the Board, its Committees and management. Accordingly, they are periodically reviewed and revised, as appropriate.</w:t>
      </w:r>
    </w:p>
    <w:p>
      <w:pPr>
        <w:spacing w:after="0" w:line="203" w:lineRule="exact"/>
        <w:rPr>
          <w:sz w:val="20"/>
          <w:szCs w:val="20"/>
          <w:color w:val="auto"/>
        </w:rPr>
      </w:pPr>
    </w:p>
    <w:p>
      <w:pPr>
        <w:ind w:left="260" w:right="60"/>
        <w:spacing w:after="0" w:line="246" w:lineRule="auto"/>
        <w:rPr>
          <w:sz w:val="20"/>
          <w:szCs w:val="20"/>
          <w:color w:val="auto"/>
        </w:rPr>
      </w:pPr>
      <w:r>
        <w:rPr>
          <w:rFonts w:ascii="Arial" w:cs="Arial" w:eastAsia="Arial" w:hAnsi="Arial"/>
          <w:sz w:val="14"/>
          <w:szCs w:val="14"/>
          <w:color w:val="auto"/>
        </w:rPr>
        <w:t>If an actual or potential conflict of interest arises for any director, the director is required to notify the Board and is not allowed to participate in any discussions or vote on any transaction associated with the actual or potential conflict of interest. The Board approves any transactions with our Chief Executive Officer and our Chief Executive Officer approves any transactions with any other executive officer.</w:t>
      </w:r>
    </w:p>
    <w:p>
      <w:pPr>
        <w:spacing w:after="0" w:line="355" w:lineRule="exact"/>
        <w:rPr>
          <w:sz w:val="20"/>
          <w:szCs w:val="20"/>
          <w:color w:val="auto"/>
        </w:rPr>
      </w:pPr>
    </w:p>
    <w:p>
      <w:pPr>
        <w:ind w:left="260" w:right="1800"/>
        <w:spacing w:after="0" w:line="275" w:lineRule="auto"/>
        <w:rPr>
          <w:sz w:val="20"/>
          <w:szCs w:val="20"/>
          <w:color w:val="auto"/>
        </w:rPr>
      </w:pPr>
      <w:r>
        <w:rPr>
          <w:rFonts w:ascii="Arial" w:cs="Arial" w:eastAsia="Arial" w:hAnsi="Arial"/>
          <w:sz w:val="43"/>
          <w:szCs w:val="43"/>
          <w:b w:val="1"/>
          <w:bCs w:val="1"/>
          <w:color w:val="666666"/>
        </w:rPr>
        <w:t>INDEPENDENT CHAIRMAN AND 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-718820</wp:posOffset>
            </wp:positionV>
            <wp:extent cx="822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07" w:lineRule="exact"/>
        <w:rPr>
          <w:sz w:val="20"/>
          <w:szCs w:val="20"/>
          <w:color w:val="auto"/>
        </w:rPr>
      </w:pPr>
    </w:p>
    <w:p>
      <w:pPr>
        <w:ind w:left="260" w:right="60"/>
        <w:spacing w:after="0" w:line="243" w:lineRule="auto"/>
        <w:rPr>
          <w:sz w:val="20"/>
          <w:szCs w:val="20"/>
          <w:color w:val="auto"/>
        </w:rPr>
      </w:pPr>
      <w:r>
        <w:rPr>
          <w:rFonts w:ascii="Arial" w:cs="Arial" w:eastAsia="Arial" w:hAnsi="Arial"/>
          <w:sz w:val="14"/>
          <w:szCs w:val="14"/>
          <w:color w:val="auto"/>
        </w:rPr>
        <w:t>The Board periodically examines its structure based on the existing and future needs of the Company to ensure its composition delivers the greatest long-term shareholder value. While the Board had previously determined the most effective leadership structure for the Company was to combine the role of Chief Executive Officer and Chairman, in 2017, the Board determined it was the appropriate time to separate the roles. Currently, Mr. Macaulay, an independent director, serves as Chairman of the Board and our CEO, Mr. McCollum, serves only as a director.</w:t>
      </w:r>
    </w:p>
    <w:p>
      <w:pPr>
        <w:spacing w:after="0" w:line="162" w:lineRule="exact"/>
        <w:rPr>
          <w:sz w:val="20"/>
          <w:szCs w:val="20"/>
          <w:color w:val="auto"/>
        </w:rPr>
      </w:pPr>
    </w:p>
    <w:p>
      <w:pPr>
        <w:ind w:left="260" w:right="20"/>
        <w:spacing w:after="0" w:line="243" w:lineRule="auto"/>
        <w:rPr>
          <w:sz w:val="20"/>
          <w:szCs w:val="20"/>
          <w:color w:val="auto"/>
        </w:rPr>
      </w:pPr>
      <w:r>
        <w:rPr>
          <w:rFonts w:ascii="Arial" w:cs="Arial" w:eastAsia="Arial" w:hAnsi="Arial"/>
          <w:sz w:val="14"/>
          <w:szCs w:val="14"/>
          <w:color w:val="auto"/>
        </w:rPr>
        <w:t>Mr. Macaulay, as Chairman, has been appointed to oversee executive sessions, which provide the Board with the ability to independently evaluate management and openly discuss strategic and other business issues involving the Company, ensuring that the Company is upholding high standards of corporate governance. Executive sessions are held after all regularly scheduled Board and, if appropriate, Committee meetings, and at such additional times as may be needed. In 2017, executive sessions of the independent directors were held at each of the four regularly scheduled Board meetings.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For information on how to communicate with our Chairman and other directors, please see “Communication with Directors.”</w:t>
      </w:r>
    </w:p>
    <w:p>
      <w:pPr>
        <w:spacing w:after="0" w:line="368"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-304800</wp:posOffset>
            </wp:positionV>
            <wp:extent cx="822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320"/>
        <w:spacing w:after="0" w:line="246" w:lineRule="auto"/>
        <w:rPr>
          <w:sz w:val="20"/>
          <w:szCs w:val="20"/>
          <w:color w:val="auto"/>
        </w:rPr>
      </w:pPr>
      <w:r>
        <w:rPr>
          <w:rFonts w:ascii="Arial" w:cs="Arial" w:eastAsia="Arial" w:hAnsi="Arial"/>
          <w:sz w:val="14"/>
          <w:szCs w:val="14"/>
          <w:color w:val="auto"/>
        </w:rPr>
        <w:t>In obtaining the names of possible director nominees, the Corporate Governance and Nominating Committee conducts its own inquiries and considers suggestions from other directors, management, shareholders and professional director search firms. The Committee’s process for evaluating nominees identified in unsolicited recommendations from shareholders is the same as its process for unsolicited recommendations from other sources.</w:t>
      </w:r>
    </w:p>
    <w:p>
      <w:pPr>
        <w:spacing w:after="0" w:line="172" w:lineRule="exact"/>
        <w:rPr>
          <w:sz w:val="20"/>
          <w:szCs w:val="20"/>
          <w:color w:val="auto"/>
        </w:rPr>
      </w:pPr>
    </w:p>
    <w:p>
      <w:pPr>
        <w:ind w:left="260" w:right="20"/>
        <w:spacing w:after="0" w:line="241" w:lineRule="auto"/>
        <w:rPr>
          <w:sz w:val="20"/>
          <w:szCs w:val="20"/>
          <w:color w:val="auto"/>
        </w:rPr>
      </w:pPr>
      <w:r>
        <w:rPr>
          <w:rFonts w:ascii="Arial" w:cs="Arial" w:eastAsia="Arial" w:hAnsi="Arial"/>
          <w:sz w:val="14"/>
          <w:szCs w:val="14"/>
          <w:color w:val="auto"/>
        </w:rPr>
        <w:t>The Corporate Governance and Nominating Committee will consider nominees recommended by shareholders who submit their recommendations in writing to Chairman, Corporate Governance and Nominating Committee, care of the Corporate Secretary, Weatherford International plc, Weststrasse 1, 6340 Baar, Switzerland. Recommendations received by the dates set forth in the “Proposals By Shareholders” section on page 49 will be considered for inclusion in the slate of director nominees to be presented at the annual general meeting in the following year. Unsolicited recommendations must contain the name, address and telephone number of the potential nominee, a statement regarding the potential nominee’s background, experience, expertise and qualifications, a signed statement confirming his or her willingness and ability to serve as a director and abide by our corporate governance policies, his or her availability for a personal interview with the Corporate Governance and Nominating Committee and evidence that the person making the recommendation is a shareholder of Weatherford.</w:t>
      </w:r>
    </w:p>
    <w:p>
      <w:pPr>
        <w:spacing w:after="0" w:line="163" w:lineRule="exact"/>
        <w:rPr>
          <w:sz w:val="20"/>
          <w:szCs w:val="20"/>
          <w:color w:val="auto"/>
        </w:rPr>
      </w:pPr>
    </w:p>
    <w:p>
      <w:pPr>
        <w:ind w:left="260" w:right="60"/>
        <w:spacing w:after="0"/>
        <w:rPr>
          <w:sz w:val="20"/>
          <w:szCs w:val="20"/>
          <w:color w:val="auto"/>
        </w:rPr>
      </w:pPr>
      <w:r>
        <w:rPr>
          <w:rFonts w:ascii="Arial" w:cs="Arial" w:eastAsia="Arial" w:hAnsi="Arial"/>
          <w:sz w:val="14"/>
          <w:szCs w:val="14"/>
          <w:color w:val="auto"/>
        </w:rPr>
        <w:t>The Corporate Governance and Nominating Committee believes that nominees should possess the highest personal and professional ethics, reputation, integrity and values and be committed to representing the long-term interests of our shareholders. Directors should have a record of accomplishment in their chosen professional field and demonstrate sound business judgment. Directors must be willing and able to devote sufficient time to carrying out their duties and responsibilities effectively, including attendance at and participation in Board and Committee meetings (which are held in Switzerland), and should be committed to serve on the Board for an extended period of time. The Corporate Governance and Nominating Committee will consider independence, diversity of viewpoints, backgrounds and experience, including a consideration of gender, ethnicity, race, country of citizenship and age in determining whether a candidate will be an appropriate fit with, and an asset to, the Board of Directors. When considering existing directors, the Corporate Governance and Nominating Committee evaluates their history of attendance at Board and Committee meetings as well as contributions and effectiveness at such meetings.</w:t>
      </w:r>
    </w:p>
    <w:p>
      <w:pPr>
        <w:spacing w:after="0" w:line="167" w:lineRule="exact"/>
        <w:rPr>
          <w:sz w:val="20"/>
          <w:szCs w:val="20"/>
          <w:color w:val="auto"/>
        </w:rPr>
      </w:pPr>
    </w:p>
    <w:p>
      <w:pPr>
        <w:ind w:left="260" w:right="180"/>
        <w:spacing w:after="0" w:line="246" w:lineRule="auto"/>
        <w:rPr>
          <w:sz w:val="20"/>
          <w:szCs w:val="20"/>
          <w:color w:val="auto"/>
        </w:rPr>
      </w:pPr>
      <w:r>
        <w:rPr>
          <w:rFonts w:ascii="Arial" w:cs="Arial" w:eastAsia="Arial" w:hAnsi="Arial"/>
          <w:sz w:val="14"/>
          <w:szCs w:val="14"/>
          <w:color w:val="auto"/>
        </w:rPr>
        <w:t>Rule 14a-8 under the Exchange Act addresses when a shareholder may submit a proposal for inclusion of a nominee for director in our proxy materials. Shareholders who do not comply with Rule 14a-8, but who wish to have a nominee considered by our shareholders at the Annual General Meeting, must comply with the deadlines and procedures set forth in our Articles. Please see “Proposals by Shareholders” in this Proxy Statement on page 49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97790</wp:posOffset>
            </wp:positionV>
            <wp:extent cx="6917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38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2018 Proxy Statement</w:t>
      </w:r>
      <w:r>
        <w:rPr>
          <w:sz w:val="20"/>
          <w:szCs w:val="20"/>
          <w:color w:val="auto"/>
        </w:rPr>
        <w:tab/>
      </w:r>
      <w:r>
        <w:rPr>
          <w:rFonts w:ascii="Arial" w:cs="Arial" w:eastAsia="Arial" w:hAnsi="Arial"/>
          <w:sz w:val="14"/>
          <w:szCs w:val="14"/>
          <w:b w:val="1"/>
          <w:bCs w:val="1"/>
          <w:color w:val="666666"/>
        </w:rPr>
        <w:t>13</w:t>
      </w:r>
    </w:p>
    <w:p>
      <w:pPr>
        <w:sectPr>
          <w:pgSz w:w="11900" w:h="16838" w:orient="portrait"/>
          <w:cols w:equalWidth="0" w:num="1">
            <w:col w:w="11160"/>
          </w:cols>
          <w:pgMar w:left="240" w:top="455"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666666"/>
        </w:rPr>
        <w:t>AGENDA ITEM 1</w:t>
      </w:r>
    </w:p>
    <w:p>
      <w:pPr>
        <w:spacing w:after="0" w:line="200" w:lineRule="exact"/>
        <w:rPr>
          <w:sz w:val="20"/>
          <w:szCs w:val="20"/>
          <w:color w:val="auto"/>
        </w:rPr>
      </w:pPr>
    </w:p>
    <w:p>
      <w:pPr>
        <w:spacing w:after="0" w:line="333"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120"/>
        <w:spacing w:after="0" w:line="246" w:lineRule="auto"/>
        <w:rPr>
          <w:sz w:val="20"/>
          <w:szCs w:val="20"/>
          <w:color w:val="auto"/>
        </w:rPr>
      </w:pPr>
      <w:r>
        <w:rPr>
          <w:rFonts w:ascii="Arial" w:cs="Arial" w:eastAsia="Arial" w:hAnsi="Arial"/>
          <w:sz w:val="14"/>
          <w:szCs w:val="14"/>
          <w:color w:val="auto"/>
        </w:rPr>
        <w:t>We engage in regular and ongoing dialogue with our shareholders to gain valuable insights into the issues about which they care most. Our engagement with investors included representatives from Weatherford’s management and several of these conversations also included members of the Board. Shareholder feedback has been shared with us and we take these comments under advisement.</w:t>
      </w:r>
    </w:p>
    <w:p>
      <w:pPr>
        <w:spacing w:after="0" w:line="159" w:lineRule="exact"/>
        <w:rPr>
          <w:sz w:val="20"/>
          <w:szCs w:val="20"/>
          <w:color w:val="auto"/>
        </w:rPr>
      </w:pPr>
    </w:p>
    <w:p>
      <w:pPr>
        <w:ind w:left="260"/>
        <w:spacing w:after="0" w:line="241" w:lineRule="auto"/>
        <w:rPr>
          <w:sz w:val="20"/>
          <w:szCs w:val="20"/>
          <w:color w:val="auto"/>
        </w:rPr>
      </w:pPr>
      <w:r>
        <w:rPr>
          <w:rFonts w:ascii="Arial" w:cs="Arial" w:eastAsia="Arial" w:hAnsi="Arial"/>
          <w:sz w:val="14"/>
          <w:szCs w:val="14"/>
          <w:color w:val="auto"/>
        </w:rPr>
        <w:t xml:space="preserve">Since 2014, we have consistently enhanced our compensation and governance programs, as well as disclosure enhancements throughout our proxy statements. In addition, we consider the results of the advisory vote on executive compensation at our annual general meeting. At our 2017 meeting, all of our directors were re-elected and 90% of votes cast were in support of our executive compensation program. We continue to engage with our shareholders regarding executive compensation and other matters. To go beyond reporting requirements, in recent years, we have created a dedicated Annual General Meeting website and a dedicated section of the website that provides an opportunity for shareholders and other interested parties to provide feedback on our disclosures and ask questions to be considered by the Board. Please visit and/or provide feedback at this website at </w:t>
      </w:r>
      <w:r>
        <w:rPr>
          <w:rFonts w:ascii="Arial" w:cs="Arial" w:eastAsia="Arial" w:hAnsi="Arial"/>
          <w:sz w:val="14"/>
          <w:szCs w:val="14"/>
          <w:i w:val="1"/>
          <w:iCs w:val="1"/>
          <w:color w:val="auto"/>
        </w:rPr>
        <w:t>www.weatherfordannualreport.com</w:t>
      </w:r>
      <w:r>
        <w:rPr>
          <w:rFonts w:ascii="Arial" w:cs="Arial" w:eastAsia="Arial" w:hAnsi="Arial"/>
          <w:sz w:val="14"/>
          <w:szCs w:val="14"/>
          <w:color w:val="auto"/>
        </w:rPr>
        <w:t>.</w:t>
      </w:r>
    </w:p>
    <w:p>
      <w:pPr>
        <w:spacing w:after="0" w:line="360"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COMMUNICATION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20"/>
        <w:spacing w:after="0" w:line="246" w:lineRule="auto"/>
        <w:rPr>
          <w:sz w:val="20"/>
          <w:szCs w:val="20"/>
          <w:color w:val="auto"/>
        </w:rPr>
      </w:pPr>
      <w:r>
        <w:rPr>
          <w:rFonts w:ascii="Arial" w:cs="Arial" w:eastAsia="Arial" w:hAnsi="Arial"/>
          <w:sz w:val="14"/>
          <w:szCs w:val="14"/>
          <w:color w:val="auto"/>
        </w:rPr>
        <w:t>Any shareholder or other interested party that desires to communicate with the Board of Directors or any of its specific members, including the Chairman or the directors as a group, should send their communication to the Corporate Secretary, Weatherford International plc, Weststrasse 1, 6340 Baar, Switzerland. All such communications will be forwarded, as appropriate, to the members of the Board.</w:t>
      </w:r>
    </w:p>
    <w:p>
      <w:pPr>
        <w:spacing w:after="0" w:line="122" w:lineRule="exact"/>
        <w:rPr>
          <w:sz w:val="20"/>
          <w:szCs w:val="20"/>
          <w:color w:val="auto"/>
        </w:rPr>
      </w:pPr>
    </w:p>
    <w:p>
      <w:pPr>
        <w:ind w:left="260" w:right="60"/>
        <w:spacing w:after="0" w:line="259" w:lineRule="auto"/>
        <w:rPr>
          <w:sz w:val="20"/>
          <w:szCs w:val="20"/>
          <w:color w:val="auto"/>
        </w:rPr>
      </w:pPr>
      <w:r>
        <w:rPr>
          <w:rFonts w:ascii="Arial" w:cs="Arial" w:eastAsia="Arial" w:hAnsi="Arial"/>
          <w:sz w:val="21"/>
          <w:szCs w:val="21"/>
          <w:b w:val="1"/>
          <w:bCs w:val="1"/>
          <w:color w:val="C3002F"/>
        </w:rPr>
        <w:t>We welcome input from our institutional and individual shareholders, regardless of the number of shares owned. Shareholders may also direct their comments to our U.S. Investor Relations Department at 2000 St. James Place, Houston, Texas 77056 or telephone +1 (713) 836-4000.</w:t>
      </w:r>
    </w:p>
    <w:p>
      <w:pPr>
        <w:spacing w:after="0" w:line="345"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-304800</wp:posOffset>
            </wp:positionV>
            <wp:extent cx="822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jc w:val="both"/>
        <w:ind w:left="260" w:right="40"/>
        <w:spacing w:after="0" w:line="243" w:lineRule="auto"/>
        <w:rPr>
          <w:sz w:val="20"/>
          <w:szCs w:val="20"/>
          <w:color w:val="auto"/>
        </w:rPr>
      </w:pPr>
      <w:r>
        <w:rPr>
          <w:rFonts w:ascii="Arial" w:cs="Arial" w:eastAsia="Arial" w:hAnsi="Arial"/>
          <w:sz w:val="14"/>
          <w:szCs w:val="14"/>
          <w:color w:val="auto"/>
        </w:rPr>
        <w:t>We use a combination of cash and share-based incentive compensation to attract and retain qualified candidates to serve on the Board. In setting director compensation, we consider the significant amount of time that directors expend in fulfilling their duties to the Company, including the number and location (Switzerland) of meetings, as well as the level of knowledge and experience that we require of and expect from each member of our Board. Our Corporate Governance and Nominating Committee is responsible for reviewing and structuring our compensation policy regarding fees and compensation paid and granted to our directors.</w:t>
      </w:r>
    </w:p>
    <w:p>
      <w:pPr>
        <w:spacing w:after="0" w:line="176" w:lineRule="exact"/>
        <w:rPr>
          <w:sz w:val="20"/>
          <w:szCs w:val="20"/>
          <w:color w:val="auto"/>
        </w:rPr>
      </w:pPr>
    </w:p>
    <w:p>
      <w:pPr>
        <w:ind w:left="260" w:right="20"/>
        <w:spacing w:after="0" w:line="242" w:lineRule="auto"/>
        <w:rPr>
          <w:sz w:val="20"/>
          <w:szCs w:val="20"/>
          <w:color w:val="auto"/>
        </w:rPr>
      </w:pPr>
      <w:r>
        <w:rPr>
          <w:rFonts w:ascii="Arial" w:cs="Arial" w:eastAsia="Arial" w:hAnsi="Arial"/>
          <w:sz w:val="14"/>
          <w:szCs w:val="14"/>
          <w:color w:val="auto"/>
        </w:rPr>
        <w:t>In March of 2017, the Corporate Governance and Nominating Committee undertook a comprehensive evaluation of director fees. They considered the most recent peer group information, market practice and information provided by Meridian Compensation Partners (“Meridian”), our compensation consultant, as well as the pros, cons and economics of meeting fees (previously used) versus flat fees. They also considered the recent move to an independent Chairman of the Board. Ultimately desiring to simplify compensation, the Corporate Governance and Nominating Committee approved a flat fee of $135,000 per year, paid quarterly, with additional retainers as set forth below. The Corporate Governance and Nominating Committee also eliminated additional fees for Audit Committee members.</w:t>
      </w:r>
    </w:p>
    <w:p>
      <w:pPr>
        <w:spacing w:after="0" w:line="224"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7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Type of Fee</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 Amount</w:t>
            </w:r>
          </w:p>
        </w:tc>
      </w:tr>
      <w:tr>
        <w:trPr>
          <w:trHeight w:val="154"/>
        </w:trPr>
        <w:tc>
          <w:tcPr>
            <w:tcW w:w="786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Additional Annual Retainer – Audit Committee Chairman</w:t>
            </w:r>
          </w:p>
        </w:tc>
        <w:tc>
          <w:tcPr>
            <w:tcW w:w="304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$22,500</w:t>
            </w:r>
          </w:p>
        </w:tc>
      </w:tr>
      <w:tr>
        <w:trPr>
          <w:trHeight w:val="154"/>
        </w:trPr>
        <w:tc>
          <w:tcPr>
            <w:tcW w:w="786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Additional Annual Retainer – Compensation Committee Chairman</w:t>
            </w:r>
          </w:p>
        </w:tc>
        <w:tc>
          <w:tcPr>
            <w:tcW w:w="304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$17,500</w:t>
            </w:r>
          </w:p>
        </w:tc>
      </w:tr>
      <w:tr>
        <w:trPr>
          <w:trHeight w:val="154"/>
        </w:trPr>
        <w:tc>
          <w:tcPr>
            <w:tcW w:w="786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Additional Annual Retainer – Corporate Governance and Nominating Committee Chairman</w:t>
            </w:r>
          </w:p>
        </w:tc>
        <w:tc>
          <w:tcPr>
            <w:tcW w:w="304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$15,000</w:t>
            </w:r>
          </w:p>
        </w:tc>
      </w:tr>
      <w:tr>
        <w:trPr>
          <w:trHeight w:val="154"/>
        </w:trPr>
        <w:tc>
          <w:tcPr>
            <w:tcW w:w="786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Additional Annual Retainer – Health, Safety and Environment Committee Chairman</w:t>
            </w:r>
          </w:p>
        </w:tc>
        <w:tc>
          <w:tcPr>
            <w:tcW w:w="304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$15,000</w:t>
            </w:r>
          </w:p>
        </w:tc>
      </w:tr>
      <w:tr>
        <w:trPr>
          <w:trHeight w:val="154"/>
        </w:trPr>
        <w:tc>
          <w:tcPr>
            <w:tcW w:w="786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Additional Annual Retainer – Chairman (split between cash and restricted share units)</w:t>
            </w:r>
          </w:p>
        </w:tc>
        <w:tc>
          <w:tcPr>
            <w:tcW w:w="304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$200,000</w:t>
            </w:r>
          </w:p>
        </w:tc>
      </w:tr>
      <w:tr>
        <w:trPr>
          <w:trHeight w:val="154"/>
        </w:trPr>
        <w:tc>
          <w:tcPr>
            <w:tcW w:w="786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Board or Committee Meeting Attendance (per meeting)</w:t>
            </w:r>
          </w:p>
        </w:tc>
        <w:tc>
          <w:tcPr>
            <w:tcW w:w="30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$0</w:t>
            </w:r>
          </w:p>
        </w:tc>
      </w:tr>
    </w:tbl>
    <w:p>
      <w:pPr>
        <w:spacing w:after="0" w:line="178" w:lineRule="exact"/>
        <w:rPr>
          <w:sz w:val="20"/>
          <w:szCs w:val="20"/>
          <w:color w:val="auto"/>
        </w:rPr>
      </w:pPr>
    </w:p>
    <w:p>
      <w:pPr>
        <w:ind w:left="260" w:right="180"/>
        <w:spacing w:after="0" w:line="253" w:lineRule="auto"/>
        <w:rPr>
          <w:sz w:val="20"/>
          <w:szCs w:val="20"/>
          <w:color w:val="auto"/>
        </w:rPr>
      </w:pPr>
      <w:r>
        <w:rPr>
          <w:rFonts w:ascii="Arial" w:cs="Arial" w:eastAsia="Arial" w:hAnsi="Arial"/>
          <w:sz w:val="14"/>
          <w:szCs w:val="14"/>
          <w:color w:val="auto"/>
        </w:rPr>
        <w:t>No board meeting attendance fees will be paid other than for special, non-regularly scheduled, meetings where a director is required to travel to Zug, Switzerland, in which case he or she will be paid $5,000.</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Annual retainers are paid quarterly in advance. Meeting fees are paid after each meeting. We do not compensate Mr. McCollum, our CEO, for his service on the Board.</w:t>
      </w:r>
    </w:p>
    <w:p>
      <w:pPr>
        <w:spacing w:after="0" w:line="186" w:lineRule="exact"/>
        <w:rPr>
          <w:sz w:val="20"/>
          <w:szCs w:val="20"/>
          <w:color w:val="auto"/>
        </w:rPr>
      </w:pPr>
    </w:p>
    <w:p>
      <w:pPr>
        <w:ind w:left="260" w:right="40"/>
        <w:spacing w:after="0" w:line="242" w:lineRule="auto"/>
        <w:rPr>
          <w:sz w:val="20"/>
          <w:szCs w:val="20"/>
          <w:color w:val="auto"/>
        </w:rPr>
      </w:pPr>
      <w:r>
        <w:rPr>
          <w:rFonts w:ascii="Arial" w:cs="Arial" w:eastAsia="Arial" w:hAnsi="Arial"/>
          <w:sz w:val="14"/>
          <w:szCs w:val="14"/>
          <w:color w:val="auto"/>
        </w:rPr>
        <w:t>In addition to the fees described above, on September 21, 2017, we granted to each of the non-employee directors 44,685 restricted share units pursuant to our 2010 Omnibus Incentive Plan. All of these awards vest on the first anniversary of the grant, subject to earlier vesting in the event of the death or disability of the director or a change of control of the Company. Our Chairman was also awarded 24,155 restricted share units as one-half of his additional annual retainer. The Corporate Governance and Nominating Committee believes that providing a significant portion of overall Board compensation in the form of restricted share units aligns the interests of our directors with those of our shareholders.</w:t>
      </w:r>
    </w:p>
    <w:p>
      <w:pPr>
        <w:spacing w:after="0" w:line="163" w:lineRule="exact"/>
        <w:rPr>
          <w:sz w:val="20"/>
          <w:szCs w:val="20"/>
          <w:color w:val="auto"/>
        </w:rPr>
      </w:pPr>
    </w:p>
    <w:p>
      <w:pPr>
        <w:ind w:left="260" w:right="100"/>
        <w:spacing w:after="0" w:line="243" w:lineRule="auto"/>
        <w:rPr>
          <w:sz w:val="20"/>
          <w:szCs w:val="20"/>
          <w:color w:val="auto"/>
        </w:rPr>
      </w:pPr>
      <w:r>
        <w:rPr>
          <w:rFonts w:ascii="Arial" w:cs="Arial" w:eastAsia="Arial" w:hAnsi="Arial"/>
          <w:sz w:val="14"/>
          <w:szCs w:val="14"/>
          <w:color w:val="auto"/>
        </w:rPr>
        <w:t>Meridian has been retained by the Compensation Committee and the Corporate Governance and Nominating Committee as an independent compensation consultant to advise on compensation matters. Meridian provides the Corporate Governance and Nominating Committee with comparative market data regarding board compensation practices and programs; analyses of publicly available information on our peer group (see “Peer Group” in the CD&amp;A section in this Proxy Statement); information regarding industry practices; as well as vesting and valuation information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91440</wp:posOffset>
            </wp:positionV>
            <wp:extent cx="69176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ectPr>
          <w:pgSz w:w="11900" w:h="16838" w:orient="portrait"/>
          <w:cols w:equalWidth="0" w:num="1">
            <w:col w:w="11160"/>
          </w:cols>
          <w:pgMar w:left="240" w:top="455" w:right="49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620" w:hanging="353"/>
        <w:spacing w:after="0"/>
        <w:tabs>
          <w:tab w:leader="none" w:pos="620" w:val="left"/>
        </w:tabs>
        <w:numPr>
          <w:ilvl w:val="0"/>
          <w:numId w:val="47"/>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2018 Proxy Statement</w:t>
      </w:r>
    </w:p>
    <w:p>
      <w:pPr>
        <w:sectPr>
          <w:pgSz w:w="11900" w:h="16838" w:orient="portrait"/>
          <w:cols w:equalWidth="0" w:num="1">
            <w:col w:w="11160"/>
          </w:cols>
          <w:pgMar w:left="240" w:top="455" w:right="49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0040"/>
        <w:spacing w:after="0"/>
        <w:rPr>
          <w:sz w:val="20"/>
          <w:szCs w:val="20"/>
          <w:color w:val="auto"/>
        </w:rPr>
      </w:pPr>
      <w:r>
        <w:rPr>
          <w:rFonts w:ascii="Arial" w:cs="Arial" w:eastAsia="Arial" w:hAnsi="Arial"/>
          <w:sz w:val="14"/>
          <w:szCs w:val="14"/>
          <w:b w:val="1"/>
          <w:bCs w:val="1"/>
          <w:color w:val="666666"/>
        </w:rPr>
        <w:t>AGENDA ITEM 1</w:t>
      </w:r>
    </w:p>
    <w:p>
      <w:pPr>
        <w:spacing w:after="0" w:line="200" w:lineRule="exact"/>
        <w:rPr>
          <w:sz w:val="20"/>
          <w:szCs w:val="20"/>
          <w:color w:val="auto"/>
        </w:rPr>
      </w:pPr>
    </w:p>
    <w:p>
      <w:pPr>
        <w:spacing w:after="0" w:line="333"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auto"/>
        </w:rPr>
        <w:t>2017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160"/>
        <w:spacing w:after="0" w:line="253" w:lineRule="auto"/>
        <w:rPr>
          <w:sz w:val="20"/>
          <w:szCs w:val="20"/>
          <w:color w:val="auto"/>
        </w:rPr>
      </w:pPr>
      <w:r>
        <w:rPr>
          <w:rFonts w:ascii="Arial" w:cs="Arial" w:eastAsia="Arial" w:hAnsi="Arial"/>
          <w:sz w:val="14"/>
          <w:szCs w:val="14"/>
          <w:color w:val="auto"/>
        </w:rPr>
        <w:t>The following table sets forth the compensation paid to each of our independent directors for the year ended December 31, 2017. Information about Mr. Mark A. McCollum, our President and Chief Executive Officer, is listed in the 2017 Summary Compensation Table in this Proxy Statement.</w:t>
      </w:r>
    </w:p>
    <w:p>
      <w:pPr>
        <w:spacing w:after="0" w:line="194"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jc w:val="right"/>
              <w:ind w:right="229"/>
              <w:spacing w:after="0"/>
              <w:rPr>
                <w:sz w:val="20"/>
                <w:szCs w:val="20"/>
                <w:color w:val="auto"/>
              </w:rPr>
            </w:pPr>
            <w:r>
              <w:rPr>
                <w:rFonts w:ascii="Arial" w:cs="Arial" w:eastAsia="Arial" w:hAnsi="Arial"/>
                <w:sz w:val="14"/>
                <w:szCs w:val="14"/>
                <w:color w:val="auto"/>
              </w:rPr>
              <w:t>All Other</w:t>
            </w:r>
          </w:p>
        </w:tc>
        <w:tc>
          <w:tcPr>
            <w:tcW w:w="840" w:type="dxa"/>
            <w:vAlign w:val="bottom"/>
          </w:tcPr>
          <w:p>
            <w:pPr>
              <w:spacing w:after="0"/>
              <w:rPr>
                <w:sz w:val="14"/>
                <w:szCs w:val="14"/>
                <w:color w:val="auto"/>
              </w:rPr>
            </w:pPr>
          </w:p>
        </w:tc>
      </w:tr>
      <w:tr>
        <w:trPr>
          <w:trHeight w:val="160"/>
        </w:trPr>
        <w:tc>
          <w:tcPr>
            <w:tcW w:w="3700" w:type="dxa"/>
            <w:vAlign w:val="bottom"/>
          </w:tcPr>
          <w:p>
            <w:pPr>
              <w:spacing w:after="0"/>
              <w:rPr>
                <w:sz w:val="13"/>
                <w:szCs w:val="13"/>
                <w:color w:val="auto"/>
              </w:rPr>
            </w:pPr>
          </w:p>
        </w:tc>
        <w:tc>
          <w:tcPr>
            <w:tcW w:w="3460" w:type="dxa"/>
            <w:vAlign w:val="bottom"/>
          </w:tcPr>
          <w:p>
            <w:pPr>
              <w:jc w:val="right"/>
              <w:ind w:right="209"/>
              <w:spacing w:after="0"/>
              <w:rPr>
                <w:sz w:val="20"/>
                <w:szCs w:val="20"/>
                <w:color w:val="auto"/>
              </w:rPr>
            </w:pPr>
            <w:r>
              <w:rPr>
                <w:rFonts w:ascii="Arial" w:cs="Arial" w:eastAsia="Arial" w:hAnsi="Arial"/>
                <w:sz w:val="14"/>
                <w:szCs w:val="14"/>
                <w:color w:val="auto"/>
              </w:rPr>
              <w:t>Fees Earned or Paid in Cash</w:t>
            </w:r>
          </w:p>
        </w:tc>
        <w:tc>
          <w:tcPr>
            <w:tcW w:w="1420" w:type="dxa"/>
            <w:vAlign w:val="bottom"/>
          </w:tcPr>
          <w:p>
            <w:pPr>
              <w:jc w:val="right"/>
              <w:ind w:right="189"/>
              <w:spacing w:after="0"/>
              <w:rPr>
                <w:sz w:val="20"/>
                <w:szCs w:val="20"/>
                <w:color w:val="auto"/>
              </w:rPr>
            </w:pPr>
            <w:r>
              <w:rPr>
                <w:rFonts w:ascii="Arial" w:cs="Arial" w:eastAsia="Arial" w:hAnsi="Arial"/>
                <w:sz w:val="14"/>
                <w:szCs w:val="14"/>
                <w:color w:val="auto"/>
              </w:rPr>
              <w:t>Share Awards</w:t>
            </w:r>
          </w:p>
        </w:tc>
        <w:tc>
          <w:tcPr>
            <w:tcW w:w="1480" w:type="dxa"/>
            <w:vAlign w:val="bottom"/>
          </w:tcPr>
          <w:p>
            <w:pPr>
              <w:jc w:val="right"/>
              <w:ind w:right="229"/>
              <w:spacing w:after="0"/>
              <w:rPr>
                <w:sz w:val="20"/>
                <w:szCs w:val="20"/>
                <w:color w:val="auto"/>
              </w:rPr>
            </w:pPr>
            <w:r>
              <w:rPr>
                <w:rFonts w:ascii="Arial" w:cs="Arial" w:eastAsia="Arial" w:hAnsi="Arial"/>
                <w:sz w:val="14"/>
                <w:szCs w:val="14"/>
                <w:color w:val="auto"/>
              </w:rPr>
              <w:t>Compensation</w:t>
            </w:r>
          </w:p>
        </w:tc>
        <w:tc>
          <w:tcPr>
            <w:tcW w:w="840" w:type="dxa"/>
            <w:vAlign w:val="bottom"/>
          </w:tcPr>
          <w:p>
            <w:pPr>
              <w:jc w:val="right"/>
              <w:spacing w:after="0"/>
              <w:rPr>
                <w:sz w:val="20"/>
                <w:szCs w:val="20"/>
                <w:color w:val="auto"/>
              </w:rPr>
            </w:pPr>
            <w:r>
              <w:rPr>
                <w:rFonts w:ascii="Arial" w:cs="Arial" w:eastAsia="Arial" w:hAnsi="Arial"/>
                <w:sz w:val="14"/>
                <w:szCs w:val="14"/>
                <w:color w:val="auto"/>
              </w:rPr>
              <w:t>Total</w:t>
            </w:r>
          </w:p>
        </w:tc>
      </w:tr>
      <w:tr>
        <w:trPr>
          <w:trHeight w:val="169"/>
        </w:trPr>
        <w:tc>
          <w:tcPr>
            <w:tcW w:w="3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34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($)(1)(2)</w:t>
            </w:r>
          </w:p>
        </w:tc>
        <w:tc>
          <w:tcPr>
            <w:tcW w:w="14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($)(3)(4)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54"/>
        </w:trPr>
        <w:tc>
          <w:tcPr>
            <w:tcW w:w="370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Mohamed A. Awad</w:t>
            </w:r>
          </w:p>
        </w:tc>
        <w:tc>
          <w:tcPr>
            <w:tcW w:w="3460" w:type="dxa"/>
            <w:vAlign w:val="bottom"/>
            <w:tcBorders>
              <w:bottom w:val="single" w:sz="8" w:color="666666"/>
            </w:tcBorders>
          </w:tcPr>
          <w:p>
            <w:pPr>
              <w:jc w:val="right"/>
              <w:ind w:right="209"/>
              <w:spacing w:after="0" w:line="153" w:lineRule="exact"/>
              <w:rPr>
                <w:sz w:val="20"/>
                <w:szCs w:val="20"/>
                <w:color w:val="auto"/>
              </w:rPr>
            </w:pPr>
            <w:r>
              <w:rPr>
                <w:rFonts w:ascii="Arial" w:cs="Arial" w:eastAsia="Arial" w:hAnsi="Arial"/>
                <w:sz w:val="14"/>
                <w:szCs w:val="14"/>
                <w:color w:val="auto"/>
              </w:rPr>
              <w:t>126,500</w:t>
            </w:r>
          </w:p>
        </w:tc>
        <w:tc>
          <w:tcPr>
            <w:tcW w:w="1420" w:type="dxa"/>
            <w:vAlign w:val="bottom"/>
            <w:tcBorders>
              <w:bottom w:val="single" w:sz="8" w:color="666666"/>
            </w:tcBorders>
          </w:tcPr>
          <w:p>
            <w:pPr>
              <w:jc w:val="right"/>
              <w:ind w:right="189"/>
              <w:spacing w:after="0" w:line="153" w:lineRule="exact"/>
              <w:rPr>
                <w:sz w:val="20"/>
                <w:szCs w:val="20"/>
                <w:color w:val="auto"/>
              </w:rPr>
            </w:pPr>
            <w:r>
              <w:rPr>
                <w:rFonts w:ascii="Arial" w:cs="Arial" w:eastAsia="Arial" w:hAnsi="Arial"/>
                <w:sz w:val="14"/>
                <w:szCs w:val="14"/>
                <w:color w:val="auto"/>
              </w:rPr>
              <w:t>184,996</w:t>
            </w:r>
          </w:p>
        </w:tc>
        <w:tc>
          <w:tcPr>
            <w:tcW w:w="1480" w:type="dxa"/>
            <w:vAlign w:val="bottom"/>
            <w:tcBorders>
              <w:bottom w:val="single" w:sz="8" w:color="666666"/>
            </w:tcBorders>
          </w:tcPr>
          <w:p>
            <w:pPr>
              <w:jc w:val="right"/>
              <w:ind w:right="229"/>
              <w:spacing w:after="0" w:line="153" w:lineRule="exact"/>
              <w:rPr>
                <w:sz w:val="20"/>
                <w:szCs w:val="20"/>
                <w:color w:val="auto"/>
              </w:rPr>
            </w:pPr>
            <w:r>
              <w:rPr>
                <w:rFonts w:ascii="Arial" w:cs="Arial" w:eastAsia="Arial" w:hAnsi="Arial"/>
                <w:sz w:val="14"/>
                <w:szCs w:val="14"/>
                <w:color w:val="auto"/>
              </w:rPr>
              <w:t>50,829</w:t>
            </w:r>
          </w:p>
        </w:tc>
        <w:tc>
          <w:tcPr>
            <w:tcW w:w="84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362,325</w:t>
            </w:r>
          </w:p>
        </w:tc>
      </w:tr>
      <w:tr>
        <w:trPr>
          <w:trHeight w:val="154"/>
        </w:trPr>
        <w:tc>
          <w:tcPr>
            <w:tcW w:w="370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David J. Butters (Retiring)</w:t>
            </w:r>
          </w:p>
        </w:tc>
        <w:tc>
          <w:tcPr>
            <w:tcW w:w="3460" w:type="dxa"/>
            <w:vAlign w:val="bottom"/>
            <w:tcBorders>
              <w:bottom w:val="single" w:sz="8" w:color="666666"/>
            </w:tcBorders>
          </w:tcPr>
          <w:p>
            <w:pPr>
              <w:jc w:val="right"/>
              <w:ind w:right="209"/>
              <w:spacing w:after="0" w:line="153" w:lineRule="exact"/>
              <w:rPr>
                <w:sz w:val="20"/>
                <w:szCs w:val="20"/>
                <w:color w:val="auto"/>
              </w:rPr>
            </w:pPr>
            <w:r>
              <w:rPr>
                <w:rFonts w:ascii="Arial" w:cs="Arial" w:eastAsia="Arial" w:hAnsi="Arial"/>
                <w:sz w:val="14"/>
                <w:szCs w:val="14"/>
                <w:color w:val="auto"/>
              </w:rPr>
              <w:t>162,000</w:t>
            </w:r>
          </w:p>
        </w:tc>
        <w:tc>
          <w:tcPr>
            <w:tcW w:w="1420" w:type="dxa"/>
            <w:vAlign w:val="bottom"/>
            <w:tcBorders>
              <w:bottom w:val="single" w:sz="8" w:color="666666"/>
            </w:tcBorders>
          </w:tcPr>
          <w:p>
            <w:pPr>
              <w:jc w:val="right"/>
              <w:ind w:right="189"/>
              <w:spacing w:after="0" w:line="153" w:lineRule="exact"/>
              <w:rPr>
                <w:sz w:val="20"/>
                <w:szCs w:val="20"/>
                <w:color w:val="auto"/>
              </w:rPr>
            </w:pPr>
            <w:r>
              <w:rPr>
                <w:rFonts w:ascii="Arial" w:cs="Arial" w:eastAsia="Arial" w:hAnsi="Arial"/>
                <w:sz w:val="14"/>
                <w:szCs w:val="14"/>
                <w:color w:val="auto"/>
              </w:rPr>
              <w:t>184,996</w:t>
            </w:r>
          </w:p>
        </w:tc>
        <w:tc>
          <w:tcPr>
            <w:tcW w:w="1480" w:type="dxa"/>
            <w:vAlign w:val="bottom"/>
            <w:tcBorders>
              <w:bottom w:val="single" w:sz="8" w:color="666666"/>
            </w:tcBorders>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346,996</w:t>
            </w:r>
          </w:p>
        </w:tc>
      </w:tr>
      <w:tr>
        <w:trPr>
          <w:trHeight w:val="154"/>
        </w:trPr>
        <w:tc>
          <w:tcPr>
            <w:tcW w:w="370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Roxanne J. Decyk</w:t>
            </w:r>
          </w:p>
        </w:tc>
        <w:tc>
          <w:tcPr>
            <w:tcW w:w="3460" w:type="dxa"/>
            <w:vAlign w:val="bottom"/>
            <w:tcBorders>
              <w:bottom w:val="single" w:sz="8" w:color="666666"/>
            </w:tcBorders>
          </w:tcPr>
          <w:p>
            <w:pPr>
              <w:jc w:val="right"/>
              <w:ind w:right="209"/>
              <w:spacing w:after="0" w:line="153" w:lineRule="exact"/>
              <w:rPr>
                <w:sz w:val="20"/>
                <w:szCs w:val="20"/>
                <w:color w:val="auto"/>
              </w:rPr>
            </w:pPr>
            <w:r>
              <w:rPr>
                <w:rFonts w:ascii="Arial" w:cs="Arial" w:eastAsia="Arial" w:hAnsi="Arial"/>
                <w:sz w:val="14"/>
                <w:szCs w:val="14"/>
                <w:color w:val="auto"/>
              </w:rPr>
              <w:t>33,750</w:t>
            </w:r>
          </w:p>
        </w:tc>
        <w:tc>
          <w:tcPr>
            <w:tcW w:w="1420" w:type="dxa"/>
            <w:vAlign w:val="bottom"/>
            <w:tcBorders>
              <w:bottom w:val="single" w:sz="8" w:color="666666"/>
            </w:tcBorders>
          </w:tcPr>
          <w:p>
            <w:pPr>
              <w:jc w:val="right"/>
              <w:ind w:right="189"/>
              <w:spacing w:after="0" w:line="153" w:lineRule="exact"/>
              <w:rPr>
                <w:sz w:val="20"/>
                <w:szCs w:val="20"/>
                <w:color w:val="auto"/>
              </w:rPr>
            </w:pPr>
            <w:r>
              <w:rPr>
                <w:rFonts w:ascii="Arial" w:cs="Arial" w:eastAsia="Arial" w:hAnsi="Arial"/>
                <w:sz w:val="14"/>
                <w:szCs w:val="14"/>
                <w:color w:val="auto"/>
              </w:rPr>
              <w:t>184,996</w:t>
            </w:r>
          </w:p>
        </w:tc>
        <w:tc>
          <w:tcPr>
            <w:tcW w:w="1480" w:type="dxa"/>
            <w:vAlign w:val="bottom"/>
            <w:tcBorders>
              <w:bottom w:val="single" w:sz="8" w:color="666666"/>
            </w:tcBorders>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218,746</w:t>
            </w:r>
          </w:p>
        </w:tc>
      </w:tr>
      <w:tr>
        <w:trPr>
          <w:trHeight w:val="154"/>
        </w:trPr>
        <w:tc>
          <w:tcPr>
            <w:tcW w:w="370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John D. Gass</w:t>
            </w:r>
          </w:p>
        </w:tc>
        <w:tc>
          <w:tcPr>
            <w:tcW w:w="3460" w:type="dxa"/>
            <w:vAlign w:val="bottom"/>
            <w:tcBorders>
              <w:bottom w:val="single" w:sz="8" w:color="666666"/>
            </w:tcBorders>
          </w:tcPr>
          <w:p>
            <w:pPr>
              <w:jc w:val="right"/>
              <w:ind w:right="209"/>
              <w:spacing w:after="0" w:line="153" w:lineRule="exact"/>
              <w:rPr>
                <w:sz w:val="20"/>
                <w:szCs w:val="20"/>
                <w:color w:val="auto"/>
              </w:rPr>
            </w:pPr>
            <w:r>
              <w:rPr>
                <w:rFonts w:ascii="Arial" w:cs="Arial" w:eastAsia="Arial" w:hAnsi="Arial"/>
                <w:sz w:val="14"/>
                <w:szCs w:val="14"/>
                <w:color w:val="auto"/>
              </w:rPr>
              <w:t>157,150</w:t>
            </w:r>
          </w:p>
        </w:tc>
        <w:tc>
          <w:tcPr>
            <w:tcW w:w="1420" w:type="dxa"/>
            <w:vAlign w:val="bottom"/>
            <w:tcBorders>
              <w:bottom w:val="single" w:sz="8" w:color="666666"/>
            </w:tcBorders>
          </w:tcPr>
          <w:p>
            <w:pPr>
              <w:jc w:val="right"/>
              <w:ind w:right="189"/>
              <w:spacing w:after="0" w:line="153" w:lineRule="exact"/>
              <w:rPr>
                <w:sz w:val="20"/>
                <w:szCs w:val="20"/>
                <w:color w:val="auto"/>
              </w:rPr>
            </w:pPr>
            <w:r>
              <w:rPr>
                <w:rFonts w:ascii="Arial" w:cs="Arial" w:eastAsia="Arial" w:hAnsi="Arial"/>
                <w:sz w:val="14"/>
                <w:szCs w:val="14"/>
                <w:color w:val="auto"/>
              </w:rPr>
              <w:t>184,996</w:t>
            </w:r>
          </w:p>
        </w:tc>
        <w:tc>
          <w:tcPr>
            <w:tcW w:w="1480" w:type="dxa"/>
            <w:vAlign w:val="bottom"/>
            <w:tcBorders>
              <w:bottom w:val="single" w:sz="8" w:color="666666"/>
            </w:tcBorders>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342.146</w:t>
            </w:r>
          </w:p>
        </w:tc>
      </w:tr>
      <w:tr>
        <w:trPr>
          <w:trHeight w:val="154"/>
        </w:trPr>
        <w:tc>
          <w:tcPr>
            <w:tcW w:w="370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Emyr Jones Parry</w:t>
            </w:r>
          </w:p>
        </w:tc>
        <w:tc>
          <w:tcPr>
            <w:tcW w:w="3460" w:type="dxa"/>
            <w:vAlign w:val="bottom"/>
            <w:tcBorders>
              <w:bottom w:val="single" w:sz="8" w:color="666666"/>
            </w:tcBorders>
          </w:tcPr>
          <w:p>
            <w:pPr>
              <w:jc w:val="right"/>
              <w:ind w:right="209"/>
              <w:spacing w:after="0" w:line="153" w:lineRule="exact"/>
              <w:rPr>
                <w:sz w:val="20"/>
                <w:szCs w:val="20"/>
                <w:color w:val="auto"/>
              </w:rPr>
            </w:pPr>
            <w:r>
              <w:rPr>
                <w:rFonts w:ascii="Arial" w:cs="Arial" w:eastAsia="Arial" w:hAnsi="Arial"/>
                <w:sz w:val="14"/>
                <w:szCs w:val="14"/>
                <w:color w:val="auto"/>
              </w:rPr>
              <w:t>155,000</w:t>
            </w:r>
          </w:p>
        </w:tc>
        <w:tc>
          <w:tcPr>
            <w:tcW w:w="1420" w:type="dxa"/>
            <w:vAlign w:val="bottom"/>
            <w:tcBorders>
              <w:bottom w:val="single" w:sz="8" w:color="666666"/>
            </w:tcBorders>
          </w:tcPr>
          <w:p>
            <w:pPr>
              <w:jc w:val="right"/>
              <w:ind w:right="189"/>
              <w:spacing w:after="0" w:line="153" w:lineRule="exact"/>
              <w:rPr>
                <w:sz w:val="20"/>
                <w:szCs w:val="20"/>
                <w:color w:val="auto"/>
              </w:rPr>
            </w:pPr>
            <w:r>
              <w:rPr>
                <w:rFonts w:ascii="Arial" w:cs="Arial" w:eastAsia="Arial" w:hAnsi="Arial"/>
                <w:sz w:val="14"/>
                <w:szCs w:val="14"/>
                <w:color w:val="auto"/>
              </w:rPr>
              <w:t>184,996</w:t>
            </w:r>
          </w:p>
        </w:tc>
        <w:tc>
          <w:tcPr>
            <w:tcW w:w="1480" w:type="dxa"/>
            <w:vAlign w:val="bottom"/>
            <w:tcBorders>
              <w:bottom w:val="single" w:sz="8" w:color="666666"/>
            </w:tcBorders>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339,996</w:t>
            </w:r>
          </w:p>
        </w:tc>
      </w:tr>
      <w:tr>
        <w:trPr>
          <w:trHeight w:val="154"/>
        </w:trPr>
        <w:tc>
          <w:tcPr>
            <w:tcW w:w="370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Francis S. Kalman</w:t>
            </w:r>
          </w:p>
        </w:tc>
        <w:tc>
          <w:tcPr>
            <w:tcW w:w="3460" w:type="dxa"/>
            <w:vAlign w:val="bottom"/>
            <w:tcBorders>
              <w:bottom w:val="single" w:sz="8" w:color="666666"/>
            </w:tcBorders>
          </w:tcPr>
          <w:p>
            <w:pPr>
              <w:jc w:val="right"/>
              <w:ind w:right="209"/>
              <w:spacing w:after="0" w:line="153" w:lineRule="exact"/>
              <w:rPr>
                <w:sz w:val="20"/>
                <w:szCs w:val="20"/>
                <w:color w:val="auto"/>
              </w:rPr>
            </w:pPr>
            <w:r>
              <w:rPr>
                <w:rFonts w:ascii="Arial" w:cs="Arial" w:eastAsia="Arial" w:hAnsi="Arial"/>
                <w:sz w:val="14"/>
                <w:szCs w:val="14"/>
                <w:color w:val="auto"/>
              </w:rPr>
              <w:t>167,000</w:t>
            </w:r>
          </w:p>
        </w:tc>
        <w:tc>
          <w:tcPr>
            <w:tcW w:w="1420" w:type="dxa"/>
            <w:vAlign w:val="bottom"/>
            <w:tcBorders>
              <w:bottom w:val="single" w:sz="8" w:color="666666"/>
            </w:tcBorders>
          </w:tcPr>
          <w:p>
            <w:pPr>
              <w:jc w:val="right"/>
              <w:ind w:right="189"/>
              <w:spacing w:after="0" w:line="153" w:lineRule="exact"/>
              <w:rPr>
                <w:sz w:val="20"/>
                <w:szCs w:val="20"/>
                <w:color w:val="auto"/>
              </w:rPr>
            </w:pPr>
            <w:r>
              <w:rPr>
                <w:rFonts w:ascii="Arial" w:cs="Arial" w:eastAsia="Arial" w:hAnsi="Arial"/>
                <w:sz w:val="14"/>
                <w:szCs w:val="14"/>
                <w:color w:val="auto"/>
              </w:rPr>
              <w:t>184,996</w:t>
            </w:r>
          </w:p>
        </w:tc>
        <w:tc>
          <w:tcPr>
            <w:tcW w:w="1480" w:type="dxa"/>
            <w:vAlign w:val="bottom"/>
            <w:tcBorders>
              <w:bottom w:val="single" w:sz="8" w:color="666666"/>
            </w:tcBorders>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351,996</w:t>
            </w:r>
          </w:p>
        </w:tc>
      </w:tr>
      <w:tr>
        <w:trPr>
          <w:trHeight w:val="154"/>
        </w:trPr>
        <w:tc>
          <w:tcPr>
            <w:tcW w:w="370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David S. King</w:t>
            </w:r>
          </w:p>
        </w:tc>
        <w:tc>
          <w:tcPr>
            <w:tcW w:w="3460" w:type="dxa"/>
            <w:vAlign w:val="bottom"/>
            <w:tcBorders>
              <w:bottom w:val="single" w:sz="8" w:color="666666"/>
            </w:tcBorders>
          </w:tcPr>
          <w:p>
            <w:pPr>
              <w:jc w:val="right"/>
              <w:ind w:right="209"/>
              <w:spacing w:after="0" w:line="153" w:lineRule="exact"/>
              <w:rPr>
                <w:sz w:val="20"/>
                <w:szCs w:val="20"/>
                <w:color w:val="auto"/>
              </w:rPr>
            </w:pPr>
            <w:r>
              <w:rPr>
                <w:rFonts w:ascii="Arial" w:cs="Arial" w:eastAsia="Arial" w:hAnsi="Arial"/>
                <w:sz w:val="14"/>
                <w:szCs w:val="14"/>
                <w:color w:val="auto"/>
              </w:rPr>
              <w:t>33,750</w:t>
            </w:r>
          </w:p>
        </w:tc>
        <w:tc>
          <w:tcPr>
            <w:tcW w:w="1420" w:type="dxa"/>
            <w:vAlign w:val="bottom"/>
            <w:tcBorders>
              <w:bottom w:val="single" w:sz="8" w:color="666666"/>
            </w:tcBorders>
          </w:tcPr>
          <w:p>
            <w:pPr>
              <w:jc w:val="right"/>
              <w:ind w:right="189"/>
              <w:spacing w:after="0" w:line="153" w:lineRule="exact"/>
              <w:rPr>
                <w:sz w:val="20"/>
                <w:szCs w:val="20"/>
                <w:color w:val="auto"/>
              </w:rPr>
            </w:pPr>
            <w:r>
              <w:rPr>
                <w:rFonts w:ascii="Arial" w:cs="Arial" w:eastAsia="Arial" w:hAnsi="Arial"/>
                <w:sz w:val="14"/>
                <w:szCs w:val="14"/>
                <w:color w:val="auto"/>
              </w:rPr>
              <w:t>184,996</w:t>
            </w:r>
          </w:p>
        </w:tc>
        <w:tc>
          <w:tcPr>
            <w:tcW w:w="1480" w:type="dxa"/>
            <w:vAlign w:val="bottom"/>
            <w:tcBorders>
              <w:bottom w:val="single" w:sz="8" w:color="666666"/>
            </w:tcBorders>
          </w:tcPr>
          <w:p>
            <w:pPr>
              <w:spacing w:after="0"/>
              <w:rPr>
                <w:sz w:val="13"/>
                <w:szCs w:val="13"/>
                <w:color w:val="auto"/>
              </w:rPr>
            </w:pPr>
          </w:p>
        </w:tc>
        <w:tc>
          <w:tcPr>
            <w:tcW w:w="84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218,746</w:t>
            </w:r>
          </w:p>
        </w:tc>
      </w:tr>
      <w:tr>
        <w:trPr>
          <w:trHeight w:val="154"/>
        </w:trPr>
        <w:tc>
          <w:tcPr>
            <w:tcW w:w="370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William E. Macaulay</w:t>
            </w:r>
          </w:p>
        </w:tc>
        <w:tc>
          <w:tcPr>
            <w:tcW w:w="3460" w:type="dxa"/>
            <w:vAlign w:val="bottom"/>
            <w:tcBorders>
              <w:bottom w:val="single" w:sz="8" w:color="666666"/>
            </w:tcBorders>
          </w:tcPr>
          <w:p>
            <w:pPr>
              <w:jc w:val="right"/>
              <w:ind w:right="209"/>
              <w:spacing w:after="0" w:line="153" w:lineRule="exact"/>
              <w:rPr>
                <w:sz w:val="20"/>
                <w:szCs w:val="20"/>
                <w:color w:val="auto"/>
              </w:rPr>
            </w:pPr>
            <w:r>
              <w:rPr>
                <w:rFonts w:ascii="Arial" w:cs="Arial" w:eastAsia="Arial" w:hAnsi="Arial"/>
                <w:sz w:val="14"/>
                <w:szCs w:val="14"/>
                <w:color w:val="auto"/>
              </w:rPr>
              <w:t>221,625</w:t>
            </w:r>
          </w:p>
        </w:tc>
        <w:tc>
          <w:tcPr>
            <w:tcW w:w="1420" w:type="dxa"/>
            <w:vAlign w:val="bottom"/>
            <w:tcBorders>
              <w:bottom w:val="single" w:sz="8" w:color="666666"/>
            </w:tcBorders>
          </w:tcPr>
          <w:p>
            <w:pPr>
              <w:jc w:val="right"/>
              <w:ind w:right="189"/>
              <w:spacing w:after="0" w:line="153" w:lineRule="exact"/>
              <w:rPr>
                <w:sz w:val="20"/>
                <w:szCs w:val="20"/>
                <w:color w:val="auto"/>
              </w:rPr>
            </w:pPr>
            <w:r>
              <w:rPr>
                <w:rFonts w:ascii="Arial" w:cs="Arial" w:eastAsia="Arial" w:hAnsi="Arial"/>
                <w:sz w:val="14"/>
                <w:szCs w:val="14"/>
                <w:color w:val="auto"/>
              </w:rPr>
              <w:t>284,998</w:t>
            </w:r>
          </w:p>
        </w:tc>
        <w:tc>
          <w:tcPr>
            <w:tcW w:w="1480" w:type="dxa"/>
            <w:vAlign w:val="bottom"/>
            <w:tcBorders>
              <w:bottom w:val="single" w:sz="8" w:color="666666"/>
            </w:tcBorders>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506,623</w:t>
            </w:r>
          </w:p>
        </w:tc>
      </w:tr>
      <w:tr>
        <w:trPr>
          <w:trHeight w:val="154"/>
        </w:trPr>
        <w:tc>
          <w:tcPr>
            <w:tcW w:w="370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Angela A. Minas (Appointed in 2018)</w:t>
            </w:r>
          </w:p>
        </w:tc>
        <w:tc>
          <w:tcPr>
            <w:tcW w:w="3460" w:type="dxa"/>
            <w:vAlign w:val="bottom"/>
            <w:tcBorders>
              <w:bottom w:val="single" w:sz="8" w:color="666666"/>
            </w:tcBorders>
          </w:tcPr>
          <w:p>
            <w:pPr>
              <w:jc w:val="right"/>
              <w:ind w:right="209"/>
              <w:spacing w:after="0" w:line="153"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666666"/>
            </w:tcBorders>
          </w:tcPr>
          <w:p>
            <w:pPr>
              <w:jc w:val="right"/>
              <w:ind w:right="189"/>
              <w:spacing w:after="0" w:line="153"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666666"/>
            </w:tcBorders>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w:t>
            </w:r>
          </w:p>
        </w:tc>
      </w:tr>
      <w:tr>
        <w:trPr>
          <w:trHeight w:val="154"/>
        </w:trPr>
        <w:tc>
          <w:tcPr>
            <w:tcW w:w="370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Robert K. Moses, Jr. (Retiring)</w:t>
            </w:r>
          </w:p>
        </w:tc>
        <w:tc>
          <w:tcPr>
            <w:tcW w:w="3460" w:type="dxa"/>
            <w:vAlign w:val="bottom"/>
            <w:tcBorders>
              <w:bottom w:val="single" w:sz="8" w:color="666666"/>
            </w:tcBorders>
          </w:tcPr>
          <w:p>
            <w:pPr>
              <w:jc w:val="right"/>
              <w:ind w:right="209"/>
              <w:spacing w:after="0" w:line="153" w:lineRule="exact"/>
              <w:rPr>
                <w:sz w:val="20"/>
                <w:szCs w:val="20"/>
                <w:color w:val="auto"/>
              </w:rPr>
            </w:pPr>
            <w:r>
              <w:rPr>
                <w:rFonts w:ascii="Arial" w:cs="Arial" w:eastAsia="Arial" w:hAnsi="Arial"/>
                <w:sz w:val="14"/>
                <w:szCs w:val="14"/>
                <w:color w:val="auto"/>
              </w:rPr>
              <w:t>149,250</w:t>
            </w:r>
          </w:p>
        </w:tc>
        <w:tc>
          <w:tcPr>
            <w:tcW w:w="1420" w:type="dxa"/>
            <w:vAlign w:val="bottom"/>
            <w:tcBorders>
              <w:bottom w:val="single" w:sz="8" w:color="666666"/>
            </w:tcBorders>
          </w:tcPr>
          <w:p>
            <w:pPr>
              <w:jc w:val="right"/>
              <w:ind w:right="189"/>
              <w:spacing w:after="0" w:line="153" w:lineRule="exact"/>
              <w:rPr>
                <w:sz w:val="20"/>
                <w:szCs w:val="20"/>
                <w:color w:val="auto"/>
              </w:rPr>
            </w:pPr>
            <w:r>
              <w:rPr>
                <w:rFonts w:ascii="Arial" w:cs="Arial" w:eastAsia="Arial" w:hAnsi="Arial"/>
                <w:sz w:val="14"/>
                <w:szCs w:val="14"/>
                <w:color w:val="auto"/>
              </w:rPr>
              <w:t>184,996</w:t>
            </w:r>
          </w:p>
        </w:tc>
        <w:tc>
          <w:tcPr>
            <w:tcW w:w="1480" w:type="dxa"/>
            <w:vAlign w:val="bottom"/>
            <w:tcBorders>
              <w:bottom w:val="single" w:sz="8" w:color="666666"/>
            </w:tcBorders>
          </w:tcPr>
          <w:p>
            <w:pPr>
              <w:jc w:val="right"/>
              <w:ind w:right="229"/>
              <w:spacing w:after="0" w:line="153" w:lineRule="exact"/>
              <w:rPr>
                <w:sz w:val="20"/>
                <w:szCs w:val="20"/>
                <w:color w:val="auto"/>
              </w:rPr>
            </w:pPr>
            <w:r>
              <w:rPr>
                <w:rFonts w:ascii="Arial" w:cs="Arial" w:eastAsia="Arial" w:hAnsi="Arial"/>
                <w:sz w:val="14"/>
                <w:szCs w:val="14"/>
                <w:color w:val="auto"/>
              </w:rPr>
              <w:t>200,000</w:t>
            </w:r>
          </w:p>
        </w:tc>
        <w:tc>
          <w:tcPr>
            <w:tcW w:w="84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534,246</w:t>
            </w:r>
          </w:p>
        </w:tc>
      </w:tr>
      <w:tr>
        <w:trPr>
          <w:trHeight w:val="154"/>
        </w:trPr>
        <w:tc>
          <w:tcPr>
            <w:tcW w:w="370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Guillermo Ortiz</w:t>
            </w:r>
          </w:p>
        </w:tc>
        <w:tc>
          <w:tcPr>
            <w:tcW w:w="3460" w:type="dxa"/>
            <w:vAlign w:val="bottom"/>
            <w:tcBorders>
              <w:bottom w:val="single" w:sz="8" w:color="666666"/>
            </w:tcBorders>
          </w:tcPr>
          <w:p>
            <w:pPr>
              <w:jc w:val="right"/>
              <w:ind w:right="209"/>
              <w:spacing w:after="0" w:line="153" w:lineRule="exact"/>
              <w:rPr>
                <w:sz w:val="20"/>
                <w:szCs w:val="20"/>
                <w:color w:val="auto"/>
              </w:rPr>
            </w:pPr>
            <w:r>
              <w:rPr>
                <w:rFonts w:ascii="Arial" w:cs="Arial" w:eastAsia="Arial" w:hAnsi="Arial"/>
                <w:sz w:val="14"/>
                <w:szCs w:val="14"/>
                <w:color w:val="auto"/>
              </w:rPr>
              <w:t>135,750</w:t>
            </w:r>
          </w:p>
        </w:tc>
        <w:tc>
          <w:tcPr>
            <w:tcW w:w="1420" w:type="dxa"/>
            <w:vAlign w:val="bottom"/>
            <w:tcBorders>
              <w:bottom w:val="single" w:sz="8" w:color="666666"/>
            </w:tcBorders>
          </w:tcPr>
          <w:p>
            <w:pPr>
              <w:jc w:val="right"/>
              <w:ind w:right="189"/>
              <w:spacing w:after="0" w:line="153" w:lineRule="exact"/>
              <w:rPr>
                <w:sz w:val="20"/>
                <w:szCs w:val="20"/>
                <w:color w:val="auto"/>
              </w:rPr>
            </w:pPr>
            <w:r>
              <w:rPr>
                <w:rFonts w:ascii="Arial" w:cs="Arial" w:eastAsia="Arial" w:hAnsi="Arial"/>
                <w:sz w:val="14"/>
                <w:szCs w:val="14"/>
                <w:color w:val="auto"/>
              </w:rPr>
              <w:t>184,996</w:t>
            </w:r>
          </w:p>
        </w:tc>
        <w:tc>
          <w:tcPr>
            <w:tcW w:w="1480" w:type="dxa"/>
            <w:vAlign w:val="bottom"/>
            <w:tcBorders>
              <w:bottom w:val="single" w:sz="8" w:color="666666"/>
            </w:tcBorders>
          </w:tcPr>
          <w:p>
            <w:pPr>
              <w:jc w:val="right"/>
              <w:ind w:right="229"/>
              <w:spacing w:after="0" w:line="153" w:lineRule="exact"/>
              <w:rPr>
                <w:sz w:val="20"/>
                <w:szCs w:val="20"/>
                <w:color w:val="auto"/>
              </w:rPr>
            </w:pPr>
            <w:r>
              <w:rPr>
                <w:rFonts w:ascii="Arial" w:cs="Arial" w:eastAsia="Arial" w:hAnsi="Arial"/>
                <w:sz w:val="14"/>
                <w:szCs w:val="14"/>
                <w:color w:val="auto"/>
              </w:rPr>
              <w:t>54,505</w:t>
            </w:r>
          </w:p>
        </w:tc>
        <w:tc>
          <w:tcPr>
            <w:tcW w:w="84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375,251</w:t>
            </w:r>
          </w:p>
        </w:tc>
      </w:tr>
      <w:tr>
        <w:trPr>
          <w:trHeight w:val="154"/>
        </w:trPr>
        <w:tc>
          <w:tcPr>
            <w:tcW w:w="370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Robert A. Rayne (Retired in 2017)</w:t>
            </w:r>
          </w:p>
        </w:tc>
        <w:tc>
          <w:tcPr>
            <w:tcW w:w="3460" w:type="dxa"/>
            <w:vAlign w:val="bottom"/>
            <w:tcBorders>
              <w:bottom w:val="single" w:sz="8" w:color="auto"/>
            </w:tcBorders>
          </w:tcPr>
          <w:p>
            <w:pPr>
              <w:jc w:val="right"/>
              <w:ind w:right="209"/>
              <w:spacing w:after="0" w:line="153" w:lineRule="exact"/>
              <w:rPr>
                <w:sz w:val="20"/>
                <w:szCs w:val="20"/>
                <w:color w:val="auto"/>
              </w:rPr>
            </w:pPr>
            <w:r>
              <w:rPr>
                <w:rFonts w:ascii="Arial" w:cs="Arial" w:eastAsia="Arial" w:hAnsi="Arial"/>
                <w:sz w:val="14"/>
                <w:szCs w:val="14"/>
                <w:color w:val="auto"/>
              </w:rPr>
              <w:t>80,625</w:t>
            </w:r>
          </w:p>
        </w:tc>
        <w:tc>
          <w:tcPr>
            <w:tcW w:w="1420" w:type="dxa"/>
            <w:vAlign w:val="bottom"/>
            <w:tcBorders>
              <w:bottom w:val="single" w:sz="8" w:color="auto"/>
            </w:tcBorders>
          </w:tcPr>
          <w:p>
            <w:pPr>
              <w:jc w:val="right"/>
              <w:ind w:right="189"/>
              <w:spacing w:after="0" w:line="153"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80,625</w:t>
            </w:r>
          </w:p>
        </w:tc>
      </w:tr>
    </w:tbl>
    <w:p>
      <w:pPr>
        <w:spacing w:after="0" w:line="45" w:lineRule="exact"/>
        <w:rPr>
          <w:sz w:val="20"/>
          <w:szCs w:val="20"/>
          <w:color w:val="auto"/>
        </w:rPr>
      </w:pPr>
    </w:p>
    <w:p>
      <w:pPr>
        <w:ind w:left="480" w:right="20" w:hanging="213"/>
        <w:spacing w:after="0" w:line="246" w:lineRule="auto"/>
        <w:tabs>
          <w:tab w:leader="none" w:pos="4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Each non-employee director other than Mr. Macaulay was awarded 44,685 restricted share units on September 21, 2017 at a grant date fair value of $184,996, computed in accordance with Financial Accounting Standards Board (“FASB”) Accounting Standards Codification (“ASC”) Topic 718. Mr. Macaulay was awarded 68,840 restricted share units on September 21, 2017 at a grant date fair value of $284,998.</w:t>
      </w:r>
    </w:p>
    <w:p>
      <w:pPr>
        <w:spacing w:after="0" w:line="52" w:lineRule="exact"/>
        <w:rPr>
          <w:rFonts w:ascii="Arial" w:cs="Arial" w:eastAsia="Arial" w:hAnsi="Arial"/>
          <w:sz w:val="14"/>
          <w:szCs w:val="14"/>
          <w:color w:val="auto"/>
        </w:rPr>
      </w:pPr>
    </w:p>
    <w:p>
      <w:pPr>
        <w:ind w:left="480" w:hanging="213"/>
        <w:spacing w:after="0"/>
        <w:tabs>
          <w:tab w:leader="none" w:pos="4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As of December 31, 2017, aggregate outstanding restricted share unit awards for each non-employee director is set forth below.</w:t>
      </w:r>
    </w:p>
    <w:p>
      <w:pPr>
        <w:spacing w:after="0" w:line="212"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5220" w:type="dxa"/>
            <w:vAlign w:val="bottom"/>
          </w:tcPr>
          <w:p>
            <w:pPr>
              <w:jc w:val="right"/>
              <w:ind w:right="9"/>
              <w:spacing w:after="0"/>
              <w:rPr>
                <w:sz w:val="20"/>
                <w:szCs w:val="20"/>
                <w:color w:val="auto"/>
              </w:rPr>
            </w:pPr>
            <w:r>
              <w:rPr>
                <w:rFonts w:ascii="Arial" w:cs="Arial" w:eastAsia="Arial" w:hAnsi="Arial"/>
                <w:sz w:val="14"/>
                <w:szCs w:val="14"/>
                <w:color w:val="auto"/>
              </w:rPr>
              <w:t>Aggregate Number of</w:t>
            </w:r>
          </w:p>
        </w:tc>
      </w:tr>
      <w:tr>
        <w:trPr>
          <w:trHeight w:val="169"/>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5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Restricted Share Units</w:t>
            </w:r>
          </w:p>
        </w:tc>
      </w:tr>
      <w:tr>
        <w:trPr>
          <w:trHeight w:val="154"/>
        </w:trPr>
        <w:tc>
          <w:tcPr>
            <w:tcW w:w="568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Mohamed A. Awad</w:t>
            </w:r>
          </w:p>
        </w:tc>
        <w:tc>
          <w:tcPr>
            <w:tcW w:w="522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47,766</w:t>
            </w:r>
          </w:p>
        </w:tc>
      </w:tr>
      <w:tr>
        <w:trPr>
          <w:trHeight w:val="154"/>
        </w:trPr>
        <w:tc>
          <w:tcPr>
            <w:tcW w:w="568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David J. Butters (Retiring)</w:t>
            </w:r>
          </w:p>
        </w:tc>
        <w:tc>
          <w:tcPr>
            <w:tcW w:w="522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44,685</w:t>
            </w:r>
          </w:p>
        </w:tc>
      </w:tr>
      <w:tr>
        <w:trPr>
          <w:trHeight w:val="154"/>
        </w:trPr>
        <w:tc>
          <w:tcPr>
            <w:tcW w:w="568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Roxanne J. Decyk</w:t>
            </w:r>
          </w:p>
        </w:tc>
        <w:tc>
          <w:tcPr>
            <w:tcW w:w="522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44,685</w:t>
            </w:r>
          </w:p>
        </w:tc>
      </w:tr>
      <w:tr>
        <w:trPr>
          <w:trHeight w:val="154"/>
        </w:trPr>
        <w:tc>
          <w:tcPr>
            <w:tcW w:w="568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John D. Gass</w:t>
            </w:r>
          </w:p>
        </w:tc>
        <w:tc>
          <w:tcPr>
            <w:tcW w:w="522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44,685</w:t>
            </w:r>
          </w:p>
        </w:tc>
      </w:tr>
      <w:tr>
        <w:trPr>
          <w:trHeight w:val="154"/>
        </w:trPr>
        <w:tc>
          <w:tcPr>
            <w:tcW w:w="568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Emyr Jones Parry</w:t>
            </w:r>
          </w:p>
        </w:tc>
        <w:tc>
          <w:tcPr>
            <w:tcW w:w="522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44,685</w:t>
            </w:r>
          </w:p>
        </w:tc>
      </w:tr>
      <w:tr>
        <w:trPr>
          <w:trHeight w:val="154"/>
        </w:trPr>
        <w:tc>
          <w:tcPr>
            <w:tcW w:w="568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Francis S. Kalman</w:t>
            </w:r>
          </w:p>
        </w:tc>
        <w:tc>
          <w:tcPr>
            <w:tcW w:w="522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44,685</w:t>
            </w:r>
          </w:p>
        </w:tc>
      </w:tr>
      <w:tr>
        <w:trPr>
          <w:trHeight w:val="154"/>
        </w:trPr>
        <w:tc>
          <w:tcPr>
            <w:tcW w:w="568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David S. King</w:t>
            </w:r>
          </w:p>
        </w:tc>
        <w:tc>
          <w:tcPr>
            <w:tcW w:w="522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44,685</w:t>
            </w:r>
          </w:p>
        </w:tc>
      </w:tr>
      <w:tr>
        <w:trPr>
          <w:trHeight w:val="154"/>
        </w:trPr>
        <w:tc>
          <w:tcPr>
            <w:tcW w:w="568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William E. Macaulay</w:t>
            </w:r>
          </w:p>
        </w:tc>
        <w:tc>
          <w:tcPr>
            <w:tcW w:w="522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68,840</w:t>
            </w:r>
          </w:p>
        </w:tc>
      </w:tr>
      <w:tr>
        <w:trPr>
          <w:trHeight w:val="154"/>
        </w:trPr>
        <w:tc>
          <w:tcPr>
            <w:tcW w:w="568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Angela A. Minas</w:t>
            </w:r>
          </w:p>
        </w:tc>
        <w:tc>
          <w:tcPr>
            <w:tcW w:w="522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w:t>
            </w:r>
          </w:p>
        </w:tc>
      </w:tr>
      <w:tr>
        <w:trPr>
          <w:trHeight w:val="154"/>
        </w:trPr>
        <w:tc>
          <w:tcPr>
            <w:tcW w:w="568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Robert K. Moses, Jr. (Retiring)</w:t>
            </w:r>
          </w:p>
        </w:tc>
        <w:tc>
          <w:tcPr>
            <w:tcW w:w="522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44,685</w:t>
            </w:r>
          </w:p>
        </w:tc>
      </w:tr>
      <w:tr>
        <w:trPr>
          <w:trHeight w:val="154"/>
        </w:trPr>
        <w:tc>
          <w:tcPr>
            <w:tcW w:w="568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Guillermo Ortiz</w:t>
            </w:r>
          </w:p>
        </w:tc>
        <w:tc>
          <w:tcPr>
            <w:tcW w:w="52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44,685</w:t>
            </w:r>
          </w:p>
        </w:tc>
      </w:tr>
    </w:tbl>
    <w:p>
      <w:pPr>
        <w:spacing w:after="0" w:line="45" w:lineRule="exact"/>
        <w:rPr>
          <w:sz w:val="20"/>
          <w:szCs w:val="20"/>
          <w:color w:val="auto"/>
        </w:rPr>
      </w:pPr>
    </w:p>
    <w:p>
      <w:pPr>
        <w:ind w:left="480" w:right="60" w:hanging="213"/>
        <w:spacing w:after="0" w:line="253" w:lineRule="auto"/>
        <w:tabs>
          <w:tab w:leader="none" w:pos="4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Amounts for Mr. Awad and Dr. Ortiz consist of social contribution and withholding taxes paid on behalf of certain directors due to their non-U.S. tax residence. We believe this compensation helps us attract and retain qualified international directors.</w:t>
      </w:r>
    </w:p>
    <w:p>
      <w:pPr>
        <w:spacing w:after="0" w:line="47" w:lineRule="exact"/>
        <w:rPr>
          <w:rFonts w:ascii="Arial" w:cs="Arial" w:eastAsia="Arial" w:hAnsi="Arial"/>
          <w:sz w:val="14"/>
          <w:szCs w:val="14"/>
          <w:color w:val="auto"/>
        </w:rPr>
      </w:pPr>
    </w:p>
    <w:p>
      <w:pPr>
        <w:ind w:left="480" w:right="360" w:hanging="213"/>
        <w:spacing w:after="0" w:line="253" w:lineRule="auto"/>
        <w:tabs>
          <w:tab w:leader="none" w:pos="4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Amounts for Mr. Moses represent his vested benefit distributed on January 3, 2017 in connection with and according to the terms of our discontinued Non-Employee Director Retirement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86360</wp:posOffset>
            </wp:positionV>
            <wp:extent cx="69176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384" w:lineRule="exact"/>
        <w:rPr>
          <w:sz w:val="20"/>
          <w:szCs w:val="20"/>
          <w:color w:val="auto"/>
        </w:rPr>
      </w:pPr>
    </w:p>
    <w:p>
      <w:pPr>
        <w:ind w:left="7360"/>
        <w:spacing w:after="0"/>
        <w:tabs>
          <w:tab w:leader="none" w:pos="10980" w:val="left"/>
        </w:tabs>
        <w:rPr>
          <w:sz w:val="20"/>
          <w:szCs w:val="20"/>
          <w:color w:val="auto"/>
        </w:rPr>
      </w:pPr>
      <w:r>
        <w:rPr>
          <w:rFonts w:ascii="Arial" w:cs="Arial" w:eastAsia="Arial" w:hAnsi="Arial"/>
          <w:sz w:val="14"/>
          <w:szCs w:val="14"/>
          <w:color w:val="666666"/>
        </w:rPr>
        <w:t>Weatherford International plc — 2018 Proxy Statement</w:t>
      </w:r>
      <w:r>
        <w:rPr>
          <w:sz w:val="20"/>
          <w:szCs w:val="20"/>
          <w:color w:val="auto"/>
        </w:rPr>
        <w:tab/>
      </w:r>
      <w:r>
        <w:rPr>
          <w:rFonts w:ascii="Arial" w:cs="Arial" w:eastAsia="Arial" w:hAnsi="Arial"/>
          <w:sz w:val="14"/>
          <w:szCs w:val="14"/>
          <w:b w:val="1"/>
          <w:bCs w:val="1"/>
          <w:color w:val="666666"/>
        </w:rPr>
        <w:t>15</w:t>
      </w:r>
    </w:p>
    <w:p>
      <w:pPr>
        <w:sectPr>
          <w:pgSz w:w="11900" w:h="16838" w:orient="portrait"/>
          <w:cols w:equalWidth="0" w:num="1">
            <w:col w:w="11160"/>
          </w:cols>
          <w:pgMar w:left="240" w:top="455"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0" w:right="380"/>
        <w:spacing w:after="0" w:line="252" w:lineRule="auto"/>
        <w:rPr>
          <w:sz w:val="20"/>
          <w:szCs w:val="20"/>
          <w:color w:val="auto"/>
        </w:rPr>
      </w:pPr>
      <w:r>
        <w:rPr>
          <w:rFonts w:ascii="Arial" w:cs="Arial" w:eastAsia="Arial" w:hAnsi="Arial"/>
          <w:sz w:val="64"/>
          <w:szCs w:val="64"/>
          <w:b w:val="1"/>
          <w:bCs w:val="1"/>
          <w:color w:val="C3002F"/>
        </w:rPr>
        <w:t>AGENDA ITEM 2 - RATIFY APPOINTMENT OF INDEPENDENT AUDITORS AND AUTHORIZE AUDITORS’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-1939925</wp:posOffset>
            </wp:positionV>
            <wp:extent cx="822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82"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 xml:space="preserve">The Board of Directors recommends that you vote </w:t>
      </w:r>
      <w:r>
        <w:rPr>
          <w:rFonts w:ascii="Arial" w:cs="Arial" w:eastAsia="Arial" w:hAnsi="Arial"/>
          <w:sz w:val="21"/>
          <w:szCs w:val="21"/>
          <w:b w:val="1"/>
          <w:bCs w:val="1"/>
          <w:color w:val="C3002F"/>
        </w:rPr>
        <w:t>“FOR”</w:t>
      </w:r>
      <w:r>
        <w:rPr>
          <w:rFonts w:ascii="Arial" w:cs="Arial" w:eastAsia="Arial" w:hAnsi="Arial"/>
          <w:sz w:val="21"/>
          <w:szCs w:val="21"/>
          <w:b w:val="1"/>
          <w:bCs w:val="1"/>
          <w:color w:val="auto"/>
        </w:rPr>
        <w:t xml:space="preserve"> this proposal.</w:t>
      </w:r>
    </w:p>
    <w:p>
      <w:pPr>
        <w:spacing w:after="0" w:line="223" w:lineRule="exact"/>
        <w:rPr>
          <w:sz w:val="20"/>
          <w:szCs w:val="20"/>
          <w:color w:val="auto"/>
        </w:rPr>
      </w:pPr>
    </w:p>
    <w:p>
      <w:pPr>
        <w:ind w:left="260" w:right="100"/>
        <w:spacing w:after="0" w:line="242" w:lineRule="auto"/>
        <w:rPr>
          <w:sz w:val="20"/>
          <w:szCs w:val="20"/>
          <w:color w:val="auto"/>
        </w:rPr>
      </w:pPr>
      <w:r>
        <w:rPr>
          <w:rFonts w:ascii="Arial" w:cs="Arial" w:eastAsia="Arial" w:hAnsi="Arial"/>
          <w:sz w:val="14"/>
          <w:szCs w:val="14"/>
          <w:color w:val="auto"/>
        </w:rPr>
        <w:t>KPMG LLP and KPMG Chartered Accountants, Dublin (collectively, “KPMG”) served as the independent and Irish statutory auditors, respectively, for Weatherford for the year ended December 31, 2017. The Board, upon the recommendation of the Audit Committee, is asking our shareholders to ratify the appointment of KPMG LLP as our independent registered public accounting firm and auditor for the year ending December 31, 2018 and KPMG Chartered Accountants, Dublin as our statutory auditor under Irish law to hold office until the close of the 2019 AGM and to authorize the Board of Directors, acting through the Audit Committee, to determine the auditors’ remuneration. The selection of KPMG LLP as the independent registered public accounting firm for 2018 was approved by the Audit Committee on January 30, 2018.</w:t>
      </w:r>
    </w:p>
    <w:p>
      <w:pPr>
        <w:spacing w:after="0" w:line="149" w:lineRule="exact"/>
        <w:rPr>
          <w:sz w:val="20"/>
          <w:szCs w:val="20"/>
          <w:color w:val="auto"/>
        </w:rPr>
      </w:pPr>
    </w:p>
    <w:p>
      <w:pPr>
        <w:ind w:left="260" w:right="20"/>
        <w:spacing w:after="0" w:line="274" w:lineRule="auto"/>
        <w:rPr>
          <w:sz w:val="20"/>
          <w:szCs w:val="20"/>
          <w:color w:val="auto"/>
        </w:rPr>
      </w:pPr>
      <w:r>
        <w:rPr>
          <w:rFonts w:ascii="Arial" w:cs="Arial" w:eastAsia="Arial" w:hAnsi="Arial"/>
          <w:sz w:val="14"/>
          <w:szCs w:val="14"/>
          <w:color w:val="auto"/>
        </w:rPr>
        <w:t>An ordinary resolution (i.e.</w:t>
      </w:r>
      <w:r>
        <w:rPr>
          <w:rFonts w:ascii="Arial" w:cs="Arial" w:eastAsia="Arial" w:hAnsi="Arial"/>
          <w:sz w:val="14"/>
          <w:szCs w:val="14"/>
          <w:i w:val="1"/>
          <w:iCs w:val="1"/>
          <w:color w:val="auto"/>
        </w:rPr>
        <w:t>,</w:t>
      </w:r>
      <w:r>
        <w:rPr>
          <w:rFonts w:ascii="Arial" w:cs="Arial" w:eastAsia="Arial" w:hAnsi="Arial"/>
          <w:sz w:val="14"/>
          <w:szCs w:val="14"/>
          <w:color w:val="auto"/>
        </w:rPr>
        <w:t xml:space="preserve"> a simple majority of the votes cast “For” or “Against”) is required to approve this proposal. If you properly give a proxy but do not indicate how you wish to vote, the persons named on the proxy card, or if you do not name your proxy or proxies, the Proxy Holders, will vote for the proposal.</w:t>
      </w:r>
    </w:p>
    <w:p>
      <w:pPr>
        <w:spacing w:after="0" w:line="140" w:lineRule="exact"/>
        <w:rPr>
          <w:sz w:val="20"/>
          <w:szCs w:val="20"/>
          <w:color w:val="auto"/>
        </w:rPr>
      </w:pPr>
    </w:p>
    <w:p>
      <w:pPr>
        <w:ind w:left="260" w:right="300"/>
        <w:spacing w:after="0" w:line="253" w:lineRule="auto"/>
        <w:rPr>
          <w:sz w:val="20"/>
          <w:szCs w:val="20"/>
          <w:color w:val="auto"/>
        </w:rPr>
      </w:pPr>
      <w:r>
        <w:rPr>
          <w:rFonts w:ascii="Arial" w:cs="Arial" w:eastAsia="Arial" w:hAnsi="Arial"/>
          <w:sz w:val="14"/>
          <w:szCs w:val="14"/>
          <w:color w:val="auto"/>
        </w:rPr>
        <w:t>Representatives of KPMG will be present at the Annual General Meeting to respond to any appropriate shareholder questions and will be given an opportunity to make a statement, if they so desire.</w:t>
      </w:r>
    </w:p>
    <w:p>
      <w:pPr>
        <w:spacing w:after="0" w:line="350"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auto"/>
        </w:rPr>
        <w:t>FEES PAID TO KPMG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-304800</wp:posOffset>
            </wp:positionV>
            <wp:extent cx="822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180"/>
        <w:spacing w:after="0" w:line="246" w:lineRule="auto"/>
        <w:rPr>
          <w:sz w:val="20"/>
          <w:szCs w:val="20"/>
          <w:color w:val="auto"/>
        </w:rPr>
      </w:pPr>
      <w:r>
        <w:rPr>
          <w:rFonts w:ascii="Arial" w:cs="Arial" w:eastAsia="Arial" w:hAnsi="Arial"/>
          <w:sz w:val="14"/>
          <w:szCs w:val="14"/>
          <w:color w:val="auto"/>
        </w:rPr>
        <w:t>The following table presents fees for professional audit services rendered by KPMG for the audit of the annual consolidated financial statements and statutory financial statements of Weatherford for the years ended December 31, 2017 and December 31, 2016 and fees billed for other services rendered by KPMG during those periods. All fees were approved by the Audit Committee pursuant to its pre-approval policy.</w:t>
      </w:r>
    </w:p>
    <w:p>
      <w:pPr>
        <w:spacing w:after="0" w:line="194"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Borders>
              <w:bottom w:val="single" w:sz="8" w:color="auto"/>
            </w:tcBorders>
          </w:tcPr>
          <w:p>
            <w:pPr>
              <w:spacing w:after="0"/>
              <w:rPr>
                <w:sz w:val="14"/>
                <w:szCs w:val="14"/>
                <w:color w:val="auto"/>
              </w:rPr>
            </w:pPr>
          </w:p>
        </w:tc>
        <w:tc>
          <w:tcPr>
            <w:tcW w:w="47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2017</w:t>
            </w:r>
          </w:p>
        </w:tc>
        <w:tc>
          <w:tcPr>
            <w:tcW w:w="9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2016</w:t>
            </w:r>
          </w:p>
        </w:tc>
      </w:tr>
      <w:tr>
        <w:trPr>
          <w:trHeight w:val="154"/>
        </w:trPr>
        <w:tc>
          <w:tcPr>
            <w:tcW w:w="5160" w:type="dxa"/>
            <w:vAlign w:val="bottom"/>
            <w:tcBorders>
              <w:bottom w:val="single" w:sz="8" w:color="666666"/>
            </w:tcBorders>
            <w:gridSpan w:val="2"/>
          </w:tcPr>
          <w:p>
            <w:pPr>
              <w:spacing w:after="0" w:line="153" w:lineRule="exact"/>
              <w:rPr>
                <w:sz w:val="20"/>
                <w:szCs w:val="20"/>
                <w:color w:val="auto"/>
              </w:rPr>
            </w:pPr>
            <w:r>
              <w:rPr>
                <w:rFonts w:ascii="Arial" w:cs="Arial" w:eastAsia="Arial" w:hAnsi="Arial"/>
                <w:sz w:val="14"/>
                <w:szCs w:val="14"/>
                <w:color w:val="auto"/>
              </w:rPr>
              <w:t>Audit fees(1)</w:t>
            </w:r>
          </w:p>
        </w:tc>
        <w:tc>
          <w:tcPr>
            <w:tcW w:w="4780" w:type="dxa"/>
            <w:vAlign w:val="bottom"/>
            <w:tcBorders>
              <w:bottom w:val="single" w:sz="8" w:color="666666"/>
            </w:tcBorders>
          </w:tcPr>
          <w:p>
            <w:pPr>
              <w:jc w:val="right"/>
              <w:ind w:right="69"/>
              <w:spacing w:after="0" w:line="153" w:lineRule="exact"/>
              <w:rPr>
                <w:sz w:val="20"/>
                <w:szCs w:val="20"/>
                <w:color w:val="auto"/>
              </w:rPr>
            </w:pPr>
            <w:r>
              <w:rPr>
                <w:rFonts w:ascii="Arial" w:cs="Arial" w:eastAsia="Arial" w:hAnsi="Arial"/>
                <w:sz w:val="14"/>
                <w:szCs w:val="14"/>
                <w:color w:val="auto"/>
              </w:rPr>
              <w:t>$16,330,000</w:t>
            </w:r>
          </w:p>
        </w:tc>
        <w:tc>
          <w:tcPr>
            <w:tcW w:w="96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$19,566,000</w:t>
            </w:r>
          </w:p>
        </w:tc>
      </w:tr>
      <w:tr>
        <w:trPr>
          <w:trHeight w:val="154"/>
        </w:trPr>
        <w:tc>
          <w:tcPr>
            <w:tcW w:w="5160" w:type="dxa"/>
            <w:vAlign w:val="bottom"/>
            <w:tcBorders>
              <w:bottom w:val="single" w:sz="8" w:color="666666"/>
            </w:tcBorders>
            <w:gridSpan w:val="2"/>
          </w:tcPr>
          <w:p>
            <w:pPr>
              <w:spacing w:after="0" w:line="153" w:lineRule="exact"/>
              <w:rPr>
                <w:sz w:val="20"/>
                <w:szCs w:val="20"/>
                <w:color w:val="auto"/>
              </w:rPr>
            </w:pPr>
            <w:r>
              <w:rPr>
                <w:rFonts w:ascii="Arial" w:cs="Arial" w:eastAsia="Arial" w:hAnsi="Arial"/>
                <w:sz w:val="14"/>
                <w:szCs w:val="14"/>
                <w:color w:val="auto"/>
              </w:rPr>
              <w:t>Audit-related fees(2)</w:t>
            </w:r>
          </w:p>
        </w:tc>
        <w:tc>
          <w:tcPr>
            <w:tcW w:w="4780" w:type="dxa"/>
            <w:vAlign w:val="bottom"/>
            <w:tcBorders>
              <w:bottom w:val="single" w:sz="8" w:color="666666"/>
            </w:tcBorders>
          </w:tcPr>
          <w:p>
            <w:pPr>
              <w:jc w:val="right"/>
              <w:ind w:right="69"/>
              <w:spacing w:after="0" w:line="153" w:lineRule="exact"/>
              <w:rPr>
                <w:sz w:val="20"/>
                <w:szCs w:val="20"/>
                <w:color w:val="auto"/>
              </w:rPr>
            </w:pPr>
            <w:r>
              <w:rPr>
                <w:rFonts w:ascii="Arial" w:cs="Arial" w:eastAsia="Arial" w:hAnsi="Arial"/>
                <w:sz w:val="14"/>
                <w:szCs w:val="14"/>
                <w:color w:val="auto"/>
              </w:rPr>
              <w:t>18,000</w:t>
            </w:r>
          </w:p>
        </w:tc>
        <w:tc>
          <w:tcPr>
            <w:tcW w:w="96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19,000</w:t>
            </w:r>
          </w:p>
        </w:tc>
      </w:tr>
      <w:tr>
        <w:trPr>
          <w:trHeight w:val="154"/>
        </w:trPr>
        <w:tc>
          <w:tcPr>
            <w:tcW w:w="5160" w:type="dxa"/>
            <w:vAlign w:val="bottom"/>
            <w:tcBorders>
              <w:bottom w:val="single" w:sz="8" w:color="666666"/>
            </w:tcBorders>
            <w:gridSpan w:val="2"/>
          </w:tcPr>
          <w:p>
            <w:pPr>
              <w:spacing w:after="0" w:line="153" w:lineRule="exact"/>
              <w:rPr>
                <w:sz w:val="20"/>
                <w:szCs w:val="20"/>
                <w:color w:val="auto"/>
              </w:rPr>
            </w:pPr>
            <w:r>
              <w:rPr>
                <w:rFonts w:ascii="Arial" w:cs="Arial" w:eastAsia="Arial" w:hAnsi="Arial"/>
                <w:sz w:val="14"/>
                <w:szCs w:val="14"/>
                <w:color w:val="auto"/>
              </w:rPr>
              <w:t>Tax fees(3)</w:t>
            </w:r>
          </w:p>
        </w:tc>
        <w:tc>
          <w:tcPr>
            <w:tcW w:w="4780" w:type="dxa"/>
            <w:vAlign w:val="bottom"/>
            <w:tcBorders>
              <w:bottom w:val="single" w:sz="8" w:color="666666"/>
            </w:tcBorders>
          </w:tcPr>
          <w:p>
            <w:pPr>
              <w:jc w:val="right"/>
              <w:ind w:right="69"/>
              <w:spacing w:after="0" w:line="153" w:lineRule="exact"/>
              <w:rPr>
                <w:sz w:val="20"/>
                <w:szCs w:val="20"/>
                <w:color w:val="auto"/>
              </w:rPr>
            </w:pPr>
            <w:r>
              <w:rPr>
                <w:rFonts w:ascii="Arial" w:cs="Arial" w:eastAsia="Arial" w:hAnsi="Arial"/>
                <w:sz w:val="14"/>
                <w:szCs w:val="14"/>
                <w:color w:val="auto"/>
              </w:rPr>
              <w:t>167,000</w:t>
            </w:r>
          </w:p>
        </w:tc>
        <w:tc>
          <w:tcPr>
            <w:tcW w:w="96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453,000</w:t>
            </w:r>
          </w:p>
        </w:tc>
      </w:tr>
      <w:tr>
        <w:trPr>
          <w:trHeight w:val="154"/>
        </w:trPr>
        <w:tc>
          <w:tcPr>
            <w:tcW w:w="5160" w:type="dxa"/>
            <w:vAlign w:val="bottom"/>
            <w:tcBorders>
              <w:bottom w:val="single" w:sz="8" w:color="666666"/>
            </w:tcBorders>
            <w:gridSpan w:val="2"/>
          </w:tcPr>
          <w:p>
            <w:pPr>
              <w:spacing w:after="0" w:line="153" w:lineRule="exact"/>
              <w:rPr>
                <w:sz w:val="20"/>
                <w:szCs w:val="20"/>
                <w:color w:val="auto"/>
              </w:rPr>
            </w:pPr>
            <w:r>
              <w:rPr>
                <w:rFonts w:ascii="Arial" w:cs="Arial" w:eastAsia="Arial" w:hAnsi="Arial"/>
                <w:sz w:val="14"/>
                <w:szCs w:val="14"/>
                <w:color w:val="auto"/>
              </w:rPr>
              <w:t>All other fees(4)</w:t>
            </w:r>
          </w:p>
        </w:tc>
        <w:tc>
          <w:tcPr>
            <w:tcW w:w="4780" w:type="dxa"/>
            <w:vAlign w:val="bottom"/>
            <w:tcBorders>
              <w:bottom w:val="single" w:sz="8" w:color="666666"/>
            </w:tcBorders>
          </w:tcPr>
          <w:p>
            <w:pPr>
              <w:jc w:val="right"/>
              <w:ind w:right="69"/>
              <w:spacing w:after="0" w:line="153" w:lineRule="exact"/>
              <w:rPr>
                <w:sz w:val="20"/>
                <w:szCs w:val="20"/>
                <w:color w:val="auto"/>
              </w:rPr>
            </w:pPr>
            <w:r>
              <w:rPr>
                <w:rFonts w:ascii="Arial" w:cs="Arial" w:eastAsia="Arial" w:hAnsi="Arial"/>
                <w:sz w:val="14"/>
                <w:szCs w:val="14"/>
                <w:color w:val="auto"/>
              </w:rPr>
              <w:t>139,000</w:t>
            </w:r>
          </w:p>
        </w:tc>
        <w:tc>
          <w:tcPr>
            <w:tcW w:w="96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76,000</w:t>
            </w:r>
          </w:p>
        </w:tc>
      </w:tr>
      <w:tr>
        <w:trPr>
          <w:trHeight w:val="172"/>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4780" w:type="dxa"/>
            <w:vAlign w:val="bottom"/>
          </w:tcPr>
          <w:p>
            <w:pPr>
              <w:jc w:val="right"/>
              <w:ind w:right="69"/>
              <w:spacing w:after="0"/>
              <w:rPr>
                <w:sz w:val="20"/>
                <w:szCs w:val="20"/>
                <w:color w:val="auto"/>
              </w:rPr>
            </w:pPr>
            <w:r>
              <w:rPr>
                <w:rFonts w:ascii="Arial" w:cs="Arial" w:eastAsia="Arial" w:hAnsi="Arial"/>
                <w:sz w:val="14"/>
                <w:szCs w:val="14"/>
                <w:color w:val="auto"/>
              </w:rPr>
              <w:t>$16,654,000</w:t>
            </w:r>
          </w:p>
        </w:tc>
        <w:tc>
          <w:tcPr>
            <w:tcW w:w="960" w:type="dxa"/>
            <w:vAlign w:val="bottom"/>
          </w:tcPr>
          <w:p>
            <w:pPr>
              <w:jc w:val="right"/>
              <w:spacing w:after="0"/>
              <w:rPr>
                <w:sz w:val="20"/>
                <w:szCs w:val="20"/>
                <w:color w:val="auto"/>
              </w:rPr>
            </w:pPr>
            <w:r>
              <w:rPr>
                <w:rFonts w:ascii="Arial" w:cs="Arial" w:eastAsia="Arial" w:hAnsi="Arial"/>
                <w:sz w:val="14"/>
                <w:szCs w:val="14"/>
                <w:color w:val="auto"/>
              </w:rPr>
              <w:t>$20,114,000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-10795</wp:posOffset>
            </wp:positionV>
            <wp:extent cx="6917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ind w:left="480" w:hanging="213"/>
        <w:spacing w:after="0" w:line="242" w:lineRule="auto"/>
        <w:tabs>
          <w:tab w:leader="none" w:pos="4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Audit fees consist of professional services rendered for the audit of Weatherford’s annual financial statements, the audit of the effectiveness of Weatherford’s internal controls over financial reporting and the reviews of Weatherford’s quarterly financial statements. This category also includes fees for issuance of comfort letters, consents, assistance with and review of documents filed with the SEC, statutory audit fees, work performed by tax professionals in connection with the audit and quarterly reviews and accounting consultations and research work necessary to comply with the standards of the Public Company Accounting Oversight Board (United States). Fees are presented in the period to which they relate versus the period in which they were billed.</w:t>
      </w:r>
    </w:p>
    <w:p>
      <w:pPr>
        <w:spacing w:after="0" w:line="56" w:lineRule="exact"/>
        <w:rPr>
          <w:rFonts w:ascii="Arial" w:cs="Arial" w:eastAsia="Arial" w:hAnsi="Arial"/>
          <w:sz w:val="14"/>
          <w:szCs w:val="14"/>
          <w:color w:val="auto"/>
        </w:rPr>
      </w:pPr>
    </w:p>
    <w:p>
      <w:pPr>
        <w:ind w:left="480" w:hanging="213"/>
        <w:spacing w:after="0"/>
        <w:tabs>
          <w:tab w:leader="none" w:pos="4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Audit-related fees include consultations concerning financial accounting and reporting matters not required by statute or regulation.</w:t>
      </w:r>
    </w:p>
    <w:p>
      <w:pPr>
        <w:spacing w:after="0" w:line="65" w:lineRule="exact"/>
        <w:rPr>
          <w:rFonts w:ascii="Arial" w:cs="Arial" w:eastAsia="Arial" w:hAnsi="Arial"/>
          <w:sz w:val="14"/>
          <w:szCs w:val="14"/>
          <w:color w:val="auto"/>
        </w:rPr>
      </w:pPr>
    </w:p>
    <w:p>
      <w:pPr>
        <w:ind w:left="480" w:hanging="213"/>
        <w:spacing w:after="0"/>
        <w:tabs>
          <w:tab w:leader="none" w:pos="4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Tax fees consist of non-U.S. tax compliance, planning and U.S./non-U.S. tax-related consultation.</w:t>
      </w:r>
    </w:p>
    <w:p>
      <w:pPr>
        <w:spacing w:after="0" w:line="65" w:lineRule="exact"/>
        <w:rPr>
          <w:rFonts w:ascii="Arial" w:cs="Arial" w:eastAsia="Arial" w:hAnsi="Arial"/>
          <w:sz w:val="14"/>
          <w:szCs w:val="14"/>
          <w:color w:val="auto"/>
        </w:rPr>
      </w:pPr>
    </w:p>
    <w:p>
      <w:pPr>
        <w:ind w:left="480" w:hanging="213"/>
        <w:spacing w:after="0"/>
        <w:tabs>
          <w:tab w:leader="none" w:pos="4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Other services performed include certain other advisory services and do not include any fees for financial information systems design and implementation.</w:t>
      </w:r>
    </w:p>
    <w:p>
      <w:pPr>
        <w:spacing w:after="0" w:line="368"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auto"/>
        </w:rPr>
        <w:t>AUDIT COMMITTEE 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-304800</wp:posOffset>
            </wp:positionV>
            <wp:extent cx="822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80"/>
        <w:spacing w:after="0" w:line="242" w:lineRule="auto"/>
        <w:rPr>
          <w:sz w:val="20"/>
          <w:szCs w:val="20"/>
          <w:color w:val="auto"/>
        </w:rPr>
      </w:pPr>
      <w:r>
        <w:rPr>
          <w:rFonts w:ascii="Arial" w:cs="Arial" w:eastAsia="Arial" w:hAnsi="Arial"/>
          <w:sz w:val="14"/>
          <w:szCs w:val="14"/>
          <w:color w:val="auto"/>
        </w:rPr>
        <w:t>The Audit Committee has established a pre-approval policy for all audit and non-audit services to be provided by our independent auditor. There are two types of pre-approval. “General” pre-approval is based on pre-determined types of services. “Specific” pre-approval is required for certain types of services or if a service is expected to exceed budgeted amounts. “Specific” pre-approval must be obtained through direct communications with the Audit Committee or the Chairman of the Audit Committee, to whom the Audit Committee has delegated pre-approval authority. The Chairman must report any pre-approved decisions to the Audit Committee at its next scheduled meeting. During 2017, all audit and non-audit services performed by the independent auditor were subject to the pre-approval policy.</w:t>
      </w:r>
    </w:p>
    <w:p>
      <w:pPr>
        <w:spacing w:after="0" w:line="176" w:lineRule="exact"/>
        <w:rPr>
          <w:sz w:val="20"/>
          <w:szCs w:val="20"/>
          <w:color w:val="auto"/>
        </w:rPr>
      </w:pPr>
    </w:p>
    <w:p>
      <w:pPr>
        <w:jc w:val="both"/>
        <w:ind w:left="260" w:right="120"/>
        <w:spacing w:after="0" w:line="246" w:lineRule="auto"/>
        <w:rPr>
          <w:sz w:val="20"/>
          <w:szCs w:val="20"/>
          <w:color w:val="auto"/>
        </w:rPr>
      </w:pPr>
      <w:r>
        <w:rPr>
          <w:rFonts w:ascii="Arial" w:cs="Arial" w:eastAsia="Arial" w:hAnsi="Arial"/>
          <w:sz w:val="14"/>
          <w:szCs w:val="14"/>
          <w:color w:val="auto"/>
        </w:rPr>
        <w:t>The Audit Committee has designated the Company’s Chief Assurance Officer to monitor and report on the performance of all services provided by our independent auditor and to determine whether such services are in compliance with the pre-approval policy. Accordingly, the Chief Assurance Officer periodically reports to the Audit Committee regarding the results of her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89535</wp:posOffset>
            </wp:positionV>
            <wp:extent cx="69176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ectPr>
          <w:pgSz w:w="11900" w:h="16838" w:orient="portrait"/>
          <w:cols w:equalWidth="0" w:num="1">
            <w:col w:w="11160"/>
          </w:cols>
          <w:pgMar w:left="240" w:top="455" w:right="49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620" w:hanging="353"/>
        <w:spacing w:after="0"/>
        <w:tabs>
          <w:tab w:leader="none" w:pos="620" w:val="left"/>
        </w:tabs>
        <w:numPr>
          <w:ilvl w:val="0"/>
          <w:numId w:val="51"/>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2018 Proxy Statement</w:t>
      </w:r>
    </w:p>
    <w:p>
      <w:pPr>
        <w:sectPr>
          <w:pgSz w:w="11900" w:h="16838" w:orient="portrait"/>
          <w:cols w:equalWidth="0" w:num="1">
            <w:col w:w="11160"/>
          </w:cols>
          <w:pgMar w:left="240" w:top="455" w:right="49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2</w:t>
      </w:r>
    </w:p>
    <w:p>
      <w:pPr>
        <w:spacing w:after="0" w:line="200" w:lineRule="exact"/>
        <w:rPr>
          <w:sz w:val="20"/>
          <w:szCs w:val="20"/>
          <w:color w:val="auto"/>
        </w:rPr>
      </w:pPr>
    </w:p>
    <w:p>
      <w:pPr>
        <w:spacing w:after="0" w:line="333"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February 12, 2018</w:t>
      </w:r>
    </w:p>
    <w:p>
      <w:pPr>
        <w:spacing w:after="0" w:line="173" w:lineRule="exact"/>
        <w:rPr>
          <w:sz w:val="20"/>
          <w:szCs w:val="20"/>
          <w:color w:val="auto"/>
        </w:rPr>
      </w:pPr>
    </w:p>
    <w:p>
      <w:pPr>
        <w:ind w:left="260" w:right="240"/>
        <w:spacing w:after="0" w:line="242" w:lineRule="auto"/>
        <w:rPr>
          <w:sz w:val="20"/>
          <w:szCs w:val="20"/>
          <w:color w:val="auto"/>
        </w:rPr>
      </w:pPr>
      <w:r>
        <w:rPr>
          <w:rFonts w:ascii="Arial" w:cs="Arial" w:eastAsia="Arial" w:hAnsi="Arial"/>
          <w:sz w:val="14"/>
          <w:szCs w:val="14"/>
          <w:color w:val="auto"/>
        </w:rPr>
        <w:t>The Audit Committee represents and assists the Board in providing independent, objective oversight of the Company’s accounting functions and internal control over financial reporting. The Audit Committee acts under a charter which is available on the Company’s website at www.weatherford.com under “Investor Relations,” then “Corporate Governance,” then “Corporate Documents,” then Audit Committee Charter. The Board has determined that each member of the Audit Committee satisfies the requirements of the NYSE as to independence, financial literacy and expertise. In addition, each member of the Audit Committee qualifies as an independent director and possesses the requisite competence in accounting or auditing in satisfaction of the requirements for audit committees prescribed by the Irish Companies Act 2014.</w:t>
      </w:r>
    </w:p>
    <w:p>
      <w:pPr>
        <w:spacing w:after="0" w:line="163" w:lineRule="exact"/>
        <w:rPr>
          <w:sz w:val="20"/>
          <w:szCs w:val="20"/>
          <w:color w:val="auto"/>
        </w:rPr>
      </w:pPr>
    </w:p>
    <w:p>
      <w:pPr>
        <w:ind w:left="260" w:right="460"/>
        <w:spacing w:after="0" w:line="253" w:lineRule="auto"/>
        <w:rPr>
          <w:sz w:val="20"/>
          <w:szCs w:val="20"/>
          <w:color w:val="auto"/>
        </w:rPr>
      </w:pPr>
      <w:r>
        <w:rPr>
          <w:rFonts w:ascii="Arial" w:cs="Arial" w:eastAsia="Arial" w:hAnsi="Arial"/>
          <w:sz w:val="14"/>
          <w:szCs w:val="14"/>
          <w:color w:val="auto"/>
        </w:rPr>
        <w:t>Management is responsible for the Company’s financial statements and the reporting process, including the system of disclosure controls and procedures and internal control over financial reporting.</w:t>
      </w:r>
    </w:p>
    <w:p>
      <w:pPr>
        <w:spacing w:after="0" w:line="168" w:lineRule="exact"/>
        <w:rPr>
          <w:sz w:val="20"/>
          <w:szCs w:val="20"/>
          <w:color w:val="auto"/>
        </w:rPr>
      </w:pPr>
    </w:p>
    <w:p>
      <w:pPr>
        <w:ind w:left="260" w:right="560"/>
        <w:spacing w:after="0" w:line="253" w:lineRule="auto"/>
        <w:rPr>
          <w:sz w:val="20"/>
          <w:szCs w:val="20"/>
          <w:color w:val="auto"/>
        </w:rPr>
      </w:pPr>
      <w:r>
        <w:rPr>
          <w:rFonts w:ascii="Arial" w:cs="Arial" w:eastAsia="Arial" w:hAnsi="Arial"/>
          <w:sz w:val="14"/>
          <w:szCs w:val="14"/>
          <w:color w:val="auto"/>
        </w:rPr>
        <w:t>KPMG LLP, the Company’s independent registered public accounting firm, is responsible for expressing an opinion on the conformity of our financial statements with accounting principles generally accepted in the United States and on the effectiveness of the Company’s internal control over financial reporting.</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 discharging its oversight role, the Audit Committee has:</w:t>
      </w:r>
    </w:p>
    <w:p>
      <w:pPr>
        <w:spacing w:after="0" w:line="213" w:lineRule="exact"/>
        <w:rPr>
          <w:sz w:val="20"/>
          <w:szCs w:val="20"/>
          <w:color w:val="auto"/>
        </w:rPr>
      </w:pPr>
    </w:p>
    <w:p>
      <w:pPr>
        <w:ind w:left="580" w:hanging="206"/>
        <w:spacing w:after="0"/>
        <w:tabs>
          <w:tab w:leader="none" w:pos="580" w:val="left"/>
        </w:tabs>
        <w:numPr>
          <w:ilvl w:val="0"/>
          <w:numId w:val="52"/>
        </w:numPr>
        <w:rPr>
          <w:rFonts w:ascii="Arial" w:cs="Arial" w:eastAsia="Arial" w:hAnsi="Arial"/>
          <w:sz w:val="14"/>
          <w:szCs w:val="14"/>
          <w:color w:val="C3002F"/>
        </w:rPr>
      </w:pPr>
      <w:r>
        <w:rPr>
          <w:rFonts w:ascii="Arial" w:cs="Arial" w:eastAsia="Arial" w:hAnsi="Arial"/>
          <w:sz w:val="14"/>
          <w:szCs w:val="14"/>
          <w:color w:val="auto"/>
        </w:rPr>
        <w:t>reviewed and discussed with management the audited financial statements of Weatherford International plc as of and for the year ended December 31, 2017; and</w:t>
      </w:r>
    </w:p>
    <w:p>
      <w:pPr>
        <w:spacing w:after="0" w:line="198" w:lineRule="exact"/>
        <w:rPr>
          <w:rFonts w:ascii="Arial" w:cs="Arial" w:eastAsia="Arial" w:hAnsi="Arial"/>
          <w:sz w:val="14"/>
          <w:szCs w:val="14"/>
          <w:color w:val="C3002F"/>
        </w:rPr>
      </w:pPr>
    </w:p>
    <w:p>
      <w:pPr>
        <w:ind w:left="580" w:right="80" w:hanging="206"/>
        <w:spacing w:after="0" w:line="250" w:lineRule="auto"/>
        <w:tabs>
          <w:tab w:leader="none" w:pos="580" w:val="left"/>
        </w:tabs>
        <w:numPr>
          <w:ilvl w:val="0"/>
          <w:numId w:val="52"/>
        </w:numPr>
        <w:rPr>
          <w:rFonts w:ascii="Arial" w:cs="Arial" w:eastAsia="Arial" w:hAnsi="Arial"/>
          <w:sz w:val="14"/>
          <w:szCs w:val="14"/>
          <w:color w:val="C3002F"/>
        </w:rPr>
      </w:pPr>
      <w:r>
        <w:rPr>
          <w:rFonts w:ascii="Arial" w:cs="Arial" w:eastAsia="Arial" w:hAnsi="Arial"/>
          <w:sz w:val="14"/>
          <w:szCs w:val="14"/>
          <w:color w:val="auto"/>
        </w:rPr>
        <w:t xml:space="preserve">discussed with KPMG LLP the matters required to be discussed by Auditing Standard No. 1301, </w:t>
      </w:r>
      <w:r>
        <w:rPr>
          <w:rFonts w:ascii="Arial" w:cs="Arial" w:eastAsia="Arial" w:hAnsi="Arial"/>
          <w:sz w:val="14"/>
          <w:szCs w:val="14"/>
          <w:i w:val="1"/>
          <w:iCs w:val="1"/>
          <w:color w:val="auto"/>
        </w:rPr>
        <w:t>Communications with Audit Committees,</w:t>
      </w:r>
      <w:r>
        <w:rPr>
          <w:rFonts w:ascii="Arial" w:cs="Arial" w:eastAsia="Arial" w:hAnsi="Arial"/>
          <w:sz w:val="14"/>
          <w:szCs w:val="14"/>
          <w:color w:val="auto"/>
        </w:rPr>
        <w:t xml:space="preserve"> as amended, as adopted by the Public Company Accounting Oversight Board. In addition, the Audit Committee has received the written disclosures and the letter from KPMG LLP required by applicable requirements of the Public Company Accounting Oversight Board regarding the independent auditor’s communications with the Audit Committee concerning independence, and has discussed with KPMG LLP their independence.</w:t>
      </w:r>
    </w:p>
    <w:p>
      <w:pPr>
        <w:spacing w:after="0" w:line="158" w:lineRule="exact"/>
        <w:rPr>
          <w:sz w:val="20"/>
          <w:szCs w:val="20"/>
          <w:color w:val="auto"/>
        </w:rPr>
      </w:pPr>
    </w:p>
    <w:p>
      <w:pPr>
        <w:ind w:left="260" w:right="20"/>
        <w:spacing w:after="0" w:line="243" w:lineRule="auto"/>
        <w:rPr>
          <w:sz w:val="20"/>
          <w:szCs w:val="20"/>
          <w:color w:val="auto"/>
        </w:rPr>
      </w:pPr>
      <w:r>
        <w:rPr>
          <w:rFonts w:ascii="Arial" w:cs="Arial" w:eastAsia="Arial" w:hAnsi="Arial"/>
          <w:sz w:val="14"/>
          <w:szCs w:val="14"/>
          <w:color w:val="auto"/>
        </w:rPr>
        <w:t>The Audit Committee and the Board believe that, due to KPMG LLP’s knowledge of the Company and the industry in which the Company operates, it is in the best interest of the Company and its shareholders to continue the retention of KPMG LLP to serve as the Company’s independent registered public accounting firm. Although the Audit Committee has the sole authority to appoint the independent registered public accounting firm, the Audit Committee recommends that the Board ask the shareholders to ratify the appointment of the independent registered public accounting firm at the 2018 Annual General Meeting.</w:t>
      </w:r>
    </w:p>
    <w:p>
      <w:pPr>
        <w:spacing w:after="0" w:line="176" w:lineRule="exact"/>
        <w:rPr>
          <w:sz w:val="20"/>
          <w:szCs w:val="20"/>
          <w:color w:val="auto"/>
        </w:rPr>
      </w:pPr>
    </w:p>
    <w:p>
      <w:pPr>
        <w:ind w:left="260" w:right="20"/>
        <w:spacing w:after="0" w:line="253" w:lineRule="auto"/>
        <w:rPr>
          <w:sz w:val="20"/>
          <w:szCs w:val="20"/>
          <w:color w:val="auto"/>
        </w:rPr>
      </w:pPr>
      <w:r>
        <w:rPr>
          <w:rFonts w:ascii="Arial" w:cs="Arial" w:eastAsia="Arial" w:hAnsi="Arial"/>
          <w:sz w:val="14"/>
          <w:szCs w:val="14"/>
          <w:color w:val="auto"/>
        </w:rPr>
        <w:t>Based on the reviews and discussions referred to above, the Audit Committee recommended to the Board of Directors that the audited financial statements referred to above be included in the Annual Report on Form 10-K of Weatherford International plc 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518795</wp:posOffset>
            </wp:positionV>
            <wp:extent cx="873125" cy="296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73125" cy="296545"/>
                    </a:xfrm>
                    <a:prstGeom prst="rect">
                      <a:avLst/>
                    </a:prstGeom>
                    <a:noFill/>
                  </pic:spPr>
                </pic:pic>
              </a:graphicData>
            </a:graphic>
          </wp:anchor>
        </w:drawing>
        <w:drawing>
          <wp:anchor simplePos="0" relativeHeight="251657728" behindDoc="1" locked="0" layoutInCell="0" allowOverlap="1">
            <wp:simplePos x="0" y="0"/>
            <wp:positionH relativeFrom="column">
              <wp:posOffset>1844040</wp:posOffset>
            </wp:positionH>
            <wp:positionV relativeFrom="paragraph">
              <wp:posOffset>442595</wp:posOffset>
            </wp:positionV>
            <wp:extent cx="839470" cy="3727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39470" cy="37274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264795</wp:posOffset>
            </wp:positionV>
            <wp:extent cx="805180" cy="5511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05180" cy="551180"/>
                    </a:xfrm>
                    <a:prstGeom prst="rect">
                      <a:avLst/>
                    </a:prstGeom>
                    <a:noFill/>
                  </pic:spPr>
                </pic:pic>
              </a:graphicData>
            </a:graphic>
          </wp:anchor>
        </w:drawing>
        <w:drawing>
          <wp:anchor simplePos="0" relativeHeight="251657728" behindDoc="1" locked="0" layoutInCell="0" allowOverlap="1">
            <wp:simplePos x="0" y="0"/>
            <wp:positionH relativeFrom="column">
              <wp:posOffset>5438140</wp:posOffset>
            </wp:positionH>
            <wp:positionV relativeFrom="paragraph">
              <wp:posOffset>518795</wp:posOffset>
            </wp:positionV>
            <wp:extent cx="695325" cy="296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5325" cy="296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260" w:type="dxa"/>
        <w:tblCellMar>
          <w:top w:w="0" w:type="dxa"/>
          <w:left w:w="0" w:type="dxa"/>
          <w:bottom w:w="0" w:type="dxa"/>
          <w:right w:w="0" w:type="dxa"/>
        </w:tblCellMar>
      </w:tblPr>
      <w:tr>
        <w:trPr>
          <w:trHeight w:val="185"/>
        </w:trPr>
        <w:tc>
          <w:tcPr>
            <w:tcW w:w="2140" w:type="dxa"/>
            <w:vAlign w:val="bottom"/>
            <w:gridSpan w:val="2"/>
          </w:tcPr>
          <w:p>
            <w:pPr>
              <w:spacing w:after="0"/>
              <w:rPr>
                <w:sz w:val="20"/>
                <w:szCs w:val="20"/>
                <w:color w:val="auto"/>
              </w:rPr>
            </w:pPr>
            <w:r>
              <w:rPr>
                <w:rFonts w:ascii="Arial" w:cs="Arial" w:eastAsia="Arial" w:hAnsi="Arial"/>
                <w:sz w:val="14"/>
                <w:szCs w:val="14"/>
                <w:color w:val="auto"/>
              </w:rPr>
              <w:t>David J. Butters (Retiring)</w:t>
            </w:r>
          </w:p>
        </w:tc>
        <w:tc>
          <w:tcPr>
            <w:tcW w:w="2740" w:type="dxa"/>
            <w:vAlign w:val="bottom"/>
          </w:tcPr>
          <w:p>
            <w:pPr>
              <w:ind w:left="500"/>
              <w:spacing w:after="0"/>
              <w:rPr>
                <w:sz w:val="20"/>
                <w:szCs w:val="20"/>
                <w:color w:val="auto"/>
              </w:rPr>
            </w:pPr>
            <w:r>
              <w:rPr>
                <w:rFonts w:ascii="Arial" w:cs="Arial" w:eastAsia="Arial" w:hAnsi="Arial"/>
                <w:sz w:val="14"/>
                <w:szCs w:val="14"/>
                <w:color w:val="auto"/>
              </w:rPr>
              <w:t xml:space="preserve">Francis S. Kalman </w:t>
            </w:r>
            <w:r>
              <w:rPr>
                <w:rFonts w:ascii="Arial" w:cs="Arial" w:eastAsia="Arial" w:hAnsi="Arial"/>
                <w:sz w:val="14"/>
                <w:szCs w:val="14"/>
                <w:i w:val="1"/>
                <w:iCs w:val="1"/>
                <w:color w:val="auto"/>
              </w:rPr>
              <w:t>(Chair)</w:t>
            </w:r>
          </w:p>
        </w:tc>
        <w:tc>
          <w:tcPr>
            <w:tcW w:w="1840" w:type="dxa"/>
            <w:vAlign w:val="bottom"/>
          </w:tcPr>
          <w:p>
            <w:pPr>
              <w:ind w:left="580"/>
              <w:spacing w:after="0"/>
              <w:rPr>
                <w:sz w:val="20"/>
                <w:szCs w:val="20"/>
                <w:color w:val="auto"/>
              </w:rPr>
            </w:pPr>
            <w:r>
              <w:rPr>
                <w:rFonts w:ascii="Arial" w:cs="Arial" w:eastAsia="Arial" w:hAnsi="Arial"/>
                <w:sz w:val="14"/>
                <w:szCs w:val="14"/>
                <w:color w:val="auto"/>
              </w:rPr>
              <w:t>David S. King</w:t>
            </w:r>
          </w:p>
        </w:tc>
        <w:tc>
          <w:tcPr>
            <w:tcW w:w="4180" w:type="dxa"/>
            <w:vAlign w:val="bottom"/>
          </w:tcPr>
          <w:p>
            <w:pPr>
              <w:ind w:left="1580"/>
              <w:spacing w:after="0"/>
              <w:rPr>
                <w:sz w:val="20"/>
                <w:szCs w:val="20"/>
                <w:color w:val="auto"/>
              </w:rPr>
            </w:pPr>
            <w:r>
              <w:rPr>
                <w:rFonts w:ascii="Arial" w:cs="Arial" w:eastAsia="Arial" w:hAnsi="Arial"/>
                <w:sz w:val="14"/>
                <w:szCs w:val="14"/>
                <w:color w:val="auto"/>
              </w:rPr>
              <w:t xml:space="preserve">Guillermo Ortiz </w:t>
            </w:r>
            <w:r>
              <w:rPr>
                <w:rFonts w:ascii="Arial" w:cs="Arial" w:eastAsia="Arial" w:hAnsi="Arial"/>
                <w:sz w:val="14"/>
                <w:szCs w:val="14"/>
                <w:i w:val="1"/>
                <w:iCs w:val="1"/>
                <w:color w:val="auto"/>
              </w:rPr>
              <w:t>(Vice Chair)</w:t>
            </w:r>
          </w:p>
        </w:tc>
      </w:tr>
      <w:tr>
        <w:trPr>
          <w:trHeight w:val="145"/>
        </w:trPr>
        <w:tc>
          <w:tcPr>
            <w:tcW w:w="20" w:type="dxa"/>
            <w:vAlign w:val="bottom"/>
          </w:tcPr>
          <w:p>
            <w:pPr>
              <w:spacing w:after="0"/>
              <w:rPr>
                <w:sz w:val="12"/>
                <w:szCs w:val="12"/>
                <w:color w:val="auto"/>
              </w:rPr>
            </w:pPr>
          </w:p>
        </w:tc>
        <w:tc>
          <w:tcPr>
            <w:tcW w:w="2120" w:type="dxa"/>
            <w:vAlign w:val="bottom"/>
            <w:tcBorders>
              <w:bottom w:val="single" w:sz="8" w:color="666666"/>
            </w:tcBorders>
          </w:tcPr>
          <w:p>
            <w:pPr>
              <w:spacing w:after="0"/>
              <w:rPr>
                <w:sz w:val="12"/>
                <w:szCs w:val="12"/>
                <w:color w:val="auto"/>
              </w:rPr>
            </w:pPr>
          </w:p>
        </w:tc>
        <w:tc>
          <w:tcPr>
            <w:tcW w:w="2740" w:type="dxa"/>
            <w:vAlign w:val="bottom"/>
            <w:tcBorders>
              <w:bottom w:val="single" w:sz="8" w:color="666666"/>
            </w:tcBorders>
          </w:tcPr>
          <w:p>
            <w:pPr>
              <w:spacing w:after="0"/>
              <w:rPr>
                <w:sz w:val="12"/>
                <w:szCs w:val="12"/>
                <w:color w:val="auto"/>
              </w:rPr>
            </w:pPr>
          </w:p>
        </w:tc>
        <w:tc>
          <w:tcPr>
            <w:tcW w:w="1840" w:type="dxa"/>
            <w:vAlign w:val="bottom"/>
            <w:tcBorders>
              <w:bottom w:val="single" w:sz="8" w:color="666666"/>
            </w:tcBorders>
          </w:tcPr>
          <w:p>
            <w:pPr>
              <w:spacing w:after="0"/>
              <w:rPr>
                <w:sz w:val="12"/>
                <w:szCs w:val="12"/>
                <w:color w:val="auto"/>
              </w:rPr>
            </w:pPr>
          </w:p>
        </w:tc>
        <w:tc>
          <w:tcPr>
            <w:tcW w:w="4180" w:type="dxa"/>
            <w:vAlign w:val="bottom"/>
            <w:tcBorders>
              <w:bottom w:val="single" w:sz="8" w:color="666666"/>
            </w:tcBorders>
          </w:tcPr>
          <w:p>
            <w:pPr>
              <w:spacing w:after="0"/>
              <w:rPr>
                <w:sz w:val="12"/>
                <w:szCs w:val="12"/>
                <w:color w:val="auto"/>
              </w:rPr>
            </w:pPr>
          </w:p>
        </w:tc>
      </w:tr>
      <w:tr>
        <w:trPr>
          <w:trHeight w:val="436"/>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180" w:type="dxa"/>
            <w:vAlign w:val="bottom"/>
          </w:tcPr>
          <w:p>
            <w:pPr>
              <w:ind w:left="380"/>
              <w:spacing w:after="0"/>
              <w:rPr>
                <w:sz w:val="20"/>
                <w:szCs w:val="20"/>
                <w:color w:val="auto"/>
              </w:rPr>
            </w:pPr>
            <w:r>
              <w:rPr>
                <w:rFonts w:ascii="Arial" w:cs="Arial" w:eastAsia="Arial" w:hAnsi="Arial"/>
                <w:sz w:val="14"/>
                <w:szCs w:val="14"/>
                <w:color w:val="666666"/>
              </w:rPr>
              <w:t xml:space="preserve">Weatherford International plc — 2018 Proxy Statement   </w:t>
            </w:r>
            <w:r>
              <w:rPr>
                <w:rFonts w:ascii="Arial" w:cs="Arial" w:eastAsia="Arial" w:hAnsi="Arial"/>
                <w:sz w:val="14"/>
                <w:szCs w:val="14"/>
                <w:b w:val="1"/>
                <w:bCs w:val="1"/>
                <w:color w:val="666666"/>
              </w:rPr>
              <w:t>17</w:t>
            </w:r>
          </w:p>
        </w:tc>
      </w:tr>
    </w:tbl>
    <w:p>
      <w:pPr>
        <w:sectPr>
          <w:pgSz w:w="11900" w:h="16838" w:orient="portrait"/>
          <w:cols w:equalWidth="0" w:num="1">
            <w:col w:w="11160"/>
          </w:cols>
          <w:pgMar w:left="240" w:top="455"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0" w:right="1980"/>
        <w:spacing w:after="0" w:line="264" w:lineRule="auto"/>
        <w:rPr>
          <w:sz w:val="20"/>
          <w:szCs w:val="20"/>
          <w:color w:val="auto"/>
        </w:rPr>
      </w:pPr>
      <w:r>
        <w:rPr>
          <w:rFonts w:ascii="Arial" w:cs="Arial" w:eastAsia="Arial" w:hAnsi="Arial"/>
          <w:sz w:val="63"/>
          <w:szCs w:val="63"/>
          <w:b w:val="1"/>
          <w:bCs w:val="1"/>
          <w:color w:val="C3002F"/>
        </w:rPr>
        <w:t>AGENDA ITEM 3 - ADVISORY APPROVAL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-1495425</wp:posOffset>
            </wp:positionV>
            <wp:extent cx="822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48"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 xml:space="preserve">The Board of Directors recommends that you vote </w:t>
      </w:r>
      <w:r>
        <w:rPr>
          <w:rFonts w:ascii="Arial" w:cs="Arial" w:eastAsia="Arial" w:hAnsi="Arial"/>
          <w:sz w:val="21"/>
          <w:szCs w:val="21"/>
          <w:b w:val="1"/>
          <w:bCs w:val="1"/>
          <w:color w:val="C3002F"/>
        </w:rPr>
        <w:t>“FOR”</w:t>
      </w:r>
      <w:r>
        <w:rPr>
          <w:rFonts w:ascii="Arial" w:cs="Arial" w:eastAsia="Arial" w:hAnsi="Arial"/>
          <w:sz w:val="21"/>
          <w:szCs w:val="21"/>
          <w:b w:val="1"/>
          <w:bCs w:val="1"/>
          <w:color w:val="auto"/>
        </w:rPr>
        <w:t xml:space="preserve"> this proposal.</w:t>
      </w:r>
    </w:p>
    <w:p>
      <w:pPr>
        <w:spacing w:after="0" w:line="223" w:lineRule="exact"/>
        <w:rPr>
          <w:sz w:val="20"/>
          <w:szCs w:val="20"/>
          <w:color w:val="auto"/>
        </w:rPr>
      </w:pPr>
    </w:p>
    <w:p>
      <w:pPr>
        <w:jc w:val="both"/>
        <w:ind w:left="260" w:right="60"/>
        <w:spacing w:after="0" w:line="246" w:lineRule="auto"/>
        <w:rPr>
          <w:sz w:val="20"/>
          <w:szCs w:val="20"/>
          <w:color w:val="auto"/>
        </w:rPr>
      </w:pPr>
      <w:r>
        <w:rPr>
          <w:rFonts w:ascii="Arial" w:cs="Arial" w:eastAsia="Arial" w:hAnsi="Arial"/>
          <w:sz w:val="14"/>
          <w:szCs w:val="14"/>
          <w:color w:val="auto"/>
        </w:rPr>
        <w:t>We are asking our shareholders to approve, on an advisory basis, the compensation of our named executive officers (“NEOs”) pursuant to Section 14A of the Exchange Act, as disclosed in this Proxy Statement. While this vote is not binding on our Company, the results of the vote on this proposal will be carefully considered by the Board and the Compensation Committee when making future executive compensation decisions.</w:t>
      </w:r>
    </w:p>
    <w:p>
      <w:pPr>
        <w:spacing w:after="0" w:line="159" w:lineRule="exact"/>
        <w:rPr>
          <w:sz w:val="20"/>
          <w:szCs w:val="20"/>
          <w:color w:val="auto"/>
        </w:rPr>
      </w:pPr>
    </w:p>
    <w:p>
      <w:pPr>
        <w:jc w:val="both"/>
        <w:ind w:left="260" w:right="20"/>
        <w:spacing w:after="0" w:line="246" w:lineRule="auto"/>
        <w:rPr>
          <w:sz w:val="20"/>
          <w:szCs w:val="20"/>
          <w:color w:val="auto"/>
        </w:rPr>
      </w:pPr>
      <w:r>
        <w:rPr>
          <w:rFonts w:ascii="Arial" w:cs="Arial" w:eastAsia="Arial" w:hAnsi="Arial"/>
          <w:sz w:val="14"/>
          <w:szCs w:val="14"/>
          <w:color w:val="auto"/>
        </w:rPr>
        <w:t>We urge you to carefully review the Compensation Discussion and Analysis, or “CD&amp;A,” section in this Proxy Statement, as well as the 2017 Summary Compensation Table, other compensation tables and related narrative discussion for more information regarding the compensation of our NEOs. As described in those sections, our compensation program is designed and administered to:</w:t>
      </w:r>
    </w:p>
    <w:p>
      <w:pPr>
        <w:spacing w:after="0" w:line="199" w:lineRule="exact"/>
        <w:rPr>
          <w:sz w:val="20"/>
          <w:szCs w:val="20"/>
          <w:color w:val="auto"/>
        </w:rPr>
      </w:pPr>
    </w:p>
    <w:p>
      <w:pPr>
        <w:ind w:left="700" w:hanging="219"/>
        <w:spacing w:after="0"/>
        <w:tabs>
          <w:tab w:leader="none" w:pos="700" w:val="left"/>
        </w:tabs>
        <w:numPr>
          <w:ilvl w:val="0"/>
          <w:numId w:val="53"/>
        </w:numPr>
        <w:rPr>
          <w:rFonts w:ascii="Arial" w:cs="Arial" w:eastAsia="Arial" w:hAnsi="Arial"/>
          <w:sz w:val="14"/>
          <w:szCs w:val="14"/>
          <w:color w:val="C3002F"/>
        </w:rPr>
      </w:pPr>
      <w:r>
        <w:rPr>
          <w:rFonts w:ascii="Arial" w:cs="Arial" w:eastAsia="Arial" w:hAnsi="Arial"/>
          <w:sz w:val="14"/>
          <w:szCs w:val="14"/>
          <w:color w:val="auto"/>
        </w:rPr>
        <w:t>drive and reward strong business performance to create superior value for our shareholders;</w:t>
      </w:r>
    </w:p>
    <w:p>
      <w:pPr>
        <w:spacing w:after="0" w:line="212" w:lineRule="exact"/>
        <w:rPr>
          <w:rFonts w:ascii="Arial" w:cs="Arial" w:eastAsia="Arial" w:hAnsi="Arial"/>
          <w:sz w:val="14"/>
          <w:szCs w:val="14"/>
          <w:color w:val="C3002F"/>
        </w:rPr>
      </w:pPr>
    </w:p>
    <w:p>
      <w:pPr>
        <w:ind w:left="700" w:hanging="219"/>
        <w:spacing w:after="0"/>
        <w:tabs>
          <w:tab w:leader="none" w:pos="700" w:val="left"/>
        </w:tabs>
        <w:numPr>
          <w:ilvl w:val="0"/>
          <w:numId w:val="53"/>
        </w:numPr>
        <w:rPr>
          <w:rFonts w:ascii="Arial" w:cs="Arial" w:eastAsia="Arial" w:hAnsi="Arial"/>
          <w:sz w:val="14"/>
          <w:szCs w:val="14"/>
          <w:color w:val="C3002F"/>
        </w:rPr>
      </w:pPr>
      <w:r>
        <w:rPr>
          <w:rFonts w:ascii="Arial" w:cs="Arial" w:eastAsia="Arial" w:hAnsi="Arial"/>
          <w:sz w:val="14"/>
          <w:szCs w:val="14"/>
          <w:color w:val="auto"/>
        </w:rPr>
        <w:t>support key financial and strategic objectives through pay for performance;</w:t>
      </w:r>
    </w:p>
    <w:p>
      <w:pPr>
        <w:spacing w:after="0" w:line="212" w:lineRule="exact"/>
        <w:rPr>
          <w:rFonts w:ascii="Arial" w:cs="Arial" w:eastAsia="Arial" w:hAnsi="Arial"/>
          <w:sz w:val="14"/>
          <w:szCs w:val="14"/>
          <w:color w:val="C3002F"/>
        </w:rPr>
      </w:pPr>
    </w:p>
    <w:p>
      <w:pPr>
        <w:ind w:left="700" w:hanging="219"/>
        <w:spacing w:after="0"/>
        <w:tabs>
          <w:tab w:leader="none" w:pos="700" w:val="left"/>
        </w:tabs>
        <w:numPr>
          <w:ilvl w:val="0"/>
          <w:numId w:val="53"/>
        </w:numPr>
        <w:rPr>
          <w:rFonts w:ascii="Arial" w:cs="Arial" w:eastAsia="Arial" w:hAnsi="Arial"/>
          <w:sz w:val="14"/>
          <w:szCs w:val="14"/>
          <w:color w:val="C3002F"/>
        </w:rPr>
      </w:pPr>
      <w:r>
        <w:rPr>
          <w:rFonts w:ascii="Arial" w:cs="Arial" w:eastAsia="Arial" w:hAnsi="Arial"/>
          <w:sz w:val="14"/>
          <w:szCs w:val="14"/>
          <w:color w:val="auto"/>
        </w:rPr>
        <w:t>attract, retain and motivate individuals in key executive positions, while limiting non-performance based entitlements;</w:t>
      </w:r>
    </w:p>
    <w:p>
      <w:pPr>
        <w:spacing w:after="0" w:line="212" w:lineRule="exact"/>
        <w:rPr>
          <w:rFonts w:ascii="Arial" w:cs="Arial" w:eastAsia="Arial" w:hAnsi="Arial"/>
          <w:sz w:val="14"/>
          <w:szCs w:val="14"/>
          <w:color w:val="C3002F"/>
        </w:rPr>
      </w:pPr>
    </w:p>
    <w:p>
      <w:pPr>
        <w:ind w:left="700" w:hanging="219"/>
        <w:spacing w:after="0"/>
        <w:tabs>
          <w:tab w:leader="none" w:pos="700" w:val="left"/>
        </w:tabs>
        <w:numPr>
          <w:ilvl w:val="0"/>
          <w:numId w:val="53"/>
        </w:numPr>
        <w:rPr>
          <w:rFonts w:ascii="Arial" w:cs="Arial" w:eastAsia="Arial" w:hAnsi="Arial"/>
          <w:sz w:val="14"/>
          <w:szCs w:val="14"/>
          <w:color w:val="C3002F"/>
        </w:rPr>
      </w:pPr>
      <w:r>
        <w:rPr>
          <w:rFonts w:ascii="Arial" w:cs="Arial" w:eastAsia="Arial" w:hAnsi="Arial"/>
          <w:sz w:val="14"/>
          <w:szCs w:val="14"/>
          <w:color w:val="auto"/>
        </w:rPr>
        <w:t>provide a clear link between pay and performance, without encouraging excessive risk taking; and</w:t>
      </w:r>
    </w:p>
    <w:p>
      <w:pPr>
        <w:spacing w:after="0" w:line="212" w:lineRule="exact"/>
        <w:rPr>
          <w:rFonts w:ascii="Arial" w:cs="Arial" w:eastAsia="Arial" w:hAnsi="Arial"/>
          <w:sz w:val="14"/>
          <w:szCs w:val="14"/>
          <w:color w:val="C3002F"/>
        </w:rPr>
      </w:pPr>
    </w:p>
    <w:p>
      <w:pPr>
        <w:ind w:left="700" w:hanging="219"/>
        <w:spacing w:after="0"/>
        <w:tabs>
          <w:tab w:leader="none" w:pos="700" w:val="left"/>
        </w:tabs>
        <w:numPr>
          <w:ilvl w:val="0"/>
          <w:numId w:val="53"/>
        </w:numPr>
        <w:rPr>
          <w:rFonts w:ascii="Arial" w:cs="Arial" w:eastAsia="Arial" w:hAnsi="Arial"/>
          <w:sz w:val="14"/>
          <w:szCs w:val="14"/>
          <w:color w:val="C3002F"/>
        </w:rPr>
      </w:pPr>
      <w:r>
        <w:rPr>
          <w:rFonts w:ascii="Arial" w:cs="Arial" w:eastAsia="Arial" w:hAnsi="Arial"/>
          <w:sz w:val="14"/>
          <w:szCs w:val="14"/>
          <w:color w:val="auto"/>
        </w:rPr>
        <w:t>require our executives to focus on both the short-term and long-term performance goals of the Company.</w:t>
      </w:r>
    </w:p>
    <w:p>
      <w:pPr>
        <w:spacing w:after="0" w:line="173" w:lineRule="exact"/>
        <w:rPr>
          <w:sz w:val="20"/>
          <w:szCs w:val="20"/>
          <w:color w:val="auto"/>
        </w:rPr>
      </w:pPr>
    </w:p>
    <w:p>
      <w:pPr>
        <w:ind w:left="260" w:right="500"/>
        <w:spacing w:after="0" w:line="253" w:lineRule="auto"/>
        <w:rPr>
          <w:sz w:val="20"/>
          <w:szCs w:val="20"/>
          <w:color w:val="auto"/>
        </w:rPr>
      </w:pPr>
      <w:r>
        <w:rPr>
          <w:rFonts w:ascii="Arial" w:cs="Arial" w:eastAsia="Arial" w:hAnsi="Arial"/>
          <w:sz w:val="14"/>
          <w:szCs w:val="14"/>
          <w:color w:val="auto"/>
        </w:rPr>
        <w:t>We believe the information in this Proxy Statement demonstrates the successful design and implementation of a compensation program that aligns shareholders’ and management’s interests. Accordingly, the Board of Directors recommends that shareholders approve the program by approving the following resolution:</w:t>
      </w:r>
    </w:p>
    <w:p>
      <w:pPr>
        <w:spacing w:after="0" w:line="150" w:lineRule="exact"/>
        <w:rPr>
          <w:sz w:val="20"/>
          <w:szCs w:val="20"/>
          <w:color w:val="auto"/>
        </w:rPr>
      </w:pPr>
    </w:p>
    <w:p>
      <w:pPr>
        <w:ind w:left="260"/>
        <w:spacing w:after="0" w:line="254" w:lineRule="auto"/>
        <w:rPr>
          <w:sz w:val="20"/>
          <w:szCs w:val="20"/>
          <w:color w:val="auto"/>
        </w:rPr>
      </w:pPr>
      <w:r>
        <w:rPr>
          <w:rFonts w:ascii="Arial" w:cs="Arial" w:eastAsia="Arial" w:hAnsi="Arial"/>
          <w:sz w:val="14"/>
          <w:szCs w:val="14"/>
          <w:b w:val="1"/>
          <w:bCs w:val="1"/>
          <w:color w:val="auto"/>
        </w:rPr>
        <w:t xml:space="preserve">“RESOLVED, </w:t>
      </w:r>
      <w:r>
        <w:rPr>
          <w:rFonts w:ascii="Arial" w:cs="Arial" w:eastAsia="Arial" w:hAnsi="Arial"/>
          <w:sz w:val="14"/>
          <w:szCs w:val="14"/>
          <w:color w:val="auto"/>
        </w:rPr>
        <w:t>that the shareholders of the Company approve, on an advisory basis, the compensation of the Company’s named executive officers disclosed pursuant to Item</w:t>
      </w:r>
      <w:r>
        <w:rPr>
          <w:rFonts w:ascii="Arial" w:cs="Arial" w:eastAsia="Arial" w:hAnsi="Arial"/>
          <w:sz w:val="14"/>
          <w:szCs w:val="14"/>
          <w:b w:val="1"/>
          <w:bCs w:val="1"/>
          <w:color w:val="auto"/>
        </w:rPr>
        <w:t xml:space="preserve"> </w:t>
      </w:r>
      <w:r>
        <w:rPr>
          <w:rFonts w:ascii="Arial" w:cs="Arial" w:eastAsia="Arial" w:hAnsi="Arial"/>
          <w:sz w:val="14"/>
          <w:szCs w:val="14"/>
          <w:color w:val="auto"/>
        </w:rPr>
        <w:t>402 of Regulation S-K, including the Executive Compensation section of the Proxy Statement for the Company’s 2018 Annual General Meeting of Shareholders, which includes the Compensation Discussion and Analysis, the 2017 Summary Compensation Table and other executive compensation tables and accompanying narrative discussion.”</w:t>
      </w:r>
    </w:p>
    <w:p>
      <w:pPr>
        <w:spacing w:after="0" w:line="307" w:lineRule="exact"/>
        <w:rPr>
          <w:sz w:val="20"/>
          <w:szCs w:val="20"/>
          <w:color w:val="auto"/>
        </w:rPr>
      </w:pPr>
    </w:p>
    <w:p>
      <w:pPr>
        <w:ind w:left="260" w:right="240"/>
        <w:spacing w:after="0" w:line="274" w:lineRule="auto"/>
        <w:rPr>
          <w:sz w:val="20"/>
          <w:szCs w:val="20"/>
          <w:color w:val="auto"/>
        </w:rPr>
      </w:pPr>
      <w:r>
        <w:rPr>
          <w:rFonts w:ascii="Arial" w:cs="Arial" w:eastAsia="Arial" w:hAnsi="Arial"/>
          <w:sz w:val="14"/>
          <w:szCs w:val="14"/>
          <w:color w:val="auto"/>
        </w:rPr>
        <w:t>An ordinary resolution (i.e.</w:t>
      </w:r>
      <w:r>
        <w:rPr>
          <w:rFonts w:ascii="Arial" w:cs="Arial" w:eastAsia="Arial" w:hAnsi="Arial"/>
          <w:sz w:val="14"/>
          <w:szCs w:val="14"/>
          <w:i w:val="1"/>
          <w:iCs w:val="1"/>
          <w:color w:val="auto"/>
        </w:rPr>
        <w:t>,</w:t>
      </w:r>
      <w:r>
        <w:rPr>
          <w:rFonts w:ascii="Arial" w:cs="Arial" w:eastAsia="Arial" w:hAnsi="Arial"/>
          <w:sz w:val="14"/>
          <w:szCs w:val="14"/>
          <w:color w:val="auto"/>
        </w:rPr>
        <w:t xml:space="preserve"> a simple majority of the votes cast “For” or “Against,”) is required to approve this proposal. If you properly give a proxy but do not indicate how you wish to vote, the persons named on the proxy card, or if you do not name your proxy or proxies, the Proxy Holders, will vote for the proposal.</w:t>
      </w:r>
    </w:p>
    <w:p>
      <w:pPr>
        <w:spacing w:after="0" w:line="336" w:lineRule="exact"/>
        <w:rPr>
          <w:sz w:val="20"/>
          <w:szCs w:val="20"/>
          <w:color w:val="auto"/>
        </w:rPr>
      </w:pPr>
    </w:p>
    <w:p>
      <w:pPr>
        <w:ind w:left="260" w:right="2020"/>
        <w:spacing w:after="0" w:line="275" w:lineRule="auto"/>
        <w:rPr>
          <w:sz w:val="20"/>
          <w:szCs w:val="20"/>
          <w:color w:val="auto"/>
        </w:rPr>
      </w:pPr>
      <w:r>
        <w:rPr>
          <w:rFonts w:ascii="Arial" w:cs="Arial" w:eastAsia="Arial" w:hAnsi="Arial"/>
          <w:sz w:val="43"/>
          <w:szCs w:val="43"/>
          <w:b w:val="1"/>
          <w:bCs w:val="1"/>
          <w:color w:val="auto"/>
        </w:rPr>
        <w:t>A MESSAGE FROM YOUR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-718820</wp:posOffset>
            </wp:positionV>
            <wp:extent cx="822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To our Fellow Shareholders,</w:t>
      </w:r>
    </w:p>
    <w:p>
      <w:pPr>
        <w:spacing w:after="0" w:line="187" w:lineRule="exact"/>
        <w:rPr>
          <w:sz w:val="20"/>
          <w:szCs w:val="20"/>
          <w:color w:val="auto"/>
        </w:rPr>
      </w:pPr>
    </w:p>
    <w:p>
      <w:pPr>
        <w:jc w:val="both"/>
        <w:ind w:left="260" w:right="60"/>
        <w:spacing w:after="0" w:line="246" w:lineRule="auto"/>
        <w:rPr>
          <w:sz w:val="20"/>
          <w:szCs w:val="20"/>
          <w:color w:val="auto"/>
        </w:rPr>
      </w:pPr>
      <w:r>
        <w:rPr>
          <w:rFonts w:ascii="Arial" w:cs="Arial" w:eastAsia="Arial" w:hAnsi="Arial"/>
          <w:sz w:val="14"/>
          <w:szCs w:val="14"/>
          <w:color w:val="auto"/>
        </w:rPr>
        <w:t>In 2017 we appointed two new executives to lead Weatherford’s transformation strategy: Mark A. McCollum, our President and Chief Executive Officer, and Karl Blanchard, our Executive Vice President and Chief Operating Officer. Messrs. McCollum and Blanchard bring vast industry experience and extensive financial and operational expertise to Weatherford, and join a leadership team that is committed to driving change that will ultimately deliver improved financial performance and sustained shareholder value.</w:t>
      </w:r>
    </w:p>
    <w:p>
      <w:pPr>
        <w:spacing w:after="0" w:line="172" w:lineRule="exact"/>
        <w:rPr>
          <w:sz w:val="20"/>
          <w:szCs w:val="20"/>
          <w:color w:val="auto"/>
        </w:rPr>
      </w:pPr>
    </w:p>
    <w:p>
      <w:pPr>
        <w:ind w:left="260" w:right="20"/>
        <w:spacing w:after="0" w:line="242" w:lineRule="auto"/>
        <w:rPr>
          <w:sz w:val="20"/>
          <w:szCs w:val="20"/>
          <w:color w:val="auto"/>
        </w:rPr>
      </w:pPr>
      <w:r>
        <w:rPr>
          <w:rFonts w:ascii="Arial" w:cs="Arial" w:eastAsia="Arial" w:hAnsi="Arial"/>
          <w:sz w:val="14"/>
          <w:szCs w:val="14"/>
          <w:color w:val="auto"/>
        </w:rPr>
        <w:t>A prerequisite to attracting exceptional talent is an executive compensation program that effectively aligns the interests of our executives with those of our shareholders over the long-term. To align those interests, equity awards were made to Messrs. McCollum and Blanchard upon joining; Mr. McCollum was granted restricted share units (“RSUs”) and performance share units (split evenly) as well as a one-time RSU award of $3 million to replace value forfeited at his previous employer. Mr. Blanchard’s initial equity award was weighted 75% (RSUs) and 25% performance share units as in inducement for joining. We view these awards, which are discussed in more detail below, as a necessary recruiting tool, and as a means to drive performance. Neither new NEO received a cash sign-on payment for joining Weatherford in 2017.</w:t>
      </w:r>
    </w:p>
    <w:p>
      <w:pPr>
        <w:spacing w:after="0" w:line="163" w:lineRule="exact"/>
        <w:rPr>
          <w:sz w:val="20"/>
          <w:szCs w:val="20"/>
          <w:color w:val="auto"/>
        </w:rPr>
      </w:pPr>
    </w:p>
    <w:p>
      <w:pPr>
        <w:ind w:left="260" w:right="180"/>
        <w:spacing w:after="0" w:line="246" w:lineRule="auto"/>
        <w:rPr>
          <w:sz w:val="20"/>
          <w:szCs w:val="20"/>
          <w:color w:val="auto"/>
        </w:rPr>
      </w:pPr>
      <w:r>
        <w:rPr>
          <w:rFonts w:ascii="Arial" w:cs="Arial" w:eastAsia="Arial" w:hAnsi="Arial"/>
          <w:sz w:val="14"/>
          <w:szCs w:val="14"/>
          <w:color w:val="auto"/>
        </w:rPr>
        <w:t>In the following Compensation Discussion and Analysis, you will see the details and rationale of our compensation program regarding our 2017 decisions. We remain steadfast in our commitment to pay for performance, and taking into consideration the views of our shareholders as we carefully oversee and administer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89535</wp:posOffset>
            </wp:positionV>
            <wp:extent cx="69176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620" w:hanging="353"/>
        <w:spacing w:after="0"/>
        <w:tabs>
          <w:tab w:leader="none" w:pos="620" w:val="left"/>
        </w:tabs>
        <w:numPr>
          <w:ilvl w:val="0"/>
          <w:numId w:val="54"/>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2018 Proxy Statement</w:t>
      </w:r>
    </w:p>
    <w:p>
      <w:pPr>
        <w:sectPr>
          <w:pgSz w:w="11900" w:h="16838" w:orient="portrait"/>
          <w:cols w:equalWidth="0" w:num="1">
            <w:col w:w="11160"/>
          </w:cols>
          <w:pgMar w:left="240" w:top="455"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338455</wp:posOffset>
            </wp:positionV>
            <wp:extent cx="822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260"/>
        <w:spacing w:after="0"/>
        <w:rPr>
          <w:sz w:val="20"/>
          <w:szCs w:val="20"/>
          <w:color w:val="auto"/>
        </w:rPr>
      </w:pPr>
      <w:r>
        <w:rPr>
          <w:rFonts w:ascii="Arial" w:cs="Arial" w:eastAsia="Arial" w:hAnsi="Arial"/>
          <w:sz w:val="28"/>
          <w:szCs w:val="28"/>
          <w:b w:val="1"/>
          <w:bCs w:val="1"/>
          <w:color w:val="C3002F"/>
        </w:rPr>
        <w:t>2017 PAY FOR PERFORMANCE ALIGNMENT</w:t>
      </w:r>
    </w:p>
    <w:p>
      <w:pPr>
        <w:spacing w:after="0" w:line="272" w:lineRule="exact"/>
        <w:rPr>
          <w:sz w:val="20"/>
          <w:szCs w:val="20"/>
          <w:color w:val="auto"/>
        </w:rPr>
      </w:pPr>
    </w:p>
    <w:tbl>
      <w:tblPr>
        <w:tblLayout w:type="fixed"/>
        <w:tblInd w:w="260" w:type="dxa"/>
        <w:tblCellMar>
          <w:top w:w="0" w:type="dxa"/>
          <w:left w:w="0" w:type="dxa"/>
          <w:bottom w:w="0" w:type="dxa"/>
          <w:right w:w="0" w:type="dxa"/>
        </w:tblCellMar>
      </w:tblPr>
      <w:tr>
        <w:trPr>
          <w:trHeight w:val="178"/>
        </w:trPr>
        <w:tc>
          <w:tcPr>
            <w:tcW w:w="22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Base salaries</w:t>
            </w:r>
          </w:p>
        </w:tc>
        <w:tc>
          <w:tcPr>
            <w:tcW w:w="800" w:type="dxa"/>
            <w:vAlign w:val="bottom"/>
            <w:tcBorders>
              <w:top w:val="single" w:sz="8" w:color="auto"/>
            </w:tcBorders>
          </w:tcPr>
          <w:p>
            <w:pPr>
              <w:ind w:left="700"/>
              <w:spacing w:after="0"/>
              <w:rPr>
                <w:sz w:val="20"/>
                <w:szCs w:val="20"/>
                <w:color w:val="auto"/>
              </w:rPr>
            </w:pPr>
            <w:r>
              <w:rPr>
                <w:rFonts w:ascii="Arial" w:cs="Arial" w:eastAsia="Arial" w:hAnsi="Arial"/>
                <w:sz w:val="14"/>
                <w:szCs w:val="14"/>
                <w:color w:val="C3002F"/>
              </w:rPr>
              <w:t>•</w:t>
            </w:r>
          </w:p>
        </w:tc>
        <w:tc>
          <w:tcPr>
            <w:tcW w:w="78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The salaries of our two new leading industry executives, Messrs. McCollum and Blanchard, were discussed and evaluated</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40" w:type="dxa"/>
            <w:vAlign w:val="bottom"/>
          </w:tcPr>
          <w:p>
            <w:pPr>
              <w:ind w:left="40"/>
              <w:spacing w:after="0" w:line="150" w:lineRule="exact"/>
              <w:rPr>
                <w:sz w:val="20"/>
                <w:szCs w:val="20"/>
                <w:color w:val="auto"/>
              </w:rPr>
            </w:pPr>
            <w:r>
              <w:rPr>
                <w:rFonts w:ascii="Arial" w:cs="Arial" w:eastAsia="Arial" w:hAnsi="Arial"/>
                <w:sz w:val="14"/>
                <w:szCs w:val="14"/>
                <w:color w:val="auto"/>
              </w:rPr>
              <w:t>extensively with our independent compensation consultant and set at competitive market rates.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640" w:type="dxa"/>
            <w:vAlign w:val="bottom"/>
            <w:gridSpan w:val="2"/>
          </w:tcPr>
          <w:p>
            <w:pPr>
              <w:ind w:left="70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Base salaries were not changed for any officers other than Mr. Mills, who received a market-based increase due to his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40" w:type="dxa"/>
            <w:vAlign w:val="bottom"/>
            <w:tcBorders>
              <w:bottom w:val="single" w:sz="8" w:color="666666"/>
            </w:tcBorders>
          </w:tcPr>
          <w:p>
            <w:pPr>
              <w:spacing w:after="0"/>
              <w:rPr>
                <w:sz w:val="14"/>
                <w:szCs w:val="14"/>
                <w:color w:val="auto"/>
              </w:rPr>
            </w:pPr>
          </w:p>
        </w:tc>
        <w:tc>
          <w:tcPr>
            <w:tcW w:w="800" w:type="dxa"/>
            <w:vAlign w:val="bottom"/>
            <w:tcBorders>
              <w:bottom w:val="single" w:sz="8" w:color="666666"/>
            </w:tcBorders>
          </w:tcPr>
          <w:p>
            <w:pPr>
              <w:spacing w:after="0"/>
              <w:rPr>
                <w:sz w:val="14"/>
                <w:szCs w:val="14"/>
                <w:color w:val="auto"/>
              </w:rPr>
            </w:pPr>
          </w:p>
        </w:tc>
        <w:tc>
          <w:tcPr>
            <w:tcW w:w="7840" w:type="dxa"/>
            <w:vAlign w:val="bottom"/>
            <w:tcBorders>
              <w:bottom w:val="single" w:sz="8" w:color="666666"/>
            </w:tcBorders>
          </w:tcPr>
          <w:p>
            <w:pPr>
              <w:ind w:left="40"/>
              <w:spacing w:after="0"/>
              <w:rPr>
                <w:sz w:val="20"/>
                <w:szCs w:val="20"/>
                <w:color w:val="auto"/>
              </w:rPr>
            </w:pPr>
            <w:r>
              <w:rPr>
                <w:rFonts w:ascii="Arial" w:cs="Arial" w:eastAsia="Arial" w:hAnsi="Arial"/>
                <w:sz w:val="14"/>
                <w:szCs w:val="14"/>
                <w:color w:val="auto"/>
              </w:rPr>
              <w:t>critical skills and a desire for retention.</w:t>
            </w:r>
          </w:p>
        </w:tc>
        <w:tc>
          <w:tcPr>
            <w:tcW w:w="0" w:type="dxa"/>
            <w:vAlign w:val="bottom"/>
          </w:tcPr>
          <w:p>
            <w:pPr>
              <w:spacing w:after="0"/>
              <w:rPr>
                <w:sz w:val="1"/>
                <w:szCs w:val="1"/>
                <w:color w:val="auto"/>
              </w:rPr>
            </w:pPr>
          </w:p>
        </w:tc>
      </w:tr>
      <w:tr>
        <w:trPr>
          <w:trHeight w:val="158"/>
        </w:trPr>
        <w:tc>
          <w:tcPr>
            <w:tcW w:w="2260" w:type="dxa"/>
            <w:vAlign w:val="bottom"/>
            <w:gridSpan w:val="2"/>
          </w:tcPr>
          <w:p>
            <w:pPr>
              <w:spacing w:after="0" w:line="158" w:lineRule="exact"/>
              <w:rPr>
                <w:sz w:val="20"/>
                <w:szCs w:val="20"/>
                <w:color w:val="auto"/>
              </w:rPr>
            </w:pPr>
            <w:r>
              <w:rPr>
                <w:rFonts w:ascii="Arial" w:cs="Arial" w:eastAsia="Arial" w:hAnsi="Arial"/>
                <w:sz w:val="14"/>
                <w:szCs w:val="14"/>
                <w:color w:val="auto"/>
              </w:rPr>
              <w:t>Limited payout of annual</w:t>
            </w:r>
          </w:p>
        </w:tc>
        <w:tc>
          <w:tcPr>
            <w:tcW w:w="800" w:type="dxa"/>
            <w:vAlign w:val="bottom"/>
          </w:tcPr>
          <w:p>
            <w:pPr>
              <w:ind w:left="700"/>
              <w:spacing w:after="0" w:line="158" w:lineRule="exact"/>
              <w:rPr>
                <w:sz w:val="20"/>
                <w:szCs w:val="20"/>
                <w:color w:val="auto"/>
              </w:rPr>
            </w:pPr>
            <w:r>
              <w:rPr>
                <w:rFonts w:ascii="Arial" w:cs="Arial" w:eastAsia="Arial" w:hAnsi="Arial"/>
                <w:sz w:val="14"/>
                <w:szCs w:val="14"/>
                <w:color w:val="C3002F"/>
              </w:rPr>
              <w:t>•</w:t>
            </w:r>
          </w:p>
        </w:tc>
        <w:tc>
          <w:tcPr>
            <w:tcW w:w="7840" w:type="dxa"/>
            <w:vAlign w:val="bottom"/>
          </w:tcPr>
          <w:p>
            <w:pPr>
              <w:ind w:left="40"/>
              <w:spacing w:after="0" w:line="158" w:lineRule="exact"/>
              <w:rPr>
                <w:sz w:val="20"/>
                <w:szCs w:val="20"/>
                <w:color w:val="auto"/>
              </w:rPr>
            </w:pPr>
            <w:r>
              <w:rPr>
                <w:rFonts w:ascii="Arial" w:cs="Arial" w:eastAsia="Arial" w:hAnsi="Arial"/>
                <w:sz w:val="14"/>
                <w:szCs w:val="14"/>
                <w:color w:val="auto"/>
              </w:rPr>
              <w:t>The performance objectives under our Executive Non-Equity Incentive Compensation Plan (the “EICP”) were carefully</w:t>
            </w:r>
          </w:p>
        </w:tc>
        <w:tc>
          <w:tcPr>
            <w:tcW w:w="0" w:type="dxa"/>
            <w:vAlign w:val="bottom"/>
          </w:tcPr>
          <w:p>
            <w:pPr>
              <w:spacing w:after="0"/>
              <w:rPr>
                <w:sz w:val="1"/>
                <w:szCs w:val="1"/>
                <w:color w:val="auto"/>
              </w:rPr>
            </w:pPr>
          </w:p>
        </w:tc>
      </w:tr>
      <w:tr>
        <w:trPr>
          <w:trHeight w:val="160"/>
        </w:trPr>
        <w:tc>
          <w:tcPr>
            <w:tcW w:w="2260" w:type="dxa"/>
            <w:vAlign w:val="bottom"/>
            <w:gridSpan w:val="2"/>
          </w:tcPr>
          <w:p>
            <w:pPr>
              <w:spacing w:after="0"/>
              <w:rPr>
                <w:sz w:val="20"/>
                <w:szCs w:val="20"/>
                <w:color w:val="auto"/>
              </w:rPr>
            </w:pPr>
            <w:r>
              <w:rPr>
                <w:rFonts w:ascii="Arial" w:cs="Arial" w:eastAsia="Arial" w:hAnsi="Arial"/>
                <w:sz w:val="14"/>
                <w:szCs w:val="14"/>
                <w:color w:val="auto"/>
              </w:rPr>
              <w:t>cash incentive</w:t>
            </w:r>
          </w:p>
        </w:tc>
        <w:tc>
          <w:tcPr>
            <w:tcW w:w="800" w:type="dxa"/>
            <w:vAlign w:val="bottom"/>
          </w:tcPr>
          <w:p>
            <w:pPr>
              <w:spacing w:after="0"/>
              <w:rPr>
                <w:sz w:val="13"/>
                <w:szCs w:val="13"/>
                <w:color w:val="auto"/>
              </w:rPr>
            </w:pPr>
          </w:p>
        </w:tc>
        <w:tc>
          <w:tcPr>
            <w:tcW w:w="7840" w:type="dxa"/>
            <w:vAlign w:val="bottom"/>
          </w:tcPr>
          <w:p>
            <w:pPr>
              <w:ind w:left="40"/>
              <w:spacing w:after="0"/>
              <w:rPr>
                <w:sz w:val="20"/>
                <w:szCs w:val="20"/>
                <w:color w:val="auto"/>
              </w:rPr>
            </w:pPr>
            <w:r>
              <w:rPr>
                <w:rFonts w:ascii="Arial" w:cs="Arial" w:eastAsia="Arial" w:hAnsi="Arial"/>
                <w:sz w:val="14"/>
                <w:szCs w:val="14"/>
                <w:color w:val="auto"/>
              </w:rPr>
              <w:t>selected to drive performance toward our strategic goals for the year. In 2017, our NEOs’ objectives were based on</w:t>
            </w:r>
          </w:p>
        </w:tc>
        <w:tc>
          <w:tcPr>
            <w:tcW w:w="0" w:type="dxa"/>
            <w:vAlign w:val="bottom"/>
          </w:tcPr>
          <w:p>
            <w:pPr>
              <w:spacing w:after="0"/>
              <w:rPr>
                <w:sz w:val="1"/>
                <w:szCs w:val="1"/>
                <w:color w:val="auto"/>
              </w:rPr>
            </w:pPr>
          </w:p>
        </w:tc>
      </w:tr>
      <w:tr>
        <w:trPr>
          <w:trHeight w:val="160"/>
        </w:trPr>
        <w:tc>
          <w:tcPr>
            <w:tcW w:w="2260" w:type="dxa"/>
            <w:vAlign w:val="bottom"/>
            <w:gridSpan w:val="2"/>
          </w:tcPr>
          <w:p>
            <w:pPr>
              <w:spacing w:after="0"/>
              <w:rPr>
                <w:sz w:val="20"/>
                <w:szCs w:val="20"/>
                <w:color w:val="auto"/>
              </w:rPr>
            </w:pPr>
            <w:r>
              <w:rPr>
                <w:rFonts w:ascii="Arial" w:cs="Arial" w:eastAsia="Arial" w:hAnsi="Arial"/>
                <w:sz w:val="14"/>
                <w:szCs w:val="14"/>
                <w:color w:val="auto"/>
              </w:rPr>
              <w:t>compensation</w:t>
            </w:r>
          </w:p>
        </w:tc>
        <w:tc>
          <w:tcPr>
            <w:tcW w:w="800" w:type="dxa"/>
            <w:vAlign w:val="bottom"/>
          </w:tcPr>
          <w:p>
            <w:pPr>
              <w:spacing w:after="0"/>
              <w:rPr>
                <w:sz w:val="13"/>
                <w:szCs w:val="13"/>
                <w:color w:val="auto"/>
              </w:rPr>
            </w:pPr>
          </w:p>
        </w:tc>
        <w:tc>
          <w:tcPr>
            <w:tcW w:w="7840" w:type="dxa"/>
            <w:vAlign w:val="bottom"/>
          </w:tcPr>
          <w:p>
            <w:pPr>
              <w:ind w:left="40"/>
              <w:spacing w:after="0"/>
              <w:rPr>
                <w:sz w:val="20"/>
                <w:szCs w:val="20"/>
                <w:color w:val="auto"/>
              </w:rPr>
            </w:pPr>
            <w:r>
              <w:rPr>
                <w:rFonts w:ascii="Arial" w:cs="Arial" w:eastAsia="Arial" w:hAnsi="Arial"/>
                <w:sz w:val="14"/>
                <w:szCs w:val="14"/>
                <w:color w:val="auto"/>
              </w:rPr>
              <w:t>generating revenue, EBITDA and free cash flow from operations as well as further reducing the Company’s support ratio</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40" w:type="dxa"/>
            <w:vAlign w:val="bottom"/>
          </w:tcPr>
          <w:p>
            <w:pPr>
              <w:ind w:left="40"/>
              <w:spacing w:after="0"/>
              <w:rPr>
                <w:sz w:val="20"/>
                <w:szCs w:val="20"/>
                <w:color w:val="auto"/>
              </w:rPr>
            </w:pPr>
            <w:r>
              <w:rPr>
                <w:rFonts w:ascii="Arial" w:cs="Arial" w:eastAsia="Arial" w:hAnsi="Arial"/>
                <w:sz w:val="14"/>
                <w:szCs w:val="14"/>
                <w:color w:val="auto"/>
              </w:rPr>
              <w:t>and maintaining focus on quality, individual objectives, and safety. In addition, a performance multiplier was included, as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40" w:type="dxa"/>
            <w:vAlign w:val="bottom"/>
          </w:tcPr>
          <w:p>
            <w:pPr>
              <w:ind w:left="40"/>
              <w:spacing w:after="0"/>
              <w:rPr>
                <w:sz w:val="20"/>
                <w:szCs w:val="20"/>
                <w:color w:val="auto"/>
              </w:rPr>
            </w:pPr>
            <w:r>
              <w:rPr>
                <w:rFonts w:ascii="Arial" w:cs="Arial" w:eastAsia="Arial" w:hAnsi="Arial"/>
                <w:sz w:val="14"/>
                <w:szCs w:val="14"/>
                <w:color w:val="auto"/>
              </w:rPr>
              <w:t>determined using a comparative performance matrix, based on the percentage changes in revenue, operating income and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0" w:type="dxa"/>
            <w:vAlign w:val="bottom"/>
            <w:vMerge w:val="restart"/>
          </w:tcPr>
          <w:p>
            <w:pPr>
              <w:ind w:left="700"/>
              <w:spacing w:after="0"/>
              <w:rPr>
                <w:sz w:val="20"/>
                <w:szCs w:val="20"/>
                <w:color w:val="auto"/>
              </w:rPr>
            </w:pPr>
            <w:r>
              <w:rPr>
                <w:rFonts w:ascii="Arial" w:cs="Arial" w:eastAsia="Arial" w:hAnsi="Arial"/>
                <w:sz w:val="14"/>
                <w:szCs w:val="14"/>
                <w:color w:val="C3002F"/>
              </w:rPr>
              <w:t>•</w:t>
            </w:r>
          </w:p>
        </w:tc>
        <w:tc>
          <w:tcPr>
            <w:tcW w:w="7840" w:type="dxa"/>
            <w:vAlign w:val="bottom"/>
          </w:tcPr>
          <w:p>
            <w:pPr>
              <w:ind w:left="40"/>
              <w:spacing w:after="0"/>
              <w:rPr>
                <w:sz w:val="20"/>
                <w:szCs w:val="20"/>
                <w:color w:val="auto"/>
              </w:rPr>
            </w:pPr>
            <w:r>
              <w:rPr>
                <w:rFonts w:ascii="Arial" w:cs="Arial" w:eastAsia="Arial" w:hAnsi="Arial"/>
                <w:sz w:val="14"/>
                <w:szCs w:val="14"/>
                <w:color w:val="auto"/>
              </w:rPr>
              <w:t>free cash flow.</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7840" w:type="dxa"/>
            <w:vAlign w:val="bottom"/>
          </w:tcPr>
          <w:p>
            <w:pPr>
              <w:ind w:left="40"/>
              <w:spacing w:after="0"/>
              <w:rPr>
                <w:sz w:val="20"/>
                <w:szCs w:val="20"/>
                <w:color w:val="auto"/>
              </w:rPr>
            </w:pPr>
            <w:r>
              <w:rPr>
                <w:rFonts w:ascii="Arial" w:cs="Arial" w:eastAsia="Arial" w:hAnsi="Arial"/>
                <w:sz w:val="14"/>
                <w:szCs w:val="14"/>
                <w:color w:val="auto"/>
              </w:rPr>
              <w:t>As the Company achieved some objectives, executive officers were paid between 34% and 58% of his or her base salary</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40" w:type="dxa"/>
            <w:vAlign w:val="bottom"/>
          </w:tcPr>
          <w:p>
            <w:pPr>
              <w:ind w:left="40"/>
              <w:spacing w:after="0" w:line="150" w:lineRule="exact"/>
              <w:rPr>
                <w:sz w:val="20"/>
                <w:szCs w:val="20"/>
                <w:color w:val="auto"/>
              </w:rPr>
            </w:pPr>
            <w:r>
              <w:rPr>
                <w:rFonts w:ascii="Arial" w:cs="Arial" w:eastAsia="Arial" w:hAnsi="Arial"/>
                <w:sz w:val="14"/>
                <w:szCs w:val="14"/>
                <w:color w:val="auto"/>
              </w:rPr>
              <w:t>as a bonus.</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240" w:type="dxa"/>
            <w:vAlign w:val="bottom"/>
            <w:tcBorders>
              <w:bottom w:val="single" w:sz="8" w:color="666666"/>
            </w:tcBorders>
          </w:tcPr>
          <w:p>
            <w:pPr>
              <w:spacing w:after="0"/>
              <w:rPr>
                <w:sz w:val="15"/>
                <w:szCs w:val="15"/>
                <w:color w:val="auto"/>
              </w:rPr>
            </w:pPr>
          </w:p>
        </w:tc>
        <w:tc>
          <w:tcPr>
            <w:tcW w:w="8640" w:type="dxa"/>
            <w:vAlign w:val="bottom"/>
            <w:tcBorders>
              <w:bottom w:val="single" w:sz="8" w:color="666666"/>
            </w:tcBorders>
            <w:gridSpan w:val="2"/>
          </w:tcPr>
          <w:p>
            <w:pPr>
              <w:ind w:left="70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No cash sign-on bonuses were paid to NEOs joining the Company in 2017.</w:t>
            </w:r>
          </w:p>
        </w:tc>
        <w:tc>
          <w:tcPr>
            <w:tcW w:w="0" w:type="dxa"/>
            <w:vAlign w:val="bottom"/>
          </w:tcPr>
          <w:p>
            <w:pPr>
              <w:spacing w:after="0"/>
              <w:rPr>
                <w:sz w:val="1"/>
                <w:szCs w:val="1"/>
                <w:color w:val="auto"/>
              </w:rPr>
            </w:pPr>
          </w:p>
        </w:tc>
      </w:tr>
      <w:tr>
        <w:trPr>
          <w:trHeight w:val="158"/>
        </w:trPr>
        <w:tc>
          <w:tcPr>
            <w:tcW w:w="2260" w:type="dxa"/>
            <w:vAlign w:val="bottom"/>
            <w:gridSpan w:val="2"/>
          </w:tcPr>
          <w:p>
            <w:pPr>
              <w:spacing w:after="0" w:line="158" w:lineRule="exact"/>
              <w:rPr>
                <w:sz w:val="20"/>
                <w:szCs w:val="20"/>
                <w:color w:val="auto"/>
              </w:rPr>
            </w:pPr>
            <w:r>
              <w:rPr>
                <w:rFonts w:ascii="Arial" w:cs="Arial" w:eastAsia="Arial" w:hAnsi="Arial"/>
                <w:sz w:val="14"/>
                <w:szCs w:val="14"/>
                <w:color w:val="auto"/>
              </w:rPr>
              <w:t>No vesting of</w:t>
            </w:r>
          </w:p>
        </w:tc>
        <w:tc>
          <w:tcPr>
            <w:tcW w:w="800" w:type="dxa"/>
            <w:vAlign w:val="bottom"/>
          </w:tcPr>
          <w:p>
            <w:pPr>
              <w:ind w:left="700"/>
              <w:spacing w:after="0" w:line="158" w:lineRule="exact"/>
              <w:rPr>
                <w:sz w:val="20"/>
                <w:szCs w:val="20"/>
                <w:color w:val="auto"/>
              </w:rPr>
            </w:pPr>
            <w:r>
              <w:rPr>
                <w:rFonts w:ascii="Arial" w:cs="Arial" w:eastAsia="Arial" w:hAnsi="Arial"/>
                <w:sz w:val="14"/>
                <w:szCs w:val="14"/>
                <w:color w:val="C3002F"/>
              </w:rPr>
              <w:t>•</w:t>
            </w:r>
          </w:p>
        </w:tc>
        <w:tc>
          <w:tcPr>
            <w:tcW w:w="7840" w:type="dxa"/>
            <w:vAlign w:val="bottom"/>
          </w:tcPr>
          <w:p>
            <w:pPr>
              <w:ind w:left="40"/>
              <w:spacing w:after="0" w:line="158" w:lineRule="exact"/>
              <w:rPr>
                <w:sz w:val="20"/>
                <w:szCs w:val="20"/>
                <w:color w:val="auto"/>
              </w:rPr>
            </w:pPr>
            <w:r>
              <w:rPr>
                <w:rFonts w:ascii="Arial" w:cs="Arial" w:eastAsia="Arial" w:hAnsi="Arial"/>
                <w:sz w:val="14"/>
                <w:szCs w:val="14"/>
                <w:color w:val="auto"/>
              </w:rPr>
              <w:t>The performance share units (the “PSUs”) granted to our NEOs in 2017 vest in 1/3 annual tranches based on share price</w:t>
            </w:r>
          </w:p>
        </w:tc>
        <w:tc>
          <w:tcPr>
            <w:tcW w:w="0" w:type="dxa"/>
            <w:vAlign w:val="bottom"/>
          </w:tcPr>
          <w:p>
            <w:pPr>
              <w:spacing w:after="0"/>
              <w:rPr>
                <w:sz w:val="1"/>
                <w:szCs w:val="1"/>
                <w:color w:val="auto"/>
              </w:rPr>
            </w:pPr>
          </w:p>
        </w:tc>
      </w:tr>
      <w:tr>
        <w:trPr>
          <w:trHeight w:val="160"/>
        </w:trPr>
        <w:tc>
          <w:tcPr>
            <w:tcW w:w="2260" w:type="dxa"/>
            <w:vAlign w:val="bottom"/>
            <w:gridSpan w:val="2"/>
          </w:tcPr>
          <w:p>
            <w:pPr>
              <w:spacing w:after="0"/>
              <w:rPr>
                <w:sz w:val="20"/>
                <w:szCs w:val="20"/>
                <w:color w:val="auto"/>
              </w:rPr>
            </w:pPr>
            <w:r>
              <w:rPr>
                <w:rFonts w:ascii="Arial" w:cs="Arial" w:eastAsia="Arial" w:hAnsi="Arial"/>
                <w:sz w:val="14"/>
                <w:szCs w:val="14"/>
                <w:color w:val="auto"/>
              </w:rPr>
              <w:t>performance share units</w:t>
            </w:r>
          </w:p>
        </w:tc>
        <w:tc>
          <w:tcPr>
            <w:tcW w:w="800" w:type="dxa"/>
            <w:vAlign w:val="bottom"/>
          </w:tcPr>
          <w:p>
            <w:pPr>
              <w:spacing w:after="0"/>
              <w:rPr>
                <w:sz w:val="13"/>
                <w:szCs w:val="13"/>
                <w:color w:val="auto"/>
              </w:rPr>
            </w:pPr>
          </w:p>
        </w:tc>
        <w:tc>
          <w:tcPr>
            <w:tcW w:w="7840" w:type="dxa"/>
            <w:vAlign w:val="bottom"/>
          </w:tcPr>
          <w:p>
            <w:pPr>
              <w:ind w:left="40"/>
              <w:spacing w:after="0"/>
              <w:rPr>
                <w:sz w:val="20"/>
                <w:szCs w:val="20"/>
                <w:color w:val="auto"/>
              </w:rPr>
            </w:pPr>
            <w:r>
              <w:rPr>
                <w:rFonts w:ascii="Arial" w:cs="Arial" w:eastAsia="Arial" w:hAnsi="Arial"/>
                <w:sz w:val="14"/>
                <w:szCs w:val="14"/>
                <w:color w:val="auto"/>
              </w:rPr>
              <w:t>increases in each year of the three-year performance period over the baseline share price of $5.22 (the average of the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40" w:type="dxa"/>
            <w:vAlign w:val="bottom"/>
          </w:tcPr>
          <w:p>
            <w:pPr>
              <w:ind w:left="40"/>
              <w:spacing w:after="0" w:line="150" w:lineRule="exact"/>
              <w:rPr>
                <w:sz w:val="20"/>
                <w:szCs w:val="20"/>
                <w:color w:val="auto"/>
              </w:rPr>
            </w:pPr>
            <w:r>
              <w:rPr>
                <w:rFonts w:ascii="Arial" w:cs="Arial" w:eastAsia="Arial" w:hAnsi="Arial"/>
                <w:sz w:val="14"/>
                <w:szCs w:val="14"/>
                <w:color w:val="auto"/>
              </w:rPr>
              <w:t>closing share prices as of each trading day in December 2016).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640" w:type="dxa"/>
            <w:vAlign w:val="bottom"/>
            <w:gridSpan w:val="2"/>
          </w:tcPr>
          <w:p>
            <w:pPr>
              <w:ind w:left="70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Given that our closing share price during each trading day in December 2017 averaged less than $5.22, the PSUs did not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40" w:type="dxa"/>
            <w:vAlign w:val="bottom"/>
            <w:tcBorders>
              <w:bottom w:val="single" w:sz="8" w:color="666666"/>
            </w:tcBorders>
          </w:tcPr>
          <w:p>
            <w:pPr>
              <w:spacing w:after="0"/>
              <w:rPr>
                <w:sz w:val="14"/>
                <w:szCs w:val="14"/>
                <w:color w:val="auto"/>
              </w:rPr>
            </w:pPr>
          </w:p>
        </w:tc>
        <w:tc>
          <w:tcPr>
            <w:tcW w:w="800" w:type="dxa"/>
            <w:vAlign w:val="bottom"/>
            <w:tcBorders>
              <w:bottom w:val="single" w:sz="8" w:color="666666"/>
            </w:tcBorders>
          </w:tcPr>
          <w:p>
            <w:pPr>
              <w:spacing w:after="0"/>
              <w:rPr>
                <w:sz w:val="14"/>
                <w:szCs w:val="14"/>
                <w:color w:val="auto"/>
              </w:rPr>
            </w:pPr>
          </w:p>
        </w:tc>
        <w:tc>
          <w:tcPr>
            <w:tcW w:w="7840" w:type="dxa"/>
            <w:vAlign w:val="bottom"/>
            <w:tcBorders>
              <w:bottom w:val="single" w:sz="8" w:color="666666"/>
            </w:tcBorders>
          </w:tcPr>
          <w:p>
            <w:pPr>
              <w:ind w:left="40"/>
              <w:spacing w:after="0"/>
              <w:rPr>
                <w:sz w:val="20"/>
                <w:szCs w:val="20"/>
                <w:color w:val="auto"/>
              </w:rPr>
            </w:pPr>
            <w:r>
              <w:rPr>
                <w:rFonts w:ascii="Arial" w:cs="Arial" w:eastAsia="Arial" w:hAnsi="Arial"/>
                <w:sz w:val="14"/>
                <w:szCs w:val="14"/>
                <w:color w:val="auto"/>
              </w:rPr>
              <w:t>vest. No current NEO has received any value from PSUs granted during his or her tenure.</w:t>
            </w:r>
          </w:p>
        </w:tc>
        <w:tc>
          <w:tcPr>
            <w:tcW w:w="0" w:type="dxa"/>
            <w:vAlign w:val="bottom"/>
          </w:tcPr>
          <w:p>
            <w:pPr>
              <w:spacing w:after="0"/>
              <w:rPr>
                <w:sz w:val="1"/>
                <w:szCs w:val="1"/>
                <w:color w:val="auto"/>
              </w:rPr>
            </w:pPr>
          </w:p>
        </w:tc>
      </w:tr>
      <w:tr>
        <w:trPr>
          <w:trHeight w:val="158"/>
        </w:trPr>
        <w:tc>
          <w:tcPr>
            <w:tcW w:w="2260" w:type="dxa"/>
            <w:vAlign w:val="bottom"/>
            <w:gridSpan w:val="2"/>
          </w:tcPr>
          <w:p>
            <w:pPr>
              <w:spacing w:after="0" w:line="158" w:lineRule="exact"/>
              <w:rPr>
                <w:sz w:val="20"/>
                <w:szCs w:val="20"/>
                <w:color w:val="auto"/>
              </w:rPr>
            </w:pPr>
            <w:r>
              <w:rPr>
                <w:rFonts w:ascii="Arial" w:cs="Arial" w:eastAsia="Arial" w:hAnsi="Arial"/>
                <w:sz w:val="14"/>
                <w:szCs w:val="14"/>
                <w:color w:val="auto"/>
              </w:rPr>
              <w:t>Realized compensation</w:t>
            </w:r>
          </w:p>
        </w:tc>
        <w:tc>
          <w:tcPr>
            <w:tcW w:w="800" w:type="dxa"/>
            <w:vAlign w:val="bottom"/>
          </w:tcPr>
          <w:p>
            <w:pPr>
              <w:ind w:left="700"/>
              <w:spacing w:after="0" w:line="158" w:lineRule="exact"/>
              <w:rPr>
                <w:sz w:val="20"/>
                <w:szCs w:val="20"/>
                <w:color w:val="auto"/>
              </w:rPr>
            </w:pPr>
            <w:r>
              <w:rPr>
                <w:rFonts w:ascii="Arial" w:cs="Arial" w:eastAsia="Arial" w:hAnsi="Arial"/>
                <w:sz w:val="14"/>
                <w:szCs w:val="14"/>
                <w:color w:val="C3002F"/>
              </w:rPr>
              <w:t>•</w:t>
            </w:r>
          </w:p>
        </w:tc>
        <w:tc>
          <w:tcPr>
            <w:tcW w:w="7840" w:type="dxa"/>
            <w:vAlign w:val="bottom"/>
          </w:tcPr>
          <w:p>
            <w:pPr>
              <w:ind w:left="40"/>
              <w:spacing w:after="0" w:line="158" w:lineRule="exact"/>
              <w:rPr>
                <w:sz w:val="20"/>
                <w:szCs w:val="20"/>
                <w:color w:val="auto"/>
              </w:rPr>
            </w:pPr>
            <w:r>
              <w:rPr>
                <w:rFonts w:ascii="Arial" w:cs="Arial" w:eastAsia="Arial" w:hAnsi="Arial"/>
                <w:sz w:val="14"/>
                <w:szCs w:val="14"/>
                <w:color w:val="auto"/>
              </w:rPr>
              <w:t>Although we believe we have made positive steps to position us for the future, our 2017 financial performance and share</w:t>
            </w:r>
          </w:p>
        </w:tc>
        <w:tc>
          <w:tcPr>
            <w:tcW w:w="0" w:type="dxa"/>
            <w:vAlign w:val="bottom"/>
          </w:tcPr>
          <w:p>
            <w:pPr>
              <w:spacing w:after="0"/>
              <w:rPr>
                <w:sz w:val="1"/>
                <w:szCs w:val="1"/>
                <w:color w:val="auto"/>
              </w:rPr>
            </w:pPr>
          </w:p>
        </w:tc>
      </w:tr>
      <w:tr>
        <w:trPr>
          <w:trHeight w:val="160"/>
        </w:trPr>
        <w:tc>
          <w:tcPr>
            <w:tcW w:w="2260" w:type="dxa"/>
            <w:vAlign w:val="bottom"/>
            <w:gridSpan w:val="2"/>
          </w:tcPr>
          <w:p>
            <w:pPr>
              <w:spacing w:after="0"/>
              <w:rPr>
                <w:sz w:val="20"/>
                <w:szCs w:val="20"/>
                <w:color w:val="auto"/>
              </w:rPr>
            </w:pPr>
            <w:r>
              <w:rPr>
                <w:rFonts w:ascii="Arial" w:cs="Arial" w:eastAsia="Arial" w:hAnsi="Arial"/>
                <w:sz w:val="14"/>
                <w:szCs w:val="14"/>
                <w:color w:val="auto"/>
              </w:rPr>
              <w:t>less than reported</w:t>
            </w:r>
          </w:p>
        </w:tc>
        <w:tc>
          <w:tcPr>
            <w:tcW w:w="800" w:type="dxa"/>
            <w:vAlign w:val="bottom"/>
          </w:tcPr>
          <w:p>
            <w:pPr>
              <w:spacing w:after="0"/>
              <w:rPr>
                <w:sz w:val="13"/>
                <w:szCs w:val="13"/>
                <w:color w:val="auto"/>
              </w:rPr>
            </w:pPr>
          </w:p>
        </w:tc>
        <w:tc>
          <w:tcPr>
            <w:tcW w:w="7840" w:type="dxa"/>
            <w:vAlign w:val="bottom"/>
          </w:tcPr>
          <w:p>
            <w:pPr>
              <w:ind w:left="40"/>
              <w:spacing w:after="0"/>
              <w:rPr>
                <w:sz w:val="20"/>
                <w:szCs w:val="20"/>
                <w:color w:val="auto"/>
              </w:rPr>
            </w:pPr>
            <w:r>
              <w:rPr>
                <w:rFonts w:ascii="Arial" w:cs="Arial" w:eastAsia="Arial" w:hAnsi="Arial"/>
                <w:sz w:val="14"/>
                <w:szCs w:val="14"/>
                <w:color w:val="auto"/>
              </w:rPr>
              <w:t>performance still fell below our objectives. As a result, our NEOs did not realize any value from 2017 performance-based</w:t>
            </w:r>
          </w:p>
        </w:tc>
        <w:tc>
          <w:tcPr>
            <w:tcW w:w="0" w:type="dxa"/>
            <w:vAlign w:val="bottom"/>
          </w:tcPr>
          <w:p>
            <w:pPr>
              <w:spacing w:after="0"/>
              <w:rPr>
                <w:sz w:val="1"/>
                <w:szCs w:val="1"/>
                <w:color w:val="auto"/>
              </w:rPr>
            </w:pPr>
          </w:p>
        </w:tc>
      </w:tr>
      <w:tr>
        <w:trPr>
          <w:trHeight w:val="160"/>
        </w:trPr>
        <w:tc>
          <w:tcPr>
            <w:tcW w:w="2260" w:type="dxa"/>
            <w:vAlign w:val="bottom"/>
            <w:gridSpan w:val="2"/>
          </w:tcPr>
          <w:p>
            <w:pPr>
              <w:spacing w:after="0"/>
              <w:rPr>
                <w:sz w:val="20"/>
                <w:szCs w:val="20"/>
                <w:color w:val="auto"/>
              </w:rPr>
            </w:pPr>
            <w:r>
              <w:rPr>
                <w:rFonts w:ascii="Arial" w:cs="Arial" w:eastAsia="Arial" w:hAnsi="Arial"/>
                <w:sz w:val="14"/>
                <w:szCs w:val="14"/>
                <w:color w:val="auto"/>
              </w:rPr>
              <w:t>compensation</w:t>
            </w:r>
          </w:p>
        </w:tc>
        <w:tc>
          <w:tcPr>
            <w:tcW w:w="800" w:type="dxa"/>
            <w:vAlign w:val="bottom"/>
          </w:tcPr>
          <w:p>
            <w:pPr>
              <w:spacing w:after="0"/>
              <w:rPr>
                <w:sz w:val="13"/>
                <w:szCs w:val="13"/>
                <w:color w:val="auto"/>
              </w:rPr>
            </w:pPr>
          </w:p>
        </w:tc>
        <w:tc>
          <w:tcPr>
            <w:tcW w:w="7840" w:type="dxa"/>
            <w:vAlign w:val="bottom"/>
          </w:tcPr>
          <w:p>
            <w:pPr>
              <w:ind w:left="40"/>
              <w:spacing w:after="0"/>
              <w:rPr>
                <w:sz w:val="20"/>
                <w:szCs w:val="20"/>
                <w:color w:val="auto"/>
              </w:rPr>
            </w:pPr>
            <w:r>
              <w:rPr>
                <w:rFonts w:ascii="Arial" w:cs="Arial" w:eastAsia="Arial" w:hAnsi="Arial"/>
                <w:sz w:val="14"/>
                <w:szCs w:val="14"/>
                <w:color w:val="auto"/>
              </w:rPr>
              <w:t>share incentives. Further, over the past three years, our NEOs have experienced a significant pay differential between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40" w:type="dxa"/>
            <w:vAlign w:val="bottom"/>
          </w:tcPr>
          <w:p>
            <w:pPr>
              <w:ind w:left="40"/>
              <w:spacing w:after="0"/>
              <w:rPr>
                <w:sz w:val="20"/>
                <w:szCs w:val="20"/>
                <w:color w:val="auto"/>
              </w:rPr>
            </w:pPr>
            <w:r>
              <w:rPr>
                <w:rFonts w:ascii="Arial" w:cs="Arial" w:eastAsia="Arial" w:hAnsi="Arial"/>
                <w:sz w:val="14"/>
                <w:szCs w:val="14"/>
                <w:color w:val="auto"/>
              </w:rPr>
              <w:t>actual pay received and total compensation as reported in the 2017 Summary Compensation Table. We believe this result</w:t>
            </w:r>
          </w:p>
        </w:tc>
        <w:tc>
          <w:tcPr>
            <w:tcW w:w="0" w:type="dxa"/>
            <w:vAlign w:val="bottom"/>
          </w:tcPr>
          <w:p>
            <w:pPr>
              <w:spacing w:after="0"/>
              <w:rPr>
                <w:sz w:val="1"/>
                <w:szCs w:val="1"/>
                <w:color w:val="auto"/>
              </w:rPr>
            </w:pPr>
          </w:p>
        </w:tc>
      </w:tr>
    </w:tbl>
    <w:p>
      <w:pPr>
        <w:ind w:left="3360"/>
        <w:spacing w:after="0" w:line="253" w:lineRule="auto"/>
        <w:rPr>
          <w:sz w:val="20"/>
          <w:szCs w:val="20"/>
          <w:color w:val="auto"/>
        </w:rPr>
      </w:pPr>
      <w:r>
        <w:rPr>
          <w:rFonts w:ascii="Arial" w:cs="Arial" w:eastAsia="Arial" w:hAnsi="Arial"/>
          <w:sz w:val="14"/>
          <w:szCs w:val="14"/>
          <w:color w:val="auto"/>
        </w:rPr>
        <w:t>emphasizes the pay-for-performance nature of our compensation structure, which is designed to align executive reward with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-14605</wp:posOffset>
            </wp:positionV>
            <wp:extent cx="69176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343"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COMMITTEE ROTATION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20"/>
        <w:spacing w:after="0" w:line="244" w:lineRule="auto"/>
        <w:rPr>
          <w:sz w:val="20"/>
          <w:szCs w:val="20"/>
          <w:color w:val="auto"/>
        </w:rPr>
      </w:pPr>
      <w:r>
        <w:rPr>
          <w:rFonts w:ascii="Arial" w:cs="Arial" w:eastAsia="Arial" w:hAnsi="Arial"/>
          <w:sz w:val="14"/>
          <w:szCs w:val="14"/>
          <w:color w:val="auto"/>
        </w:rPr>
        <w:t>In 2017, we committed ourselves to reviewing our Board composition, and to pursuing opportunities for refreshment. Consistent with this goal, we added two new directors in September of 2017, including Ms. Roxanne J. Decyk, who joined the Compensation Committee. As such, in 2017, we believe the Compensation Committee has an excellent mix of new perspectives balanced with experience, continuity and historical understanding of our compensation philosophy and ongoing enhancements. We note that in 2017:</w:t>
      </w:r>
    </w:p>
    <w:p>
      <w:pPr>
        <w:spacing w:after="0" w:line="363" w:lineRule="exact"/>
        <w:rPr>
          <w:sz w:val="20"/>
          <w:szCs w:val="20"/>
          <w:color w:val="auto"/>
        </w:rPr>
      </w:pPr>
    </w:p>
    <w:p>
      <w:pPr>
        <w:ind w:left="700" w:right="20" w:hanging="219"/>
        <w:spacing w:after="0" w:line="253" w:lineRule="auto"/>
        <w:tabs>
          <w:tab w:leader="none" w:pos="700" w:val="left"/>
        </w:tabs>
        <w:numPr>
          <w:ilvl w:val="0"/>
          <w:numId w:val="55"/>
        </w:numPr>
        <w:rPr>
          <w:rFonts w:ascii="Arial" w:cs="Arial" w:eastAsia="Arial" w:hAnsi="Arial"/>
          <w:sz w:val="14"/>
          <w:szCs w:val="14"/>
          <w:color w:val="C3002F"/>
        </w:rPr>
      </w:pPr>
      <w:r>
        <w:rPr>
          <w:rFonts w:ascii="Arial" w:cs="Arial" w:eastAsia="Arial" w:hAnsi="Arial"/>
          <w:sz w:val="14"/>
          <w:szCs w:val="14"/>
          <w:color w:val="auto"/>
        </w:rPr>
        <w:t>Mr. Gass was appointed Chair of the Committee (after serving on the Committee since 2014) and brings continuity to the Committee, but with a new leadership role as Chair;</w:t>
      </w:r>
    </w:p>
    <w:p>
      <w:pPr>
        <w:spacing w:after="0" w:line="194" w:lineRule="exact"/>
        <w:rPr>
          <w:rFonts w:ascii="Arial" w:cs="Arial" w:eastAsia="Arial" w:hAnsi="Arial"/>
          <w:sz w:val="14"/>
          <w:szCs w:val="14"/>
          <w:color w:val="C3002F"/>
        </w:rPr>
      </w:pPr>
    </w:p>
    <w:p>
      <w:pPr>
        <w:ind w:left="700" w:hanging="219"/>
        <w:spacing w:after="0"/>
        <w:tabs>
          <w:tab w:leader="none" w:pos="700" w:val="left"/>
        </w:tabs>
        <w:numPr>
          <w:ilvl w:val="0"/>
          <w:numId w:val="55"/>
        </w:numPr>
        <w:rPr>
          <w:rFonts w:ascii="Arial" w:cs="Arial" w:eastAsia="Arial" w:hAnsi="Arial"/>
          <w:sz w:val="14"/>
          <w:szCs w:val="14"/>
          <w:color w:val="C3002F"/>
        </w:rPr>
      </w:pPr>
      <w:r>
        <w:rPr>
          <w:rFonts w:ascii="Arial" w:cs="Arial" w:eastAsia="Arial" w:hAnsi="Arial"/>
          <w:sz w:val="14"/>
          <w:szCs w:val="14"/>
          <w:color w:val="auto"/>
        </w:rPr>
        <w:t>Mr. Awad, who joined the Board in 2014, was added to the Committee in 2017;</w:t>
      </w:r>
    </w:p>
    <w:p>
      <w:pPr>
        <w:spacing w:after="0" w:line="212" w:lineRule="exact"/>
        <w:rPr>
          <w:rFonts w:ascii="Arial" w:cs="Arial" w:eastAsia="Arial" w:hAnsi="Arial"/>
          <w:sz w:val="14"/>
          <w:szCs w:val="14"/>
          <w:color w:val="C3002F"/>
        </w:rPr>
      </w:pPr>
    </w:p>
    <w:p>
      <w:pPr>
        <w:ind w:left="700" w:hanging="219"/>
        <w:spacing w:after="0"/>
        <w:tabs>
          <w:tab w:leader="none" w:pos="700" w:val="left"/>
        </w:tabs>
        <w:numPr>
          <w:ilvl w:val="0"/>
          <w:numId w:val="55"/>
        </w:numPr>
        <w:rPr>
          <w:rFonts w:ascii="Arial" w:cs="Arial" w:eastAsia="Arial" w:hAnsi="Arial"/>
          <w:sz w:val="14"/>
          <w:szCs w:val="14"/>
          <w:color w:val="C3002F"/>
        </w:rPr>
      </w:pPr>
      <w:r>
        <w:rPr>
          <w:rFonts w:ascii="Arial" w:cs="Arial" w:eastAsia="Arial" w:hAnsi="Arial"/>
          <w:sz w:val="14"/>
          <w:szCs w:val="14"/>
          <w:color w:val="auto"/>
        </w:rPr>
        <w:t>Dr. Ortiz remains on the Committee for continuity; and</w:t>
      </w:r>
    </w:p>
    <w:p>
      <w:pPr>
        <w:spacing w:after="0" w:line="212" w:lineRule="exact"/>
        <w:rPr>
          <w:rFonts w:ascii="Arial" w:cs="Arial" w:eastAsia="Arial" w:hAnsi="Arial"/>
          <w:sz w:val="14"/>
          <w:szCs w:val="14"/>
          <w:color w:val="C3002F"/>
        </w:rPr>
      </w:pPr>
    </w:p>
    <w:p>
      <w:pPr>
        <w:ind w:left="700" w:hanging="219"/>
        <w:spacing w:after="0"/>
        <w:tabs>
          <w:tab w:leader="none" w:pos="700" w:val="left"/>
        </w:tabs>
        <w:numPr>
          <w:ilvl w:val="0"/>
          <w:numId w:val="55"/>
        </w:numPr>
        <w:rPr>
          <w:rFonts w:ascii="Arial" w:cs="Arial" w:eastAsia="Arial" w:hAnsi="Arial"/>
          <w:sz w:val="14"/>
          <w:szCs w:val="14"/>
          <w:color w:val="C3002F"/>
        </w:rPr>
      </w:pPr>
      <w:r>
        <w:rPr>
          <w:rFonts w:ascii="Arial" w:cs="Arial" w:eastAsia="Arial" w:hAnsi="Arial"/>
          <w:sz w:val="14"/>
          <w:szCs w:val="14"/>
          <w:color w:val="auto"/>
        </w:rPr>
        <w:t>Ms. Decyk brings new experience and perspective to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233680</wp:posOffset>
            </wp:positionV>
            <wp:extent cx="822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362" w:lineRule="exact"/>
        <w:rPr>
          <w:sz w:val="20"/>
          <w:szCs w:val="20"/>
          <w:color w:val="auto"/>
        </w:rPr>
      </w:pPr>
    </w:p>
    <w:p>
      <w:pPr>
        <w:ind w:left="260"/>
        <w:spacing w:after="0"/>
        <w:rPr>
          <w:sz w:val="20"/>
          <w:szCs w:val="20"/>
          <w:color w:val="auto"/>
        </w:rPr>
      </w:pPr>
      <w:r>
        <w:rPr>
          <w:rFonts w:ascii="Arial" w:cs="Arial" w:eastAsia="Arial" w:hAnsi="Arial"/>
          <w:sz w:val="28"/>
          <w:szCs w:val="28"/>
          <w:b w:val="1"/>
          <w:bCs w:val="1"/>
          <w:color w:val="C3002F"/>
        </w:rPr>
        <w:t>CONSIDERATION AND RESPONSE TO SHAREHOLDER FEEDBACK</w:t>
      </w:r>
    </w:p>
    <w:p>
      <w:pPr>
        <w:spacing w:after="0" w:line="270" w:lineRule="exact"/>
        <w:rPr>
          <w:sz w:val="20"/>
          <w:szCs w:val="20"/>
          <w:color w:val="auto"/>
        </w:rPr>
      </w:pPr>
    </w:p>
    <w:p>
      <w:pPr>
        <w:ind w:left="260" w:right="20"/>
        <w:spacing w:after="0" w:line="242" w:lineRule="auto"/>
        <w:rPr>
          <w:sz w:val="20"/>
          <w:szCs w:val="20"/>
          <w:color w:val="auto"/>
        </w:rPr>
      </w:pPr>
      <w:r>
        <w:rPr>
          <w:rFonts w:ascii="Arial" w:cs="Arial" w:eastAsia="Arial" w:hAnsi="Arial"/>
          <w:sz w:val="14"/>
          <w:szCs w:val="14"/>
          <w:color w:val="auto"/>
        </w:rPr>
        <w:t>We engage in regular and ongoing dialogue with our shareholders to gain valuable insights into the issues about which they care most. Our engagement with investors included representatives from Weatherford’s management and several of these conversations also included members of the Board. Shareholder feedback and actions we have taken to improve our compensation are described further on page 23. In addition, we consider the results of the advisory vote on executive compensation at our annual general meeting. At our 2017 meeting, 90% of votes cast were in support of our executive compensation program compared to 70% in 2016. We continue to engage with our shareholders regarding executive compensation and other matters and welcome further dialogue.</w:t>
      </w:r>
    </w:p>
    <w:p>
      <w:pPr>
        <w:spacing w:after="0" w:line="358"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jc w:val="both"/>
        <w:ind w:left="260" w:right="100"/>
        <w:spacing w:after="0" w:line="246" w:lineRule="auto"/>
        <w:rPr>
          <w:sz w:val="20"/>
          <w:szCs w:val="20"/>
          <w:color w:val="auto"/>
        </w:rPr>
      </w:pPr>
      <w:r>
        <w:rPr>
          <w:rFonts w:ascii="Arial" w:cs="Arial" w:eastAsia="Arial" w:hAnsi="Arial"/>
          <w:sz w:val="14"/>
          <w:szCs w:val="14"/>
          <w:color w:val="auto"/>
        </w:rPr>
        <w:t>The Compensation Committee believes executive compensation should be clearly linked to performance, and Weatherford’s executive pay program implements that belief. Our program is designed to hold our executives accountable for results and to reward them for achieving their targets. The Compensation Discussion and Analysis included below describes the Committee’s decisions regarding our executives’ compensation for 2017 and how those decisions support and implement our philosophy.</w:t>
      </w:r>
    </w:p>
    <w:p>
      <w:pPr>
        <w:spacing w:after="0" w:line="159" w:lineRule="exact"/>
        <w:rPr>
          <w:sz w:val="20"/>
          <w:szCs w:val="20"/>
          <w:color w:val="auto"/>
        </w:rPr>
      </w:pPr>
    </w:p>
    <w:p>
      <w:pPr>
        <w:ind w:left="260" w:right="220"/>
        <w:spacing w:after="0" w:line="253" w:lineRule="auto"/>
        <w:rPr>
          <w:sz w:val="20"/>
          <w:szCs w:val="20"/>
          <w:color w:val="auto"/>
        </w:rPr>
      </w:pPr>
      <w:r>
        <w:rPr>
          <w:rFonts w:ascii="Arial" w:cs="Arial" w:eastAsia="Arial" w:hAnsi="Arial"/>
          <w:sz w:val="14"/>
          <w:szCs w:val="14"/>
          <w:color w:val="auto"/>
        </w:rPr>
        <w:t>We have reviewed the Compensation Discussion and Analysis and discussed it with management and recommended to the Board that the Compensation Discussion and Analysis be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120650</wp:posOffset>
            </wp:positionV>
            <wp:extent cx="5883275" cy="407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883275" cy="40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60"/>
        <w:spacing w:after="0"/>
        <w:tabs>
          <w:tab w:leader="none" w:pos="3000" w:val="left"/>
          <w:tab w:leader="none" w:pos="5480" w:val="left"/>
          <w:tab w:leader="none" w:pos="8420" w:val="left"/>
        </w:tabs>
        <w:rPr>
          <w:sz w:val="20"/>
          <w:szCs w:val="20"/>
          <w:color w:val="auto"/>
        </w:rPr>
      </w:pPr>
      <w:r>
        <w:rPr>
          <w:rFonts w:ascii="Arial" w:cs="Arial" w:eastAsia="Arial" w:hAnsi="Arial"/>
          <w:sz w:val="14"/>
          <w:szCs w:val="14"/>
          <w:color w:val="auto"/>
        </w:rPr>
        <w:t>Mohamed A. Awad</w:t>
      </w:r>
      <w:r>
        <w:rPr>
          <w:sz w:val="20"/>
          <w:szCs w:val="20"/>
          <w:color w:val="auto"/>
        </w:rPr>
        <w:tab/>
      </w:r>
      <w:r>
        <w:rPr>
          <w:rFonts w:ascii="Arial" w:cs="Arial" w:eastAsia="Arial" w:hAnsi="Arial"/>
          <w:sz w:val="14"/>
          <w:szCs w:val="14"/>
          <w:color w:val="auto"/>
        </w:rPr>
        <w:t>Roxanne J. Decyk</w:t>
      </w:r>
      <w:r>
        <w:rPr>
          <w:sz w:val="20"/>
          <w:szCs w:val="20"/>
          <w:color w:val="auto"/>
        </w:rPr>
        <w:tab/>
      </w:r>
      <w:r>
        <w:rPr>
          <w:rFonts w:ascii="Arial" w:cs="Arial" w:eastAsia="Arial" w:hAnsi="Arial"/>
          <w:sz w:val="14"/>
          <w:szCs w:val="14"/>
          <w:color w:val="auto"/>
        </w:rPr>
        <w:t>John D. Gass (Chair)</w:t>
      </w:r>
      <w:r>
        <w:rPr>
          <w:sz w:val="20"/>
          <w:szCs w:val="20"/>
          <w:color w:val="auto"/>
        </w:rPr>
        <w:tab/>
      </w:r>
      <w:r>
        <w:rPr>
          <w:rFonts w:ascii="Arial" w:cs="Arial" w:eastAsia="Arial" w:hAnsi="Arial"/>
          <w:sz w:val="14"/>
          <w:szCs w:val="14"/>
          <w:color w:val="auto"/>
        </w:rPr>
        <w:t>Guillermo Ortiz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98425</wp:posOffset>
            </wp:positionV>
            <wp:extent cx="69176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ectPr>
          <w:pgSz w:w="11900" w:h="16838" w:orient="portrait"/>
          <w:cols w:equalWidth="0" w:num="1">
            <w:col w:w="11160"/>
          </w:cols>
          <w:pgMar w:left="240" w:top="455" w:right="499" w:bottom="901" w:gutter="0" w:footer="0" w:header="0"/>
        </w:sectPr>
      </w:pPr>
    </w:p>
    <w:p>
      <w:pPr>
        <w:spacing w:after="0" w:line="200" w:lineRule="exact"/>
        <w:rPr>
          <w:sz w:val="20"/>
          <w:szCs w:val="20"/>
          <w:color w:val="auto"/>
        </w:rPr>
      </w:pPr>
    </w:p>
    <w:p>
      <w:pPr>
        <w:spacing w:after="0" w:line="222" w:lineRule="exact"/>
        <w:rPr>
          <w:sz w:val="20"/>
          <w:szCs w:val="20"/>
          <w:color w:val="auto"/>
        </w:rPr>
      </w:pPr>
    </w:p>
    <w:p>
      <w:pPr>
        <w:ind w:left="7360"/>
        <w:spacing w:after="0"/>
        <w:tabs>
          <w:tab w:leader="none" w:pos="10980" w:val="left"/>
        </w:tabs>
        <w:rPr>
          <w:sz w:val="20"/>
          <w:szCs w:val="20"/>
          <w:color w:val="auto"/>
        </w:rPr>
      </w:pPr>
      <w:r>
        <w:rPr>
          <w:rFonts w:ascii="Arial" w:cs="Arial" w:eastAsia="Arial" w:hAnsi="Arial"/>
          <w:sz w:val="14"/>
          <w:szCs w:val="14"/>
          <w:color w:val="666666"/>
        </w:rPr>
        <w:t>Weatherford International plc — 2018 Proxy Statement</w:t>
      </w:r>
      <w:r>
        <w:rPr>
          <w:sz w:val="20"/>
          <w:szCs w:val="20"/>
          <w:color w:val="auto"/>
        </w:rPr>
        <w:tab/>
      </w:r>
      <w:r>
        <w:rPr>
          <w:rFonts w:ascii="Arial" w:cs="Arial" w:eastAsia="Arial" w:hAnsi="Arial"/>
          <w:sz w:val="14"/>
          <w:szCs w:val="14"/>
          <w:b w:val="1"/>
          <w:bCs w:val="1"/>
          <w:color w:val="666666"/>
        </w:rPr>
        <w:t>19</w:t>
      </w:r>
    </w:p>
    <w:p>
      <w:pPr>
        <w:sectPr>
          <w:pgSz w:w="11900" w:h="16838" w:orient="portrait"/>
          <w:cols w:equalWidth="0" w:num="1">
            <w:col w:w="11160"/>
          </w:cols>
          <w:pgMar w:left="240" w:top="455" w:right="499" w:bottom="901"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0" w:right="1520"/>
        <w:spacing w:after="0" w:line="277" w:lineRule="auto"/>
        <w:rPr>
          <w:sz w:val="20"/>
          <w:szCs w:val="20"/>
          <w:color w:val="auto"/>
        </w:rPr>
      </w:pPr>
      <w:r>
        <w:rPr>
          <w:rFonts w:ascii="Arial" w:cs="Arial" w:eastAsia="Arial" w:hAnsi="Arial"/>
          <w:sz w:val="64"/>
          <w:szCs w:val="64"/>
          <w:b w:val="1"/>
          <w:bCs w:val="1"/>
          <w:color w:val="C3002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-1056005</wp:posOffset>
            </wp:positionV>
            <wp:extent cx="822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43" w:lineRule="exact"/>
        <w:rPr>
          <w:sz w:val="20"/>
          <w:szCs w:val="20"/>
          <w:color w:val="auto"/>
        </w:rPr>
      </w:pPr>
    </w:p>
    <w:p>
      <w:pPr>
        <w:ind w:left="260" w:right="60"/>
        <w:spacing w:after="0" w:line="246" w:lineRule="auto"/>
        <w:rPr>
          <w:sz w:val="20"/>
          <w:szCs w:val="20"/>
          <w:color w:val="auto"/>
        </w:rPr>
      </w:pPr>
      <w:r>
        <w:rPr>
          <w:rFonts w:ascii="Arial" w:cs="Arial" w:eastAsia="Arial" w:hAnsi="Arial"/>
          <w:sz w:val="14"/>
          <w:szCs w:val="14"/>
          <w:color w:val="auto"/>
        </w:rPr>
        <w:t>This Compensation Discussion and Analysis (“CD&amp;A”) is designed to provide shareholders with an understanding of our compensation philosophy, core principles, and decision making process. It explains the compensation-related actions taken with respect to our NEOs who are identified in the 2017 Summary Compensation Table. Details regarding the compensation we paid to the NEOs for 2017 are found in the tables and narrative that follows them.</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References to “current NEOs” in this section refer to our NEOs as of December 31, 2017, including Mr. Mills who will be departing the Company on April 15, 2018. Messrs.</w:t>
      </w:r>
    </w:p>
    <w:p>
      <w:pPr>
        <w:ind w:left="260"/>
        <w:spacing w:after="0"/>
        <w:rPr>
          <w:sz w:val="20"/>
          <w:szCs w:val="20"/>
          <w:color w:val="auto"/>
        </w:rPr>
      </w:pPr>
      <w:r>
        <w:rPr>
          <w:rFonts w:ascii="Arial" w:cs="Arial" w:eastAsia="Arial" w:hAnsi="Arial"/>
          <w:sz w:val="14"/>
          <w:szCs w:val="14"/>
          <w:color w:val="auto"/>
        </w:rPr>
        <w:t>Shivram and Ruscev are excluded, as they departed the Company earlier in the year.</w:t>
      </w:r>
    </w:p>
    <w:p>
      <w:pPr>
        <w:spacing w:after="0" w:line="368"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87" w:lineRule="exact"/>
        <w:rPr>
          <w:sz w:val="20"/>
          <w:szCs w:val="20"/>
          <w:color w:val="auto"/>
        </w:rPr>
      </w:pPr>
    </w:p>
    <w:p>
      <w:pPr>
        <w:ind w:left="260" w:right="2440"/>
        <w:spacing w:after="0" w:line="275" w:lineRule="auto"/>
        <w:rPr>
          <w:sz w:val="20"/>
          <w:szCs w:val="20"/>
          <w:color w:val="auto"/>
        </w:rPr>
      </w:pPr>
      <w:r>
        <w:rPr>
          <w:rFonts w:ascii="Arial" w:cs="Arial" w:eastAsia="Arial" w:hAnsi="Arial"/>
          <w:sz w:val="43"/>
          <w:szCs w:val="43"/>
          <w:b w:val="1"/>
          <w:bCs w:val="1"/>
          <w:color w:val="666666"/>
        </w:rPr>
        <w:t>COMPENSATION PRINCIPLES AND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-718820</wp:posOffset>
            </wp:positionV>
            <wp:extent cx="8223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07" w:lineRule="exact"/>
        <w:rPr>
          <w:sz w:val="20"/>
          <w:szCs w:val="20"/>
          <w:color w:val="auto"/>
        </w:rPr>
      </w:pPr>
    </w:p>
    <w:p>
      <w:pPr>
        <w:ind w:left="260"/>
        <w:spacing w:after="0" w:line="246" w:lineRule="auto"/>
        <w:rPr>
          <w:sz w:val="20"/>
          <w:szCs w:val="20"/>
          <w:color w:val="auto"/>
        </w:rPr>
      </w:pPr>
      <w:r>
        <w:rPr>
          <w:rFonts w:ascii="Arial" w:cs="Arial" w:eastAsia="Arial" w:hAnsi="Arial"/>
          <w:sz w:val="14"/>
          <w:szCs w:val="14"/>
          <w:color w:val="auto"/>
        </w:rPr>
        <w:t>Our compensation program is designed to reward our NEOs for the achievement of strategic and operational goals and increases in shareholder value, while at the same time avoiding the encouragement of unnecessary or excessive risk-taking. We believe our program supports these goals, avoids objectionable pay practices, and engages in sound governance practices with respect to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81280</wp:posOffset>
            </wp:positionV>
            <wp:extent cx="69176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5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C3002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18415</wp:posOffset>
            </wp:positionV>
            <wp:extent cx="69176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50" w:lineRule="exact"/>
        <w:rPr>
          <w:sz w:val="20"/>
          <w:szCs w:val="20"/>
          <w:color w:val="auto"/>
        </w:rPr>
      </w:pPr>
    </w:p>
    <w:p>
      <w:pPr>
        <w:ind w:left="720" w:right="120" w:hanging="374"/>
        <w:spacing w:after="0" w:line="280" w:lineRule="auto"/>
        <w:tabs>
          <w:tab w:leader="none" w:pos="72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Pay for Performance. </w:t>
      </w:r>
      <w:r>
        <w:rPr>
          <w:rFonts w:ascii="Arial" w:cs="Arial" w:eastAsia="Arial" w:hAnsi="Arial"/>
          <w:sz w:val="14"/>
          <w:szCs w:val="14"/>
          <w:color w:val="auto"/>
        </w:rPr>
        <w:t>We pay annual cash bonuses to NEOs only on the achievement of pre-determined and measurable objectives that benefit our Company and</w:t>
      </w:r>
      <w:r>
        <w:rPr>
          <w:rFonts w:ascii="Arial" w:cs="Arial" w:eastAsia="Arial" w:hAnsi="Arial"/>
          <w:sz w:val="14"/>
          <w:szCs w:val="14"/>
          <w:b w:val="1"/>
          <w:bCs w:val="1"/>
          <w:color w:val="auto"/>
        </w:rPr>
        <w:t xml:space="preserve"> </w:t>
      </w:r>
      <w:r>
        <w:rPr>
          <w:rFonts w:ascii="Arial" w:cs="Arial" w:eastAsia="Arial" w:hAnsi="Arial"/>
          <w:sz w:val="14"/>
          <w:szCs w:val="14"/>
          <w:color w:val="auto"/>
        </w:rPr>
        <w:t>shareholders.</w:t>
      </w:r>
    </w:p>
    <w:p>
      <w:pPr>
        <w:spacing w:after="0" w:line="51" w:lineRule="exact"/>
        <w:rPr>
          <w:rFonts w:ascii="MS PGothic" w:cs="MS PGothic" w:eastAsia="MS PGothic" w:hAnsi="MS PGothic"/>
          <w:sz w:val="14"/>
          <w:szCs w:val="14"/>
          <w:color w:val="C3002F"/>
        </w:rPr>
      </w:pPr>
    </w:p>
    <w:p>
      <w:pPr>
        <w:ind w:left="720" w:right="180" w:hanging="374"/>
        <w:spacing w:after="0" w:line="280" w:lineRule="auto"/>
        <w:tabs>
          <w:tab w:leader="none" w:pos="72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Share Ownership Guidelines. </w:t>
      </w:r>
      <w:r>
        <w:rPr>
          <w:rFonts w:ascii="Arial" w:cs="Arial" w:eastAsia="Arial" w:hAnsi="Arial"/>
          <w:sz w:val="14"/>
          <w:szCs w:val="14"/>
          <w:color w:val="auto"/>
        </w:rPr>
        <w:t>Subject to a five year transition period, each of our NEOs must hold the equity equivalent in value of three times (or six times in the</w:t>
      </w:r>
      <w:r>
        <w:rPr>
          <w:rFonts w:ascii="Arial" w:cs="Arial" w:eastAsia="Arial" w:hAnsi="Arial"/>
          <w:sz w:val="14"/>
          <w:szCs w:val="14"/>
          <w:b w:val="1"/>
          <w:bCs w:val="1"/>
          <w:color w:val="auto"/>
        </w:rPr>
        <w:t xml:space="preserve"> </w:t>
      </w:r>
      <w:r>
        <w:rPr>
          <w:rFonts w:ascii="Arial" w:cs="Arial" w:eastAsia="Arial" w:hAnsi="Arial"/>
          <w:sz w:val="14"/>
          <w:szCs w:val="14"/>
          <w:color w:val="auto"/>
        </w:rPr>
        <w:t>case of the CEO) their base salary.</w:t>
      </w:r>
    </w:p>
    <w:p>
      <w:pPr>
        <w:spacing w:after="0" w:line="51" w:lineRule="exact"/>
        <w:rPr>
          <w:rFonts w:ascii="MS PGothic" w:cs="MS PGothic" w:eastAsia="MS PGothic" w:hAnsi="MS PGothic"/>
          <w:sz w:val="14"/>
          <w:szCs w:val="14"/>
          <w:color w:val="C3002F"/>
        </w:rPr>
      </w:pPr>
    </w:p>
    <w:p>
      <w:pPr>
        <w:ind w:left="720" w:right="200" w:hanging="374"/>
        <w:spacing w:after="0" w:line="259" w:lineRule="auto"/>
        <w:tabs>
          <w:tab w:leader="none" w:pos="72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Clawbacks. </w:t>
      </w:r>
      <w:r>
        <w:rPr>
          <w:rFonts w:ascii="Arial" w:cs="Arial" w:eastAsia="Arial" w:hAnsi="Arial"/>
          <w:sz w:val="14"/>
          <w:szCs w:val="14"/>
          <w:color w:val="auto"/>
        </w:rPr>
        <w:t>We can recover performance-based compensation, both cash and equity, paid to executives but subsequently determined not to have been earned</w:t>
      </w:r>
      <w:r>
        <w:rPr>
          <w:rFonts w:ascii="Arial" w:cs="Arial" w:eastAsia="Arial" w:hAnsi="Arial"/>
          <w:sz w:val="14"/>
          <w:szCs w:val="14"/>
          <w:b w:val="1"/>
          <w:bCs w:val="1"/>
          <w:color w:val="auto"/>
        </w:rPr>
        <w:t xml:space="preserve"> </w:t>
      </w:r>
      <w:r>
        <w:rPr>
          <w:rFonts w:ascii="Arial" w:cs="Arial" w:eastAsia="Arial" w:hAnsi="Arial"/>
          <w:sz w:val="14"/>
          <w:szCs w:val="14"/>
          <w:color w:val="auto"/>
        </w:rPr>
        <w:t>because financial results are restated, including if an officer has engaged in fraud, willful misconduct, or gross negligence that has directly caused or contributed to the need for a material restatement of our financial statements.</w:t>
      </w:r>
    </w:p>
    <w:p>
      <w:pPr>
        <w:spacing w:after="0" w:line="66" w:lineRule="exact"/>
        <w:rPr>
          <w:rFonts w:ascii="MS PGothic" w:cs="MS PGothic" w:eastAsia="MS PGothic" w:hAnsi="MS PGothic"/>
          <w:sz w:val="14"/>
          <w:szCs w:val="14"/>
          <w:color w:val="C3002F"/>
        </w:rPr>
      </w:pPr>
    </w:p>
    <w:p>
      <w:pPr>
        <w:ind w:left="720" w:right="220" w:hanging="374"/>
        <w:spacing w:after="0" w:line="280" w:lineRule="auto"/>
        <w:tabs>
          <w:tab w:leader="none" w:pos="72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Double-Trigger Vesting. </w:t>
      </w:r>
      <w:r>
        <w:rPr>
          <w:rFonts w:ascii="Arial" w:cs="Arial" w:eastAsia="Arial" w:hAnsi="Arial"/>
          <w:sz w:val="14"/>
          <w:szCs w:val="14"/>
          <w:color w:val="auto"/>
        </w:rPr>
        <w:t>The change of control provisions under our executives’ employment or change of control agreements, as applicable, are “double-trigger”</w:t>
      </w:r>
      <w:r>
        <w:rPr>
          <w:rFonts w:ascii="Arial" w:cs="Arial" w:eastAsia="Arial" w:hAnsi="Arial"/>
          <w:sz w:val="14"/>
          <w:szCs w:val="14"/>
          <w:b w:val="1"/>
          <w:bCs w:val="1"/>
          <w:color w:val="auto"/>
        </w:rPr>
        <w:t xml:space="preserve"> </w:t>
      </w:r>
      <w:r>
        <w:rPr>
          <w:rFonts w:ascii="Arial" w:cs="Arial" w:eastAsia="Arial" w:hAnsi="Arial"/>
          <w:sz w:val="14"/>
          <w:szCs w:val="14"/>
          <w:color w:val="auto"/>
        </w:rPr>
        <w:t>arrangements with respect to compensation other than equity awards.</w:t>
      </w:r>
    </w:p>
    <w:p>
      <w:pPr>
        <w:spacing w:after="0" w:line="51" w:lineRule="exact"/>
        <w:rPr>
          <w:rFonts w:ascii="MS PGothic" w:cs="MS PGothic" w:eastAsia="MS PGothic" w:hAnsi="MS PGothic"/>
          <w:sz w:val="14"/>
          <w:szCs w:val="14"/>
          <w:color w:val="C3002F"/>
        </w:rPr>
      </w:pPr>
    </w:p>
    <w:p>
      <w:pPr>
        <w:ind w:left="720" w:right="300" w:hanging="374"/>
        <w:spacing w:after="0" w:line="280" w:lineRule="auto"/>
        <w:tabs>
          <w:tab w:leader="none" w:pos="72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Independent Compensation Committee and Compensation Consultant. </w:t>
      </w:r>
      <w:r>
        <w:rPr>
          <w:rFonts w:ascii="Arial" w:cs="Arial" w:eastAsia="Arial" w:hAnsi="Arial"/>
          <w:sz w:val="14"/>
          <w:szCs w:val="14"/>
          <w:color w:val="auto"/>
        </w:rPr>
        <w:t>Only independent directors serve on the Compensation Committee. Additionally,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Compensation Committee engages an independent compensation consultant and meets with the consultant in executive sessions.</w:t>
      </w:r>
    </w:p>
    <w:p>
      <w:pPr>
        <w:spacing w:after="0" w:line="51" w:lineRule="exact"/>
        <w:rPr>
          <w:rFonts w:ascii="MS PGothic" w:cs="MS PGothic" w:eastAsia="MS PGothic" w:hAnsi="MS PGothic"/>
          <w:sz w:val="14"/>
          <w:szCs w:val="14"/>
          <w:color w:val="C3002F"/>
        </w:rPr>
      </w:pPr>
    </w:p>
    <w:p>
      <w:pPr>
        <w:ind w:left="720" w:right="20" w:hanging="374"/>
        <w:spacing w:after="0" w:line="259" w:lineRule="auto"/>
        <w:tabs>
          <w:tab w:leader="none" w:pos="72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Annual Risk Assessment. </w:t>
      </w:r>
      <w:r>
        <w:rPr>
          <w:rFonts w:ascii="Arial" w:cs="Arial" w:eastAsia="Arial" w:hAnsi="Arial"/>
          <w:sz w:val="14"/>
          <w:szCs w:val="14"/>
          <w:color w:val="auto"/>
        </w:rPr>
        <w:t>We conduct an annual comprehensive risk analysis of our executive compensation program with our independent compensation</w:t>
      </w:r>
      <w:r>
        <w:rPr>
          <w:rFonts w:ascii="Arial" w:cs="Arial" w:eastAsia="Arial" w:hAnsi="Arial"/>
          <w:sz w:val="14"/>
          <w:szCs w:val="14"/>
          <w:b w:val="1"/>
          <w:bCs w:val="1"/>
          <w:color w:val="auto"/>
        </w:rPr>
        <w:t xml:space="preserve"> </w:t>
      </w:r>
      <w:r>
        <w:rPr>
          <w:rFonts w:ascii="Arial" w:cs="Arial" w:eastAsia="Arial" w:hAnsi="Arial"/>
          <w:sz w:val="14"/>
          <w:szCs w:val="14"/>
          <w:color w:val="auto"/>
        </w:rPr>
        <w:t>consultant to ensure that our program does not encourage inappropriate risk-taking. We also annually review a calculation of the shareholder value transfer and “burn rate” resulting from equity grants to ensure they are not excessive.</w:t>
      </w:r>
    </w:p>
    <w:p>
      <w:pPr>
        <w:spacing w:after="0" w:line="66" w:lineRule="exact"/>
        <w:rPr>
          <w:rFonts w:ascii="MS PGothic" w:cs="MS PGothic" w:eastAsia="MS PGothic" w:hAnsi="MS PGothic"/>
          <w:sz w:val="14"/>
          <w:szCs w:val="14"/>
          <w:color w:val="C3002F"/>
        </w:rPr>
      </w:pPr>
    </w:p>
    <w:p>
      <w:pPr>
        <w:jc w:val="both"/>
        <w:ind w:left="720" w:right="420" w:hanging="374"/>
        <w:spacing w:after="0" w:line="259" w:lineRule="auto"/>
        <w:tabs>
          <w:tab w:leader="none" w:pos="72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Reward Future Performance. </w:t>
      </w:r>
      <w:r>
        <w:rPr>
          <w:rFonts w:ascii="Arial" w:cs="Arial" w:eastAsia="Arial" w:hAnsi="Arial"/>
          <w:sz w:val="14"/>
          <w:szCs w:val="14"/>
          <w:color w:val="auto"/>
        </w:rPr>
        <w:t>2017 RSU and PSU awards vest ratably over a three-year period and reward for sustained future performance rather than past</w:t>
      </w:r>
      <w:r>
        <w:rPr>
          <w:rFonts w:ascii="Arial" w:cs="Arial" w:eastAsia="Arial" w:hAnsi="Arial"/>
          <w:sz w:val="14"/>
          <w:szCs w:val="14"/>
          <w:b w:val="1"/>
          <w:bCs w:val="1"/>
          <w:color w:val="auto"/>
        </w:rPr>
        <w:t xml:space="preserve"> </w:t>
      </w:r>
      <w:r>
        <w:rPr>
          <w:rFonts w:ascii="Arial" w:cs="Arial" w:eastAsia="Arial" w:hAnsi="Arial"/>
          <w:sz w:val="14"/>
          <w:szCs w:val="14"/>
          <w:color w:val="auto"/>
        </w:rPr>
        <w:t>behavior. Performance awards do not vest if our share price does not increase. In 2018, we have changed PSU awards to a three-year cliff in lieu of annual 1/3 vesting.</w:t>
      </w:r>
    </w:p>
    <w:p>
      <w:pPr>
        <w:spacing w:after="0" w:line="66" w:lineRule="exact"/>
        <w:rPr>
          <w:rFonts w:ascii="MS PGothic" w:cs="MS PGothic" w:eastAsia="MS PGothic" w:hAnsi="MS PGothic"/>
          <w:sz w:val="14"/>
          <w:szCs w:val="14"/>
          <w:color w:val="C3002F"/>
        </w:rPr>
      </w:pPr>
    </w:p>
    <w:p>
      <w:pPr>
        <w:ind w:left="720" w:right="340" w:hanging="374"/>
        <w:spacing w:after="0" w:line="280" w:lineRule="auto"/>
        <w:tabs>
          <w:tab w:leader="none" w:pos="72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Peer Group Comparison. </w:t>
      </w:r>
      <w:r>
        <w:rPr>
          <w:rFonts w:ascii="Arial" w:cs="Arial" w:eastAsia="Arial" w:hAnsi="Arial"/>
          <w:sz w:val="14"/>
          <w:szCs w:val="14"/>
          <w:color w:val="auto"/>
        </w:rPr>
        <w:t>We compare our executives’ total compensation to a consistent peer group for market comparable data. We evaluate that peer group</w:t>
      </w:r>
      <w:r>
        <w:rPr>
          <w:rFonts w:ascii="Arial" w:cs="Arial" w:eastAsia="Arial" w:hAnsi="Arial"/>
          <w:sz w:val="14"/>
          <w:szCs w:val="14"/>
          <w:b w:val="1"/>
          <w:bCs w:val="1"/>
          <w:color w:val="auto"/>
        </w:rPr>
        <w:t xml:space="preserve"> </w:t>
      </w:r>
      <w:r>
        <w:rPr>
          <w:rFonts w:ascii="Arial" w:cs="Arial" w:eastAsia="Arial" w:hAnsi="Arial"/>
          <w:sz w:val="14"/>
          <w:szCs w:val="14"/>
          <w:color w:val="auto"/>
        </w:rPr>
        <w:t>annually to ensure that it remains appropriate, and we add or remove peers only when clearly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6985</wp:posOffset>
            </wp:positionV>
            <wp:extent cx="69176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-263525</wp:posOffset>
            </wp:positionV>
            <wp:extent cx="6917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-636270</wp:posOffset>
            </wp:positionV>
            <wp:extent cx="69176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-1009650</wp:posOffset>
            </wp:positionV>
            <wp:extent cx="6917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-1280795</wp:posOffset>
            </wp:positionV>
            <wp:extent cx="6917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-1551940</wp:posOffset>
            </wp:positionV>
            <wp:extent cx="69176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-1924685</wp:posOffset>
            </wp:positionV>
            <wp:extent cx="69176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-2196465</wp:posOffset>
            </wp:positionV>
            <wp:extent cx="69176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151130</wp:posOffset>
            </wp:positionV>
            <wp:extent cx="69176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36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C3002F"/>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18415</wp:posOffset>
            </wp:positionV>
            <wp:extent cx="69176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50" w:lineRule="exact"/>
        <w:rPr>
          <w:sz w:val="20"/>
          <w:szCs w:val="20"/>
          <w:color w:val="auto"/>
        </w:rPr>
      </w:pPr>
    </w:p>
    <w:p>
      <w:pPr>
        <w:ind w:left="760" w:hanging="414"/>
        <w:spacing w:after="0"/>
        <w:tabs>
          <w:tab w:leader="none" w:pos="760" w:val="left"/>
        </w:tabs>
        <w:numPr>
          <w:ilvl w:val="0"/>
          <w:numId w:val="57"/>
        </w:numPr>
        <w:rPr>
          <w:rFonts w:ascii="Arial" w:cs="Arial" w:eastAsia="Arial" w:hAnsi="Arial"/>
          <w:sz w:val="14"/>
          <w:szCs w:val="14"/>
          <w:color w:val="C3002F"/>
        </w:rPr>
      </w:pPr>
      <w:r>
        <w:rPr>
          <w:rFonts w:ascii="Arial" w:cs="Arial" w:eastAsia="Arial" w:hAnsi="Arial"/>
          <w:sz w:val="14"/>
          <w:szCs w:val="14"/>
          <w:b w:val="1"/>
          <w:bCs w:val="1"/>
          <w:color w:val="auto"/>
        </w:rPr>
        <w:t xml:space="preserve">Discretionary Bonuses. </w:t>
      </w:r>
      <w:r>
        <w:rPr>
          <w:rFonts w:ascii="Arial" w:cs="Arial" w:eastAsia="Arial" w:hAnsi="Arial"/>
          <w:sz w:val="14"/>
          <w:szCs w:val="14"/>
          <w:color w:val="auto"/>
        </w:rPr>
        <w:t>We do not pay discretionary bonuses except in the case of extraordinary achievement or sign-on bonuses.</w:t>
      </w:r>
    </w:p>
    <w:p>
      <w:pPr>
        <w:spacing w:after="0" w:line="106" w:lineRule="exact"/>
        <w:rPr>
          <w:rFonts w:ascii="Arial" w:cs="Arial" w:eastAsia="Arial" w:hAnsi="Arial"/>
          <w:sz w:val="14"/>
          <w:szCs w:val="14"/>
          <w:color w:val="C3002F"/>
        </w:rPr>
      </w:pPr>
    </w:p>
    <w:p>
      <w:pPr>
        <w:ind w:left="760" w:hanging="414"/>
        <w:spacing w:after="0"/>
        <w:tabs>
          <w:tab w:leader="none" w:pos="760" w:val="left"/>
        </w:tabs>
        <w:numPr>
          <w:ilvl w:val="0"/>
          <w:numId w:val="57"/>
        </w:numPr>
        <w:rPr>
          <w:rFonts w:ascii="Arial" w:cs="Arial" w:eastAsia="Arial" w:hAnsi="Arial"/>
          <w:sz w:val="14"/>
          <w:szCs w:val="14"/>
          <w:color w:val="C3002F"/>
        </w:rPr>
      </w:pPr>
      <w:r>
        <w:rPr>
          <w:rFonts w:ascii="Arial" w:cs="Arial" w:eastAsia="Arial" w:hAnsi="Arial"/>
          <w:sz w:val="14"/>
          <w:szCs w:val="14"/>
          <w:b w:val="1"/>
          <w:bCs w:val="1"/>
          <w:color w:val="auto"/>
        </w:rPr>
        <w:t xml:space="preserve">Guaranteed Bonuses. </w:t>
      </w:r>
      <w:r>
        <w:rPr>
          <w:rFonts w:ascii="Arial" w:cs="Arial" w:eastAsia="Arial" w:hAnsi="Arial"/>
          <w:sz w:val="14"/>
          <w:szCs w:val="14"/>
          <w:color w:val="auto"/>
        </w:rPr>
        <w:t>We do not pay guaranteed bonuses and we do not pay multi-year bonuses.</w:t>
      </w:r>
    </w:p>
    <w:p>
      <w:pPr>
        <w:spacing w:after="0" w:line="106" w:lineRule="exact"/>
        <w:rPr>
          <w:rFonts w:ascii="Arial" w:cs="Arial" w:eastAsia="Arial" w:hAnsi="Arial"/>
          <w:sz w:val="14"/>
          <w:szCs w:val="14"/>
          <w:color w:val="C3002F"/>
        </w:rPr>
      </w:pPr>
    </w:p>
    <w:p>
      <w:pPr>
        <w:ind w:left="760" w:hanging="414"/>
        <w:spacing w:after="0"/>
        <w:tabs>
          <w:tab w:leader="none" w:pos="760" w:val="left"/>
        </w:tabs>
        <w:numPr>
          <w:ilvl w:val="0"/>
          <w:numId w:val="57"/>
        </w:numPr>
        <w:rPr>
          <w:rFonts w:ascii="Arial" w:cs="Arial" w:eastAsia="Arial" w:hAnsi="Arial"/>
          <w:sz w:val="14"/>
          <w:szCs w:val="14"/>
          <w:color w:val="C3002F"/>
        </w:rPr>
      </w:pPr>
      <w:r>
        <w:rPr>
          <w:rFonts w:ascii="Arial" w:cs="Arial" w:eastAsia="Arial" w:hAnsi="Arial"/>
          <w:sz w:val="14"/>
          <w:szCs w:val="14"/>
          <w:b w:val="1"/>
          <w:bCs w:val="1"/>
          <w:color w:val="auto"/>
        </w:rPr>
        <w:t xml:space="preserve">Automatic Base Salary Increases. </w:t>
      </w:r>
      <w:r>
        <w:rPr>
          <w:rFonts w:ascii="Arial" w:cs="Arial" w:eastAsia="Arial" w:hAnsi="Arial"/>
          <w:sz w:val="14"/>
          <w:szCs w:val="14"/>
          <w:color w:val="auto"/>
        </w:rPr>
        <w:t>Our NEOs base salaries are reviewed annually and are not automatically increased each year.</w:t>
      </w:r>
    </w:p>
    <w:p>
      <w:pPr>
        <w:spacing w:after="0" w:line="106" w:lineRule="exact"/>
        <w:rPr>
          <w:rFonts w:ascii="Arial" w:cs="Arial" w:eastAsia="Arial" w:hAnsi="Arial"/>
          <w:sz w:val="14"/>
          <w:szCs w:val="14"/>
          <w:color w:val="C3002F"/>
        </w:rPr>
      </w:pPr>
    </w:p>
    <w:p>
      <w:pPr>
        <w:ind w:left="760" w:hanging="414"/>
        <w:spacing w:after="0"/>
        <w:tabs>
          <w:tab w:leader="none" w:pos="760" w:val="left"/>
        </w:tabs>
        <w:numPr>
          <w:ilvl w:val="0"/>
          <w:numId w:val="57"/>
        </w:numPr>
        <w:rPr>
          <w:rFonts w:ascii="Arial" w:cs="Arial" w:eastAsia="Arial" w:hAnsi="Arial"/>
          <w:sz w:val="14"/>
          <w:szCs w:val="14"/>
          <w:color w:val="C3002F"/>
        </w:rPr>
      </w:pPr>
      <w:r>
        <w:rPr>
          <w:rFonts w:ascii="Arial" w:cs="Arial" w:eastAsia="Arial" w:hAnsi="Arial"/>
          <w:sz w:val="14"/>
          <w:szCs w:val="14"/>
          <w:b w:val="1"/>
          <w:bCs w:val="1"/>
          <w:color w:val="auto"/>
        </w:rPr>
        <w:t xml:space="preserve">Tax Gross-Ups. </w:t>
      </w:r>
      <w:r>
        <w:rPr>
          <w:rFonts w:ascii="Arial" w:cs="Arial" w:eastAsia="Arial" w:hAnsi="Arial"/>
          <w:sz w:val="14"/>
          <w:szCs w:val="14"/>
          <w:color w:val="auto"/>
        </w:rPr>
        <w:t>We do not provide tax gross-ups related to Section 280G or Section 409A of the Code.</w:t>
      </w:r>
    </w:p>
    <w:p>
      <w:pPr>
        <w:spacing w:after="0" w:line="106" w:lineRule="exact"/>
        <w:rPr>
          <w:rFonts w:ascii="Arial" w:cs="Arial" w:eastAsia="Arial" w:hAnsi="Arial"/>
          <w:sz w:val="14"/>
          <w:szCs w:val="14"/>
          <w:color w:val="C3002F"/>
        </w:rPr>
      </w:pPr>
    </w:p>
    <w:p>
      <w:pPr>
        <w:ind w:left="760" w:hanging="414"/>
        <w:spacing w:after="0"/>
        <w:tabs>
          <w:tab w:leader="none" w:pos="760" w:val="left"/>
        </w:tabs>
        <w:numPr>
          <w:ilvl w:val="0"/>
          <w:numId w:val="57"/>
        </w:numPr>
        <w:rPr>
          <w:rFonts w:ascii="Arial" w:cs="Arial" w:eastAsia="Arial" w:hAnsi="Arial"/>
          <w:sz w:val="14"/>
          <w:szCs w:val="14"/>
          <w:color w:val="C3002F"/>
        </w:rPr>
      </w:pPr>
      <w:r>
        <w:rPr>
          <w:rFonts w:ascii="Arial" w:cs="Arial" w:eastAsia="Arial" w:hAnsi="Arial"/>
          <w:sz w:val="14"/>
          <w:szCs w:val="14"/>
          <w:b w:val="1"/>
          <w:bCs w:val="1"/>
          <w:color w:val="auto"/>
        </w:rPr>
        <w:t xml:space="preserve">Hedging Company Stock. </w:t>
      </w:r>
      <w:r>
        <w:rPr>
          <w:rFonts w:ascii="Arial" w:cs="Arial" w:eastAsia="Arial" w:hAnsi="Arial"/>
          <w:sz w:val="14"/>
          <w:szCs w:val="14"/>
          <w:color w:val="auto"/>
        </w:rPr>
        <w:t>We prohibit our executives and directors from engaging in hedging or derivative transactions involving our shares.</w:t>
      </w:r>
    </w:p>
    <w:p>
      <w:pPr>
        <w:spacing w:after="0" w:line="106" w:lineRule="exact"/>
        <w:rPr>
          <w:rFonts w:ascii="Arial" w:cs="Arial" w:eastAsia="Arial" w:hAnsi="Arial"/>
          <w:sz w:val="14"/>
          <w:szCs w:val="14"/>
          <w:color w:val="C3002F"/>
        </w:rPr>
      </w:pPr>
    </w:p>
    <w:p>
      <w:pPr>
        <w:ind w:left="760" w:right="500" w:hanging="414"/>
        <w:spacing w:after="0" w:line="280" w:lineRule="auto"/>
        <w:tabs>
          <w:tab w:leader="none" w:pos="760" w:val="left"/>
        </w:tabs>
        <w:numPr>
          <w:ilvl w:val="0"/>
          <w:numId w:val="57"/>
        </w:numPr>
        <w:rPr>
          <w:rFonts w:ascii="Arial" w:cs="Arial" w:eastAsia="Arial" w:hAnsi="Arial"/>
          <w:sz w:val="14"/>
          <w:szCs w:val="14"/>
          <w:color w:val="C3002F"/>
        </w:rPr>
      </w:pPr>
      <w:r>
        <w:rPr>
          <w:rFonts w:ascii="Arial" w:cs="Arial" w:eastAsia="Arial" w:hAnsi="Arial"/>
          <w:sz w:val="14"/>
          <w:szCs w:val="14"/>
          <w:b w:val="1"/>
          <w:bCs w:val="1"/>
          <w:color w:val="auto"/>
        </w:rPr>
        <w:t xml:space="preserve">Pledging Company Stock. </w:t>
      </w:r>
      <w:r>
        <w:rPr>
          <w:rFonts w:ascii="Arial" w:cs="Arial" w:eastAsia="Arial" w:hAnsi="Arial"/>
          <w:sz w:val="14"/>
          <w:szCs w:val="14"/>
          <w:color w:val="auto"/>
        </w:rPr>
        <w:t>We prohibit our executives and directors from pledging shares, subject to certain exceptions. No executives or director nominees</w:t>
      </w:r>
      <w:r>
        <w:rPr>
          <w:rFonts w:ascii="Arial" w:cs="Arial" w:eastAsia="Arial" w:hAnsi="Arial"/>
          <w:sz w:val="14"/>
          <w:szCs w:val="14"/>
          <w:b w:val="1"/>
          <w:bCs w:val="1"/>
          <w:color w:val="auto"/>
        </w:rPr>
        <w:t xml:space="preserve"> </w:t>
      </w:r>
      <w:r>
        <w:rPr>
          <w:rFonts w:ascii="Arial" w:cs="Arial" w:eastAsia="Arial" w:hAnsi="Arial"/>
          <w:sz w:val="14"/>
          <w:szCs w:val="14"/>
          <w:color w:val="auto"/>
        </w:rPr>
        <w:t>currently pledge any of their shares.</w:t>
      </w:r>
    </w:p>
    <w:p>
      <w:pPr>
        <w:spacing w:after="0" w:line="51" w:lineRule="exact"/>
        <w:rPr>
          <w:rFonts w:ascii="Arial" w:cs="Arial" w:eastAsia="Arial" w:hAnsi="Arial"/>
          <w:sz w:val="14"/>
          <w:szCs w:val="14"/>
          <w:color w:val="C3002F"/>
        </w:rPr>
      </w:pPr>
    </w:p>
    <w:p>
      <w:pPr>
        <w:ind w:left="760" w:right="180" w:hanging="414"/>
        <w:spacing w:after="0" w:line="280" w:lineRule="auto"/>
        <w:tabs>
          <w:tab w:leader="none" w:pos="760" w:val="left"/>
        </w:tabs>
        <w:numPr>
          <w:ilvl w:val="0"/>
          <w:numId w:val="57"/>
        </w:numPr>
        <w:rPr>
          <w:rFonts w:ascii="Arial" w:cs="Arial" w:eastAsia="Arial" w:hAnsi="Arial"/>
          <w:sz w:val="14"/>
          <w:szCs w:val="14"/>
          <w:color w:val="C3002F"/>
        </w:rPr>
      </w:pPr>
      <w:r>
        <w:rPr>
          <w:rFonts w:ascii="Arial" w:cs="Arial" w:eastAsia="Arial" w:hAnsi="Arial"/>
          <w:sz w:val="14"/>
          <w:szCs w:val="14"/>
          <w:b w:val="1"/>
          <w:bCs w:val="1"/>
          <w:color w:val="auto"/>
        </w:rPr>
        <w:t xml:space="preserve">Employment Agreements. </w:t>
      </w:r>
      <w:r>
        <w:rPr>
          <w:rFonts w:ascii="Arial" w:cs="Arial" w:eastAsia="Arial" w:hAnsi="Arial"/>
          <w:sz w:val="14"/>
          <w:szCs w:val="14"/>
          <w:color w:val="auto"/>
        </w:rPr>
        <w:t>In 2015, we stopped entering into employment agreements with executive officers. In January of 2018, we gave notice of non-renewal</w:t>
      </w:r>
      <w:r>
        <w:rPr>
          <w:rFonts w:ascii="Arial" w:cs="Arial" w:eastAsia="Arial" w:hAnsi="Arial"/>
          <w:sz w:val="14"/>
          <w:szCs w:val="14"/>
          <w:b w:val="1"/>
          <w:bCs w:val="1"/>
          <w:color w:val="auto"/>
        </w:rPr>
        <w:t xml:space="preserve"> </w:t>
      </w:r>
      <w:r>
        <w:rPr>
          <w:rFonts w:ascii="Arial" w:cs="Arial" w:eastAsia="Arial" w:hAnsi="Arial"/>
          <w:sz w:val="14"/>
          <w:szCs w:val="14"/>
          <w:color w:val="auto"/>
        </w:rPr>
        <w:t>under our five remaining employment agreements to each applicable corporate or executive officer who had a legacy employment agreement, including Mr.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6985</wp:posOffset>
            </wp:positionV>
            <wp:extent cx="69176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-263525</wp:posOffset>
            </wp:positionV>
            <wp:extent cx="69176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-534670</wp:posOffset>
            </wp:positionV>
            <wp:extent cx="69176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-704215</wp:posOffset>
            </wp:positionV>
            <wp:extent cx="69176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-873760</wp:posOffset>
            </wp:positionV>
            <wp:extent cx="69176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-1043305</wp:posOffset>
            </wp:positionV>
            <wp:extent cx="69176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-1212850</wp:posOffset>
            </wp:positionV>
            <wp:extent cx="69176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117475</wp:posOffset>
            </wp:positionV>
            <wp:extent cx="6917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ectPr>
          <w:pgSz w:w="11900" w:h="16838" w:orient="portrait"/>
          <w:cols w:equalWidth="0" w:num="1">
            <w:col w:w="11140"/>
          </w:cols>
          <w:pgMar w:left="240" w:top="455" w:right="51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620" w:hanging="353"/>
        <w:spacing w:after="0"/>
        <w:tabs>
          <w:tab w:leader="none" w:pos="620" w:val="left"/>
        </w:tabs>
        <w:numPr>
          <w:ilvl w:val="0"/>
          <w:numId w:val="58"/>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2018 Proxy Statement</w:t>
      </w:r>
    </w:p>
    <w:p>
      <w:pPr>
        <w:sectPr>
          <w:pgSz w:w="11900" w:h="16838" w:orient="portrait"/>
          <w:cols w:equalWidth="0" w:num="1">
            <w:col w:w="11140"/>
          </w:cols>
          <w:pgMar w:left="240" w:top="455" w:right="51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0" w:lineRule="exact"/>
        <w:rPr>
          <w:sz w:val="20"/>
          <w:szCs w:val="20"/>
          <w:color w:val="auto"/>
        </w:rPr>
      </w:pPr>
    </w:p>
    <w:p>
      <w:pPr>
        <w:spacing w:after="0" w:line="333"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SETTING THE STAGE FOR OUR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year was marked by significant focus on planning and delivering tangible results to reinforce our Company’s position as a strong, viable, and innovative industry leader.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149225</wp:posOffset>
            </wp:positionV>
            <wp:extent cx="6917690" cy="47472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17690" cy="4747260"/>
                    </a:xfrm>
                    <a:prstGeom prst="rect">
                      <a:avLst/>
                    </a:prstGeom>
                    <a:noFill/>
                  </pic:spPr>
                </pic:pic>
              </a:graphicData>
            </a:graphic>
          </wp:anchor>
        </w:drawing>
      </w:r>
    </w:p>
    <w:p>
      <w:pPr>
        <w:spacing w:after="0" w:line="215" w:lineRule="exact"/>
        <w:rPr>
          <w:sz w:val="20"/>
          <w:szCs w:val="20"/>
          <w:color w:val="auto"/>
        </w:rPr>
      </w:pPr>
    </w:p>
    <w:tbl>
      <w:tblPr>
        <w:tblLayout w:type="fixed"/>
        <w:tblInd w:w="280" w:type="dxa"/>
        <w:tblCellMar>
          <w:top w:w="0" w:type="dxa"/>
          <w:left w:w="0" w:type="dxa"/>
          <w:bottom w:w="0" w:type="dxa"/>
          <w:right w:w="0" w:type="dxa"/>
        </w:tblCellMar>
      </w:tblPr>
      <w:tr>
        <w:trPr>
          <w:trHeight w:val="280"/>
        </w:trPr>
        <w:tc>
          <w:tcPr>
            <w:tcW w:w="80" w:type="dxa"/>
            <w:vAlign w:val="bottom"/>
            <w:tcBorders>
              <w:bottom w:val="single" w:sz="8" w:color="E5E5E5"/>
            </w:tcBorders>
            <w:shd w:val="clear" w:color="auto" w:fill="E5E5E5"/>
          </w:tcPr>
          <w:p>
            <w:pPr>
              <w:spacing w:after="0"/>
              <w:rPr>
                <w:sz w:val="24"/>
                <w:szCs w:val="24"/>
                <w:color w:val="auto"/>
              </w:rPr>
            </w:pPr>
          </w:p>
        </w:tc>
        <w:tc>
          <w:tcPr>
            <w:tcW w:w="2700" w:type="dxa"/>
            <w:vAlign w:val="bottom"/>
            <w:tcBorders>
              <w:bottom w:val="single" w:sz="8" w:color="E5E5E5"/>
            </w:tcBorders>
            <w:shd w:val="clear" w:color="auto" w:fill="E5E5E5"/>
          </w:tcPr>
          <w:p>
            <w:pPr>
              <w:ind w:left="100"/>
              <w:spacing w:after="0"/>
              <w:rPr>
                <w:sz w:val="20"/>
                <w:szCs w:val="20"/>
                <w:color w:val="auto"/>
              </w:rPr>
            </w:pPr>
            <w:r>
              <w:rPr>
                <w:rFonts w:ascii="Arial" w:cs="Arial" w:eastAsia="Arial" w:hAnsi="Arial"/>
                <w:sz w:val="15"/>
                <w:szCs w:val="15"/>
                <w:b w:val="1"/>
                <w:bCs w:val="1"/>
                <w:color w:val="auto"/>
              </w:rPr>
              <w:t>ACTIONS</w:t>
            </w:r>
          </w:p>
        </w:tc>
        <w:tc>
          <w:tcPr>
            <w:tcW w:w="8100" w:type="dxa"/>
            <w:vAlign w:val="bottom"/>
          </w:tcPr>
          <w:p>
            <w:pPr>
              <w:ind w:left="100"/>
              <w:spacing w:after="0"/>
              <w:rPr>
                <w:sz w:val="20"/>
                <w:szCs w:val="20"/>
                <w:color w:val="auto"/>
              </w:rPr>
            </w:pPr>
            <w:r>
              <w:rPr>
                <w:rFonts w:ascii="Arial" w:cs="Arial" w:eastAsia="Arial" w:hAnsi="Arial"/>
                <w:sz w:val="15"/>
                <w:szCs w:val="15"/>
                <w:b w:val="1"/>
                <w:bCs w:val="1"/>
                <w:color w:val="auto"/>
              </w:rPr>
              <w:t>RESULTS</w:t>
            </w:r>
          </w:p>
        </w:tc>
        <w:tc>
          <w:tcPr>
            <w:tcW w:w="0" w:type="dxa"/>
            <w:vAlign w:val="bottom"/>
          </w:tcPr>
          <w:p>
            <w:pPr>
              <w:spacing w:after="0"/>
              <w:rPr>
                <w:sz w:val="1"/>
                <w:szCs w:val="1"/>
                <w:color w:val="auto"/>
              </w:rPr>
            </w:pPr>
          </w:p>
        </w:tc>
      </w:tr>
      <w:tr>
        <w:trPr>
          <w:trHeight w:val="228"/>
        </w:trPr>
        <w:tc>
          <w:tcPr>
            <w:tcW w:w="8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6"/>
                <w:szCs w:val="16"/>
                <w:b w:val="1"/>
                <w:bCs w:val="1"/>
                <w:color w:val="C3002F"/>
              </w:rPr>
              <w:t>MARCH 2017</w:t>
            </w:r>
          </w:p>
        </w:tc>
        <w:tc>
          <w:tcPr>
            <w:tcW w:w="810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Gained an accomplished and respected leader with:</w:t>
            </w:r>
          </w:p>
        </w:tc>
        <w:tc>
          <w:tcPr>
            <w:tcW w:w="0" w:type="dxa"/>
            <w:vAlign w:val="bottom"/>
          </w:tcPr>
          <w:p>
            <w:pPr>
              <w:spacing w:after="0"/>
              <w:rPr>
                <w:sz w:val="1"/>
                <w:szCs w:val="1"/>
                <w:color w:val="auto"/>
              </w:rPr>
            </w:pPr>
          </w:p>
        </w:tc>
      </w:tr>
      <w:tr>
        <w:trPr>
          <w:trHeight w:val="261"/>
        </w:trPr>
        <w:tc>
          <w:tcPr>
            <w:tcW w:w="80" w:type="dxa"/>
            <w:vAlign w:val="bottom"/>
          </w:tcPr>
          <w:p>
            <w:pPr>
              <w:spacing w:after="0"/>
              <w:rPr>
                <w:sz w:val="22"/>
                <w:szCs w:val="22"/>
                <w:color w:val="auto"/>
              </w:rPr>
            </w:pPr>
          </w:p>
        </w:tc>
        <w:tc>
          <w:tcPr>
            <w:tcW w:w="27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Announced new</w:t>
            </w:r>
          </w:p>
        </w:tc>
        <w:tc>
          <w:tcPr>
            <w:tcW w:w="8100" w:type="dxa"/>
            <w:vAlign w:val="bottom"/>
          </w:tcPr>
          <w:p>
            <w:pPr>
              <w:ind w:left="100"/>
              <w:spacing w:after="0"/>
              <w:rPr>
                <w:sz w:val="20"/>
                <w:szCs w:val="20"/>
                <w:color w:val="auto"/>
              </w:rPr>
            </w:pPr>
            <w:r>
              <w:rPr>
                <w:rFonts w:ascii="Arial" w:cs="Arial" w:eastAsia="Arial" w:hAnsi="Arial"/>
                <w:sz w:val="16"/>
                <w:szCs w:val="16"/>
                <w:color w:val="C3002F"/>
              </w:rPr>
              <w:t xml:space="preserve">● </w:t>
            </w:r>
            <w:r>
              <w:rPr>
                <w:rFonts w:ascii="Arial" w:cs="Arial" w:eastAsia="Arial" w:hAnsi="Arial"/>
                <w:sz w:val="16"/>
                <w:szCs w:val="16"/>
                <w:color w:val="000000"/>
              </w:rPr>
              <w:t>Extensive financial and executive leadership experience in the oilfield industry</w:t>
            </w: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2700" w:type="dxa"/>
            <w:vAlign w:val="bottom"/>
            <w:shd w:val="clear" w:color="auto" w:fill="E5E5E5"/>
          </w:tcPr>
          <w:p>
            <w:pPr>
              <w:ind w:left="100"/>
              <w:spacing w:after="0" w:line="167" w:lineRule="exact"/>
              <w:rPr>
                <w:sz w:val="20"/>
                <w:szCs w:val="20"/>
                <w:color w:val="auto"/>
              </w:rPr>
            </w:pPr>
            <w:r>
              <w:rPr>
                <w:rFonts w:ascii="Arial" w:cs="Arial" w:eastAsia="Arial" w:hAnsi="Arial"/>
                <w:sz w:val="16"/>
                <w:szCs w:val="16"/>
                <w:color w:val="auto"/>
              </w:rPr>
              <w:t>President and CEO,</w:t>
            </w:r>
          </w:p>
        </w:tc>
        <w:tc>
          <w:tcPr>
            <w:tcW w:w="8100" w:type="dxa"/>
            <w:vAlign w:val="bottom"/>
            <w:vMerge w:val="restart"/>
          </w:tcPr>
          <w:p>
            <w:pPr>
              <w:ind w:left="100"/>
              <w:spacing w:after="0"/>
              <w:rPr>
                <w:sz w:val="20"/>
                <w:szCs w:val="20"/>
                <w:color w:val="auto"/>
              </w:rPr>
            </w:pPr>
            <w:r>
              <w:rPr>
                <w:rFonts w:ascii="Arial" w:cs="Arial" w:eastAsia="Arial" w:hAnsi="Arial"/>
                <w:sz w:val="16"/>
                <w:szCs w:val="16"/>
                <w:color w:val="C3002F"/>
              </w:rPr>
              <w:t xml:space="preserve">● </w:t>
            </w:r>
            <w:r>
              <w:rPr>
                <w:rFonts w:ascii="Arial" w:cs="Arial" w:eastAsia="Arial" w:hAnsi="Arial"/>
                <w:sz w:val="16"/>
                <w:szCs w:val="16"/>
                <w:color w:val="000000"/>
              </w:rPr>
              <w:t>Deep knowledge of the oilfield services market and how to navigate its challenges</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2700" w:type="dxa"/>
            <w:vAlign w:val="bottom"/>
            <w:vMerge w:val="restart"/>
            <w:shd w:val="clear" w:color="auto" w:fill="E5E5E5"/>
          </w:tcPr>
          <w:p>
            <w:pPr>
              <w:ind w:left="100"/>
              <w:spacing w:after="0"/>
              <w:rPr>
                <w:sz w:val="20"/>
                <w:szCs w:val="20"/>
                <w:color w:val="auto"/>
              </w:rPr>
            </w:pPr>
            <w:r>
              <w:rPr>
                <w:rFonts w:ascii="Arial" w:cs="Arial" w:eastAsia="Arial" w:hAnsi="Arial"/>
                <w:sz w:val="16"/>
                <w:szCs w:val="16"/>
                <w:b w:val="1"/>
                <w:bCs w:val="1"/>
                <w:color w:val="auto"/>
              </w:rPr>
              <w:t>Mark A. McCollum</w:t>
            </w:r>
          </w:p>
        </w:tc>
        <w:tc>
          <w:tcPr>
            <w:tcW w:w="8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2700" w:type="dxa"/>
            <w:vAlign w:val="bottom"/>
            <w:vMerge w:val="continue"/>
            <w:shd w:val="clear" w:color="auto" w:fill="E5E5E5"/>
          </w:tcPr>
          <w:p>
            <w:pPr>
              <w:spacing w:after="0"/>
              <w:rPr>
                <w:sz w:val="10"/>
                <w:szCs w:val="10"/>
                <w:color w:val="auto"/>
              </w:rPr>
            </w:pPr>
          </w:p>
        </w:tc>
        <w:tc>
          <w:tcPr>
            <w:tcW w:w="8100" w:type="dxa"/>
            <w:vAlign w:val="bottom"/>
            <w:vMerge w:val="restart"/>
          </w:tcPr>
          <w:p>
            <w:pPr>
              <w:ind w:left="100"/>
              <w:spacing w:after="0"/>
              <w:rPr>
                <w:sz w:val="20"/>
                <w:szCs w:val="20"/>
                <w:color w:val="auto"/>
              </w:rPr>
            </w:pPr>
            <w:r>
              <w:rPr>
                <w:rFonts w:ascii="Arial" w:cs="Arial" w:eastAsia="Arial" w:hAnsi="Arial"/>
                <w:sz w:val="16"/>
                <w:szCs w:val="16"/>
                <w:color w:val="C3002F"/>
              </w:rPr>
              <w:t xml:space="preserve">● </w:t>
            </w:r>
            <w:r>
              <w:rPr>
                <w:rFonts w:ascii="Arial" w:cs="Arial" w:eastAsia="Arial" w:hAnsi="Arial"/>
                <w:sz w:val="16"/>
                <w:szCs w:val="16"/>
                <w:color w:val="000000"/>
              </w:rPr>
              <w:t>Strong commitment to driving financial discipline and improving organizational health</w:t>
            </w:r>
          </w:p>
        </w:tc>
        <w:tc>
          <w:tcPr>
            <w:tcW w:w="0" w:type="dxa"/>
            <w:vAlign w:val="bottom"/>
          </w:tcPr>
          <w:p>
            <w:pPr>
              <w:spacing w:after="0"/>
              <w:rPr>
                <w:sz w:val="1"/>
                <w:szCs w:val="1"/>
                <w:color w:val="auto"/>
              </w:rPr>
            </w:pPr>
          </w:p>
        </w:tc>
      </w:tr>
      <w:tr>
        <w:trPr>
          <w:trHeight w:val="159"/>
        </w:trPr>
        <w:tc>
          <w:tcPr>
            <w:tcW w:w="80" w:type="dxa"/>
            <w:vAlign w:val="bottom"/>
            <w:tcBorders>
              <w:bottom w:val="single" w:sz="8" w:color="7F7F7F"/>
            </w:tcBorders>
          </w:tcPr>
          <w:p>
            <w:pPr>
              <w:spacing w:after="0"/>
              <w:rPr>
                <w:sz w:val="13"/>
                <w:szCs w:val="13"/>
                <w:color w:val="auto"/>
              </w:rPr>
            </w:pPr>
          </w:p>
        </w:tc>
        <w:tc>
          <w:tcPr>
            <w:tcW w:w="2700" w:type="dxa"/>
            <w:vAlign w:val="bottom"/>
            <w:tcBorders>
              <w:bottom w:val="single" w:sz="8" w:color="7F7F7F"/>
            </w:tcBorders>
            <w:shd w:val="clear" w:color="auto" w:fill="E5E5E5"/>
          </w:tcPr>
          <w:p>
            <w:pPr>
              <w:spacing w:after="0"/>
              <w:rPr>
                <w:sz w:val="13"/>
                <w:szCs w:val="13"/>
                <w:color w:val="auto"/>
              </w:rPr>
            </w:pPr>
          </w:p>
        </w:tc>
        <w:tc>
          <w:tcPr>
            <w:tcW w:w="8100" w:type="dxa"/>
            <w:vAlign w:val="bottom"/>
            <w:tcBorders>
              <w:bottom w:val="single" w:sz="8" w:color="7F7F7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80" w:type="dxa"/>
            <w:vAlign w:val="bottom"/>
          </w:tcPr>
          <w:p>
            <w:pPr>
              <w:spacing w:after="0"/>
              <w:rPr>
                <w:sz w:val="20"/>
                <w:szCs w:val="20"/>
                <w:color w:val="auto"/>
              </w:rPr>
            </w:pPr>
          </w:p>
        </w:tc>
        <w:tc>
          <w:tcPr>
            <w:tcW w:w="2700" w:type="dxa"/>
            <w:vAlign w:val="bottom"/>
          </w:tcPr>
          <w:p>
            <w:pPr>
              <w:ind w:left="100"/>
              <w:spacing w:after="0"/>
              <w:rPr>
                <w:sz w:val="20"/>
                <w:szCs w:val="20"/>
                <w:color w:val="auto"/>
              </w:rPr>
            </w:pPr>
            <w:r>
              <w:rPr>
                <w:rFonts w:ascii="Arial" w:cs="Arial" w:eastAsia="Arial" w:hAnsi="Arial"/>
                <w:sz w:val="16"/>
                <w:szCs w:val="16"/>
                <w:b w:val="1"/>
                <w:bCs w:val="1"/>
                <w:color w:val="C3002F"/>
              </w:rPr>
              <w:t>APRIL 2017</w:t>
            </w:r>
          </w:p>
        </w:tc>
        <w:tc>
          <w:tcPr>
            <w:tcW w:w="8100" w:type="dxa"/>
            <w:vAlign w:val="bottom"/>
          </w:tcPr>
          <w:p>
            <w:pPr>
              <w:ind w:left="100"/>
              <w:spacing w:after="0"/>
              <w:rPr>
                <w:sz w:val="20"/>
                <w:szCs w:val="20"/>
                <w:color w:val="auto"/>
              </w:rPr>
            </w:pPr>
            <w:r>
              <w:rPr>
                <w:rFonts w:ascii="Arial" w:cs="Arial" w:eastAsia="Arial" w:hAnsi="Arial"/>
                <w:sz w:val="16"/>
                <w:szCs w:val="16"/>
                <w:b w:val="1"/>
                <w:bCs w:val="1"/>
                <w:color w:val="auto"/>
              </w:rPr>
              <w:t>Re-energized and united our workforce by building a common One Weatherford culture focused on:</w:t>
            </w: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2700" w:type="dxa"/>
            <w:vAlign w:val="bottom"/>
          </w:tcPr>
          <w:p>
            <w:pPr>
              <w:ind w:left="100"/>
              <w:spacing w:after="0"/>
              <w:rPr>
                <w:sz w:val="20"/>
                <w:szCs w:val="20"/>
                <w:color w:val="auto"/>
              </w:rPr>
            </w:pPr>
            <w:r>
              <w:rPr>
                <w:rFonts w:ascii="Arial" w:cs="Arial" w:eastAsia="Arial" w:hAnsi="Arial"/>
                <w:sz w:val="16"/>
                <w:szCs w:val="16"/>
                <w:color w:val="auto"/>
              </w:rPr>
              <w:t>Established our</w:t>
            </w:r>
          </w:p>
        </w:tc>
        <w:tc>
          <w:tcPr>
            <w:tcW w:w="8100" w:type="dxa"/>
            <w:vAlign w:val="bottom"/>
          </w:tcPr>
          <w:p>
            <w:pPr>
              <w:ind w:left="100"/>
              <w:spacing w:after="0"/>
              <w:rPr>
                <w:sz w:val="20"/>
                <w:szCs w:val="20"/>
                <w:color w:val="auto"/>
              </w:rPr>
            </w:pPr>
            <w:r>
              <w:rPr>
                <w:rFonts w:ascii="Arial" w:cs="Arial" w:eastAsia="Arial" w:hAnsi="Arial"/>
                <w:sz w:val="16"/>
                <w:szCs w:val="16"/>
                <w:color w:val="C3002F"/>
              </w:rPr>
              <w:t xml:space="preserve">● </w:t>
            </w:r>
            <w:r>
              <w:rPr>
                <w:rFonts w:ascii="Arial" w:cs="Arial" w:eastAsia="Arial" w:hAnsi="Arial"/>
                <w:sz w:val="16"/>
                <w:szCs w:val="16"/>
                <w:color w:val="000000"/>
              </w:rPr>
              <w:t>Ethics and integrity</w:t>
            </w: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2700" w:type="dxa"/>
            <w:vAlign w:val="bottom"/>
          </w:tcPr>
          <w:p>
            <w:pPr>
              <w:ind w:left="100"/>
              <w:spacing w:after="0"/>
              <w:rPr>
                <w:sz w:val="20"/>
                <w:szCs w:val="20"/>
                <w:color w:val="auto"/>
              </w:rPr>
            </w:pPr>
            <w:r>
              <w:rPr>
                <w:rFonts w:ascii="Arial" w:cs="Arial" w:eastAsia="Arial" w:hAnsi="Arial"/>
                <w:sz w:val="16"/>
                <w:szCs w:val="16"/>
                <w:b w:val="1"/>
                <w:bCs w:val="1"/>
                <w:color w:val="auto"/>
              </w:rPr>
              <w:t>mission and</w:t>
            </w:r>
          </w:p>
        </w:tc>
        <w:tc>
          <w:tcPr>
            <w:tcW w:w="8100" w:type="dxa"/>
            <w:vAlign w:val="bottom"/>
            <w:vMerge w:val="restart"/>
          </w:tcPr>
          <w:p>
            <w:pPr>
              <w:ind w:left="100"/>
              <w:spacing w:after="0"/>
              <w:rPr>
                <w:sz w:val="20"/>
                <w:szCs w:val="20"/>
                <w:color w:val="auto"/>
              </w:rPr>
            </w:pPr>
            <w:r>
              <w:rPr>
                <w:rFonts w:ascii="Arial" w:cs="Arial" w:eastAsia="Arial" w:hAnsi="Arial"/>
                <w:sz w:val="16"/>
                <w:szCs w:val="16"/>
                <w:color w:val="C3002F"/>
              </w:rPr>
              <w:t xml:space="preserve">● </w:t>
            </w:r>
            <w:r>
              <w:rPr>
                <w:rFonts w:ascii="Arial" w:cs="Arial" w:eastAsia="Arial" w:hAnsi="Arial"/>
                <w:sz w:val="16"/>
                <w:szCs w:val="16"/>
                <w:color w:val="000000"/>
              </w:rPr>
              <w:t>Discipline and accountability</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27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core values</w:t>
            </w:r>
          </w:p>
        </w:tc>
        <w:tc>
          <w:tcPr>
            <w:tcW w:w="8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2700" w:type="dxa"/>
            <w:vAlign w:val="bottom"/>
            <w:vMerge w:val="continue"/>
          </w:tcPr>
          <w:p>
            <w:pPr>
              <w:spacing w:after="0"/>
              <w:rPr>
                <w:sz w:val="10"/>
                <w:szCs w:val="10"/>
                <w:color w:val="auto"/>
              </w:rPr>
            </w:pPr>
          </w:p>
        </w:tc>
        <w:tc>
          <w:tcPr>
            <w:tcW w:w="8100" w:type="dxa"/>
            <w:vAlign w:val="bottom"/>
            <w:vMerge w:val="restart"/>
          </w:tcPr>
          <w:p>
            <w:pPr>
              <w:ind w:left="100"/>
              <w:spacing w:after="0"/>
              <w:rPr>
                <w:sz w:val="20"/>
                <w:szCs w:val="20"/>
                <w:color w:val="auto"/>
              </w:rPr>
            </w:pPr>
            <w:r>
              <w:rPr>
                <w:rFonts w:ascii="Arial" w:cs="Arial" w:eastAsia="Arial" w:hAnsi="Arial"/>
                <w:sz w:val="16"/>
                <w:szCs w:val="16"/>
                <w:color w:val="C3002F"/>
              </w:rPr>
              <w:t xml:space="preserve">● </w:t>
            </w:r>
            <w:r>
              <w:rPr>
                <w:rFonts w:ascii="Arial" w:cs="Arial" w:eastAsia="Arial" w:hAnsi="Arial"/>
                <w:sz w:val="16"/>
                <w:szCs w:val="16"/>
                <w:color w:val="000000"/>
              </w:rPr>
              <w:t>Flawless execution</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8100" w:type="dxa"/>
            <w:vAlign w:val="bottom"/>
          </w:tcPr>
          <w:p>
            <w:pPr>
              <w:ind w:left="100"/>
              <w:spacing w:after="0"/>
              <w:rPr>
                <w:sz w:val="20"/>
                <w:szCs w:val="20"/>
                <w:color w:val="auto"/>
              </w:rPr>
            </w:pPr>
            <w:r>
              <w:rPr>
                <w:rFonts w:ascii="Arial" w:cs="Arial" w:eastAsia="Arial" w:hAnsi="Arial"/>
                <w:sz w:val="16"/>
                <w:szCs w:val="16"/>
                <w:color w:val="C3002F"/>
              </w:rPr>
              <w:t xml:space="preserve">● </w:t>
            </w:r>
            <w:r>
              <w:rPr>
                <w:rFonts w:ascii="Arial" w:cs="Arial" w:eastAsia="Arial" w:hAnsi="Arial"/>
                <w:sz w:val="16"/>
                <w:szCs w:val="16"/>
                <w:color w:val="000000"/>
              </w:rPr>
              <w:t>Collaboration and partnership</w:t>
            </w:r>
          </w:p>
        </w:tc>
        <w:tc>
          <w:tcPr>
            <w:tcW w:w="0" w:type="dxa"/>
            <w:vAlign w:val="bottom"/>
          </w:tcPr>
          <w:p>
            <w:pPr>
              <w:spacing w:after="0"/>
              <w:rPr>
                <w:sz w:val="1"/>
                <w:szCs w:val="1"/>
                <w:color w:val="auto"/>
              </w:rPr>
            </w:pPr>
          </w:p>
        </w:tc>
      </w:tr>
      <w:tr>
        <w:trPr>
          <w:trHeight w:val="267"/>
        </w:trPr>
        <w:tc>
          <w:tcPr>
            <w:tcW w:w="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8100" w:type="dxa"/>
            <w:vAlign w:val="bottom"/>
          </w:tcPr>
          <w:p>
            <w:pPr>
              <w:ind w:left="100"/>
              <w:spacing w:after="0"/>
              <w:rPr>
                <w:sz w:val="20"/>
                <w:szCs w:val="20"/>
                <w:color w:val="auto"/>
              </w:rPr>
            </w:pPr>
            <w:r>
              <w:rPr>
                <w:rFonts w:ascii="Arial" w:cs="Arial" w:eastAsia="Arial" w:hAnsi="Arial"/>
                <w:sz w:val="16"/>
                <w:szCs w:val="16"/>
                <w:color w:val="C3002F"/>
              </w:rPr>
              <w:t xml:space="preserve">● </w:t>
            </w:r>
            <w:r>
              <w:rPr>
                <w:rFonts w:ascii="Arial" w:cs="Arial" w:eastAsia="Arial" w:hAnsi="Arial"/>
                <w:sz w:val="16"/>
                <w:szCs w:val="16"/>
                <w:color w:val="000000"/>
              </w:rPr>
              <w:t>Innovation and technology leadership</w:t>
            </w:r>
          </w:p>
        </w:tc>
        <w:tc>
          <w:tcPr>
            <w:tcW w:w="0" w:type="dxa"/>
            <w:vAlign w:val="bottom"/>
          </w:tcPr>
          <w:p>
            <w:pPr>
              <w:spacing w:after="0"/>
              <w:rPr>
                <w:sz w:val="1"/>
                <w:szCs w:val="1"/>
                <w:color w:val="auto"/>
              </w:rPr>
            </w:pPr>
          </w:p>
        </w:tc>
      </w:tr>
      <w:tr>
        <w:trPr>
          <w:trHeight w:val="279"/>
        </w:trPr>
        <w:tc>
          <w:tcPr>
            <w:tcW w:w="80" w:type="dxa"/>
            <w:vAlign w:val="bottom"/>
            <w:tcBorders>
              <w:bottom w:val="single" w:sz="8" w:color="7F7F7F"/>
            </w:tcBorders>
          </w:tcPr>
          <w:p>
            <w:pPr>
              <w:spacing w:after="0"/>
              <w:rPr>
                <w:sz w:val="24"/>
                <w:szCs w:val="24"/>
                <w:color w:val="auto"/>
              </w:rPr>
            </w:pPr>
          </w:p>
        </w:tc>
        <w:tc>
          <w:tcPr>
            <w:tcW w:w="2700" w:type="dxa"/>
            <w:vAlign w:val="bottom"/>
            <w:tcBorders>
              <w:bottom w:val="single" w:sz="8" w:color="7F7F7F"/>
            </w:tcBorders>
          </w:tcPr>
          <w:p>
            <w:pPr>
              <w:spacing w:after="0"/>
              <w:rPr>
                <w:sz w:val="24"/>
                <w:szCs w:val="24"/>
                <w:color w:val="auto"/>
              </w:rPr>
            </w:pPr>
          </w:p>
        </w:tc>
        <w:tc>
          <w:tcPr>
            <w:tcW w:w="810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C3002F"/>
              </w:rPr>
              <w:t xml:space="preserve">● </w:t>
            </w:r>
            <w:r>
              <w:rPr>
                <w:rFonts w:ascii="Arial" w:cs="Arial" w:eastAsia="Arial" w:hAnsi="Arial"/>
                <w:sz w:val="16"/>
                <w:szCs w:val="16"/>
                <w:color w:val="000000"/>
              </w:rPr>
              <w:t>Commitment to sustainability</w:t>
            </w:r>
          </w:p>
        </w:tc>
        <w:tc>
          <w:tcPr>
            <w:tcW w:w="0" w:type="dxa"/>
            <w:vAlign w:val="bottom"/>
          </w:tcPr>
          <w:p>
            <w:pPr>
              <w:spacing w:after="0"/>
              <w:rPr>
                <w:sz w:val="1"/>
                <w:szCs w:val="1"/>
                <w:color w:val="auto"/>
              </w:rPr>
            </w:pPr>
          </w:p>
        </w:tc>
      </w:tr>
      <w:tr>
        <w:trPr>
          <w:trHeight w:val="235"/>
        </w:trPr>
        <w:tc>
          <w:tcPr>
            <w:tcW w:w="80" w:type="dxa"/>
            <w:vAlign w:val="bottom"/>
          </w:tcPr>
          <w:p>
            <w:pPr>
              <w:spacing w:after="0"/>
              <w:rPr>
                <w:sz w:val="20"/>
                <w:szCs w:val="20"/>
                <w:color w:val="auto"/>
              </w:rPr>
            </w:pPr>
          </w:p>
        </w:tc>
        <w:tc>
          <w:tcPr>
            <w:tcW w:w="2700" w:type="dxa"/>
            <w:vAlign w:val="bottom"/>
          </w:tcPr>
          <w:p>
            <w:pPr>
              <w:ind w:left="100"/>
              <w:spacing w:after="0"/>
              <w:rPr>
                <w:sz w:val="20"/>
                <w:szCs w:val="20"/>
                <w:color w:val="auto"/>
              </w:rPr>
            </w:pPr>
            <w:r>
              <w:rPr>
                <w:rFonts w:ascii="Arial" w:cs="Arial" w:eastAsia="Arial" w:hAnsi="Arial"/>
                <w:sz w:val="16"/>
                <w:szCs w:val="16"/>
                <w:b w:val="1"/>
                <w:bCs w:val="1"/>
                <w:color w:val="C3002F"/>
              </w:rPr>
              <w:t>AUGUST 2017</w:t>
            </w:r>
          </w:p>
        </w:tc>
        <w:tc>
          <w:tcPr>
            <w:tcW w:w="8100" w:type="dxa"/>
            <w:vAlign w:val="bottom"/>
          </w:tcPr>
          <w:p>
            <w:pPr>
              <w:ind w:left="100"/>
              <w:spacing w:after="0"/>
              <w:rPr>
                <w:sz w:val="20"/>
                <w:szCs w:val="20"/>
                <w:color w:val="auto"/>
              </w:rPr>
            </w:pPr>
            <w:r>
              <w:rPr>
                <w:rFonts w:ascii="Arial" w:cs="Arial" w:eastAsia="Arial" w:hAnsi="Arial"/>
                <w:sz w:val="16"/>
                <w:szCs w:val="16"/>
                <w:b w:val="1"/>
                <w:bCs w:val="1"/>
                <w:color w:val="auto"/>
              </w:rPr>
              <w:t>Unified previously siloed segments of the business under a leader with:</w:t>
            </w:r>
          </w:p>
        </w:tc>
        <w:tc>
          <w:tcPr>
            <w:tcW w:w="0" w:type="dxa"/>
            <w:vAlign w:val="bottom"/>
          </w:tcPr>
          <w:p>
            <w:pPr>
              <w:spacing w:after="0"/>
              <w:rPr>
                <w:sz w:val="1"/>
                <w:szCs w:val="1"/>
                <w:color w:val="auto"/>
              </w:rPr>
            </w:pPr>
          </w:p>
        </w:tc>
      </w:tr>
      <w:tr>
        <w:trPr>
          <w:trHeight w:val="261"/>
        </w:trPr>
        <w:tc>
          <w:tcPr>
            <w:tcW w:w="80" w:type="dxa"/>
            <w:vAlign w:val="bottom"/>
          </w:tcPr>
          <w:p>
            <w:pPr>
              <w:spacing w:after="0"/>
              <w:rPr>
                <w:sz w:val="22"/>
                <w:szCs w:val="22"/>
                <w:color w:val="auto"/>
              </w:rPr>
            </w:pPr>
          </w:p>
        </w:tc>
        <w:tc>
          <w:tcPr>
            <w:tcW w:w="2700" w:type="dxa"/>
            <w:vAlign w:val="bottom"/>
          </w:tcPr>
          <w:p>
            <w:pPr>
              <w:ind w:left="100"/>
              <w:spacing w:after="0"/>
              <w:rPr>
                <w:sz w:val="20"/>
                <w:szCs w:val="20"/>
                <w:color w:val="auto"/>
              </w:rPr>
            </w:pPr>
            <w:r>
              <w:rPr>
                <w:rFonts w:ascii="Arial" w:cs="Arial" w:eastAsia="Arial" w:hAnsi="Arial"/>
                <w:sz w:val="16"/>
                <w:szCs w:val="16"/>
                <w:color w:val="auto"/>
              </w:rPr>
              <w:t>Welcomed new Executive Vice</w:t>
            </w:r>
          </w:p>
        </w:tc>
        <w:tc>
          <w:tcPr>
            <w:tcW w:w="8100" w:type="dxa"/>
            <w:vAlign w:val="bottom"/>
          </w:tcPr>
          <w:p>
            <w:pPr>
              <w:ind w:left="100"/>
              <w:spacing w:after="0"/>
              <w:rPr>
                <w:sz w:val="20"/>
                <w:szCs w:val="20"/>
                <w:color w:val="auto"/>
              </w:rPr>
            </w:pPr>
            <w:r>
              <w:rPr>
                <w:rFonts w:ascii="Arial" w:cs="Arial" w:eastAsia="Arial" w:hAnsi="Arial"/>
                <w:sz w:val="16"/>
                <w:szCs w:val="16"/>
                <w:color w:val="C3002F"/>
              </w:rPr>
              <w:t xml:space="preserve">● </w:t>
            </w:r>
            <w:r>
              <w:rPr>
                <w:rFonts w:ascii="Arial" w:cs="Arial" w:eastAsia="Arial" w:hAnsi="Arial"/>
                <w:sz w:val="16"/>
                <w:szCs w:val="16"/>
                <w:color w:val="000000"/>
              </w:rPr>
              <w:t>More than 35 years of experience in the oilfield services sector</w:t>
            </w: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2700" w:type="dxa"/>
            <w:vAlign w:val="bottom"/>
          </w:tcPr>
          <w:p>
            <w:pPr>
              <w:ind w:left="100"/>
              <w:spacing w:after="0"/>
              <w:rPr>
                <w:sz w:val="20"/>
                <w:szCs w:val="20"/>
                <w:color w:val="auto"/>
              </w:rPr>
            </w:pPr>
            <w:r>
              <w:rPr>
                <w:rFonts w:ascii="Arial" w:cs="Arial" w:eastAsia="Arial" w:hAnsi="Arial"/>
                <w:sz w:val="16"/>
                <w:szCs w:val="16"/>
                <w:color w:val="auto"/>
              </w:rPr>
              <w:t>President and Chief Operating</w:t>
            </w:r>
          </w:p>
        </w:tc>
        <w:tc>
          <w:tcPr>
            <w:tcW w:w="8100" w:type="dxa"/>
            <w:vAlign w:val="bottom"/>
            <w:vMerge w:val="restart"/>
          </w:tcPr>
          <w:p>
            <w:pPr>
              <w:ind w:left="100"/>
              <w:spacing w:after="0"/>
              <w:rPr>
                <w:sz w:val="20"/>
                <w:szCs w:val="20"/>
                <w:color w:val="auto"/>
              </w:rPr>
            </w:pPr>
            <w:r>
              <w:rPr>
                <w:rFonts w:ascii="Arial" w:cs="Arial" w:eastAsia="Arial" w:hAnsi="Arial"/>
                <w:sz w:val="16"/>
                <w:szCs w:val="16"/>
                <w:color w:val="C3002F"/>
              </w:rPr>
              <w:t xml:space="preserve">● </w:t>
            </w:r>
            <w:r>
              <w:rPr>
                <w:rFonts w:ascii="Arial" w:cs="Arial" w:eastAsia="Arial" w:hAnsi="Arial"/>
                <w:sz w:val="16"/>
                <w:szCs w:val="16"/>
                <w:color w:val="000000"/>
              </w:rPr>
              <w:t>Extensive track record of delivering operational excellence, strong financial performance, and disciplined</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2700" w:type="dxa"/>
            <w:vAlign w:val="bottom"/>
            <w:vMerge w:val="restart"/>
          </w:tcPr>
          <w:p>
            <w:pPr>
              <w:ind w:left="100"/>
              <w:spacing w:after="0" w:line="167" w:lineRule="exact"/>
              <w:rPr>
                <w:sz w:val="20"/>
                <w:szCs w:val="20"/>
                <w:color w:val="auto"/>
              </w:rPr>
            </w:pPr>
            <w:r>
              <w:rPr>
                <w:rFonts w:ascii="Arial" w:cs="Arial" w:eastAsia="Arial" w:hAnsi="Arial"/>
                <w:sz w:val="16"/>
                <w:szCs w:val="16"/>
                <w:color w:val="auto"/>
              </w:rPr>
              <w:t>Officer,</w:t>
            </w:r>
          </w:p>
        </w:tc>
        <w:tc>
          <w:tcPr>
            <w:tcW w:w="8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2700" w:type="dxa"/>
            <w:vAlign w:val="bottom"/>
            <w:vMerge w:val="continue"/>
          </w:tcPr>
          <w:p>
            <w:pPr>
              <w:spacing w:after="0"/>
              <w:rPr>
                <w:sz w:val="8"/>
                <w:szCs w:val="8"/>
                <w:color w:val="auto"/>
              </w:rPr>
            </w:pPr>
          </w:p>
        </w:tc>
        <w:tc>
          <w:tcPr>
            <w:tcW w:w="8100" w:type="dxa"/>
            <w:vAlign w:val="bottom"/>
            <w:vMerge w:val="restart"/>
          </w:tcPr>
          <w:p>
            <w:pPr>
              <w:ind w:left="260"/>
              <w:spacing w:after="0"/>
              <w:rPr>
                <w:sz w:val="20"/>
                <w:szCs w:val="20"/>
                <w:color w:val="auto"/>
              </w:rPr>
            </w:pPr>
            <w:r>
              <w:rPr>
                <w:rFonts w:ascii="Arial" w:cs="Arial" w:eastAsia="Arial" w:hAnsi="Arial"/>
                <w:sz w:val="16"/>
                <w:szCs w:val="16"/>
                <w:color w:val="auto"/>
              </w:rPr>
              <w:t>growth</w:t>
            </w: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27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Karl Blanchard</w:t>
            </w:r>
          </w:p>
        </w:tc>
        <w:tc>
          <w:tcPr>
            <w:tcW w:w="8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2700" w:type="dxa"/>
            <w:vAlign w:val="bottom"/>
            <w:vMerge w:val="continue"/>
          </w:tcPr>
          <w:p>
            <w:pPr>
              <w:spacing w:after="0"/>
              <w:rPr>
                <w:sz w:val="9"/>
                <w:szCs w:val="9"/>
                <w:color w:val="auto"/>
              </w:rPr>
            </w:pPr>
          </w:p>
        </w:tc>
        <w:tc>
          <w:tcPr>
            <w:tcW w:w="8100" w:type="dxa"/>
            <w:vAlign w:val="bottom"/>
            <w:vMerge w:val="restart"/>
          </w:tcPr>
          <w:p>
            <w:pPr>
              <w:ind w:left="100"/>
              <w:spacing w:after="0"/>
              <w:rPr>
                <w:sz w:val="20"/>
                <w:szCs w:val="20"/>
                <w:color w:val="auto"/>
              </w:rPr>
            </w:pPr>
            <w:r>
              <w:rPr>
                <w:rFonts w:ascii="Arial" w:cs="Arial" w:eastAsia="Arial" w:hAnsi="Arial"/>
                <w:sz w:val="16"/>
                <w:szCs w:val="16"/>
                <w:color w:val="C3002F"/>
              </w:rPr>
              <w:t xml:space="preserve">● </w:t>
            </w:r>
            <w:r>
              <w:rPr>
                <w:rFonts w:ascii="Arial" w:cs="Arial" w:eastAsia="Arial" w:hAnsi="Arial"/>
                <w:sz w:val="16"/>
                <w:szCs w:val="16"/>
                <w:color w:val="000000"/>
              </w:rPr>
              <w:t>Deep understanding of how to capitalize on technology portfolios</w:t>
            </w:r>
          </w:p>
        </w:tc>
        <w:tc>
          <w:tcPr>
            <w:tcW w:w="0" w:type="dxa"/>
            <w:vAlign w:val="bottom"/>
          </w:tcPr>
          <w:p>
            <w:pPr>
              <w:spacing w:after="0"/>
              <w:rPr>
                <w:sz w:val="1"/>
                <w:szCs w:val="1"/>
                <w:color w:val="auto"/>
              </w:rPr>
            </w:pPr>
          </w:p>
        </w:tc>
      </w:tr>
      <w:tr>
        <w:trPr>
          <w:trHeight w:val="159"/>
        </w:trPr>
        <w:tc>
          <w:tcPr>
            <w:tcW w:w="80" w:type="dxa"/>
            <w:vAlign w:val="bottom"/>
            <w:tcBorders>
              <w:bottom w:val="single" w:sz="8" w:color="7F7F7F"/>
            </w:tcBorders>
          </w:tcPr>
          <w:p>
            <w:pPr>
              <w:spacing w:after="0"/>
              <w:rPr>
                <w:sz w:val="13"/>
                <w:szCs w:val="13"/>
                <w:color w:val="auto"/>
              </w:rPr>
            </w:pPr>
          </w:p>
        </w:tc>
        <w:tc>
          <w:tcPr>
            <w:tcW w:w="2700" w:type="dxa"/>
            <w:vAlign w:val="bottom"/>
            <w:tcBorders>
              <w:bottom w:val="single" w:sz="8" w:color="7F7F7F"/>
            </w:tcBorders>
          </w:tcPr>
          <w:p>
            <w:pPr>
              <w:spacing w:after="0"/>
              <w:rPr>
                <w:sz w:val="13"/>
                <w:szCs w:val="13"/>
                <w:color w:val="auto"/>
              </w:rPr>
            </w:pPr>
          </w:p>
        </w:tc>
        <w:tc>
          <w:tcPr>
            <w:tcW w:w="8100" w:type="dxa"/>
            <w:vAlign w:val="bottom"/>
            <w:tcBorders>
              <w:bottom w:val="single" w:sz="8" w:color="7F7F7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80" w:type="dxa"/>
            <w:vAlign w:val="bottom"/>
          </w:tcPr>
          <w:p>
            <w:pPr>
              <w:spacing w:after="0"/>
              <w:rPr>
                <w:sz w:val="20"/>
                <w:szCs w:val="20"/>
                <w:color w:val="auto"/>
              </w:rPr>
            </w:pPr>
          </w:p>
        </w:tc>
        <w:tc>
          <w:tcPr>
            <w:tcW w:w="2700" w:type="dxa"/>
            <w:vAlign w:val="bottom"/>
          </w:tcPr>
          <w:p>
            <w:pPr>
              <w:ind w:left="100"/>
              <w:spacing w:after="0"/>
              <w:rPr>
                <w:sz w:val="20"/>
                <w:szCs w:val="20"/>
                <w:color w:val="auto"/>
              </w:rPr>
            </w:pPr>
            <w:r>
              <w:rPr>
                <w:rFonts w:ascii="Arial" w:cs="Arial" w:eastAsia="Arial" w:hAnsi="Arial"/>
                <w:sz w:val="16"/>
                <w:szCs w:val="16"/>
                <w:b w:val="1"/>
                <w:bCs w:val="1"/>
                <w:color w:val="C3002F"/>
              </w:rPr>
              <w:t>NOVEMBER 2017</w:t>
            </w:r>
          </w:p>
        </w:tc>
        <w:tc>
          <w:tcPr>
            <w:tcW w:w="8100" w:type="dxa"/>
            <w:vAlign w:val="bottom"/>
          </w:tcPr>
          <w:p>
            <w:pPr>
              <w:ind w:left="100"/>
              <w:spacing w:after="0"/>
              <w:rPr>
                <w:sz w:val="20"/>
                <w:szCs w:val="20"/>
                <w:color w:val="auto"/>
              </w:rPr>
            </w:pPr>
            <w:r>
              <w:rPr>
                <w:rFonts w:ascii="Arial" w:cs="Arial" w:eastAsia="Arial" w:hAnsi="Arial"/>
                <w:sz w:val="16"/>
                <w:szCs w:val="16"/>
                <w:b w:val="1"/>
                <w:bCs w:val="1"/>
                <w:color w:val="auto"/>
              </w:rPr>
              <w:t>Marked the start of our transformation, which will:</w:t>
            </w:r>
          </w:p>
        </w:tc>
        <w:tc>
          <w:tcPr>
            <w:tcW w:w="0" w:type="dxa"/>
            <w:vAlign w:val="bottom"/>
          </w:tcPr>
          <w:p>
            <w:pPr>
              <w:spacing w:after="0"/>
              <w:rPr>
                <w:sz w:val="1"/>
                <w:szCs w:val="1"/>
                <w:color w:val="auto"/>
              </w:rPr>
            </w:pPr>
          </w:p>
        </w:tc>
      </w:tr>
      <w:tr>
        <w:trPr>
          <w:trHeight w:val="261"/>
        </w:trPr>
        <w:tc>
          <w:tcPr>
            <w:tcW w:w="80" w:type="dxa"/>
            <w:vAlign w:val="bottom"/>
          </w:tcPr>
          <w:p>
            <w:pPr>
              <w:spacing w:after="0"/>
              <w:rPr>
                <w:sz w:val="22"/>
                <w:szCs w:val="22"/>
                <w:color w:val="auto"/>
              </w:rPr>
            </w:pPr>
          </w:p>
        </w:tc>
        <w:tc>
          <w:tcPr>
            <w:tcW w:w="2700" w:type="dxa"/>
            <w:vAlign w:val="bottom"/>
          </w:tcPr>
          <w:p>
            <w:pPr>
              <w:ind w:left="100"/>
              <w:spacing w:after="0"/>
              <w:rPr>
                <w:sz w:val="20"/>
                <w:szCs w:val="20"/>
                <w:color w:val="auto"/>
              </w:rPr>
            </w:pPr>
            <w:r>
              <w:rPr>
                <w:rFonts w:ascii="Arial" w:cs="Arial" w:eastAsia="Arial" w:hAnsi="Arial"/>
                <w:sz w:val="16"/>
                <w:szCs w:val="16"/>
                <w:color w:val="auto"/>
              </w:rPr>
              <w:t>Completed organizational</w:t>
            </w:r>
          </w:p>
        </w:tc>
        <w:tc>
          <w:tcPr>
            <w:tcW w:w="8100" w:type="dxa"/>
            <w:vAlign w:val="bottom"/>
          </w:tcPr>
          <w:p>
            <w:pPr>
              <w:ind w:left="100"/>
              <w:spacing w:after="0"/>
              <w:rPr>
                <w:sz w:val="20"/>
                <w:szCs w:val="20"/>
                <w:color w:val="auto"/>
              </w:rPr>
            </w:pPr>
            <w:r>
              <w:rPr>
                <w:rFonts w:ascii="Arial" w:cs="Arial" w:eastAsia="Arial" w:hAnsi="Arial"/>
                <w:sz w:val="16"/>
                <w:szCs w:val="16"/>
                <w:color w:val="C3002F"/>
              </w:rPr>
              <w:t xml:space="preserve">● </w:t>
            </w:r>
            <w:r>
              <w:rPr>
                <w:rFonts w:ascii="Arial" w:cs="Arial" w:eastAsia="Arial" w:hAnsi="Arial"/>
                <w:sz w:val="16"/>
                <w:szCs w:val="16"/>
                <w:color w:val="000000"/>
              </w:rPr>
              <w:t>Redefine the way we operate from a number of aspects, including operations, supply chain, manufacturing,</w:t>
            </w: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2700" w:type="dxa"/>
            <w:vAlign w:val="bottom"/>
          </w:tcPr>
          <w:p>
            <w:pPr>
              <w:ind w:left="100"/>
              <w:spacing w:after="0"/>
              <w:rPr>
                <w:sz w:val="20"/>
                <w:szCs w:val="20"/>
                <w:color w:val="auto"/>
              </w:rPr>
            </w:pPr>
            <w:r>
              <w:rPr>
                <w:rFonts w:ascii="Arial" w:cs="Arial" w:eastAsia="Arial" w:hAnsi="Arial"/>
                <w:sz w:val="16"/>
                <w:szCs w:val="16"/>
                <w:color w:val="auto"/>
              </w:rPr>
              <w:t>realignment, paving the way for a</w:t>
            </w:r>
          </w:p>
        </w:tc>
        <w:tc>
          <w:tcPr>
            <w:tcW w:w="8100" w:type="dxa"/>
            <w:vAlign w:val="bottom"/>
          </w:tcPr>
          <w:p>
            <w:pPr>
              <w:ind w:left="260"/>
              <w:spacing w:after="0"/>
              <w:rPr>
                <w:sz w:val="20"/>
                <w:szCs w:val="20"/>
                <w:color w:val="auto"/>
              </w:rPr>
            </w:pPr>
            <w:r>
              <w:rPr>
                <w:rFonts w:ascii="Arial" w:cs="Arial" w:eastAsia="Arial" w:hAnsi="Arial"/>
                <w:sz w:val="16"/>
                <w:szCs w:val="16"/>
                <w:color w:val="auto"/>
              </w:rPr>
              <w:t>sales, and functional support</w:t>
            </w: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2700" w:type="dxa"/>
            <w:vAlign w:val="bottom"/>
          </w:tcPr>
          <w:p>
            <w:pPr>
              <w:ind w:left="100"/>
              <w:spacing w:after="0"/>
              <w:rPr>
                <w:sz w:val="20"/>
                <w:szCs w:val="20"/>
                <w:color w:val="auto"/>
              </w:rPr>
            </w:pPr>
            <w:r>
              <w:rPr>
                <w:rFonts w:ascii="Arial" w:cs="Arial" w:eastAsia="Arial" w:hAnsi="Arial"/>
                <w:sz w:val="16"/>
                <w:szCs w:val="16"/>
                <w:color w:val="auto"/>
              </w:rPr>
              <w:t>transformation that is targeted to</w:t>
            </w:r>
          </w:p>
        </w:tc>
        <w:tc>
          <w:tcPr>
            <w:tcW w:w="8100" w:type="dxa"/>
            <w:vAlign w:val="bottom"/>
            <w:vMerge w:val="restart"/>
          </w:tcPr>
          <w:p>
            <w:pPr>
              <w:ind w:left="100"/>
              <w:spacing w:after="0"/>
              <w:rPr>
                <w:sz w:val="20"/>
                <w:szCs w:val="20"/>
                <w:color w:val="auto"/>
              </w:rPr>
            </w:pPr>
            <w:r>
              <w:rPr>
                <w:rFonts w:ascii="Arial" w:cs="Arial" w:eastAsia="Arial" w:hAnsi="Arial"/>
                <w:sz w:val="16"/>
                <w:szCs w:val="16"/>
                <w:color w:val="C3002F"/>
              </w:rPr>
              <w:t xml:space="preserve">● </w:t>
            </w:r>
            <w:r>
              <w:rPr>
                <w:rFonts w:ascii="Arial" w:cs="Arial" w:eastAsia="Arial" w:hAnsi="Arial"/>
                <w:sz w:val="16"/>
                <w:szCs w:val="16"/>
                <w:color w:val="000000"/>
              </w:rPr>
              <w:t>Improve profits by further lowering our support-cost ratio, rationalizing our manufacturing footprint, enabling</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2700" w:type="dxa"/>
            <w:vAlign w:val="bottom"/>
            <w:vMerge w:val="restart"/>
          </w:tcPr>
          <w:p>
            <w:pPr>
              <w:ind w:left="100"/>
              <w:spacing w:after="0" w:line="167" w:lineRule="exact"/>
              <w:rPr>
                <w:sz w:val="20"/>
                <w:szCs w:val="20"/>
                <w:color w:val="auto"/>
              </w:rPr>
            </w:pPr>
            <w:r>
              <w:rPr>
                <w:rFonts w:ascii="Arial" w:cs="Arial" w:eastAsia="Arial" w:hAnsi="Arial"/>
                <w:sz w:val="16"/>
                <w:szCs w:val="16"/>
                <w:color w:val="auto"/>
              </w:rPr>
              <w:t>yield</w:t>
            </w:r>
          </w:p>
        </w:tc>
        <w:tc>
          <w:tcPr>
            <w:tcW w:w="8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2700" w:type="dxa"/>
            <w:vAlign w:val="bottom"/>
            <w:vMerge w:val="continue"/>
          </w:tcPr>
          <w:p>
            <w:pPr>
              <w:spacing w:after="0"/>
              <w:rPr>
                <w:sz w:val="8"/>
                <w:szCs w:val="8"/>
                <w:color w:val="auto"/>
              </w:rPr>
            </w:pPr>
          </w:p>
        </w:tc>
        <w:tc>
          <w:tcPr>
            <w:tcW w:w="8100" w:type="dxa"/>
            <w:vAlign w:val="bottom"/>
            <w:vMerge w:val="restart"/>
          </w:tcPr>
          <w:p>
            <w:pPr>
              <w:ind w:left="260"/>
              <w:spacing w:after="0"/>
              <w:rPr>
                <w:sz w:val="20"/>
                <w:szCs w:val="20"/>
                <w:color w:val="auto"/>
              </w:rPr>
            </w:pPr>
            <w:r>
              <w:rPr>
                <w:rFonts w:ascii="Arial" w:cs="Arial" w:eastAsia="Arial" w:hAnsi="Arial"/>
                <w:sz w:val="16"/>
                <w:szCs w:val="16"/>
                <w:color w:val="auto"/>
              </w:rPr>
              <w:t>more disciplined supplier management, realizing field efficiencies, and gaining additional market share</w:t>
            </w: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27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 xml:space="preserve">$1B in improved earnings </w:t>
            </w:r>
            <w:r>
              <w:rPr>
                <w:rFonts w:ascii="Arial" w:cs="Arial" w:eastAsia="Arial" w:hAnsi="Arial"/>
                <w:sz w:val="16"/>
                <w:szCs w:val="16"/>
                <w:color w:val="auto"/>
              </w:rPr>
              <w:t>within</w:t>
            </w:r>
          </w:p>
        </w:tc>
        <w:tc>
          <w:tcPr>
            <w:tcW w:w="8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2700" w:type="dxa"/>
            <w:vAlign w:val="bottom"/>
            <w:vMerge w:val="continue"/>
          </w:tcPr>
          <w:p>
            <w:pPr>
              <w:spacing w:after="0"/>
              <w:rPr>
                <w:sz w:val="8"/>
                <w:szCs w:val="8"/>
                <w:color w:val="auto"/>
              </w:rPr>
            </w:pPr>
          </w:p>
        </w:tc>
        <w:tc>
          <w:tcPr>
            <w:tcW w:w="8100" w:type="dxa"/>
            <w:vAlign w:val="bottom"/>
            <w:vMerge w:val="restart"/>
          </w:tcPr>
          <w:p>
            <w:pPr>
              <w:ind w:left="100"/>
              <w:spacing w:after="0"/>
              <w:rPr>
                <w:sz w:val="20"/>
                <w:szCs w:val="20"/>
                <w:color w:val="auto"/>
              </w:rPr>
            </w:pPr>
            <w:r>
              <w:rPr>
                <w:rFonts w:ascii="Arial" w:cs="Arial" w:eastAsia="Arial" w:hAnsi="Arial"/>
                <w:sz w:val="16"/>
                <w:szCs w:val="16"/>
                <w:color w:val="C3002F"/>
              </w:rPr>
              <w:t xml:space="preserve">● </w:t>
            </w:r>
            <w:r>
              <w:rPr>
                <w:rFonts w:ascii="Arial" w:cs="Arial" w:eastAsia="Arial" w:hAnsi="Arial"/>
                <w:sz w:val="16"/>
                <w:szCs w:val="16"/>
                <w:color w:val="000000"/>
              </w:rPr>
              <w:t>Encourage integration and create synergies</w:t>
            </w: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2700" w:type="dxa"/>
            <w:vAlign w:val="bottom"/>
          </w:tcPr>
          <w:p>
            <w:pPr>
              <w:ind w:left="100"/>
              <w:spacing w:after="0"/>
              <w:rPr>
                <w:sz w:val="20"/>
                <w:szCs w:val="20"/>
                <w:color w:val="auto"/>
              </w:rPr>
            </w:pPr>
            <w:r>
              <w:rPr>
                <w:rFonts w:ascii="Arial" w:cs="Arial" w:eastAsia="Arial" w:hAnsi="Arial"/>
                <w:sz w:val="16"/>
                <w:szCs w:val="16"/>
                <w:color w:val="auto"/>
              </w:rPr>
              <w:t>18–24 months</w:t>
            </w:r>
          </w:p>
        </w:tc>
        <w:tc>
          <w:tcPr>
            <w:tcW w:w="8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sectPr>
          <w:pgSz w:w="11900" w:h="16838" w:orient="portrait"/>
          <w:cols w:equalWidth="0" w:num="1">
            <w:col w:w="11160"/>
          </w:cols>
          <w:pgMar w:left="240" w:top="455" w:right="499" w:bottom="1440" w:gutter="0" w:footer="0" w:header="0"/>
        </w:sectPr>
      </w:pPr>
    </w:p>
    <w:p>
      <w:pPr>
        <w:ind w:left="460"/>
        <w:spacing w:after="0" w:line="281" w:lineRule="auto"/>
        <w:rPr>
          <w:sz w:val="20"/>
          <w:szCs w:val="20"/>
          <w:color w:val="auto"/>
        </w:rPr>
      </w:pPr>
      <w:r>
        <w:rPr>
          <w:rFonts w:ascii="Arial" w:cs="Arial" w:eastAsia="Arial" w:hAnsi="Arial"/>
          <w:sz w:val="16"/>
          <w:szCs w:val="16"/>
          <w:b w:val="1"/>
          <w:bCs w:val="1"/>
          <w:color w:val="C3002F"/>
        </w:rPr>
        <w:t>NOVEMBER 2017 — NOVEMBER 2019</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Define our path to</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sustainable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619760</wp:posOffset>
            </wp:positionV>
            <wp:extent cx="822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Created a comprehensive corporate transformation plan that includes:</w:t>
      </w:r>
    </w:p>
    <w:p>
      <w:pPr>
        <w:spacing w:after="0" w:line="90" w:lineRule="exact"/>
        <w:rPr>
          <w:sz w:val="20"/>
          <w:szCs w:val="20"/>
          <w:color w:val="auto"/>
        </w:rPr>
      </w:pPr>
    </w:p>
    <w:p>
      <w:pPr>
        <w:ind w:left="160" w:hanging="156"/>
        <w:spacing w:after="0"/>
        <w:tabs>
          <w:tab w:leader="none" w:pos="160" w:val="left"/>
        </w:tabs>
        <w:numPr>
          <w:ilvl w:val="0"/>
          <w:numId w:val="59"/>
        </w:numPr>
        <w:rPr>
          <w:rFonts w:ascii="Arial" w:cs="Arial" w:eastAsia="Arial" w:hAnsi="Arial"/>
          <w:sz w:val="16"/>
          <w:szCs w:val="16"/>
          <w:color w:val="C3002F"/>
        </w:rPr>
      </w:pPr>
      <w:r>
        <w:rPr>
          <w:rFonts w:ascii="Arial" w:cs="Arial" w:eastAsia="Arial" w:hAnsi="Arial"/>
          <w:sz w:val="16"/>
          <w:szCs w:val="16"/>
          <w:color w:val="auto"/>
        </w:rPr>
        <w:t>Sale of U.S. hydraulic fracturing business — $430M (complete)</w:t>
      </w:r>
    </w:p>
    <w:p>
      <w:pPr>
        <w:spacing w:after="0" w:line="83" w:lineRule="exact"/>
        <w:rPr>
          <w:rFonts w:ascii="Arial" w:cs="Arial" w:eastAsia="Arial" w:hAnsi="Arial"/>
          <w:sz w:val="16"/>
          <w:szCs w:val="16"/>
          <w:color w:val="C3002F"/>
        </w:rPr>
      </w:pPr>
    </w:p>
    <w:p>
      <w:pPr>
        <w:ind w:left="160" w:hanging="156"/>
        <w:spacing w:after="0"/>
        <w:tabs>
          <w:tab w:leader="none" w:pos="160" w:val="left"/>
        </w:tabs>
        <w:numPr>
          <w:ilvl w:val="0"/>
          <w:numId w:val="59"/>
        </w:numPr>
        <w:rPr>
          <w:rFonts w:ascii="Arial" w:cs="Arial" w:eastAsia="Arial" w:hAnsi="Arial"/>
          <w:sz w:val="16"/>
          <w:szCs w:val="16"/>
          <w:color w:val="C3002F"/>
        </w:rPr>
      </w:pPr>
      <w:r>
        <w:rPr>
          <w:rFonts w:ascii="Arial" w:cs="Arial" w:eastAsia="Arial" w:hAnsi="Arial"/>
          <w:sz w:val="16"/>
          <w:szCs w:val="16"/>
          <w:color w:val="auto"/>
        </w:rPr>
        <w:t>Sale of land drilling rigs business</w:t>
      </w:r>
    </w:p>
    <w:p>
      <w:pPr>
        <w:spacing w:after="0" w:line="83" w:lineRule="exact"/>
        <w:rPr>
          <w:rFonts w:ascii="Arial" w:cs="Arial" w:eastAsia="Arial" w:hAnsi="Arial"/>
          <w:sz w:val="16"/>
          <w:szCs w:val="16"/>
          <w:color w:val="C3002F"/>
        </w:rPr>
      </w:pPr>
    </w:p>
    <w:p>
      <w:pPr>
        <w:ind w:left="160" w:hanging="156"/>
        <w:spacing w:after="0"/>
        <w:tabs>
          <w:tab w:leader="none" w:pos="160" w:val="left"/>
        </w:tabs>
        <w:numPr>
          <w:ilvl w:val="0"/>
          <w:numId w:val="59"/>
        </w:numPr>
        <w:rPr>
          <w:rFonts w:ascii="Arial" w:cs="Arial" w:eastAsia="Arial" w:hAnsi="Arial"/>
          <w:sz w:val="16"/>
          <w:szCs w:val="16"/>
          <w:color w:val="C3002F"/>
        </w:rPr>
      </w:pPr>
      <w:r>
        <w:rPr>
          <w:rFonts w:ascii="Arial" w:cs="Arial" w:eastAsia="Arial" w:hAnsi="Arial"/>
          <w:sz w:val="16"/>
          <w:szCs w:val="16"/>
          <w:color w:val="auto"/>
        </w:rPr>
        <w:t>Further non-core divestitures</w:t>
      </w:r>
    </w:p>
    <w:p>
      <w:pPr>
        <w:spacing w:after="0" w:line="83" w:lineRule="exact"/>
        <w:rPr>
          <w:rFonts w:ascii="Arial" w:cs="Arial" w:eastAsia="Arial" w:hAnsi="Arial"/>
          <w:sz w:val="16"/>
          <w:szCs w:val="16"/>
          <w:color w:val="C3002F"/>
        </w:rPr>
      </w:pPr>
    </w:p>
    <w:p>
      <w:pPr>
        <w:ind w:left="160" w:hanging="156"/>
        <w:spacing w:after="0"/>
        <w:tabs>
          <w:tab w:leader="none" w:pos="160" w:val="left"/>
        </w:tabs>
        <w:numPr>
          <w:ilvl w:val="0"/>
          <w:numId w:val="59"/>
        </w:numPr>
        <w:rPr>
          <w:rFonts w:ascii="Arial" w:cs="Arial" w:eastAsia="Arial" w:hAnsi="Arial"/>
          <w:sz w:val="16"/>
          <w:szCs w:val="16"/>
          <w:color w:val="C3002F"/>
        </w:rPr>
      </w:pPr>
      <w:r>
        <w:rPr>
          <w:rFonts w:ascii="Arial" w:cs="Arial" w:eastAsia="Arial" w:hAnsi="Arial"/>
          <w:sz w:val="16"/>
          <w:szCs w:val="16"/>
          <w:color w:val="auto"/>
        </w:rPr>
        <w:t>Additional cost savings</w:t>
      </w:r>
    </w:p>
    <w:p>
      <w:pPr>
        <w:spacing w:after="0" w:line="83" w:lineRule="exact"/>
        <w:rPr>
          <w:rFonts w:ascii="Arial" w:cs="Arial" w:eastAsia="Arial" w:hAnsi="Arial"/>
          <w:sz w:val="16"/>
          <w:szCs w:val="16"/>
          <w:color w:val="C3002F"/>
        </w:rPr>
      </w:pPr>
    </w:p>
    <w:p>
      <w:pPr>
        <w:ind w:left="160" w:hanging="156"/>
        <w:spacing w:after="0"/>
        <w:tabs>
          <w:tab w:leader="none" w:pos="160" w:val="left"/>
        </w:tabs>
        <w:numPr>
          <w:ilvl w:val="0"/>
          <w:numId w:val="59"/>
        </w:numPr>
        <w:rPr>
          <w:rFonts w:ascii="Arial" w:cs="Arial" w:eastAsia="Arial" w:hAnsi="Arial"/>
          <w:sz w:val="16"/>
          <w:szCs w:val="16"/>
          <w:color w:val="C3002F"/>
        </w:rPr>
      </w:pPr>
      <w:r>
        <w:rPr>
          <w:rFonts w:ascii="Arial" w:cs="Arial" w:eastAsia="Arial" w:hAnsi="Arial"/>
          <w:sz w:val="16"/>
          <w:szCs w:val="16"/>
          <w:color w:val="auto"/>
        </w:rPr>
        <w:t>Improved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17780</wp:posOffset>
            </wp:positionV>
            <wp:extent cx="69176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0" w:space="200"/>
            <w:col w:w="8000"/>
          </w:cols>
          <w:pgMar w:left="240" w:top="455" w:right="499" w:bottom="1440" w:gutter="0" w:footer="0" w:header="0"/>
          <w:type w:val="continuous"/>
        </w:sectPr>
      </w:pPr>
    </w:p>
    <w:p>
      <w:pPr>
        <w:spacing w:after="0" w:line="108" w:lineRule="exact"/>
        <w:rPr>
          <w:sz w:val="20"/>
          <w:szCs w:val="20"/>
          <w:color w:val="auto"/>
        </w:rPr>
      </w:pPr>
    </w:p>
    <w:p>
      <w:pPr>
        <w:ind w:left="260"/>
        <w:spacing w:after="0"/>
        <w:rPr>
          <w:sz w:val="20"/>
          <w:szCs w:val="20"/>
          <w:color w:val="auto"/>
        </w:rPr>
      </w:pPr>
      <w:r>
        <w:rPr>
          <w:rFonts w:ascii="Arial" w:cs="Arial" w:eastAsia="Arial" w:hAnsi="Arial"/>
          <w:sz w:val="28"/>
          <w:szCs w:val="28"/>
          <w:b w:val="1"/>
          <w:bCs w:val="1"/>
          <w:color w:val="C3002F"/>
        </w:rPr>
        <w:t>OUR RESULTS</w:t>
      </w:r>
    </w:p>
    <w:p>
      <w:pPr>
        <w:spacing w:after="0" w:line="171" w:lineRule="exact"/>
        <w:rPr>
          <w:sz w:val="20"/>
          <w:szCs w:val="20"/>
          <w:color w:val="auto"/>
        </w:rPr>
      </w:pPr>
    </w:p>
    <w:p>
      <w:pPr>
        <w:ind w:left="260"/>
        <w:spacing w:after="0" w:line="234" w:lineRule="auto"/>
        <w:rPr>
          <w:sz w:val="20"/>
          <w:szCs w:val="20"/>
          <w:color w:val="auto"/>
        </w:rPr>
      </w:pPr>
      <w:r>
        <w:rPr>
          <w:rFonts w:ascii="Arial" w:cs="Arial" w:eastAsia="Arial" w:hAnsi="Arial"/>
          <w:sz w:val="18"/>
          <w:szCs w:val="18"/>
          <w:color w:val="auto"/>
        </w:rPr>
        <w:t>Our 2017 accomplishments lay the critical foundation for change in 2018 and beyond as we continue on our path to delivering improved financial performance and long- term shareholder value.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292" w:hanging="292"/>
        <w:spacing w:after="0"/>
        <w:tabs>
          <w:tab w:leader="none" w:pos="292" w:val="left"/>
        </w:tabs>
        <w:numPr>
          <w:ilvl w:val="0"/>
          <w:numId w:val="60"/>
        </w:numPr>
        <w:rPr>
          <w:rFonts w:ascii="Arial" w:cs="Arial" w:eastAsia="Arial" w:hAnsi="Arial"/>
          <w:sz w:val="25"/>
          <w:szCs w:val="25"/>
          <w:color w:val="C3002F"/>
        </w:rPr>
      </w:pPr>
      <w:r>
        <w:rPr>
          <w:rFonts w:ascii="Arial" w:cs="Arial" w:eastAsia="Arial" w:hAnsi="Arial"/>
          <w:sz w:val="18"/>
          <w:szCs w:val="18"/>
          <w:color w:val="auto"/>
        </w:rPr>
        <w:t>REFRESHED OUR LEADERSHIP TEAM</w:t>
      </w:r>
    </w:p>
    <w:p>
      <w:pPr>
        <w:spacing w:after="0" w:line="6" w:lineRule="exact"/>
        <w:rPr>
          <w:rFonts w:ascii="Arial" w:cs="Arial" w:eastAsia="Arial" w:hAnsi="Arial"/>
          <w:sz w:val="25"/>
          <w:szCs w:val="25"/>
          <w:color w:val="C3002F"/>
        </w:rPr>
      </w:pPr>
    </w:p>
    <w:p>
      <w:pPr>
        <w:ind w:left="292" w:hanging="292"/>
        <w:spacing w:after="0"/>
        <w:tabs>
          <w:tab w:leader="none" w:pos="292" w:val="left"/>
        </w:tabs>
        <w:numPr>
          <w:ilvl w:val="0"/>
          <w:numId w:val="60"/>
        </w:numPr>
        <w:rPr>
          <w:rFonts w:ascii="Arial" w:cs="Arial" w:eastAsia="Arial" w:hAnsi="Arial"/>
          <w:sz w:val="25"/>
          <w:szCs w:val="25"/>
          <w:color w:val="C3002F"/>
        </w:rPr>
      </w:pPr>
      <w:r>
        <w:rPr>
          <w:rFonts w:ascii="Arial" w:cs="Arial" w:eastAsia="Arial" w:hAnsi="Arial"/>
          <w:sz w:val="18"/>
          <w:szCs w:val="18"/>
          <w:color w:val="auto"/>
        </w:rPr>
        <w:t>LOWERED OUR SUPPORT RATIO</w:t>
      </w:r>
    </w:p>
    <w:p>
      <w:pPr>
        <w:spacing w:after="0" w:line="6" w:lineRule="exact"/>
        <w:rPr>
          <w:rFonts w:ascii="Arial" w:cs="Arial" w:eastAsia="Arial" w:hAnsi="Arial"/>
          <w:sz w:val="25"/>
          <w:szCs w:val="25"/>
          <w:color w:val="C3002F"/>
        </w:rPr>
      </w:pPr>
    </w:p>
    <w:p>
      <w:pPr>
        <w:ind w:left="292" w:hanging="292"/>
        <w:spacing w:after="0"/>
        <w:tabs>
          <w:tab w:leader="none" w:pos="292" w:val="left"/>
        </w:tabs>
        <w:numPr>
          <w:ilvl w:val="0"/>
          <w:numId w:val="60"/>
        </w:numPr>
        <w:rPr>
          <w:rFonts w:ascii="Arial" w:cs="Arial" w:eastAsia="Arial" w:hAnsi="Arial"/>
          <w:sz w:val="25"/>
          <w:szCs w:val="25"/>
          <w:color w:val="C3002F"/>
        </w:rPr>
      </w:pPr>
      <w:r>
        <w:rPr>
          <w:rFonts w:ascii="Arial" w:cs="Arial" w:eastAsia="Arial" w:hAnsi="Arial"/>
          <w:sz w:val="18"/>
          <w:szCs w:val="18"/>
          <w:color w:val="auto"/>
        </w:rPr>
        <w:t>REDUCED NONPRODUCTIVE TIME</w:t>
      </w:r>
    </w:p>
    <w:p>
      <w:pPr>
        <w:spacing w:after="0" w:line="6" w:lineRule="exact"/>
        <w:rPr>
          <w:rFonts w:ascii="Arial" w:cs="Arial" w:eastAsia="Arial" w:hAnsi="Arial"/>
          <w:sz w:val="25"/>
          <w:szCs w:val="25"/>
          <w:color w:val="C3002F"/>
        </w:rPr>
      </w:pPr>
    </w:p>
    <w:p>
      <w:pPr>
        <w:ind w:left="292" w:hanging="292"/>
        <w:spacing w:after="0"/>
        <w:tabs>
          <w:tab w:leader="none" w:pos="292" w:val="left"/>
        </w:tabs>
        <w:numPr>
          <w:ilvl w:val="0"/>
          <w:numId w:val="60"/>
        </w:numPr>
        <w:rPr>
          <w:rFonts w:ascii="Arial" w:cs="Arial" w:eastAsia="Arial" w:hAnsi="Arial"/>
          <w:sz w:val="25"/>
          <w:szCs w:val="25"/>
          <w:color w:val="C3002F"/>
        </w:rPr>
      </w:pPr>
      <w:r>
        <w:rPr>
          <w:rFonts w:ascii="Arial" w:cs="Arial" w:eastAsia="Arial" w:hAnsi="Arial"/>
          <w:sz w:val="18"/>
          <w:szCs w:val="18"/>
          <w:color w:val="auto"/>
        </w:rPr>
        <w:t>POSITIONED OURSELVES TO ACHIEVE SIGNIFICANT COST SAVINGS</w:t>
      </w:r>
    </w:p>
    <w:p>
      <w:pPr>
        <w:spacing w:after="0" w:line="17" w:lineRule="exact"/>
        <w:rPr>
          <w:rFonts w:ascii="Arial" w:cs="Arial" w:eastAsia="Arial" w:hAnsi="Arial"/>
          <w:sz w:val="25"/>
          <w:szCs w:val="25"/>
          <w:color w:val="C3002F"/>
        </w:rPr>
      </w:pPr>
    </w:p>
    <w:p>
      <w:pPr>
        <w:ind w:left="292" w:hanging="292"/>
        <w:spacing w:after="0"/>
        <w:tabs>
          <w:tab w:leader="none" w:pos="292" w:val="left"/>
        </w:tabs>
        <w:numPr>
          <w:ilvl w:val="0"/>
          <w:numId w:val="60"/>
        </w:numPr>
        <w:rPr>
          <w:rFonts w:ascii="Arial" w:cs="Arial" w:eastAsia="Arial" w:hAnsi="Arial"/>
          <w:sz w:val="24"/>
          <w:szCs w:val="24"/>
          <w:color w:val="C3002F"/>
        </w:rPr>
      </w:pPr>
      <w:r>
        <w:rPr>
          <w:rFonts w:ascii="Arial" w:cs="Arial" w:eastAsia="Arial" w:hAnsi="Arial"/>
          <w:sz w:val="17"/>
          <w:szCs w:val="17"/>
          <w:color w:val="auto"/>
        </w:rPr>
        <w:t>REDEFINED OUR CULTURE AND FOCUSED ON ORGANIZATIONAL HEALTH</w:t>
      </w:r>
    </w:p>
    <w:p>
      <w:pPr>
        <w:spacing w:after="0" w:line="6" w:lineRule="exact"/>
        <w:rPr>
          <w:rFonts w:ascii="Arial" w:cs="Arial" w:eastAsia="Arial" w:hAnsi="Arial"/>
          <w:sz w:val="24"/>
          <w:szCs w:val="24"/>
          <w:color w:val="C3002F"/>
        </w:rPr>
      </w:pPr>
    </w:p>
    <w:p>
      <w:pPr>
        <w:ind w:left="292" w:hanging="292"/>
        <w:spacing w:after="0"/>
        <w:tabs>
          <w:tab w:leader="none" w:pos="292" w:val="left"/>
        </w:tabs>
        <w:numPr>
          <w:ilvl w:val="0"/>
          <w:numId w:val="60"/>
        </w:numPr>
        <w:rPr>
          <w:rFonts w:ascii="Arial" w:cs="Arial" w:eastAsia="Arial" w:hAnsi="Arial"/>
          <w:sz w:val="25"/>
          <w:szCs w:val="25"/>
          <w:color w:val="C3002F"/>
        </w:rPr>
      </w:pPr>
      <w:r>
        <w:rPr>
          <w:rFonts w:ascii="Arial" w:cs="Arial" w:eastAsia="Arial" w:hAnsi="Arial"/>
          <w:sz w:val="18"/>
          <w:szCs w:val="18"/>
          <w:color w:val="auto"/>
        </w:rPr>
        <w:t>DIVERSIFIED OUR BOARD</w:t>
      </w:r>
    </w:p>
    <w:p>
      <w:pPr>
        <w:spacing w:after="0" w:line="6" w:lineRule="exact"/>
        <w:rPr>
          <w:rFonts w:ascii="Arial" w:cs="Arial" w:eastAsia="Arial" w:hAnsi="Arial"/>
          <w:sz w:val="25"/>
          <w:szCs w:val="25"/>
          <w:color w:val="C3002F"/>
        </w:rPr>
      </w:pPr>
    </w:p>
    <w:p>
      <w:pPr>
        <w:ind w:left="292" w:hanging="292"/>
        <w:spacing w:after="0"/>
        <w:tabs>
          <w:tab w:leader="none" w:pos="292" w:val="left"/>
        </w:tabs>
        <w:numPr>
          <w:ilvl w:val="0"/>
          <w:numId w:val="60"/>
        </w:numPr>
        <w:rPr>
          <w:rFonts w:ascii="Arial" w:cs="Arial" w:eastAsia="Arial" w:hAnsi="Arial"/>
          <w:sz w:val="25"/>
          <w:szCs w:val="25"/>
          <w:color w:val="C3002F"/>
        </w:rPr>
      </w:pPr>
      <w:r>
        <w:rPr>
          <w:rFonts w:ascii="Arial" w:cs="Arial" w:eastAsia="Arial" w:hAnsi="Arial"/>
          <w:sz w:val="18"/>
          <w:szCs w:val="18"/>
          <w:color w:val="auto"/>
        </w:rPr>
        <w:t>MONETIZED NON-CORE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-1939290</wp:posOffset>
            </wp:positionH>
            <wp:positionV relativeFrom="paragraph">
              <wp:posOffset>93980</wp:posOffset>
            </wp:positionV>
            <wp:extent cx="69176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148"/>
            <w:col w:w="7832"/>
          </w:cols>
          <w:pgMar w:left="240" w:top="455" w:right="499" w:bottom="1440" w:gutter="0" w:footer="0" w:header="0"/>
          <w:type w:val="continuous"/>
        </w:sectPr>
      </w:pPr>
    </w:p>
    <w:p>
      <w:pPr>
        <w:spacing w:after="0" w:line="215" w:lineRule="exact"/>
        <w:rPr>
          <w:sz w:val="20"/>
          <w:szCs w:val="20"/>
          <w:color w:val="auto"/>
        </w:rPr>
      </w:pPr>
    </w:p>
    <w:p>
      <w:pPr>
        <w:ind w:left="7360"/>
        <w:spacing w:after="0"/>
        <w:tabs>
          <w:tab w:leader="none" w:pos="10980" w:val="left"/>
        </w:tabs>
        <w:rPr>
          <w:sz w:val="20"/>
          <w:szCs w:val="20"/>
          <w:color w:val="auto"/>
        </w:rPr>
      </w:pPr>
      <w:r>
        <w:rPr>
          <w:rFonts w:ascii="Arial" w:cs="Arial" w:eastAsia="Arial" w:hAnsi="Arial"/>
          <w:sz w:val="14"/>
          <w:szCs w:val="14"/>
          <w:color w:val="666666"/>
        </w:rPr>
        <w:t>Weatherford International plc — 2018 Proxy Statement</w:t>
      </w:r>
      <w:r>
        <w:rPr>
          <w:sz w:val="20"/>
          <w:szCs w:val="20"/>
          <w:color w:val="auto"/>
        </w:rPr>
        <w:tab/>
      </w:r>
      <w:r>
        <w:rPr>
          <w:rFonts w:ascii="Arial" w:cs="Arial" w:eastAsia="Arial" w:hAnsi="Arial"/>
          <w:sz w:val="14"/>
          <w:szCs w:val="14"/>
          <w:b w:val="1"/>
          <w:bCs w:val="1"/>
          <w:color w:val="666666"/>
        </w:rPr>
        <w:t>21</w:t>
      </w:r>
    </w:p>
    <w:p>
      <w:pPr>
        <w:sectPr>
          <w:pgSz w:w="11900" w:h="16838" w:orient="portrait"/>
          <w:cols w:equalWidth="0" w:num="1">
            <w:col w:w="11160"/>
          </w:cols>
          <w:pgMar w:left="240" w:top="455" w:right="49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0" w:lineRule="exact"/>
        <w:rPr>
          <w:sz w:val="20"/>
          <w:szCs w:val="20"/>
          <w:color w:val="auto"/>
        </w:rPr>
      </w:pPr>
    </w:p>
    <w:p>
      <w:pPr>
        <w:spacing w:after="0" w:line="333"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KEY ELEMENTS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20"/>
        <w:spacing w:after="0" w:line="242" w:lineRule="auto"/>
        <w:rPr>
          <w:sz w:val="20"/>
          <w:szCs w:val="20"/>
          <w:color w:val="auto"/>
        </w:rPr>
      </w:pPr>
      <w:r>
        <w:rPr>
          <w:rFonts w:ascii="Arial" w:cs="Arial" w:eastAsia="Arial" w:hAnsi="Arial"/>
          <w:sz w:val="14"/>
          <w:szCs w:val="14"/>
          <w:color w:val="auto"/>
        </w:rPr>
        <w:t>Weatherford’s compensation program is designed to reward executives for the achievement of strategic and operational goals as well as increased shareholder value. Our executive officers receive their maximum reward opportunity only if Weatherford performs exceptionally well and our shareholders benefit from that performance. The primary elements of total compensation are base salary, annual non-equity (cash) incentives and long-term equity awards, consisting of both PSUs and RSUs. We also provide our NEOs certain retirement and benefit plans, as well as limited perquisites, which are described in detail under “Elements of our Executive Compensation Program” beginning on page 24. The following tables summarize the primary elements of our NEOs’ compensation package.</w:t>
      </w:r>
    </w:p>
    <w:p>
      <w:pPr>
        <w:spacing w:after="0" w:line="185" w:lineRule="exact"/>
        <w:rPr>
          <w:sz w:val="20"/>
          <w:szCs w:val="20"/>
          <w:color w:val="auto"/>
        </w:rPr>
      </w:pPr>
    </w:p>
    <w:tbl>
      <w:tblPr>
        <w:tblLayout w:type="fixed"/>
        <w:tblInd w:w="280" w:type="dxa"/>
        <w:tblCellMar>
          <w:top w:w="0" w:type="dxa"/>
          <w:left w:w="0" w:type="dxa"/>
          <w:bottom w:w="0" w:type="dxa"/>
          <w:right w:w="0" w:type="dxa"/>
        </w:tblCellMar>
      </w:tblPr>
      <w:tr>
        <w:trPr>
          <w:trHeight w:val="173"/>
        </w:trPr>
        <w:tc>
          <w:tcPr>
            <w:tcW w:w="3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Compensation Element</w:t>
            </w:r>
          </w:p>
        </w:tc>
        <w:tc>
          <w:tcPr>
            <w:tcW w:w="320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Objective</w:t>
            </w:r>
          </w:p>
        </w:tc>
        <w:tc>
          <w:tcPr>
            <w:tcW w:w="24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Key Features</w:t>
            </w:r>
          </w:p>
        </w:tc>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Performance-Based</w:t>
            </w:r>
          </w:p>
        </w:tc>
      </w:tr>
      <w:tr>
        <w:trPr>
          <w:trHeight w:val="212"/>
        </w:trPr>
        <w:tc>
          <w:tcPr>
            <w:tcW w:w="3020" w:type="dxa"/>
            <w:vAlign w:val="bottom"/>
          </w:tcPr>
          <w:p>
            <w:pPr>
              <w:ind w:left="60"/>
              <w:spacing w:after="0"/>
              <w:rPr>
                <w:sz w:val="20"/>
                <w:szCs w:val="20"/>
                <w:color w:val="auto"/>
              </w:rPr>
            </w:pPr>
            <w:r>
              <w:rPr>
                <w:rFonts w:ascii="Arial" w:cs="Arial" w:eastAsia="Arial" w:hAnsi="Arial"/>
                <w:sz w:val="14"/>
                <w:szCs w:val="14"/>
                <w:b w:val="1"/>
                <w:bCs w:val="1"/>
                <w:color w:val="C3002F"/>
              </w:rPr>
              <w:t>Base Salary</w:t>
            </w:r>
          </w:p>
        </w:tc>
        <w:tc>
          <w:tcPr>
            <w:tcW w:w="3200" w:type="dxa"/>
            <w:vAlign w:val="bottom"/>
          </w:tcPr>
          <w:p>
            <w:pPr>
              <w:ind w:left="760"/>
              <w:spacing w:after="0"/>
              <w:rPr>
                <w:sz w:val="20"/>
                <w:szCs w:val="20"/>
                <w:color w:val="auto"/>
              </w:rPr>
            </w:pPr>
            <w:r>
              <w:rPr>
                <w:rFonts w:ascii="Arial" w:cs="Arial" w:eastAsia="Arial" w:hAnsi="Arial"/>
                <w:sz w:val="14"/>
                <w:szCs w:val="14"/>
                <w:color w:val="auto"/>
              </w:rPr>
              <w:t>Provides regular income at</w:t>
            </w:r>
          </w:p>
        </w:tc>
        <w:tc>
          <w:tcPr>
            <w:tcW w:w="2420" w:type="dxa"/>
            <w:vAlign w:val="bottom"/>
          </w:tcPr>
          <w:p>
            <w:pPr>
              <w:ind w:left="200"/>
              <w:spacing w:after="0"/>
              <w:rPr>
                <w:sz w:val="20"/>
                <w:szCs w:val="20"/>
                <w:color w:val="auto"/>
              </w:rPr>
            </w:pPr>
            <w:r>
              <w:rPr>
                <w:rFonts w:ascii="Arial" w:cs="Arial" w:eastAsia="Arial" w:hAnsi="Arial"/>
                <w:sz w:val="14"/>
                <w:szCs w:val="14"/>
                <w:color w:val="auto"/>
              </w:rPr>
              <w:t>Reviewed annually and subject to</w:t>
            </w:r>
          </w:p>
        </w:tc>
        <w:tc>
          <w:tcPr>
            <w:tcW w:w="2240" w:type="dxa"/>
            <w:vAlign w:val="bottom"/>
          </w:tcPr>
          <w:p>
            <w:pPr>
              <w:ind w:left="60"/>
              <w:spacing w:after="0"/>
              <w:rPr>
                <w:sz w:val="20"/>
                <w:szCs w:val="20"/>
                <w:color w:val="auto"/>
              </w:rPr>
            </w:pPr>
            <w:r>
              <w:rPr>
                <w:rFonts w:ascii="Arial" w:cs="Arial" w:eastAsia="Arial" w:hAnsi="Arial"/>
                <w:sz w:val="14"/>
                <w:szCs w:val="14"/>
                <w:color w:val="auto"/>
              </w:rPr>
              <w:t>No, but increases are not</w:t>
            </w:r>
          </w:p>
        </w:tc>
      </w:tr>
      <w:tr>
        <w:trPr>
          <w:trHeight w:val="160"/>
        </w:trPr>
        <w:tc>
          <w:tcPr>
            <w:tcW w:w="3020" w:type="dxa"/>
            <w:vAlign w:val="bottom"/>
          </w:tcPr>
          <w:p>
            <w:pPr>
              <w:spacing w:after="0"/>
              <w:rPr>
                <w:sz w:val="13"/>
                <w:szCs w:val="13"/>
                <w:color w:val="auto"/>
              </w:rPr>
            </w:pPr>
          </w:p>
        </w:tc>
        <w:tc>
          <w:tcPr>
            <w:tcW w:w="3200" w:type="dxa"/>
            <w:vAlign w:val="bottom"/>
          </w:tcPr>
          <w:p>
            <w:pPr>
              <w:ind w:left="760"/>
              <w:spacing w:after="0"/>
              <w:rPr>
                <w:sz w:val="20"/>
                <w:szCs w:val="20"/>
                <w:color w:val="auto"/>
              </w:rPr>
            </w:pPr>
            <w:r>
              <w:rPr>
                <w:rFonts w:ascii="Arial" w:cs="Arial" w:eastAsia="Arial" w:hAnsi="Arial"/>
                <w:sz w:val="14"/>
                <w:szCs w:val="14"/>
                <w:color w:val="auto"/>
              </w:rPr>
              <w:t>reasonable, competitive levels,</w:t>
            </w:r>
          </w:p>
        </w:tc>
        <w:tc>
          <w:tcPr>
            <w:tcW w:w="2420" w:type="dxa"/>
            <w:vAlign w:val="bottom"/>
          </w:tcPr>
          <w:p>
            <w:pPr>
              <w:ind w:left="200"/>
              <w:spacing w:after="0"/>
              <w:rPr>
                <w:sz w:val="20"/>
                <w:szCs w:val="20"/>
                <w:color w:val="auto"/>
              </w:rPr>
            </w:pPr>
            <w:r>
              <w:rPr>
                <w:rFonts w:ascii="Arial" w:cs="Arial" w:eastAsia="Arial" w:hAnsi="Arial"/>
                <w:sz w:val="14"/>
                <w:szCs w:val="14"/>
                <w:color w:val="auto"/>
              </w:rPr>
              <w:t>adjustment based on individual</w:t>
            </w:r>
          </w:p>
        </w:tc>
        <w:tc>
          <w:tcPr>
            <w:tcW w:w="2240" w:type="dxa"/>
            <w:vAlign w:val="bottom"/>
          </w:tcPr>
          <w:p>
            <w:pPr>
              <w:ind w:left="60"/>
              <w:spacing w:after="0"/>
              <w:rPr>
                <w:sz w:val="20"/>
                <w:szCs w:val="20"/>
                <w:color w:val="auto"/>
              </w:rPr>
            </w:pPr>
            <w:r>
              <w:rPr>
                <w:rFonts w:ascii="Arial" w:cs="Arial" w:eastAsia="Arial" w:hAnsi="Arial"/>
                <w:sz w:val="14"/>
                <w:szCs w:val="14"/>
                <w:color w:val="auto"/>
              </w:rPr>
              <w:t>guaranteed</w:t>
            </w:r>
          </w:p>
        </w:tc>
      </w:tr>
      <w:tr>
        <w:trPr>
          <w:trHeight w:val="160"/>
        </w:trPr>
        <w:tc>
          <w:tcPr>
            <w:tcW w:w="3020" w:type="dxa"/>
            <w:vAlign w:val="bottom"/>
          </w:tcPr>
          <w:p>
            <w:pPr>
              <w:spacing w:after="0"/>
              <w:rPr>
                <w:sz w:val="13"/>
                <w:szCs w:val="13"/>
                <w:color w:val="auto"/>
              </w:rPr>
            </w:pPr>
          </w:p>
        </w:tc>
        <w:tc>
          <w:tcPr>
            <w:tcW w:w="3200" w:type="dxa"/>
            <w:vAlign w:val="bottom"/>
          </w:tcPr>
          <w:p>
            <w:pPr>
              <w:ind w:left="760"/>
              <w:spacing w:after="0"/>
              <w:rPr>
                <w:sz w:val="20"/>
                <w:szCs w:val="20"/>
                <w:color w:val="auto"/>
              </w:rPr>
            </w:pPr>
            <w:r>
              <w:rPr>
                <w:rFonts w:ascii="Arial" w:cs="Arial" w:eastAsia="Arial" w:hAnsi="Arial"/>
                <w:sz w:val="14"/>
                <w:szCs w:val="14"/>
                <w:color w:val="auto"/>
              </w:rPr>
              <w:t>reflecting scope of responsibilities,</w:t>
            </w:r>
          </w:p>
        </w:tc>
        <w:tc>
          <w:tcPr>
            <w:tcW w:w="2420" w:type="dxa"/>
            <w:vAlign w:val="bottom"/>
          </w:tcPr>
          <w:p>
            <w:pPr>
              <w:ind w:left="200"/>
              <w:spacing w:after="0"/>
              <w:rPr>
                <w:sz w:val="20"/>
                <w:szCs w:val="20"/>
                <w:color w:val="auto"/>
              </w:rPr>
            </w:pPr>
            <w:r>
              <w:rPr>
                <w:rFonts w:ascii="Arial" w:cs="Arial" w:eastAsia="Arial" w:hAnsi="Arial"/>
                <w:sz w:val="14"/>
                <w:szCs w:val="14"/>
                <w:color w:val="auto"/>
              </w:rPr>
              <w:t>performance, experience,</w:t>
            </w:r>
          </w:p>
        </w:tc>
        <w:tc>
          <w:tcPr>
            <w:tcW w:w="2240" w:type="dxa"/>
            <w:vAlign w:val="bottom"/>
          </w:tcPr>
          <w:p>
            <w:pPr>
              <w:spacing w:after="0"/>
              <w:rPr>
                <w:sz w:val="13"/>
                <w:szCs w:val="13"/>
                <w:color w:val="auto"/>
              </w:rPr>
            </w:pPr>
          </w:p>
        </w:tc>
      </w:tr>
      <w:tr>
        <w:trPr>
          <w:trHeight w:val="160"/>
        </w:trPr>
        <w:tc>
          <w:tcPr>
            <w:tcW w:w="3020" w:type="dxa"/>
            <w:vAlign w:val="bottom"/>
          </w:tcPr>
          <w:p>
            <w:pPr>
              <w:spacing w:after="0"/>
              <w:rPr>
                <w:sz w:val="13"/>
                <w:szCs w:val="13"/>
                <w:color w:val="auto"/>
              </w:rPr>
            </w:pPr>
          </w:p>
        </w:tc>
        <w:tc>
          <w:tcPr>
            <w:tcW w:w="3200" w:type="dxa"/>
            <w:vAlign w:val="bottom"/>
          </w:tcPr>
          <w:p>
            <w:pPr>
              <w:ind w:left="760"/>
              <w:spacing w:after="0"/>
              <w:rPr>
                <w:sz w:val="20"/>
                <w:szCs w:val="20"/>
                <w:color w:val="auto"/>
              </w:rPr>
            </w:pPr>
            <w:r>
              <w:rPr>
                <w:rFonts w:ascii="Arial" w:cs="Arial" w:eastAsia="Arial" w:hAnsi="Arial"/>
                <w:sz w:val="14"/>
                <w:szCs w:val="14"/>
                <w:color w:val="auto"/>
              </w:rPr>
              <w:t>job characteristics, leadership skills</w:t>
            </w:r>
          </w:p>
        </w:tc>
        <w:tc>
          <w:tcPr>
            <w:tcW w:w="2420" w:type="dxa"/>
            <w:vAlign w:val="bottom"/>
          </w:tcPr>
          <w:p>
            <w:pPr>
              <w:ind w:left="200"/>
              <w:spacing w:after="0"/>
              <w:rPr>
                <w:sz w:val="20"/>
                <w:szCs w:val="20"/>
                <w:color w:val="auto"/>
              </w:rPr>
            </w:pPr>
            <w:r>
              <w:rPr>
                <w:rFonts w:ascii="Arial" w:cs="Arial" w:eastAsia="Arial" w:hAnsi="Arial"/>
                <w:sz w:val="14"/>
                <w:szCs w:val="14"/>
                <w:color w:val="auto"/>
              </w:rPr>
              <w:t>leadership and market factors</w:t>
            </w:r>
          </w:p>
        </w:tc>
        <w:tc>
          <w:tcPr>
            <w:tcW w:w="2240" w:type="dxa"/>
            <w:vAlign w:val="bottom"/>
          </w:tcPr>
          <w:p>
            <w:pPr>
              <w:spacing w:after="0"/>
              <w:rPr>
                <w:sz w:val="13"/>
                <w:szCs w:val="13"/>
                <w:color w:val="auto"/>
              </w:rPr>
            </w:pPr>
          </w:p>
        </w:tc>
      </w:tr>
      <w:tr>
        <w:trPr>
          <w:trHeight w:val="176"/>
        </w:trPr>
        <w:tc>
          <w:tcPr>
            <w:tcW w:w="3020" w:type="dxa"/>
            <w:vAlign w:val="bottom"/>
            <w:tcBorders>
              <w:bottom w:val="single" w:sz="8" w:color="666666"/>
            </w:tcBorders>
          </w:tcPr>
          <w:p>
            <w:pPr>
              <w:spacing w:after="0"/>
              <w:rPr>
                <w:sz w:val="15"/>
                <w:szCs w:val="15"/>
                <w:color w:val="auto"/>
              </w:rPr>
            </w:pPr>
          </w:p>
        </w:tc>
        <w:tc>
          <w:tcPr>
            <w:tcW w:w="3200" w:type="dxa"/>
            <w:vAlign w:val="bottom"/>
            <w:tcBorders>
              <w:bottom w:val="single" w:sz="8" w:color="666666"/>
            </w:tcBorders>
          </w:tcPr>
          <w:p>
            <w:pPr>
              <w:ind w:left="760"/>
              <w:spacing w:after="0"/>
              <w:rPr>
                <w:sz w:val="20"/>
                <w:szCs w:val="20"/>
                <w:color w:val="auto"/>
              </w:rPr>
            </w:pPr>
            <w:r>
              <w:rPr>
                <w:rFonts w:ascii="Arial" w:cs="Arial" w:eastAsia="Arial" w:hAnsi="Arial"/>
                <w:sz w:val="14"/>
                <w:szCs w:val="14"/>
                <w:color w:val="auto"/>
              </w:rPr>
              <w:t>and experience</w:t>
            </w:r>
          </w:p>
        </w:tc>
        <w:tc>
          <w:tcPr>
            <w:tcW w:w="2420" w:type="dxa"/>
            <w:vAlign w:val="bottom"/>
            <w:tcBorders>
              <w:bottom w:val="single" w:sz="8" w:color="666666"/>
            </w:tcBorders>
          </w:tcPr>
          <w:p>
            <w:pPr>
              <w:spacing w:after="0"/>
              <w:rPr>
                <w:sz w:val="15"/>
                <w:szCs w:val="15"/>
                <w:color w:val="auto"/>
              </w:rPr>
            </w:pPr>
          </w:p>
        </w:tc>
        <w:tc>
          <w:tcPr>
            <w:tcW w:w="2240" w:type="dxa"/>
            <w:vAlign w:val="bottom"/>
            <w:tcBorders>
              <w:bottom w:val="single" w:sz="8" w:color="666666"/>
            </w:tcBorders>
          </w:tcPr>
          <w:p>
            <w:pPr>
              <w:spacing w:after="0"/>
              <w:rPr>
                <w:sz w:val="15"/>
                <w:szCs w:val="15"/>
                <w:color w:val="auto"/>
              </w:rPr>
            </w:pPr>
          </w:p>
        </w:tc>
      </w:tr>
      <w:tr>
        <w:trPr>
          <w:trHeight w:val="217"/>
        </w:trPr>
        <w:tc>
          <w:tcPr>
            <w:tcW w:w="3020" w:type="dxa"/>
            <w:vAlign w:val="bottom"/>
          </w:tcPr>
          <w:p>
            <w:pPr>
              <w:ind w:left="60"/>
              <w:spacing w:after="0"/>
              <w:rPr>
                <w:sz w:val="20"/>
                <w:szCs w:val="20"/>
                <w:color w:val="auto"/>
              </w:rPr>
            </w:pPr>
            <w:r>
              <w:rPr>
                <w:rFonts w:ascii="Arial" w:cs="Arial" w:eastAsia="Arial" w:hAnsi="Arial"/>
                <w:sz w:val="14"/>
                <w:szCs w:val="14"/>
                <w:b w:val="1"/>
                <w:bCs w:val="1"/>
                <w:color w:val="C3002F"/>
              </w:rPr>
              <w:t>Annual Cash Incentive</w:t>
            </w:r>
          </w:p>
        </w:tc>
        <w:tc>
          <w:tcPr>
            <w:tcW w:w="3200" w:type="dxa"/>
            <w:vAlign w:val="bottom"/>
          </w:tcPr>
          <w:p>
            <w:pPr>
              <w:ind w:left="760"/>
              <w:spacing w:after="0"/>
              <w:rPr>
                <w:sz w:val="20"/>
                <w:szCs w:val="20"/>
                <w:color w:val="auto"/>
              </w:rPr>
            </w:pPr>
            <w:r>
              <w:rPr>
                <w:rFonts w:ascii="Arial" w:cs="Arial" w:eastAsia="Arial" w:hAnsi="Arial"/>
                <w:sz w:val="14"/>
                <w:szCs w:val="14"/>
                <w:color w:val="auto"/>
              </w:rPr>
              <w:t>Rewards contributions to the</w:t>
            </w:r>
          </w:p>
        </w:tc>
        <w:tc>
          <w:tcPr>
            <w:tcW w:w="2420" w:type="dxa"/>
            <w:vAlign w:val="bottom"/>
          </w:tcPr>
          <w:p>
            <w:pPr>
              <w:ind w:left="200"/>
              <w:spacing w:after="0"/>
              <w:rPr>
                <w:sz w:val="20"/>
                <w:szCs w:val="20"/>
                <w:color w:val="auto"/>
              </w:rPr>
            </w:pPr>
            <w:r>
              <w:rPr>
                <w:rFonts w:ascii="Arial" w:cs="Arial" w:eastAsia="Arial" w:hAnsi="Arial"/>
                <w:sz w:val="14"/>
                <w:szCs w:val="14"/>
                <w:color w:val="auto"/>
              </w:rPr>
              <w:t>Compensation Committee</w:t>
            </w:r>
          </w:p>
        </w:tc>
        <w:tc>
          <w:tcPr>
            <w:tcW w:w="2240" w:type="dxa"/>
            <w:vAlign w:val="bottom"/>
          </w:tcPr>
          <w:p>
            <w:pPr>
              <w:ind w:left="60"/>
              <w:spacing w:after="0"/>
              <w:rPr>
                <w:sz w:val="20"/>
                <w:szCs w:val="20"/>
                <w:color w:val="auto"/>
              </w:rPr>
            </w:pPr>
            <w:r>
              <w:rPr>
                <w:rFonts w:ascii="Arial" w:cs="Arial" w:eastAsia="Arial" w:hAnsi="Arial"/>
                <w:sz w:val="14"/>
                <w:szCs w:val="14"/>
                <w:color w:val="auto"/>
              </w:rPr>
              <w:t>Yes, pays out based on</w:t>
            </w:r>
          </w:p>
        </w:tc>
      </w:tr>
      <w:tr>
        <w:trPr>
          <w:trHeight w:val="160"/>
        </w:trPr>
        <w:tc>
          <w:tcPr>
            <w:tcW w:w="3020" w:type="dxa"/>
            <w:vAlign w:val="bottom"/>
          </w:tcPr>
          <w:p>
            <w:pPr>
              <w:spacing w:after="0"/>
              <w:rPr>
                <w:sz w:val="13"/>
                <w:szCs w:val="13"/>
                <w:color w:val="auto"/>
              </w:rPr>
            </w:pPr>
          </w:p>
        </w:tc>
        <w:tc>
          <w:tcPr>
            <w:tcW w:w="3200" w:type="dxa"/>
            <w:vAlign w:val="bottom"/>
          </w:tcPr>
          <w:p>
            <w:pPr>
              <w:ind w:left="760"/>
              <w:spacing w:after="0"/>
              <w:rPr>
                <w:sz w:val="20"/>
                <w:szCs w:val="20"/>
                <w:color w:val="auto"/>
              </w:rPr>
            </w:pPr>
            <w:r>
              <w:rPr>
                <w:rFonts w:ascii="Arial" w:cs="Arial" w:eastAsia="Arial" w:hAnsi="Arial"/>
                <w:sz w:val="14"/>
                <w:szCs w:val="14"/>
                <w:color w:val="auto"/>
              </w:rPr>
              <w:t>achievement of annual targets and</w:t>
            </w:r>
          </w:p>
        </w:tc>
        <w:tc>
          <w:tcPr>
            <w:tcW w:w="2420" w:type="dxa"/>
            <w:vAlign w:val="bottom"/>
          </w:tcPr>
          <w:p>
            <w:pPr>
              <w:ind w:left="200"/>
              <w:spacing w:after="0"/>
              <w:rPr>
                <w:sz w:val="20"/>
                <w:szCs w:val="20"/>
                <w:color w:val="auto"/>
              </w:rPr>
            </w:pPr>
            <w:r>
              <w:rPr>
                <w:rFonts w:ascii="Arial" w:cs="Arial" w:eastAsia="Arial" w:hAnsi="Arial"/>
                <w:sz w:val="14"/>
                <w:szCs w:val="14"/>
                <w:color w:val="auto"/>
              </w:rPr>
              <w:t>establishes performance</w:t>
            </w:r>
          </w:p>
        </w:tc>
        <w:tc>
          <w:tcPr>
            <w:tcW w:w="2240" w:type="dxa"/>
            <w:vAlign w:val="bottom"/>
          </w:tcPr>
          <w:p>
            <w:pPr>
              <w:ind w:left="60"/>
              <w:spacing w:after="0"/>
              <w:rPr>
                <w:sz w:val="20"/>
                <w:szCs w:val="20"/>
                <w:color w:val="auto"/>
              </w:rPr>
            </w:pPr>
            <w:r>
              <w:rPr>
                <w:rFonts w:ascii="Arial" w:cs="Arial" w:eastAsia="Arial" w:hAnsi="Arial"/>
                <w:sz w:val="14"/>
                <w:szCs w:val="14"/>
                <w:color w:val="auto"/>
              </w:rPr>
              <w:t>achievement of measurable</w:t>
            </w:r>
          </w:p>
        </w:tc>
      </w:tr>
      <w:tr>
        <w:trPr>
          <w:trHeight w:val="160"/>
        </w:trPr>
        <w:tc>
          <w:tcPr>
            <w:tcW w:w="3020" w:type="dxa"/>
            <w:vAlign w:val="bottom"/>
          </w:tcPr>
          <w:p>
            <w:pPr>
              <w:spacing w:after="0"/>
              <w:rPr>
                <w:sz w:val="13"/>
                <w:szCs w:val="13"/>
                <w:color w:val="auto"/>
              </w:rPr>
            </w:pPr>
          </w:p>
        </w:tc>
        <w:tc>
          <w:tcPr>
            <w:tcW w:w="3200" w:type="dxa"/>
            <w:vAlign w:val="bottom"/>
          </w:tcPr>
          <w:p>
            <w:pPr>
              <w:ind w:left="760"/>
              <w:spacing w:after="0"/>
              <w:rPr>
                <w:sz w:val="20"/>
                <w:szCs w:val="20"/>
                <w:color w:val="auto"/>
              </w:rPr>
            </w:pPr>
            <w:r>
              <w:rPr>
                <w:rFonts w:ascii="Arial" w:cs="Arial" w:eastAsia="Arial" w:hAnsi="Arial"/>
                <w:sz w:val="14"/>
                <w:szCs w:val="14"/>
                <w:color w:val="auto"/>
              </w:rPr>
              <w:t>individual performance; focuses</w:t>
            </w:r>
          </w:p>
        </w:tc>
        <w:tc>
          <w:tcPr>
            <w:tcW w:w="2420" w:type="dxa"/>
            <w:vAlign w:val="bottom"/>
          </w:tcPr>
          <w:p>
            <w:pPr>
              <w:ind w:left="200"/>
              <w:spacing w:after="0"/>
              <w:rPr>
                <w:sz w:val="20"/>
                <w:szCs w:val="20"/>
                <w:color w:val="auto"/>
              </w:rPr>
            </w:pPr>
            <w:r>
              <w:rPr>
                <w:rFonts w:ascii="Arial" w:cs="Arial" w:eastAsia="Arial" w:hAnsi="Arial"/>
                <w:sz w:val="14"/>
                <w:szCs w:val="14"/>
                <w:color w:val="auto"/>
              </w:rPr>
              <w:t>measures to align performance</w:t>
            </w:r>
          </w:p>
        </w:tc>
        <w:tc>
          <w:tcPr>
            <w:tcW w:w="2240" w:type="dxa"/>
            <w:vAlign w:val="bottom"/>
          </w:tcPr>
          <w:p>
            <w:pPr>
              <w:ind w:left="60"/>
              <w:spacing w:after="0"/>
              <w:rPr>
                <w:sz w:val="20"/>
                <w:szCs w:val="20"/>
                <w:color w:val="auto"/>
              </w:rPr>
            </w:pPr>
            <w:r>
              <w:rPr>
                <w:rFonts w:ascii="Arial" w:cs="Arial" w:eastAsia="Arial" w:hAnsi="Arial"/>
                <w:sz w:val="14"/>
                <w:szCs w:val="14"/>
                <w:color w:val="auto"/>
              </w:rPr>
              <w:t>pre-established goals; will not pay</w:t>
            </w:r>
          </w:p>
        </w:tc>
      </w:tr>
      <w:tr>
        <w:trPr>
          <w:trHeight w:val="160"/>
        </w:trPr>
        <w:tc>
          <w:tcPr>
            <w:tcW w:w="3020" w:type="dxa"/>
            <w:vAlign w:val="bottom"/>
          </w:tcPr>
          <w:p>
            <w:pPr>
              <w:spacing w:after="0"/>
              <w:rPr>
                <w:sz w:val="13"/>
                <w:szCs w:val="13"/>
                <w:color w:val="auto"/>
              </w:rPr>
            </w:pPr>
          </w:p>
        </w:tc>
        <w:tc>
          <w:tcPr>
            <w:tcW w:w="3200" w:type="dxa"/>
            <w:vAlign w:val="bottom"/>
          </w:tcPr>
          <w:p>
            <w:pPr>
              <w:ind w:left="760"/>
              <w:spacing w:after="0"/>
              <w:rPr>
                <w:sz w:val="20"/>
                <w:szCs w:val="20"/>
                <w:color w:val="auto"/>
              </w:rPr>
            </w:pPr>
            <w:r>
              <w:rPr>
                <w:rFonts w:ascii="Arial" w:cs="Arial" w:eastAsia="Arial" w:hAnsi="Arial"/>
                <w:sz w:val="14"/>
                <w:szCs w:val="14"/>
                <w:color w:val="auto"/>
              </w:rPr>
              <w:t>attention on key operational,</w:t>
            </w:r>
          </w:p>
        </w:tc>
        <w:tc>
          <w:tcPr>
            <w:tcW w:w="2420" w:type="dxa"/>
            <w:vAlign w:val="bottom"/>
          </w:tcPr>
          <w:p>
            <w:pPr>
              <w:ind w:left="200"/>
              <w:spacing w:after="0"/>
              <w:rPr>
                <w:sz w:val="20"/>
                <w:szCs w:val="20"/>
                <w:color w:val="auto"/>
              </w:rPr>
            </w:pPr>
            <w:r>
              <w:rPr>
                <w:rFonts w:ascii="Arial" w:cs="Arial" w:eastAsia="Arial" w:hAnsi="Arial"/>
                <w:sz w:val="14"/>
                <w:szCs w:val="14"/>
                <w:color w:val="auto"/>
              </w:rPr>
              <w:t>relative to goals, ultimately driving</w:t>
            </w:r>
          </w:p>
        </w:tc>
        <w:tc>
          <w:tcPr>
            <w:tcW w:w="2240" w:type="dxa"/>
            <w:vAlign w:val="bottom"/>
          </w:tcPr>
          <w:p>
            <w:pPr>
              <w:ind w:left="60"/>
              <w:spacing w:after="0"/>
              <w:rPr>
                <w:sz w:val="20"/>
                <w:szCs w:val="20"/>
                <w:color w:val="auto"/>
              </w:rPr>
            </w:pPr>
            <w:r>
              <w:rPr>
                <w:rFonts w:ascii="Arial" w:cs="Arial" w:eastAsia="Arial" w:hAnsi="Arial"/>
                <w:sz w:val="14"/>
                <w:szCs w:val="14"/>
                <w:color w:val="auto"/>
              </w:rPr>
              <w:t>out if goals are not met</w:t>
            </w:r>
          </w:p>
        </w:tc>
      </w:tr>
      <w:tr>
        <w:trPr>
          <w:trHeight w:val="176"/>
        </w:trPr>
        <w:tc>
          <w:tcPr>
            <w:tcW w:w="3020" w:type="dxa"/>
            <w:vAlign w:val="bottom"/>
            <w:tcBorders>
              <w:bottom w:val="single" w:sz="8" w:color="666666"/>
            </w:tcBorders>
          </w:tcPr>
          <w:p>
            <w:pPr>
              <w:spacing w:after="0"/>
              <w:rPr>
                <w:sz w:val="15"/>
                <w:szCs w:val="15"/>
                <w:color w:val="auto"/>
              </w:rPr>
            </w:pPr>
          </w:p>
        </w:tc>
        <w:tc>
          <w:tcPr>
            <w:tcW w:w="3200" w:type="dxa"/>
            <w:vAlign w:val="bottom"/>
            <w:tcBorders>
              <w:bottom w:val="single" w:sz="8" w:color="666666"/>
            </w:tcBorders>
          </w:tcPr>
          <w:p>
            <w:pPr>
              <w:ind w:left="760"/>
              <w:spacing w:after="0"/>
              <w:rPr>
                <w:sz w:val="20"/>
                <w:szCs w:val="20"/>
                <w:color w:val="auto"/>
              </w:rPr>
            </w:pPr>
            <w:r>
              <w:rPr>
                <w:rFonts w:ascii="Arial" w:cs="Arial" w:eastAsia="Arial" w:hAnsi="Arial"/>
                <w:sz w:val="14"/>
                <w:szCs w:val="14"/>
                <w:color w:val="auto"/>
              </w:rPr>
              <w:t>functional and financial measures</w:t>
            </w:r>
          </w:p>
        </w:tc>
        <w:tc>
          <w:tcPr>
            <w:tcW w:w="2420" w:type="dxa"/>
            <w:vAlign w:val="bottom"/>
            <w:tcBorders>
              <w:bottom w:val="single" w:sz="8" w:color="666666"/>
            </w:tcBorders>
          </w:tcPr>
          <w:p>
            <w:pPr>
              <w:ind w:left="200"/>
              <w:spacing w:after="0"/>
              <w:rPr>
                <w:sz w:val="20"/>
                <w:szCs w:val="20"/>
                <w:color w:val="auto"/>
              </w:rPr>
            </w:pPr>
            <w:r>
              <w:rPr>
                <w:rFonts w:ascii="Arial" w:cs="Arial" w:eastAsia="Arial" w:hAnsi="Arial"/>
                <w:sz w:val="14"/>
                <w:szCs w:val="14"/>
                <w:color w:val="auto"/>
              </w:rPr>
              <w:t>shareholder value</w:t>
            </w:r>
          </w:p>
        </w:tc>
        <w:tc>
          <w:tcPr>
            <w:tcW w:w="2240" w:type="dxa"/>
            <w:vAlign w:val="bottom"/>
            <w:tcBorders>
              <w:bottom w:val="single" w:sz="8" w:color="666666"/>
            </w:tcBorders>
          </w:tcPr>
          <w:p>
            <w:pPr>
              <w:spacing w:after="0"/>
              <w:rPr>
                <w:sz w:val="15"/>
                <w:szCs w:val="15"/>
                <w:color w:val="auto"/>
              </w:rPr>
            </w:pPr>
          </w:p>
        </w:tc>
      </w:tr>
      <w:tr>
        <w:trPr>
          <w:trHeight w:val="199"/>
        </w:trPr>
        <w:tc>
          <w:tcPr>
            <w:tcW w:w="3020" w:type="dxa"/>
            <w:vAlign w:val="bottom"/>
          </w:tcPr>
          <w:p>
            <w:pPr>
              <w:ind w:left="60"/>
              <w:spacing w:after="0"/>
              <w:rPr>
                <w:sz w:val="20"/>
                <w:szCs w:val="20"/>
                <w:color w:val="auto"/>
              </w:rPr>
            </w:pPr>
            <w:r>
              <w:rPr>
                <w:rFonts w:ascii="Arial" w:cs="Arial" w:eastAsia="Arial" w:hAnsi="Arial"/>
                <w:sz w:val="14"/>
                <w:szCs w:val="14"/>
                <w:b w:val="1"/>
                <w:bCs w:val="1"/>
                <w:color w:val="C3002F"/>
              </w:rPr>
              <w:t>Performance Share Units (PSUs)</w:t>
            </w:r>
          </w:p>
        </w:tc>
        <w:tc>
          <w:tcPr>
            <w:tcW w:w="3200" w:type="dxa"/>
            <w:vAlign w:val="bottom"/>
          </w:tcPr>
          <w:p>
            <w:pPr>
              <w:ind w:left="760"/>
              <w:spacing w:after="0"/>
              <w:rPr>
                <w:sz w:val="20"/>
                <w:szCs w:val="20"/>
                <w:color w:val="auto"/>
              </w:rPr>
            </w:pPr>
            <w:r>
              <w:rPr>
                <w:rFonts w:ascii="Arial" w:cs="Arial" w:eastAsia="Arial" w:hAnsi="Arial"/>
                <w:sz w:val="14"/>
                <w:szCs w:val="14"/>
                <w:color w:val="auto"/>
              </w:rPr>
              <w:t>Correlates realized pay with</w:t>
            </w:r>
          </w:p>
        </w:tc>
        <w:tc>
          <w:tcPr>
            <w:tcW w:w="2420" w:type="dxa"/>
            <w:vAlign w:val="bottom"/>
          </w:tcPr>
          <w:p>
            <w:pPr>
              <w:ind w:left="200"/>
              <w:spacing w:after="0"/>
              <w:rPr>
                <w:sz w:val="20"/>
                <w:szCs w:val="20"/>
                <w:color w:val="auto"/>
              </w:rPr>
            </w:pPr>
            <w:r>
              <w:rPr>
                <w:rFonts w:ascii="Arial" w:cs="Arial" w:eastAsia="Arial" w:hAnsi="Arial"/>
                <w:sz w:val="14"/>
                <w:szCs w:val="14"/>
                <w:color w:val="auto"/>
              </w:rPr>
              <w:t>In periods of low shareholder</w:t>
            </w:r>
          </w:p>
        </w:tc>
        <w:tc>
          <w:tcPr>
            <w:tcW w:w="2240" w:type="dxa"/>
            <w:vAlign w:val="bottom"/>
          </w:tcPr>
          <w:p>
            <w:pPr>
              <w:ind w:left="60"/>
              <w:spacing w:after="0"/>
              <w:rPr>
                <w:sz w:val="20"/>
                <w:szCs w:val="20"/>
                <w:color w:val="auto"/>
              </w:rPr>
            </w:pPr>
            <w:r>
              <w:rPr>
                <w:rFonts w:ascii="Arial" w:cs="Arial" w:eastAsia="Arial" w:hAnsi="Arial"/>
                <w:sz w:val="14"/>
                <w:szCs w:val="14"/>
                <w:color w:val="auto"/>
              </w:rPr>
              <w:t>Yes, pays out only based on</w:t>
            </w:r>
          </w:p>
        </w:tc>
      </w:tr>
      <w:tr>
        <w:trPr>
          <w:trHeight w:val="178"/>
        </w:trPr>
        <w:tc>
          <w:tcPr>
            <w:tcW w:w="3020" w:type="dxa"/>
            <w:vAlign w:val="bottom"/>
          </w:tcPr>
          <w:p>
            <w:pPr>
              <w:ind w:left="60"/>
              <w:spacing w:after="0"/>
              <w:rPr>
                <w:sz w:val="20"/>
                <w:szCs w:val="20"/>
                <w:color w:val="auto"/>
              </w:rPr>
            </w:pPr>
            <w:r>
              <w:rPr>
                <w:rFonts w:ascii="Arial" w:cs="Arial" w:eastAsia="Arial" w:hAnsi="Arial"/>
                <w:sz w:val="14"/>
                <w:szCs w:val="14"/>
                <w:b w:val="1"/>
                <w:bCs w:val="1"/>
                <w:color w:val="C3002F"/>
              </w:rPr>
              <w:t>Long-Term Equity Awards</w:t>
            </w:r>
          </w:p>
        </w:tc>
        <w:tc>
          <w:tcPr>
            <w:tcW w:w="3200" w:type="dxa"/>
            <w:vAlign w:val="bottom"/>
          </w:tcPr>
          <w:p>
            <w:pPr>
              <w:ind w:left="760"/>
              <w:spacing w:after="0"/>
              <w:rPr>
                <w:sz w:val="20"/>
                <w:szCs w:val="20"/>
                <w:color w:val="auto"/>
              </w:rPr>
            </w:pPr>
            <w:r>
              <w:rPr>
                <w:rFonts w:ascii="Arial" w:cs="Arial" w:eastAsia="Arial" w:hAnsi="Arial"/>
                <w:sz w:val="14"/>
                <w:szCs w:val="14"/>
                <w:color w:val="auto"/>
              </w:rPr>
              <w:t>increases in shareholder value in</w:t>
            </w:r>
          </w:p>
        </w:tc>
        <w:tc>
          <w:tcPr>
            <w:tcW w:w="2420" w:type="dxa"/>
            <w:vAlign w:val="bottom"/>
          </w:tcPr>
          <w:p>
            <w:pPr>
              <w:ind w:left="200"/>
              <w:spacing w:after="0"/>
              <w:rPr>
                <w:sz w:val="20"/>
                <w:szCs w:val="20"/>
                <w:color w:val="auto"/>
              </w:rPr>
            </w:pPr>
            <w:r>
              <w:rPr>
                <w:rFonts w:ascii="Arial" w:cs="Arial" w:eastAsia="Arial" w:hAnsi="Arial"/>
                <w:sz w:val="14"/>
                <w:szCs w:val="14"/>
                <w:color w:val="auto"/>
              </w:rPr>
              <w:t>return, executives realize little or</w:t>
            </w:r>
          </w:p>
        </w:tc>
        <w:tc>
          <w:tcPr>
            <w:tcW w:w="2240" w:type="dxa"/>
            <w:vAlign w:val="bottom"/>
          </w:tcPr>
          <w:p>
            <w:pPr>
              <w:ind w:left="60"/>
              <w:spacing w:after="0"/>
              <w:rPr>
                <w:sz w:val="20"/>
                <w:szCs w:val="20"/>
                <w:color w:val="auto"/>
              </w:rPr>
            </w:pPr>
            <w:r>
              <w:rPr>
                <w:rFonts w:ascii="Arial" w:cs="Arial" w:eastAsia="Arial" w:hAnsi="Arial"/>
                <w:sz w:val="14"/>
                <w:szCs w:val="14"/>
                <w:color w:val="auto"/>
              </w:rPr>
              <w:t>increased shareholder value; may</w:t>
            </w:r>
          </w:p>
        </w:tc>
      </w:tr>
      <w:tr>
        <w:trPr>
          <w:trHeight w:val="160"/>
        </w:trPr>
        <w:tc>
          <w:tcPr>
            <w:tcW w:w="3020" w:type="dxa"/>
            <w:vAlign w:val="bottom"/>
          </w:tcPr>
          <w:p>
            <w:pPr>
              <w:spacing w:after="0"/>
              <w:rPr>
                <w:sz w:val="13"/>
                <w:szCs w:val="13"/>
                <w:color w:val="auto"/>
              </w:rPr>
            </w:pPr>
          </w:p>
        </w:tc>
        <w:tc>
          <w:tcPr>
            <w:tcW w:w="3200" w:type="dxa"/>
            <w:vAlign w:val="bottom"/>
          </w:tcPr>
          <w:p>
            <w:pPr>
              <w:ind w:left="760"/>
              <w:spacing w:after="0"/>
              <w:rPr>
                <w:sz w:val="20"/>
                <w:szCs w:val="20"/>
                <w:color w:val="auto"/>
              </w:rPr>
            </w:pPr>
            <w:r>
              <w:rPr>
                <w:rFonts w:ascii="Arial" w:cs="Arial" w:eastAsia="Arial" w:hAnsi="Arial"/>
                <w:sz w:val="14"/>
                <w:szCs w:val="14"/>
                <w:color w:val="auto"/>
              </w:rPr>
              <w:t>absolute terms over the long term</w:t>
            </w:r>
          </w:p>
        </w:tc>
        <w:tc>
          <w:tcPr>
            <w:tcW w:w="2420" w:type="dxa"/>
            <w:vAlign w:val="bottom"/>
          </w:tcPr>
          <w:p>
            <w:pPr>
              <w:ind w:left="200"/>
              <w:spacing w:after="0"/>
              <w:rPr>
                <w:sz w:val="20"/>
                <w:szCs w:val="20"/>
                <w:color w:val="auto"/>
              </w:rPr>
            </w:pPr>
            <w:r>
              <w:rPr>
                <w:rFonts w:ascii="Arial" w:cs="Arial" w:eastAsia="Arial" w:hAnsi="Arial"/>
                <w:sz w:val="14"/>
                <w:szCs w:val="14"/>
                <w:color w:val="auto"/>
              </w:rPr>
              <w:t>no value; in periods of high</w:t>
            </w:r>
          </w:p>
        </w:tc>
        <w:tc>
          <w:tcPr>
            <w:tcW w:w="2240" w:type="dxa"/>
            <w:vAlign w:val="bottom"/>
          </w:tcPr>
          <w:p>
            <w:pPr>
              <w:ind w:left="60"/>
              <w:spacing w:after="0"/>
              <w:rPr>
                <w:sz w:val="20"/>
                <w:szCs w:val="20"/>
                <w:color w:val="auto"/>
              </w:rPr>
            </w:pPr>
            <w:r>
              <w:rPr>
                <w:rFonts w:ascii="Arial" w:cs="Arial" w:eastAsia="Arial" w:hAnsi="Arial"/>
                <w:sz w:val="14"/>
                <w:szCs w:val="14"/>
                <w:color w:val="auto"/>
              </w:rPr>
              <w:t>not vest depending upon</w:t>
            </w:r>
          </w:p>
        </w:tc>
      </w:tr>
      <w:tr>
        <w:trPr>
          <w:trHeight w:val="160"/>
        </w:trPr>
        <w:tc>
          <w:tcPr>
            <w:tcW w:w="30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420" w:type="dxa"/>
            <w:vAlign w:val="bottom"/>
          </w:tcPr>
          <w:p>
            <w:pPr>
              <w:ind w:left="200"/>
              <w:spacing w:after="0"/>
              <w:rPr>
                <w:sz w:val="20"/>
                <w:szCs w:val="20"/>
                <w:color w:val="auto"/>
              </w:rPr>
            </w:pPr>
            <w:r>
              <w:rPr>
                <w:rFonts w:ascii="Arial" w:cs="Arial" w:eastAsia="Arial" w:hAnsi="Arial"/>
                <w:sz w:val="14"/>
                <w:szCs w:val="14"/>
                <w:color w:val="auto"/>
              </w:rPr>
              <w:t>shareholder return, executives</w:t>
            </w:r>
          </w:p>
        </w:tc>
        <w:tc>
          <w:tcPr>
            <w:tcW w:w="2240" w:type="dxa"/>
            <w:vAlign w:val="bottom"/>
          </w:tcPr>
          <w:p>
            <w:pPr>
              <w:ind w:left="60"/>
              <w:spacing w:after="0"/>
              <w:rPr>
                <w:sz w:val="20"/>
                <w:szCs w:val="20"/>
                <w:color w:val="auto"/>
              </w:rPr>
            </w:pPr>
            <w:r>
              <w:rPr>
                <w:rFonts w:ascii="Arial" w:cs="Arial" w:eastAsia="Arial" w:hAnsi="Arial"/>
                <w:sz w:val="14"/>
                <w:szCs w:val="14"/>
                <w:color w:val="auto"/>
              </w:rPr>
              <w:t>shareholder return</w:t>
            </w:r>
          </w:p>
        </w:tc>
      </w:tr>
      <w:tr>
        <w:trPr>
          <w:trHeight w:val="176"/>
        </w:trPr>
        <w:tc>
          <w:tcPr>
            <w:tcW w:w="3020" w:type="dxa"/>
            <w:vAlign w:val="bottom"/>
            <w:tcBorders>
              <w:bottom w:val="single" w:sz="8" w:color="666666"/>
            </w:tcBorders>
          </w:tcPr>
          <w:p>
            <w:pPr>
              <w:spacing w:after="0"/>
              <w:rPr>
                <w:sz w:val="15"/>
                <w:szCs w:val="15"/>
                <w:color w:val="auto"/>
              </w:rPr>
            </w:pPr>
          </w:p>
        </w:tc>
        <w:tc>
          <w:tcPr>
            <w:tcW w:w="3200" w:type="dxa"/>
            <w:vAlign w:val="bottom"/>
            <w:tcBorders>
              <w:bottom w:val="single" w:sz="8" w:color="666666"/>
            </w:tcBorders>
          </w:tcPr>
          <w:p>
            <w:pPr>
              <w:spacing w:after="0"/>
              <w:rPr>
                <w:sz w:val="15"/>
                <w:szCs w:val="15"/>
                <w:color w:val="auto"/>
              </w:rPr>
            </w:pPr>
          </w:p>
        </w:tc>
        <w:tc>
          <w:tcPr>
            <w:tcW w:w="2420" w:type="dxa"/>
            <w:vAlign w:val="bottom"/>
            <w:tcBorders>
              <w:bottom w:val="single" w:sz="8" w:color="666666"/>
            </w:tcBorders>
          </w:tcPr>
          <w:p>
            <w:pPr>
              <w:ind w:left="200"/>
              <w:spacing w:after="0"/>
              <w:rPr>
                <w:sz w:val="20"/>
                <w:szCs w:val="20"/>
                <w:color w:val="auto"/>
              </w:rPr>
            </w:pPr>
            <w:r>
              <w:rPr>
                <w:rFonts w:ascii="Arial" w:cs="Arial" w:eastAsia="Arial" w:hAnsi="Arial"/>
                <w:sz w:val="14"/>
                <w:szCs w:val="14"/>
                <w:color w:val="auto"/>
              </w:rPr>
              <w:t>may realize substantial value</w:t>
            </w:r>
          </w:p>
        </w:tc>
        <w:tc>
          <w:tcPr>
            <w:tcW w:w="2240" w:type="dxa"/>
            <w:vAlign w:val="bottom"/>
            <w:tcBorders>
              <w:bottom w:val="single" w:sz="8" w:color="666666"/>
            </w:tcBorders>
          </w:tcPr>
          <w:p>
            <w:pPr>
              <w:spacing w:after="0"/>
              <w:rPr>
                <w:sz w:val="15"/>
                <w:szCs w:val="15"/>
                <w:color w:val="auto"/>
              </w:rPr>
            </w:pPr>
          </w:p>
        </w:tc>
      </w:tr>
    </w:tbl>
    <w:p>
      <w:pPr>
        <w:spacing w:after="0" w:line="39" w:lineRule="exact"/>
        <w:rPr>
          <w:sz w:val="20"/>
          <w:szCs w:val="20"/>
          <w:color w:val="auto"/>
        </w:rPr>
      </w:pPr>
    </w:p>
    <w:p>
      <w:pPr>
        <w:sectPr>
          <w:pgSz w:w="11900" w:h="16838" w:orient="portrait"/>
          <w:cols w:equalWidth="0" w:num="1">
            <w:col w:w="11180"/>
          </w:cols>
          <w:pgMar w:left="240" w:top="455" w:right="479" w:bottom="1440" w:gutter="0" w:footer="0" w:header="0"/>
        </w:sectPr>
      </w:pPr>
    </w:p>
    <w:p>
      <w:pPr>
        <w:ind w:left="340"/>
        <w:spacing w:after="0"/>
        <w:tabs>
          <w:tab w:leader="none" w:pos="4040" w:val="left"/>
        </w:tabs>
        <w:rPr>
          <w:sz w:val="20"/>
          <w:szCs w:val="20"/>
          <w:color w:val="auto"/>
        </w:rPr>
      </w:pPr>
      <w:r>
        <w:rPr>
          <w:rFonts w:ascii="Arial" w:cs="Arial" w:eastAsia="Arial" w:hAnsi="Arial"/>
          <w:sz w:val="14"/>
          <w:szCs w:val="14"/>
          <w:b w:val="1"/>
          <w:bCs w:val="1"/>
          <w:color w:val="C3002F"/>
        </w:rPr>
        <w:t>Restricted Share Units (RSUs)</w:t>
      </w:r>
      <w:r>
        <w:rPr>
          <w:sz w:val="20"/>
          <w:szCs w:val="20"/>
          <w:color w:val="auto"/>
        </w:rPr>
        <w:tab/>
      </w:r>
      <w:r>
        <w:rPr>
          <w:rFonts w:ascii="Arial" w:cs="Arial" w:eastAsia="Arial" w:hAnsi="Arial"/>
          <w:sz w:val="14"/>
          <w:szCs w:val="14"/>
          <w:color w:val="auto"/>
        </w:rPr>
        <w:t>Incentivizes management</w:t>
      </w:r>
    </w:p>
    <w:p>
      <w:pPr>
        <w:spacing w:after="0" w:line="16" w:lineRule="exact"/>
        <w:rPr>
          <w:sz w:val="20"/>
          <w:szCs w:val="20"/>
          <w:color w:val="auto"/>
        </w:rPr>
      </w:pPr>
    </w:p>
    <w:p>
      <w:pPr>
        <w:ind w:left="340"/>
        <w:spacing w:after="0"/>
        <w:tabs>
          <w:tab w:leader="none" w:pos="4040" w:val="left"/>
        </w:tabs>
        <w:rPr>
          <w:sz w:val="20"/>
          <w:szCs w:val="20"/>
          <w:color w:val="auto"/>
        </w:rPr>
      </w:pPr>
      <w:r>
        <w:rPr>
          <w:rFonts w:ascii="Arial" w:cs="Arial" w:eastAsia="Arial" w:hAnsi="Arial"/>
          <w:sz w:val="14"/>
          <w:szCs w:val="14"/>
          <w:b w:val="1"/>
          <w:bCs w:val="1"/>
          <w:color w:val="C3002F"/>
        </w:rPr>
        <w:t>Long-Term Equity Awards</w:t>
      </w:r>
      <w:r>
        <w:rPr>
          <w:sz w:val="20"/>
          <w:szCs w:val="20"/>
          <w:color w:val="auto"/>
        </w:rPr>
        <w:tab/>
      </w:r>
      <w:r>
        <w:rPr>
          <w:rFonts w:ascii="Arial" w:cs="Arial" w:eastAsia="Arial" w:hAnsi="Arial"/>
          <w:sz w:val="14"/>
          <w:szCs w:val="14"/>
          <w:color w:val="auto"/>
        </w:rPr>
        <w:t>contributions to long-term increases</w:t>
      </w:r>
    </w:p>
    <w:p>
      <w:pPr>
        <w:ind w:left="4060"/>
        <w:spacing w:after="0"/>
        <w:rPr>
          <w:sz w:val="20"/>
          <w:szCs w:val="20"/>
          <w:color w:val="auto"/>
        </w:rPr>
      </w:pPr>
      <w:r>
        <w:rPr>
          <w:rFonts w:ascii="Arial" w:cs="Arial" w:eastAsia="Arial" w:hAnsi="Arial"/>
          <w:sz w:val="14"/>
          <w:szCs w:val="14"/>
          <w:color w:val="auto"/>
        </w:rPr>
        <w:t>in shareholder value; helps to retain</w:t>
      </w:r>
    </w:p>
    <w:p>
      <w:pPr>
        <w:jc w:val="right"/>
        <w:spacing w:after="0"/>
        <w:rPr>
          <w:sz w:val="20"/>
          <w:szCs w:val="20"/>
          <w:color w:val="auto"/>
        </w:rPr>
      </w:pPr>
      <w:r>
        <w:rPr>
          <w:rFonts w:ascii="Arial" w:cs="Arial" w:eastAsia="Arial" w:hAnsi="Arial"/>
          <w:sz w:val="14"/>
          <w:szCs w:val="14"/>
          <w:color w:val="auto"/>
        </w:rPr>
        <w:t>executives in the competitive energy</w:t>
      </w:r>
    </w:p>
    <w:p>
      <w:pPr>
        <w:ind w:left="4060"/>
        <w:spacing w:after="0"/>
        <w:rPr>
          <w:sz w:val="20"/>
          <w:szCs w:val="20"/>
          <w:color w:val="auto"/>
        </w:rPr>
      </w:pPr>
      <w:r>
        <w:rPr>
          <w:rFonts w:ascii="Arial" w:cs="Arial" w:eastAsia="Arial" w:hAnsi="Arial"/>
          <w:sz w:val="14"/>
          <w:szCs w:val="14"/>
          <w:color w:val="auto"/>
        </w:rPr>
        <w:t>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114935</wp:posOffset>
            </wp:positionV>
            <wp:extent cx="69176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auto"/>
        <w:rPr>
          <w:sz w:val="20"/>
          <w:szCs w:val="20"/>
          <w:color w:val="auto"/>
        </w:rPr>
      </w:pPr>
      <w:r>
        <w:rPr>
          <w:rFonts w:ascii="Arial" w:cs="Arial" w:eastAsia="Arial" w:hAnsi="Arial"/>
          <w:sz w:val="14"/>
          <w:szCs w:val="14"/>
          <w:color w:val="auto"/>
        </w:rPr>
        <w:t>A portion of executive compensation is paid in equity, and value is realized based on future share price; provides a direct correlation of realized pay to changes in shareholder value</w:t>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Arial" w:cs="Arial" w:eastAsia="Arial" w:hAnsi="Arial"/>
          <w:sz w:val="14"/>
          <w:szCs w:val="14"/>
          <w:color w:val="auto"/>
        </w:rPr>
        <w:t>Yes, value increases or decreases in correlation to share price</w:t>
      </w:r>
    </w:p>
    <w:p>
      <w:pPr>
        <w:spacing w:after="0" w:line="830" w:lineRule="exact"/>
        <w:rPr>
          <w:sz w:val="20"/>
          <w:szCs w:val="20"/>
          <w:color w:val="auto"/>
        </w:rPr>
      </w:pPr>
    </w:p>
    <w:p>
      <w:pPr>
        <w:sectPr>
          <w:pgSz w:w="11900" w:h="16838" w:orient="portrait"/>
          <w:cols w:equalWidth="0" w:num="3">
            <w:col w:w="6360" w:space="340"/>
            <w:col w:w="2180" w:space="100"/>
            <w:col w:w="2200"/>
          </w:cols>
          <w:pgMar w:left="240" w:top="455" w:right="479" w:bottom="1440" w:gutter="0" w:footer="0" w:header="0"/>
          <w:type w:val="continuous"/>
        </w:sect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60"/>
        <w:spacing w:after="0" w:line="243" w:lineRule="auto"/>
        <w:rPr>
          <w:sz w:val="20"/>
          <w:szCs w:val="20"/>
          <w:color w:val="auto"/>
        </w:rPr>
      </w:pPr>
      <w:r>
        <w:rPr>
          <w:rFonts w:ascii="Arial" w:cs="Arial" w:eastAsia="Arial" w:hAnsi="Arial"/>
          <w:sz w:val="14"/>
          <w:szCs w:val="14"/>
          <w:color w:val="auto"/>
        </w:rPr>
        <w:t>No increases to base salaries were made in 2017 for any NEO, other than Mr. Mills, who received a market-based increase due to his critical skills and a desire for retention. Salaries for new officers, Messrs. McCollum and Blanchard, were set using market information, peer comparisons and their significant level of experience. In attracting these industry-leading executives to join Weatherford in a time of transition, the Compensation Committee worked with Meridian to focus on setting compensation in a manner to both be competitive and incentivize performance, and to be consistent with Weatherford’s overall philosophy and strategic objectives.</w:t>
      </w:r>
    </w:p>
    <w:p>
      <w:pPr>
        <w:spacing w:after="0" w:line="358"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LONG-TERM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40"/>
        <w:spacing w:after="0" w:line="242" w:lineRule="auto"/>
        <w:rPr>
          <w:sz w:val="20"/>
          <w:szCs w:val="20"/>
          <w:color w:val="auto"/>
        </w:rPr>
      </w:pPr>
      <w:r>
        <w:rPr>
          <w:rFonts w:ascii="Arial" w:cs="Arial" w:eastAsia="Arial" w:hAnsi="Arial"/>
          <w:sz w:val="14"/>
          <w:szCs w:val="14"/>
          <w:color w:val="auto"/>
        </w:rPr>
        <w:t>We structure our executive compensation program to align pay with performance. For example, the average of the closing share prices as of each trading day in December 2017 was $3.62. As this price did not exceed the performance goals under the terms of 2015, 2016 and 2017 performance awards for our executive officers, no shares were issued in settlement of the 1/3 tranche of PSUs awarded in 2015, 2016 and 2017 that were eligible to vest based on 2017 performance. As the Company has continued to be affected by the industry downturn, our current NEOs have not realized any value from PSUs awarded during any of their tenure as an NEO, illustrating the Compensation Committee’s rigorous focus on requiring improved performance. Please see additional information below, including, for 2017, the value of our current CEO’s PSU grant.</w:t>
      </w:r>
    </w:p>
    <w:p>
      <w:pPr>
        <w:spacing w:after="0" w:line="178" w:lineRule="exact"/>
        <w:rPr>
          <w:sz w:val="20"/>
          <w:szCs w:val="20"/>
          <w:color w:val="auto"/>
        </w:rPr>
      </w:pPr>
    </w:p>
    <w:tbl>
      <w:tblPr>
        <w:tblLayout w:type="fixed"/>
        <w:tblInd w:w="280" w:type="dxa"/>
        <w:tblCellMar>
          <w:top w:w="0" w:type="dxa"/>
          <w:left w:w="0" w:type="dxa"/>
          <w:bottom w:w="0" w:type="dxa"/>
          <w:right w:w="0" w:type="dxa"/>
        </w:tblCellMar>
      </w:tblPr>
      <w:tr>
        <w:trPr>
          <w:trHeight w:val="174"/>
        </w:trPr>
        <w:tc>
          <w:tcPr>
            <w:tcW w:w="5340" w:type="dxa"/>
            <w:vAlign w:val="bottom"/>
            <w:tcBorders>
              <w:bottom w:val="single" w:sz="8" w:color="auto"/>
              <w:right w:val="single" w:sz="8" w:color="auto"/>
            </w:tcBorders>
          </w:tcPr>
          <w:p>
            <w:pPr>
              <w:spacing w:after="0"/>
              <w:rPr>
                <w:sz w:val="15"/>
                <w:szCs w:val="15"/>
                <w:color w:val="auto"/>
              </w:rPr>
            </w:pPr>
          </w:p>
        </w:tc>
        <w:tc>
          <w:tcPr>
            <w:tcW w:w="1600" w:type="dxa"/>
            <w:vAlign w:val="bottom"/>
            <w:tcBorders>
              <w:top w:val="single" w:sz="8" w:color="auto"/>
              <w:bottom w:val="single" w:sz="8" w:color="auto"/>
              <w:right w:val="single" w:sz="8" w:color="auto"/>
            </w:tcBorders>
          </w:tcPr>
          <w:p>
            <w:pPr>
              <w:jc w:val="right"/>
              <w:ind w:right="69"/>
              <w:spacing w:after="0"/>
              <w:rPr>
                <w:sz w:val="20"/>
                <w:szCs w:val="20"/>
                <w:color w:val="auto"/>
              </w:rPr>
            </w:pPr>
            <w:r>
              <w:rPr>
                <w:rFonts w:ascii="Arial" w:cs="Arial" w:eastAsia="Arial" w:hAnsi="Arial"/>
                <w:sz w:val="14"/>
                <w:szCs w:val="14"/>
                <w:color w:val="auto"/>
              </w:rPr>
              <w:t>2013</w:t>
            </w:r>
          </w:p>
        </w:tc>
        <w:tc>
          <w:tcPr>
            <w:tcW w:w="1020" w:type="dxa"/>
            <w:vAlign w:val="bottom"/>
            <w:tcBorders>
              <w:top w:val="single" w:sz="8" w:color="auto"/>
              <w:bottom w:val="single" w:sz="8" w:color="auto"/>
              <w:right w:val="single" w:sz="8" w:color="auto"/>
            </w:tcBorders>
          </w:tcPr>
          <w:p>
            <w:pPr>
              <w:jc w:val="right"/>
              <w:ind w:right="89"/>
              <w:spacing w:after="0"/>
              <w:rPr>
                <w:sz w:val="20"/>
                <w:szCs w:val="20"/>
                <w:color w:val="auto"/>
              </w:rPr>
            </w:pPr>
            <w:r>
              <w:rPr>
                <w:rFonts w:ascii="Arial" w:cs="Arial" w:eastAsia="Arial" w:hAnsi="Arial"/>
                <w:sz w:val="14"/>
                <w:szCs w:val="14"/>
                <w:color w:val="auto"/>
              </w:rPr>
              <w:t>2014</w:t>
            </w:r>
          </w:p>
        </w:tc>
        <w:tc>
          <w:tcPr>
            <w:tcW w:w="980" w:type="dxa"/>
            <w:vAlign w:val="bottom"/>
            <w:tcBorders>
              <w:top w:val="single" w:sz="8" w:color="auto"/>
              <w:bottom w:val="single" w:sz="8" w:color="auto"/>
              <w:right w:val="single" w:sz="8" w:color="auto"/>
            </w:tcBorders>
          </w:tcPr>
          <w:p>
            <w:pPr>
              <w:jc w:val="right"/>
              <w:ind w:right="89"/>
              <w:spacing w:after="0"/>
              <w:rPr>
                <w:sz w:val="20"/>
                <w:szCs w:val="20"/>
                <w:color w:val="auto"/>
              </w:rPr>
            </w:pPr>
            <w:r>
              <w:rPr>
                <w:rFonts w:ascii="Arial" w:cs="Arial" w:eastAsia="Arial" w:hAnsi="Arial"/>
                <w:sz w:val="14"/>
                <w:szCs w:val="14"/>
                <w:color w:val="auto"/>
              </w:rPr>
              <w:t>2015</w:t>
            </w:r>
          </w:p>
        </w:tc>
        <w:tc>
          <w:tcPr>
            <w:tcW w:w="960" w:type="dxa"/>
            <w:vAlign w:val="bottom"/>
            <w:tcBorders>
              <w:top w:val="single" w:sz="8" w:color="auto"/>
              <w:bottom w:val="single" w:sz="8" w:color="auto"/>
              <w:right w:val="single" w:sz="8" w:color="auto"/>
            </w:tcBorders>
          </w:tcPr>
          <w:p>
            <w:pPr>
              <w:jc w:val="right"/>
              <w:ind w:right="49"/>
              <w:spacing w:after="0"/>
              <w:rPr>
                <w:sz w:val="20"/>
                <w:szCs w:val="20"/>
                <w:color w:val="auto"/>
              </w:rPr>
            </w:pPr>
            <w:r>
              <w:rPr>
                <w:rFonts w:ascii="Arial" w:cs="Arial" w:eastAsia="Arial" w:hAnsi="Arial"/>
                <w:sz w:val="14"/>
                <w:szCs w:val="14"/>
                <w:color w:val="auto"/>
              </w:rPr>
              <w:t>2016</w:t>
            </w:r>
          </w:p>
        </w:tc>
        <w:tc>
          <w:tcPr>
            <w:tcW w:w="1000" w:type="dxa"/>
            <w:vAlign w:val="bottom"/>
            <w:tcBorders>
              <w:top w:val="single" w:sz="8" w:color="auto"/>
              <w:bottom w:val="single" w:sz="8" w:color="auto"/>
              <w:right w:val="single" w:sz="8" w:color="auto"/>
            </w:tcBorders>
          </w:tcPr>
          <w:p>
            <w:pPr>
              <w:jc w:val="right"/>
              <w:ind w:right="4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28"/>
        </w:trPr>
        <w:tc>
          <w:tcPr>
            <w:tcW w:w="5340" w:type="dxa"/>
            <w:vAlign w:val="bottom"/>
            <w:tcBorders>
              <w:bottom w:val="single" w:sz="8" w:color="666666"/>
              <w:right w:val="single" w:sz="8" w:color="auto"/>
            </w:tcBorders>
          </w:tcPr>
          <w:p>
            <w:pPr>
              <w:ind w:left="60"/>
              <w:spacing w:after="0"/>
              <w:rPr>
                <w:sz w:val="20"/>
                <w:szCs w:val="20"/>
                <w:color w:val="auto"/>
              </w:rPr>
            </w:pPr>
            <w:r>
              <w:rPr>
                <w:rFonts w:ascii="Arial" w:cs="Arial" w:eastAsia="Arial" w:hAnsi="Arial"/>
                <w:sz w:val="14"/>
                <w:szCs w:val="14"/>
                <w:color w:val="auto"/>
              </w:rPr>
              <w:t>Reported value of CEO PSU grant</w:t>
            </w:r>
          </w:p>
        </w:tc>
        <w:tc>
          <w:tcPr>
            <w:tcW w:w="1600" w:type="dxa"/>
            <w:vAlign w:val="bottom"/>
            <w:tcBorders>
              <w:bottom w:val="single" w:sz="8" w:color="666666"/>
              <w:right w:val="single" w:sz="8" w:color="auto"/>
            </w:tcBorders>
          </w:tcPr>
          <w:p>
            <w:pPr>
              <w:jc w:val="right"/>
              <w:ind w:right="69"/>
              <w:spacing w:after="0"/>
              <w:rPr>
                <w:sz w:val="20"/>
                <w:szCs w:val="20"/>
                <w:color w:val="auto"/>
              </w:rPr>
            </w:pPr>
            <w:r>
              <w:rPr>
                <w:rFonts w:ascii="Arial" w:cs="Arial" w:eastAsia="Arial" w:hAnsi="Arial"/>
                <w:sz w:val="14"/>
                <w:szCs w:val="14"/>
                <w:color w:val="auto"/>
              </w:rPr>
              <w:t>$7,435,940</w:t>
            </w:r>
          </w:p>
        </w:tc>
        <w:tc>
          <w:tcPr>
            <w:tcW w:w="1020" w:type="dxa"/>
            <w:vAlign w:val="bottom"/>
            <w:tcBorders>
              <w:bottom w:val="single" w:sz="8" w:color="666666"/>
              <w:right w:val="single" w:sz="8" w:color="auto"/>
            </w:tcBorders>
          </w:tcPr>
          <w:p>
            <w:pPr>
              <w:jc w:val="right"/>
              <w:ind w:right="89"/>
              <w:spacing w:after="0"/>
              <w:rPr>
                <w:sz w:val="20"/>
                <w:szCs w:val="20"/>
                <w:color w:val="auto"/>
              </w:rPr>
            </w:pPr>
            <w:r>
              <w:rPr>
                <w:rFonts w:ascii="Arial" w:cs="Arial" w:eastAsia="Arial" w:hAnsi="Arial"/>
                <w:sz w:val="14"/>
                <w:szCs w:val="14"/>
                <w:color w:val="auto"/>
              </w:rPr>
              <w:t>$3,515,981</w:t>
            </w:r>
          </w:p>
        </w:tc>
        <w:tc>
          <w:tcPr>
            <w:tcW w:w="980" w:type="dxa"/>
            <w:vAlign w:val="bottom"/>
            <w:tcBorders>
              <w:bottom w:val="single" w:sz="8" w:color="666666"/>
              <w:right w:val="single" w:sz="8" w:color="auto"/>
            </w:tcBorders>
          </w:tcPr>
          <w:p>
            <w:pPr>
              <w:jc w:val="right"/>
              <w:ind w:right="89"/>
              <w:spacing w:after="0"/>
              <w:rPr>
                <w:sz w:val="20"/>
                <w:szCs w:val="20"/>
                <w:color w:val="auto"/>
              </w:rPr>
            </w:pPr>
            <w:r>
              <w:rPr>
                <w:rFonts w:ascii="Arial" w:cs="Arial" w:eastAsia="Arial" w:hAnsi="Arial"/>
                <w:sz w:val="14"/>
                <w:szCs w:val="14"/>
                <w:color w:val="auto"/>
              </w:rPr>
              <w:t>$5,313,564</w:t>
            </w:r>
          </w:p>
        </w:tc>
        <w:tc>
          <w:tcPr>
            <w:tcW w:w="960" w:type="dxa"/>
            <w:vAlign w:val="bottom"/>
            <w:tcBorders>
              <w:bottom w:val="single" w:sz="8" w:color="666666"/>
              <w:right w:val="single" w:sz="8" w:color="auto"/>
            </w:tcBorders>
          </w:tcPr>
          <w:p>
            <w:pPr>
              <w:jc w:val="right"/>
              <w:ind w:right="49"/>
              <w:spacing w:after="0"/>
              <w:rPr>
                <w:sz w:val="20"/>
                <w:szCs w:val="20"/>
                <w:color w:val="auto"/>
              </w:rPr>
            </w:pPr>
            <w:r>
              <w:rPr>
                <w:rFonts w:ascii="Arial" w:cs="Arial" w:eastAsia="Arial" w:hAnsi="Arial"/>
                <w:sz w:val="14"/>
                <w:szCs w:val="14"/>
                <w:color w:val="auto"/>
              </w:rPr>
              <w:t>$3,302,102</w:t>
            </w:r>
          </w:p>
        </w:tc>
        <w:tc>
          <w:tcPr>
            <w:tcW w:w="1000" w:type="dxa"/>
            <w:vAlign w:val="bottom"/>
            <w:tcBorders>
              <w:bottom w:val="single" w:sz="8" w:color="666666"/>
              <w:right w:val="single" w:sz="8" w:color="auto"/>
            </w:tcBorders>
          </w:tcPr>
          <w:p>
            <w:pPr>
              <w:jc w:val="right"/>
              <w:ind w:right="49"/>
              <w:spacing w:after="0"/>
              <w:rPr>
                <w:sz w:val="20"/>
                <w:szCs w:val="20"/>
                <w:color w:val="auto"/>
              </w:rPr>
            </w:pPr>
            <w:r>
              <w:rPr>
                <w:rFonts w:ascii="Arial" w:cs="Arial" w:eastAsia="Arial" w:hAnsi="Arial"/>
                <w:sz w:val="14"/>
                <w:szCs w:val="14"/>
                <w:color w:val="auto"/>
              </w:rPr>
              <w:t>$3,449,725</w:t>
            </w:r>
          </w:p>
        </w:tc>
        <w:tc>
          <w:tcPr>
            <w:tcW w:w="0" w:type="dxa"/>
            <w:vAlign w:val="bottom"/>
          </w:tcPr>
          <w:p>
            <w:pPr>
              <w:spacing w:after="0"/>
              <w:rPr>
                <w:sz w:val="1"/>
                <w:szCs w:val="1"/>
                <w:color w:val="auto"/>
              </w:rPr>
            </w:pPr>
          </w:p>
        </w:tc>
      </w:tr>
      <w:tr>
        <w:trPr>
          <w:trHeight w:val="217"/>
        </w:trPr>
        <w:tc>
          <w:tcPr>
            <w:tcW w:w="53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Summary of metrics</w:t>
            </w:r>
          </w:p>
        </w:tc>
        <w:tc>
          <w:tcPr>
            <w:tcW w:w="160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Stock price increase;</w:t>
            </w:r>
          </w:p>
        </w:tc>
        <w:tc>
          <w:tcPr>
            <w:tcW w:w="3960" w:type="dxa"/>
            <w:vAlign w:val="bottom"/>
            <w:tcBorders>
              <w:right w:val="single" w:sz="8" w:color="auto"/>
            </w:tcBorders>
            <w:gridSpan w:val="4"/>
            <w:vMerge w:val="restart"/>
          </w:tcPr>
          <w:p>
            <w:pPr>
              <w:jc w:val="right"/>
              <w:ind w:right="49"/>
              <w:spacing w:after="0"/>
              <w:rPr>
                <w:sz w:val="20"/>
                <w:szCs w:val="20"/>
                <w:color w:val="auto"/>
              </w:rPr>
            </w:pPr>
            <w:r>
              <w:rPr>
                <w:rFonts w:ascii="Arial" w:cs="Arial" w:eastAsia="Arial" w:hAnsi="Arial"/>
                <w:sz w:val="14"/>
                <w:szCs w:val="14"/>
                <w:color w:val="auto"/>
              </w:rPr>
              <w:t>Stock price increase; measured each year for 3-years</w:t>
            </w:r>
          </w:p>
        </w:tc>
        <w:tc>
          <w:tcPr>
            <w:tcW w:w="0" w:type="dxa"/>
            <w:vAlign w:val="bottom"/>
          </w:tcPr>
          <w:p>
            <w:pPr>
              <w:spacing w:after="0"/>
              <w:rPr>
                <w:sz w:val="1"/>
                <w:szCs w:val="1"/>
                <w:color w:val="auto"/>
              </w:rPr>
            </w:pPr>
          </w:p>
        </w:tc>
      </w:tr>
      <w:tr>
        <w:trPr>
          <w:trHeight w:val="104"/>
        </w:trPr>
        <w:tc>
          <w:tcPr>
            <w:tcW w:w="53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3-year cliff</w:t>
            </w:r>
          </w:p>
        </w:tc>
        <w:tc>
          <w:tcPr>
            <w:tcW w:w="3960" w:type="dxa"/>
            <w:vAlign w:val="bottom"/>
            <w:tcBorders>
              <w:right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5340" w:type="dxa"/>
            <w:vAlign w:val="bottom"/>
            <w:tcBorders>
              <w:bottom w:val="single" w:sz="8" w:color="666666"/>
              <w:right w:val="single" w:sz="8" w:color="auto"/>
            </w:tcBorders>
          </w:tcPr>
          <w:p>
            <w:pPr>
              <w:spacing w:after="0"/>
              <w:rPr>
                <w:sz w:val="6"/>
                <w:szCs w:val="6"/>
                <w:color w:val="auto"/>
              </w:rPr>
            </w:pPr>
          </w:p>
        </w:tc>
        <w:tc>
          <w:tcPr>
            <w:tcW w:w="1600" w:type="dxa"/>
            <w:vAlign w:val="bottom"/>
            <w:tcBorders>
              <w:bottom w:val="single" w:sz="8" w:color="666666"/>
              <w:right w:val="single" w:sz="8" w:color="auto"/>
            </w:tcBorders>
            <w:vMerge w:val="continue"/>
          </w:tcPr>
          <w:p>
            <w:pPr>
              <w:spacing w:after="0"/>
              <w:rPr>
                <w:sz w:val="6"/>
                <w:szCs w:val="6"/>
                <w:color w:val="auto"/>
              </w:rPr>
            </w:pPr>
          </w:p>
        </w:tc>
        <w:tc>
          <w:tcPr>
            <w:tcW w:w="1020" w:type="dxa"/>
            <w:vAlign w:val="bottom"/>
            <w:tcBorders>
              <w:bottom w:val="single" w:sz="8" w:color="666666"/>
            </w:tcBorders>
          </w:tcPr>
          <w:p>
            <w:pPr>
              <w:spacing w:after="0"/>
              <w:rPr>
                <w:sz w:val="6"/>
                <w:szCs w:val="6"/>
                <w:color w:val="auto"/>
              </w:rPr>
            </w:pPr>
          </w:p>
        </w:tc>
        <w:tc>
          <w:tcPr>
            <w:tcW w:w="980" w:type="dxa"/>
            <w:vAlign w:val="bottom"/>
            <w:tcBorders>
              <w:bottom w:val="single" w:sz="8" w:color="666666"/>
            </w:tcBorders>
          </w:tcPr>
          <w:p>
            <w:pPr>
              <w:spacing w:after="0"/>
              <w:rPr>
                <w:sz w:val="6"/>
                <w:szCs w:val="6"/>
                <w:color w:val="auto"/>
              </w:rPr>
            </w:pPr>
          </w:p>
        </w:tc>
        <w:tc>
          <w:tcPr>
            <w:tcW w:w="960" w:type="dxa"/>
            <w:vAlign w:val="bottom"/>
            <w:tcBorders>
              <w:bottom w:val="single" w:sz="8" w:color="666666"/>
            </w:tcBorders>
          </w:tcPr>
          <w:p>
            <w:pPr>
              <w:spacing w:after="0"/>
              <w:rPr>
                <w:sz w:val="6"/>
                <w:szCs w:val="6"/>
                <w:color w:val="auto"/>
              </w:rPr>
            </w:pPr>
          </w:p>
        </w:tc>
        <w:tc>
          <w:tcPr>
            <w:tcW w:w="1000" w:type="dxa"/>
            <w:vAlign w:val="bottom"/>
            <w:tcBorders>
              <w:bottom w:val="single" w:sz="8" w:color="666666"/>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5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Realized Value of PSUs to date</w:t>
            </w:r>
          </w:p>
        </w:tc>
        <w:tc>
          <w:tcPr>
            <w:tcW w:w="1600" w:type="dxa"/>
            <w:vAlign w:val="bottom"/>
            <w:tcBorders>
              <w:bottom w:val="single" w:sz="8" w:color="auto"/>
              <w:right w:val="single" w:sz="8" w:color="auto"/>
            </w:tcBorders>
          </w:tcPr>
          <w:p>
            <w:pPr>
              <w:jc w:val="right"/>
              <w:ind w:right="69"/>
              <w:spacing w:after="0"/>
              <w:rPr>
                <w:sz w:val="20"/>
                <w:szCs w:val="20"/>
                <w:color w:val="auto"/>
              </w:rPr>
            </w:pPr>
            <w:r>
              <w:rPr>
                <w:rFonts w:ascii="Arial" w:cs="Arial" w:eastAsia="Arial" w:hAnsi="Arial"/>
                <w:sz w:val="14"/>
                <w:szCs w:val="14"/>
                <w:color w:val="C3002F"/>
              </w:rPr>
              <w:t>$0</w:t>
            </w:r>
          </w:p>
        </w:tc>
        <w:tc>
          <w:tcPr>
            <w:tcW w:w="1020" w:type="dxa"/>
            <w:vAlign w:val="bottom"/>
            <w:tcBorders>
              <w:bottom w:val="single" w:sz="8" w:color="auto"/>
              <w:right w:val="single" w:sz="8" w:color="auto"/>
            </w:tcBorders>
          </w:tcPr>
          <w:p>
            <w:pPr>
              <w:jc w:val="right"/>
              <w:ind w:right="89"/>
              <w:spacing w:after="0"/>
              <w:rPr>
                <w:sz w:val="20"/>
                <w:szCs w:val="20"/>
                <w:color w:val="auto"/>
              </w:rPr>
            </w:pPr>
            <w:r>
              <w:rPr>
                <w:rFonts w:ascii="Arial" w:cs="Arial" w:eastAsia="Arial" w:hAnsi="Arial"/>
                <w:sz w:val="14"/>
                <w:szCs w:val="14"/>
                <w:color w:val="C3002F"/>
              </w:rPr>
              <w:t>$0</w:t>
            </w:r>
          </w:p>
        </w:tc>
        <w:tc>
          <w:tcPr>
            <w:tcW w:w="980" w:type="dxa"/>
            <w:vAlign w:val="bottom"/>
            <w:tcBorders>
              <w:bottom w:val="single" w:sz="8" w:color="auto"/>
              <w:right w:val="single" w:sz="8" w:color="auto"/>
            </w:tcBorders>
          </w:tcPr>
          <w:p>
            <w:pPr>
              <w:jc w:val="right"/>
              <w:ind w:right="89"/>
              <w:spacing w:after="0"/>
              <w:rPr>
                <w:sz w:val="20"/>
                <w:szCs w:val="20"/>
                <w:color w:val="auto"/>
              </w:rPr>
            </w:pPr>
            <w:r>
              <w:rPr>
                <w:rFonts w:ascii="Arial" w:cs="Arial" w:eastAsia="Arial" w:hAnsi="Arial"/>
                <w:sz w:val="14"/>
                <w:szCs w:val="14"/>
                <w:color w:val="C3002F"/>
              </w:rPr>
              <w:t>$0</w:t>
            </w:r>
          </w:p>
        </w:tc>
        <w:tc>
          <w:tcPr>
            <w:tcW w:w="960" w:type="dxa"/>
            <w:vAlign w:val="bottom"/>
            <w:tcBorders>
              <w:bottom w:val="single" w:sz="8" w:color="auto"/>
              <w:right w:val="single" w:sz="8" w:color="auto"/>
            </w:tcBorders>
          </w:tcPr>
          <w:p>
            <w:pPr>
              <w:jc w:val="right"/>
              <w:ind w:right="49"/>
              <w:spacing w:after="0"/>
              <w:rPr>
                <w:sz w:val="20"/>
                <w:szCs w:val="20"/>
                <w:color w:val="auto"/>
              </w:rPr>
            </w:pPr>
            <w:r>
              <w:rPr>
                <w:rFonts w:ascii="Arial" w:cs="Arial" w:eastAsia="Arial" w:hAnsi="Arial"/>
                <w:sz w:val="14"/>
                <w:szCs w:val="14"/>
                <w:color w:val="C3002F"/>
              </w:rPr>
              <w:t>$0</w:t>
            </w:r>
          </w:p>
        </w:tc>
        <w:tc>
          <w:tcPr>
            <w:tcW w:w="1000" w:type="dxa"/>
            <w:vAlign w:val="bottom"/>
            <w:tcBorders>
              <w:bottom w:val="single" w:sz="8" w:color="auto"/>
              <w:right w:val="single" w:sz="8" w:color="auto"/>
            </w:tcBorders>
          </w:tcPr>
          <w:p>
            <w:pPr>
              <w:jc w:val="right"/>
              <w:ind w:right="49"/>
              <w:spacing w:after="0"/>
              <w:rPr>
                <w:sz w:val="20"/>
                <w:szCs w:val="20"/>
                <w:color w:val="auto"/>
              </w:rPr>
            </w:pPr>
            <w:r>
              <w:rPr>
                <w:rFonts w:ascii="Arial" w:cs="Arial" w:eastAsia="Arial" w:hAnsi="Arial"/>
                <w:sz w:val="14"/>
                <w:szCs w:val="14"/>
                <w:color w:val="C3002F"/>
              </w:rPr>
              <w:t>$0</w:t>
            </w:r>
          </w:p>
        </w:tc>
        <w:tc>
          <w:tcPr>
            <w:tcW w:w="0" w:type="dxa"/>
            <w:vAlign w:val="bottom"/>
          </w:tcPr>
          <w:p>
            <w:pPr>
              <w:spacing w:after="0"/>
              <w:rPr>
                <w:sz w:val="1"/>
                <w:szCs w:val="1"/>
                <w:color w:val="auto"/>
              </w:rPr>
            </w:pPr>
          </w:p>
        </w:tc>
      </w:tr>
    </w:tbl>
    <w:p>
      <w:pPr>
        <w:spacing w:after="0" w:line="374"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ANNUAL CASH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300"/>
        <w:spacing w:after="0" w:line="246" w:lineRule="auto"/>
        <w:rPr>
          <w:sz w:val="20"/>
          <w:szCs w:val="20"/>
          <w:color w:val="auto"/>
        </w:rPr>
      </w:pPr>
      <w:r>
        <w:rPr>
          <w:rFonts w:ascii="Arial" w:cs="Arial" w:eastAsia="Arial" w:hAnsi="Arial"/>
          <w:sz w:val="14"/>
          <w:szCs w:val="14"/>
          <w:color w:val="auto"/>
        </w:rPr>
        <w:t>For 2017, the Committee evaluated the Company’s ongoing performance and adopted metrics that were designed to reflect the Company’s goals and focus on the key strategies and objectives. These metrics were used for the purposes of determining our NEO’s non-equity (cash) incentive awards. Performance related to these goals is summarized and highlighted below and further described and explained on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89535</wp:posOffset>
            </wp:positionV>
            <wp:extent cx="69176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ectPr>
          <w:pgSz w:w="11900" w:h="16838" w:orient="portrait"/>
          <w:cols w:equalWidth="0" w:num="1">
            <w:col w:w="11180"/>
          </w:cols>
          <w:pgMar w:left="240" w:top="455" w:right="47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620" w:hanging="353"/>
        <w:spacing w:after="0"/>
        <w:tabs>
          <w:tab w:leader="none" w:pos="620" w:val="left"/>
        </w:tabs>
        <w:numPr>
          <w:ilvl w:val="0"/>
          <w:numId w:val="61"/>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2018 Proxy Statement</w:t>
      </w:r>
    </w:p>
    <w:p>
      <w:pPr>
        <w:sectPr>
          <w:pgSz w:w="11900" w:h="16838" w:orient="portrait"/>
          <w:cols w:equalWidth="0" w:num="1">
            <w:col w:w="11180"/>
          </w:cols>
          <w:pgMar w:left="240" w:top="455" w:right="47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0" w:lineRule="exact"/>
        <w:rPr>
          <w:sz w:val="20"/>
          <w:szCs w:val="20"/>
          <w:color w:val="auto"/>
        </w:rPr>
      </w:pPr>
    </w:p>
    <w:p>
      <w:pPr>
        <w:spacing w:after="0" w:line="333"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OUR 2017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3" w:lineRule="exact"/>
        <w:rPr>
          <w:sz w:val="20"/>
          <w:szCs w:val="20"/>
          <w:color w:val="auto"/>
        </w:rPr>
      </w:pPr>
    </w:p>
    <w:tbl>
      <w:tblPr>
        <w:tblLayout w:type="fixed"/>
        <w:tblInd w:w="290" w:type="dxa"/>
        <w:tblCellMar>
          <w:top w:w="0" w:type="dxa"/>
          <w:left w:w="0" w:type="dxa"/>
          <w:bottom w:w="0" w:type="dxa"/>
          <w:right w:w="0" w:type="dxa"/>
        </w:tblCellMar>
      </w:tblPr>
      <w:tr>
        <w:trPr>
          <w:trHeight w:val="200"/>
        </w:trPr>
        <w:tc>
          <w:tcPr>
            <w:tcW w:w="1640" w:type="dxa"/>
            <w:vAlign w:val="bottom"/>
            <w:tcBorders>
              <w:top w:val="single" w:sz="8" w:color="auto"/>
              <w:left w:val="single" w:sz="8" w:color="auto"/>
              <w:right w:val="single" w:sz="8" w:color="auto"/>
            </w:tcBorders>
          </w:tcPr>
          <w:p>
            <w:pPr>
              <w:jc w:val="center"/>
              <w:ind w:left="49"/>
              <w:spacing w:after="0"/>
              <w:rPr>
                <w:sz w:val="20"/>
                <w:szCs w:val="20"/>
                <w:color w:val="auto"/>
              </w:rPr>
            </w:pPr>
            <w:r>
              <w:rPr>
                <w:rFonts w:ascii="Arial" w:cs="Arial" w:eastAsia="Arial" w:hAnsi="Arial"/>
                <w:sz w:val="14"/>
                <w:szCs w:val="14"/>
                <w:color w:val="666666"/>
              </w:rPr>
              <w:t>$5.7 BILLION</w:t>
            </w:r>
          </w:p>
        </w:tc>
        <w:tc>
          <w:tcPr>
            <w:tcW w:w="100" w:type="dxa"/>
            <w:vAlign w:val="bottom"/>
            <w:tcBorders>
              <w:right w:val="single" w:sz="8" w:color="auto"/>
            </w:tcBorders>
          </w:tcPr>
          <w:p>
            <w:pPr>
              <w:spacing w:after="0"/>
              <w:rPr>
                <w:sz w:val="17"/>
                <w:szCs w:val="17"/>
                <w:color w:val="auto"/>
              </w:rPr>
            </w:pPr>
          </w:p>
        </w:tc>
        <w:tc>
          <w:tcPr>
            <w:tcW w:w="1420" w:type="dxa"/>
            <w:vAlign w:val="bottom"/>
            <w:tcBorders>
              <w:top w:val="single" w:sz="8" w:color="auto"/>
              <w:right w:val="single" w:sz="8" w:color="auto"/>
            </w:tcBorders>
          </w:tcPr>
          <w:p>
            <w:pPr>
              <w:jc w:val="center"/>
              <w:ind w:left="9"/>
              <w:spacing w:after="0"/>
              <w:rPr>
                <w:sz w:val="20"/>
                <w:szCs w:val="20"/>
                <w:color w:val="auto"/>
              </w:rPr>
            </w:pPr>
            <w:r>
              <w:rPr>
                <w:rFonts w:ascii="Arial" w:cs="Arial" w:eastAsia="Arial" w:hAnsi="Arial"/>
                <w:sz w:val="14"/>
                <w:szCs w:val="14"/>
                <w:color w:val="666666"/>
              </w:rPr>
              <w:t>$413 MILLION</w:t>
            </w:r>
          </w:p>
        </w:tc>
        <w:tc>
          <w:tcPr>
            <w:tcW w:w="120" w:type="dxa"/>
            <w:vAlign w:val="bottom"/>
            <w:tcBorders>
              <w:right w:val="single" w:sz="8" w:color="auto"/>
            </w:tcBorders>
          </w:tcPr>
          <w:p>
            <w:pPr>
              <w:spacing w:after="0"/>
              <w:rPr>
                <w:sz w:val="17"/>
                <w:szCs w:val="17"/>
                <w:color w:val="auto"/>
              </w:rPr>
            </w:pP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666666"/>
                <w:w w:val="98"/>
              </w:rPr>
              <w:t>NEGATIVE</w:t>
            </w:r>
          </w:p>
        </w:tc>
        <w:tc>
          <w:tcPr>
            <w:tcW w:w="120" w:type="dxa"/>
            <w:vAlign w:val="bottom"/>
            <w:tcBorders>
              <w:right w:val="single" w:sz="8" w:color="auto"/>
            </w:tcBorders>
          </w:tcPr>
          <w:p>
            <w:pPr>
              <w:spacing w:after="0"/>
              <w:rPr>
                <w:sz w:val="17"/>
                <w:szCs w:val="17"/>
                <w:color w:val="auto"/>
              </w:rPr>
            </w:pPr>
          </w:p>
        </w:tc>
        <w:tc>
          <w:tcPr>
            <w:tcW w:w="1400" w:type="dxa"/>
            <w:vAlign w:val="bottom"/>
            <w:tcBorders>
              <w:top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C3002F"/>
              </w:rPr>
              <w:t>SUPPORT</w:t>
            </w:r>
          </w:p>
        </w:tc>
        <w:tc>
          <w:tcPr>
            <w:tcW w:w="120" w:type="dxa"/>
            <w:vAlign w:val="bottom"/>
            <w:tcBorders>
              <w:right w:val="single" w:sz="8" w:color="auto"/>
            </w:tcBorders>
          </w:tcPr>
          <w:p>
            <w:pPr>
              <w:spacing w:after="0"/>
              <w:rPr>
                <w:sz w:val="17"/>
                <w:szCs w:val="17"/>
                <w:color w:val="auto"/>
              </w:rPr>
            </w:pP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C3002F"/>
              </w:rPr>
              <w:t>QUALITY</w:t>
            </w:r>
          </w:p>
        </w:tc>
        <w:tc>
          <w:tcPr>
            <w:tcW w:w="100" w:type="dxa"/>
            <w:vAlign w:val="bottom"/>
            <w:tcBorders>
              <w:right w:val="single" w:sz="8" w:color="auto"/>
            </w:tcBorders>
          </w:tcPr>
          <w:p>
            <w:pPr>
              <w:spacing w:after="0"/>
              <w:rPr>
                <w:sz w:val="17"/>
                <w:szCs w:val="17"/>
                <w:color w:val="auto"/>
              </w:rPr>
            </w:pPr>
          </w:p>
        </w:tc>
        <w:tc>
          <w:tcPr>
            <w:tcW w:w="1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C3002F"/>
              </w:rPr>
              <w:t>SAFETY</w:t>
            </w:r>
          </w:p>
        </w:tc>
        <w:tc>
          <w:tcPr>
            <w:tcW w:w="100" w:type="dxa"/>
            <w:vAlign w:val="bottom"/>
            <w:tcBorders>
              <w:right w:val="single" w:sz="8" w:color="auto"/>
            </w:tcBorders>
          </w:tcPr>
          <w:p>
            <w:pPr>
              <w:spacing w:after="0"/>
              <w:rPr>
                <w:sz w:val="17"/>
                <w:szCs w:val="17"/>
                <w:color w:val="auto"/>
              </w:rPr>
            </w:pPr>
          </w:p>
        </w:tc>
        <w:tc>
          <w:tcPr>
            <w:tcW w:w="1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666666"/>
              </w:rPr>
              <w:t>INDIVIDUAL</w:t>
            </w:r>
          </w:p>
        </w:tc>
        <w:tc>
          <w:tcPr>
            <w:tcW w:w="0" w:type="dxa"/>
            <w:vAlign w:val="bottom"/>
          </w:tcPr>
          <w:p>
            <w:pPr>
              <w:spacing w:after="0"/>
              <w:rPr>
                <w:sz w:val="1"/>
                <w:szCs w:val="1"/>
                <w:color w:val="auto"/>
              </w:rPr>
            </w:pPr>
          </w:p>
        </w:tc>
      </w:tr>
      <w:tr>
        <w:trPr>
          <w:trHeight w:val="160"/>
        </w:trPr>
        <w:tc>
          <w:tcPr>
            <w:tcW w:w="1640" w:type="dxa"/>
            <w:vAlign w:val="bottom"/>
            <w:tcBorders>
              <w:left w:val="single" w:sz="8" w:color="auto"/>
              <w:right w:val="single" w:sz="8" w:color="auto"/>
            </w:tcBorders>
          </w:tcPr>
          <w:p>
            <w:pPr>
              <w:jc w:val="center"/>
              <w:ind w:left="49"/>
              <w:spacing w:after="0"/>
              <w:rPr>
                <w:sz w:val="20"/>
                <w:szCs w:val="20"/>
                <w:color w:val="auto"/>
              </w:rPr>
            </w:pPr>
            <w:r>
              <w:rPr>
                <w:rFonts w:ascii="Arial" w:cs="Arial" w:eastAsia="Arial" w:hAnsi="Arial"/>
                <w:sz w:val="14"/>
                <w:szCs w:val="14"/>
                <w:b w:val="1"/>
                <w:bCs w:val="1"/>
                <w:color w:val="C3002F"/>
              </w:rPr>
              <w:t>REVENUE</w:t>
            </w:r>
          </w:p>
        </w:tc>
        <w:tc>
          <w:tcPr>
            <w:tcW w:w="10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b w:val="1"/>
                <w:bCs w:val="1"/>
                <w:color w:val="C3002F"/>
              </w:rPr>
              <w:t>EBITDA</w:t>
            </w:r>
          </w:p>
        </w:tc>
        <w:tc>
          <w:tcPr>
            <w:tcW w:w="12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C3002F"/>
              </w:rPr>
              <w:t>FREE</w:t>
            </w:r>
          </w:p>
        </w:tc>
        <w:tc>
          <w:tcPr>
            <w:tcW w:w="12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b w:val="1"/>
                <w:bCs w:val="1"/>
                <w:color w:val="C3002F"/>
              </w:rPr>
              <w:t>RATIO</w:t>
            </w:r>
          </w:p>
        </w:tc>
        <w:tc>
          <w:tcPr>
            <w:tcW w:w="12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666666"/>
              </w:rPr>
              <w:t>NONPRODUCTIVE</w:t>
            </w:r>
          </w:p>
        </w:tc>
        <w:tc>
          <w:tcPr>
            <w:tcW w:w="10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666666"/>
              </w:rPr>
              <w:t>TRIR / VPR</w:t>
            </w:r>
          </w:p>
        </w:tc>
        <w:tc>
          <w:tcPr>
            <w:tcW w:w="10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C3002F"/>
              </w:rPr>
              <w:t>QUALITY</w:t>
            </w:r>
          </w:p>
        </w:tc>
        <w:tc>
          <w:tcPr>
            <w:tcW w:w="0" w:type="dxa"/>
            <w:vAlign w:val="bottom"/>
          </w:tcPr>
          <w:p>
            <w:pPr>
              <w:spacing w:after="0"/>
              <w:rPr>
                <w:sz w:val="1"/>
                <w:szCs w:val="1"/>
                <w:color w:val="auto"/>
              </w:rPr>
            </w:pPr>
          </w:p>
        </w:tc>
      </w:tr>
      <w:tr>
        <w:trPr>
          <w:trHeight w:val="160"/>
        </w:trPr>
        <w:tc>
          <w:tcPr>
            <w:tcW w:w="1640" w:type="dxa"/>
            <w:vAlign w:val="bottom"/>
            <w:tcBorders>
              <w:left w:val="single" w:sz="8" w:color="auto"/>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b w:val="1"/>
                <w:bCs w:val="1"/>
                <w:color w:val="C3002F"/>
              </w:rPr>
              <w:t>CASH</w:t>
            </w:r>
          </w:p>
        </w:tc>
        <w:tc>
          <w:tcPr>
            <w:tcW w:w="12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666666"/>
              </w:rPr>
              <w:t>REDUCED</w:t>
            </w:r>
          </w:p>
        </w:tc>
        <w:tc>
          <w:tcPr>
            <w:tcW w:w="12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666666"/>
              </w:rPr>
              <w:t>TIME REDUCED</w:t>
            </w:r>
          </w:p>
        </w:tc>
        <w:tc>
          <w:tcPr>
            <w:tcW w:w="10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64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C3002F"/>
              </w:rPr>
              <w:t>FLOW</w:t>
            </w:r>
          </w:p>
        </w:tc>
        <w:tc>
          <w:tcPr>
            <w:tcW w:w="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color w:val="666666"/>
              </w:rPr>
              <w:t>TO 30%</w:t>
            </w:r>
          </w:p>
        </w:tc>
        <w:tc>
          <w:tcPr>
            <w:tcW w:w="12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666666"/>
              </w:rPr>
              <w:t>23% YOY</w:t>
            </w:r>
          </w:p>
        </w:tc>
        <w:tc>
          <w:tcPr>
            <w:tcW w:w="10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640" w:type="dxa"/>
            <w:vAlign w:val="bottom"/>
            <w:tcBorders>
              <w:left w:val="single" w:sz="8" w:color="auto"/>
              <w:righ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1640" w:type="dxa"/>
            <w:vAlign w:val="bottom"/>
            <w:tcBorders>
              <w:left w:val="single" w:sz="8" w:color="auto"/>
              <w:right w:val="single" w:sz="8" w:color="auto"/>
            </w:tcBorders>
            <w:shd w:val="clear" w:color="auto" w:fill="D8D8D8"/>
          </w:tcPr>
          <w:p>
            <w:pPr>
              <w:jc w:val="center"/>
              <w:ind w:left="49"/>
              <w:spacing w:after="0"/>
              <w:rPr>
                <w:sz w:val="20"/>
                <w:szCs w:val="20"/>
                <w:color w:val="auto"/>
              </w:rPr>
            </w:pPr>
            <w:r>
              <w:rPr>
                <w:rFonts w:ascii="Arial" w:cs="Arial" w:eastAsia="Arial" w:hAnsi="Arial"/>
                <w:sz w:val="14"/>
                <w:szCs w:val="14"/>
                <w:b w:val="1"/>
                <w:bCs w:val="1"/>
                <w:color w:val="auto"/>
              </w:rPr>
              <w:t>ABOVE</w:t>
            </w:r>
          </w:p>
        </w:tc>
        <w:tc>
          <w:tcPr>
            <w:tcW w:w="10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shd w:val="clear" w:color="auto" w:fill="D8D8D8"/>
          </w:tcPr>
          <w:p>
            <w:pPr>
              <w:jc w:val="center"/>
              <w:ind w:left="9"/>
              <w:spacing w:after="0"/>
              <w:rPr>
                <w:sz w:val="20"/>
                <w:szCs w:val="20"/>
                <w:color w:val="auto"/>
              </w:rPr>
            </w:pPr>
            <w:r>
              <w:rPr>
                <w:rFonts w:ascii="Arial" w:cs="Arial" w:eastAsia="Arial" w:hAnsi="Arial"/>
                <w:sz w:val="14"/>
                <w:szCs w:val="14"/>
                <w:color w:val="auto"/>
                <w:w w:val="98"/>
              </w:rPr>
              <w:t>BELOW</w:t>
            </w:r>
          </w:p>
        </w:tc>
        <w:tc>
          <w:tcPr>
            <w:tcW w:w="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8"/>
              </w:rPr>
              <w:t>BELOW</w:t>
            </w:r>
          </w:p>
        </w:tc>
        <w:tc>
          <w:tcPr>
            <w:tcW w:w="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b w:val="1"/>
                <w:bCs w:val="1"/>
                <w:color w:val="auto"/>
              </w:rPr>
              <w:t>SUPERIOR</w:t>
            </w:r>
          </w:p>
        </w:tc>
        <w:tc>
          <w:tcPr>
            <w:tcW w:w="12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b w:val="1"/>
                <w:bCs w:val="1"/>
                <w:color w:val="auto"/>
              </w:rPr>
              <w:t>ABOVE TARGET</w:t>
            </w:r>
          </w:p>
        </w:tc>
        <w:tc>
          <w:tcPr>
            <w:tcW w:w="10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BELOW</w:t>
            </w:r>
          </w:p>
        </w:tc>
        <w:tc>
          <w:tcPr>
            <w:tcW w:w="10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rPr>
              <w:t>THRESHOLD</w:t>
            </w:r>
          </w:p>
        </w:tc>
        <w:tc>
          <w:tcPr>
            <w:tcW w:w="0" w:type="dxa"/>
            <w:vAlign w:val="bottom"/>
          </w:tcPr>
          <w:p>
            <w:pPr>
              <w:spacing w:after="0"/>
              <w:rPr>
                <w:sz w:val="1"/>
                <w:szCs w:val="1"/>
                <w:color w:val="auto"/>
              </w:rPr>
            </w:pPr>
          </w:p>
        </w:tc>
      </w:tr>
      <w:tr>
        <w:trPr>
          <w:trHeight w:val="93"/>
        </w:trPr>
        <w:tc>
          <w:tcPr>
            <w:tcW w:w="1640" w:type="dxa"/>
            <w:vAlign w:val="bottom"/>
            <w:tcBorders>
              <w:left w:val="single" w:sz="8" w:color="auto"/>
              <w:right w:val="single" w:sz="8" w:color="auto"/>
            </w:tcBorders>
            <w:vMerge w:val="restart"/>
            <w:shd w:val="clear" w:color="auto" w:fill="D8D8D8"/>
          </w:tcPr>
          <w:p>
            <w:pPr>
              <w:jc w:val="center"/>
              <w:ind w:left="49"/>
              <w:spacing w:after="0"/>
              <w:rPr>
                <w:sz w:val="20"/>
                <w:szCs w:val="20"/>
                <w:color w:val="auto"/>
              </w:rPr>
            </w:pPr>
            <w:r>
              <w:rPr>
                <w:rFonts w:ascii="Arial" w:cs="Arial" w:eastAsia="Arial" w:hAnsi="Arial"/>
                <w:sz w:val="14"/>
                <w:szCs w:val="14"/>
                <w:b w:val="1"/>
                <w:bCs w:val="1"/>
                <w:color w:val="auto"/>
              </w:rPr>
              <w:t>THRESHOLD</w:t>
            </w:r>
          </w:p>
        </w:tc>
        <w:tc>
          <w:tcPr>
            <w:tcW w:w="100" w:type="dxa"/>
            <w:vAlign w:val="bottom"/>
            <w:tcBorders>
              <w:right w:val="single" w:sz="8" w:color="auto"/>
            </w:tcBorders>
          </w:tcPr>
          <w:p>
            <w:pPr>
              <w:spacing w:after="0"/>
              <w:rPr>
                <w:sz w:val="8"/>
                <w:szCs w:val="8"/>
                <w:color w:val="auto"/>
              </w:rPr>
            </w:pPr>
          </w:p>
        </w:tc>
        <w:tc>
          <w:tcPr>
            <w:tcW w:w="1420" w:type="dxa"/>
            <w:vAlign w:val="bottom"/>
            <w:tcBorders>
              <w:right w:val="single" w:sz="8" w:color="auto"/>
            </w:tcBorders>
            <w:vMerge w:val="restart"/>
            <w:shd w:val="clear" w:color="auto" w:fill="D8D8D8"/>
          </w:tcPr>
          <w:p>
            <w:pPr>
              <w:jc w:val="center"/>
              <w:ind w:left="9"/>
              <w:spacing w:after="0"/>
              <w:rPr>
                <w:sz w:val="20"/>
                <w:szCs w:val="20"/>
                <w:color w:val="auto"/>
              </w:rPr>
            </w:pPr>
            <w:r>
              <w:rPr>
                <w:rFonts w:ascii="Arial" w:cs="Arial" w:eastAsia="Arial" w:hAnsi="Arial"/>
                <w:sz w:val="14"/>
                <w:szCs w:val="14"/>
                <w:color w:val="auto"/>
                <w:w w:val="99"/>
              </w:rPr>
              <w:t>THRESHOLD</w:t>
            </w:r>
          </w:p>
        </w:tc>
        <w:tc>
          <w:tcPr>
            <w:tcW w:w="12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vMerge w:val="restart"/>
            <w:shd w:val="clear" w:color="auto" w:fill="D8D8D8"/>
          </w:tcPr>
          <w:p>
            <w:pPr>
              <w:jc w:val="center"/>
              <w:ind w:left="9"/>
              <w:spacing w:after="0"/>
              <w:rPr>
                <w:sz w:val="20"/>
                <w:szCs w:val="20"/>
                <w:color w:val="auto"/>
              </w:rPr>
            </w:pPr>
            <w:r>
              <w:rPr>
                <w:rFonts w:ascii="Arial" w:cs="Arial" w:eastAsia="Arial" w:hAnsi="Arial"/>
                <w:sz w:val="14"/>
                <w:szCs w:val="14"/>
                <w:color w:val="auto"/>
              </w:rPr>
              <w:t>THRESHOLD</w:t>
            </w:r>
          </w:p>
        </w:tc>
        <w:tc>
          <w:tcPr>
            <w:tcW w:w="12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vMerge w:val="continue"/>
            <w:shd w:val="clear" w:color="auto" w:fill="D8D8D8"/>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vMerge w:val="continue"/>
            <w:shd w:val="clear" w:color="auto" w:fill="D8D8D8"/>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420" w:type="dxa"/>
            <w:vAlign w:val="bottom"/>
            <w:tcBorders>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rPr>
              <w:t>THRESHOLD</w:t>
            </w:r>
          </w:p>
        </w:tc>
        <w:tc>
          <w:tcPr>
            <w:tcW w:w="100" w:type="dxa"/>
            <w:vAlign w:val="bottom"/>
            <w:tcBorders>
              <w:right w:val="single" w:sz="8" w:color="auto"/>
            </w:tcBorders>
          </w:tcPr>
          <w:p>
            <w:pPr>
              <w:spacing w:after="0"/>
              <w:rPr>
                <w:sz w:val="8"/>
                <w:szCs w:val="8"/>
                <w:color w:val="auto"/>
              </w:rPr>
            </w:pPr>
          </w:p>
        </w:tc>
        <w:tc>
          <w:tcPr>
            <w:tcW w:w="1420" w:type="dxa"/>
            <w:vAlign w:val="bottom"/>
            <w:tcBorders>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b w:val="1"/>
                <w:bCs w:val="1"/>
                <w:color w:val="auto"/>
              </w:rPr>
              <w:t>TO SUPERIOR</w:t>
            </w:r>
          </w:p>
        </w:tc>
        <w:tc>
          <w:tcPr>
            <w:tcW w:w="0" w:type="dxa"/>
            <w:vAlign w:val="bottom"/>
          </w:tcPr>
          <w:p>
            <w:pPr>
              <w:spacing w:after="0"/>
              <w:rPr>
                <w:sz w:val="1"/>
                <w:szCs w:val="1"/>
                <w:color w:val="auto"/>
              </w:rPr>
            </w:pPr>
          </w:p>
        </w:tc>
      </w:tr>
      <w:tr>
        <w:trPr>
          <w:trHeight w:val="67"/>
        </w:trPr>
        <w:tc>
          <w:tcPr>
            <w:tcW w:w="1640" w:type="dxa"/>
            <w:vAlign w:val="bottom"/>
            <w:tcBorders>
              <w:left w:val="single" w:sz="8" w:color="auto"/>
              <w:right w:val="single" w:sz="8" w:color="auto"/>
            </w:tcBorders>
            <w:vMerge w:val="continue"/>
            <w:shd w:val="clear" w:color="auto" w:fill="D8D8D8"/>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420" w:type="dxa"/>
            <w:vAlign w:val="bottom"/>
            <w:tcBorders>
              <w:right w:val="single" w:sz="8" w:color="auto"/>
            </w:tcBorders>
            <w:vMerge w:val="continue"/>
            <w:shd w:val="clear" w:color="auto" w:fill="D8D8D8"/>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shd w:val="clear" w:color="auto" w:fill="D8D8D8"/>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restart"/>
            <w:shd w:val="clear" w:color="auto" w:fill="D8D8D8"/>
          </w:tcPr>
          <w:p>
            <w:pPr>
              <w:jc w:val="center"/>
              <w:ind w:left="9"/>
              <w:spacing w:after="0"/>
              <w:rPr>
                <w:sz w:val="20"/>
                <w:szCs w:val="20"/>
                <w:color w:val="auto"/>
              </w:rPr>
            </w:pPr>
            <w:r>
              <w:rPr>
                <w:rFonts w:ascii="Arial" w:cs="Arial" w:eastAsia="Arial" w:hAnsi="Arial"/>
                <w:sz w:val="14"/>
                <w:szCs w:val="14"/>
                <w:b w:val="1"/>
                <w:bCs w:val="1"/>
                <w:color w:val="auto"/>
              </w:rPr>
              <w:t>ACHIEVEMENT</w:t>
            </w:r>
          </w:p>
        </w:tc>
        <w:tc>
          <w:tcPr>
            <w:tcW w:w="120" w:type="dxa"/>
            <w:vAlign w:val="bottom"/>
            <w:tcBorders>
              <w:right w:val="single" w:sz="8" w:color="auto"/>
            </w:tcBorders>
          </w:tcPr>
          <w:p>
            <w:pPr>
              <w:spacing w:after="0"/>
              <w:rPr>
                <w:sz w:val="5"/>
                <w:szCs w:val="5"/>
                <w:color w:val="auto"/>
              </w:rPr>
            </w:pPr>
          </w:p>
        </w:tc>
        <w:tc>
          <w:tcPr>
            <w:tcW w:w="1540" w:type="dxa"/>
            <w:vAlign w:val="bottom"/>
            <w:tcBorders>
              <w:right w:val="single" w:sz="8" w:color="auto"/>
            </w:tcBorders>
            <w:vMerge w:val="restart"/>
            <w:shd w:val="clear" w:color="auto" w:fill="D8D8D8"/>
          </w:tcPr>
          <w:p>
            <w:pPr>
              <w:ind w:left="340"/>
              <w:spacing w:after="0"/>
              <w:rPr>
                <w:sz w:val="20"/>
                <w:szCs w:val="20"/>
                <w:color w:val="auto"/>
              </w:rPr>
            </w:pPr>
            <w:r>
              <w:rPr>
                <w:rFonts w:ascii="Arial" w:cs="Arial" w:eastAsia="Arial" w:hAnsi="Arial"/>
                <w:sz w:val="14"/>
                <w:szCs w:val="14"/>
                <w:b w:val="1"/>
                <w:bCs w:val="1"/>
                <w:color w:val="auto"/>
              </w:rPr>
              <w:t>ACHIEVEMENT</w:t>
            </w:r>
          </w:p>
        </w:tc>
        <w:tc>
          <w:tcPr>
            <w:tcW w:w="100" w:type="dxa"/>
            <w:vAlign w:val="bottom"/>
            <w:tcBorders>
              <w:right w:val="single" w:sz="8" w:color="auto"/>
            </w:tcBorders>
          </w:tcPr>
          <w:p>
            <w:pPr>
              <w:spacing w:after="0"/>
              <w:rPr>
                <w:sz w:val="5"/>
                <w:szCs w:val="5"/>
                <w:color w:val="auto"/>
              </w:rPr>
            </w:pPr>
          </w:p>
        </w:tc>
        <w:tc>
          <w:tcPr>
            <w:tcW w:w="1420" w:type="dxa"/>
            <w:vAlign w:val="bottom"/>
            <w:tcBorders>
              <w:right w:val="single" w:sz="8" w:color="auto"/>
            </w:tcBorders>
            <w:vMerge w:val="continue"/>
            <w:shd w:val="clear" w:color="auto" w:fill="D8D8D8"/>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420" w:type="dxa"/>
            <w:vAlign w:val="bottom"/>
            <w:tcBorders>
              <w:right w:val="single" w:sz="8" w:color="auto"/>
            </w:tcBorders>
            <w:vMerge w:val="continue"/>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right w:val="single" w:sz="8" w:color="auto"/>
            </w:tcBorders>
            <w:vMerge w:val="restart"/>
            <w:shd w:val="clear" w:color="auto" w:fill="D8D8D8"/>
          </w:tcPr>
          <w:p>
            <w:pPr>
              <w:jc w:val="center"/>
              <w:ind w:left="49"/>
              <w:spacing w:after="0"/>
              <w:rPr>
                <w:sz w:val="20"/>
                <w:szCs w:val="20"/>
                <w:color w:val="auto"/>
              </w:rPr>
            </w:pPr>
            <w:r>
              <w:rPr>
                <w:rFonts w:ascii="Arial" w:cs="Arial" w:eastAsia="Arial" w:hAnsi="Arial"/>
                <w:sz w:val="14"/>
                <w:szCs w:val="14"/>
                <w:b w:val="1"/>
                <w:bCs w:val="1"/>
                <w:color w:val="auto"/>
              </w:rPr>
              <w:t>ACHIEVEMENT</w:t>
            </w:r>
          </w:p>
        </w:tc>
        <w:tc>
          <w:tcPr>
            <w:tcW w:w="10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vMerge w:val="restart"/>
            <w:shd w:val="clear" w:color="auto" w:fill="D8D8D8"/>
          </w:tcPr>
          <w:p>
            <w:pPr>
              <w:jc w:val="center"/>
              <w:ind w:left="9"/>
              <w:spacing w:after="0"/>
              <w:rPr>
                <w:sz w:val="20"/>
                <w:szCs w:val="20"/>
                <w:color w:val="auto"/>
              </w:rPr>
            </w:pPr>
            <w:r>
              <w:rPr>
                <w:rFonts w:ascii="Arial" w:cs="Arial" w:eastAsia="Arial" w:hAnsi="Arial"/>
                <w:sz w:val="14"/>
                <w:szCs w:val="14"/>
                <w:color w:val="auto"/>
              </w:rPr>
              <w:t>ACHIEVEMENT</w:t>
            </w:r>
          </w:p>
        </w:tc>
        <w:tc>
          <w:tcPr>
            <w:tcW w:w="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rPr>
              <w:t>ACHIEVEMENT</w:t>
            </w:r>
          </w:p>
        </w:tc>
        <w:tc>
          <w:tcPr>
            <w:tcW w:w="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continue"/>
            <w:shd w:val="clear" w:color="auto" w:fill="D8D8D8"/>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vMerge w:val="continue"/>
            <w:shd w:val="clear" w:color="auto" w:fill="D8D8D8"/>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rPr>
              <w:t>ACHIEVEMENT</w:t>
            </w:r>
          </w:p>
        </w:tc>
        <w:tc>
          <w:tcPr>
            <w:tcW w:w="10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b w:val="1"/>
                <w:bCs w:val="1"/>
                <w:color w:val="auto"/>
              </w:rPr>
              <w:t>ACHIEVEMENT</w:t>
            </w:r>
          </w:p>
        </w:tc>
        <w:tc>
          <w:tcPr>
            <w:tcW w:w="0" w:type="dxa"/>
            <w:vAlign w:val="bottom"/>
          </w:tcPr>
          <w:p>
            <w:pPr>
              <w:spacing w:after="0"/>
              <w:rPr>
                <w:sz w:val="1"/>
                <w:szCs w:val="1"/>
                <w:color w:val="auto"/>
              </w:rPr>
            </w:pPr>
          </w:p>
        </w:tc>
      </w:tr>
      <w:tr>
        <w:trPr>
          <w:trHeight w:val="67"/>
        </w:trPr>
        <w:tc>
          <w:tcPr>
            <w:tcW w:w="1640" w:type="dxa"/>
            <w:vAlign w:val="bottom"/>
            <w:tcBorders>
              <w:left w:val="single" w:sz="8" w:color="auto"/>
              <w:right w:val="single" w:sz="8" w:color="auto"/>
            </w:tcBorders>
            <w:vMerge w:val="continue"/>
            <w:shd w:val="clear" w:color="auto" w:fill="D8D8D8"/>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420" w:type="dxa"/>
            <w:vAlign w:val="bottom"/>
            <w:tcBorders>
              <w:right w:val="single" w:sz="8" w:color="auto"/>
            </w:tcBorders>
            <w:vMerge w:val="continue"/>
            <w:shd w:val="clear" w:color="auto" w:fill="D8D8D8"/>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continue"/>
            <w:shd w:val="clear" w:color="auto" w:fill="D8D8D8"/>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shd w:val="clear" w:color="auto" w:fill="D8D8D8"/>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540" w:type="dxa"/>
            <w:vAlign w:val="bottom"/>
            <w:tcBorders>
              <w:right w:val="single" w:sz="8" w:color="auto"/>
            </w:tcBorders>
            <w:shd w:val="clear" w:color="auto" w:fill="D8D8D8"/>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420" w:type="dxa"/>
            <w:vAlign w:val="bottom"/>
            <w:tcBorders>
              <w:right w:val="single" w:sz="8" w:color="auto"/>
            </w:tcBorders>
            <w:vMerge w:val="continue"/>
            <w:shd w:val="clear" w:color="auto" w:fill="D8D8D8"/>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420" w:type="dxa"/>
            <w:vAlign w:val="bottom"/>
            <w:tcBorders>
              <w:right w:val="single" w:sz="8" w:color="auto"/>
            </w:tcBorders>
            <w:vMerge w:val="continue"/>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1640" w:type="dxa"/>
            <w:vAlign w:val="bottom"/>
            <w:tcBorders>
              <w:left w:val="single" w:sz="8" w:color="auto"/>
              <w:bottom w:val="single" w:sz="8" w:color="auto"/>
              <w:right w:val="single" w:sz="8" w:color="auto"/>
            </w:tcBorders>
            <w:shd w:val="clear" w:color="auto" w:fill="D8D8D8"/>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shd w:val="clear" w:color="auto" w:fill="D8D8D8"/>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00" w:type="dxa"/>
            <w:vAlign w:val="bottom"/>
            <w:tcBorders>
              <w:bottom w:val="single" w:sz="8" w:color="auto"/>
              <w:right w:val="single" w:sz="8" w:color="auto"/>
            </w:tcBorders>
            <w:shd w:val="clear" w:color="auto" w:fill="D8D8D8"/>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00" w:type="dxa"/>
            <w:vAlign w:val="bottom"/>
            <w:tcBorders>
              <w:bottom w:val="single" w:sz="8" w:color="auto"/>
              <w:right w:val="single" w:sz="8" w:color="auto"/>
            </w:tcBorders>
            <w:shd w:val="clear" w:color="auto" w:fill="D8D8D8"/>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540" w:type="dxa"/>
            <w:vAlign w:val="bottom"/>
            <w:tcBorders>
              <w:bottom w:val="single" w:sz="8" w:color="auto"/>
              <w:right w:val="single" w:sz="8" w:color="auto"/>
            </w:tcBorders>
            <w:shd w:val="clear" w:color="auto" w:fill="D8D8D8"/>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shd w:val="clear" w:color="auto" w:fill="D8D8D8"/>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shd w:val="clear" w:color="auto" w:fill="D8D8D8"/>
          </w:tcPr>
          <w:p>
            <w:pPr>
              <w:spacing w:after="0"/>
              <w:rPr>
                <w:sz w:val="10"/>
                <w:szCs w:val="10"/>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REPORTED AND REALIZED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260"/>
        <w:spacing w:after="0" w:line="253" w:lineRule="auto"/>
        <w:rPr>
          <w:sz w:val="20"/>
          <w:szCs w:val="20"/>
          <w:color w:val="auto"/>
        </w:rPr>
      </w:pPr>
      <w:r>
        <w:rPr>
          <w:rFonts w:ascii="Arial" w:cs="Arial" w:eastAsia="Arial" w:hAnsi="Arial"/>
          <w:sz w:val="14"/>
          <w:szCs w:val="14"/>
          <w:color w:val="auto"/>
        </w:rPr>
        <w:t>The chart below further illustrates our pay for performance of our current CEO and current NEOs. As shown, total reported compensation for 2017 as set forth in the 2017 Summary Compensation Table of this Proxy Statement, is compared to the total amount of compensation realized during such periods.</w:t>
      </w:r>
    </w:p>
    <w:p>
      <w:pPr>
        <w:spacing w:after="0" w:line="155" w:lineRule="exact"/>
        <w:rPr>
          <w:sz w:val="20"/>
          <w:szCs w:val="20"/>
          <w:color w:val="auto"/>
        </w:rPr>
      </w:pPr>
    </w:p>
    <w:p>
      <w:pPr>
        <w:ind w:left="260" w:right="40"/>
        <w:spacing w:after="0" w:line="243" w:lineRule="auto"/>
        <w:rPr>
          <w:sz w:val="20"/>
          <w:szCs w:val="20"/>
          <w:color w:val="auto"/>
        </w:rPr>
      </w:pPr>
      <w:r>
        <w:rPr>
          <w:rFonts w:ascii="Arial" w:cs="Arial" w:eastAsia="Arial" w:hAnsi="Arial"/>
          <w:sz w:val="14"/>
          <w:szCs w:val="14"/>
          <w:color w:val="auto"/>
        </w:rPr>
        <w:t>The realized compensation set forth below includes long-term incentive awards (RSUs and PSUs), only to the extent they vested (or restrictions lapsed) during 2017. The realized value of vested stock is included based on the closing price on the date of vest, which, for our RSUs, differs from value at the date of grant. The realized value of our PSUs is zero, because our PSUs did not vest based on not reaching performance targets included in such PSUs. In addition, over the past three years, no NEO realized the total compensation reported in the 2017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142240</wp:posOffset>
            </wp:positionV>
            <wp:extent cx="6349365" cy="24244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349365" cy="242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SHAREHOLDER OUTREACH AND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100"/>
        <w:spacing w:after="0" w:line="243" w:lineRule="auto"/>
        <w:rPr>
          <w:sz w:val="20"/>
          <w:szCs w:val="20"/>
          <w:color w:val="auto"/>
        </w:rPr>
      </w:pPr>
      <w:r>
        <w:rPr>
          <w:rFonts w:ascii="Arial" w:cs="Arial" w:eastAsia="Arial" w:hAnsi="Arial"/>
          <w:sz w:val="14"/>
          <w:szCs w:val="14"/>
          <w:color w:val="auto"/>
        </w:rPr>
        <w:t>We engage in regular and ongoing dialogue with our shareholders to gain valuable insights into the issues about which they care most. Our engagement with investors included representatives from Weatherford’s management and several of these conversations also included members of the Board. Shareholder feedback on subjects including CEO transition, executive compensation, M&amp;A activity and other matters have been shared with us and we take these comments under advisement. The results of our discussions are generally reported to the Board as well as to the applicable Committees, including our Compensation Committee.</w:t>
      </w:r>
    </w:p>
    <w:p>
      <w:pPr>
        <w:spacing w:after="0" w:line="162" w:lineRule="exact"/>
        <w:rPr>
          <w:sz w:val="20"/>
          <w:szCs w:val="20"/>
          <w:color w:val="auto"/>
        </w:rPr>
      </w:pPr>
    </w:p>
    <w:p>
      <w:pPr>
        <w:ind w:left="260" w:right="20"/>
        <w:spacing w:after="0" w:line="246" w:lineRule="auto"/>
        <w:rPr>
          <w:sz w:val="20"/>
          <w:szCs w:val="20"/>
          <w:color w:val="auto"/>
        </w:rPr>
      </w:pPr>
      <w:r>
        <w:rPr>
          <w:rFonts w:ascii="Arial" w:cs="Arial" w:eastAsia="Arial" w:hAnsi="Arial"/>
          <w:sz w:val="14"/>
          <w:szCs w:val="14"/>
          <w:color w:val="auto"/>
        </w:rPr>
        <w:t>In addition, we consider the results of the advisory vote on executive compensation at our annual general meeting. At our 2017 meeting, 90% of votes cast were in support of our executive compensation program compared to 70% in 2016. We continue to engage with our shareholders regarding executive compensation and other matters and welcome further dialogue.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97790</wp:posOffset>
            </wp:positionV>
            <wp:extent cx="69176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388" w:lineRule="exact"/>
        <w:rPr>
          <w:sz w:val="20"/>
          <w:szCs w:val="20"/>
          <w:color w:val="auto"/>
        </w:rPr>
      </w:pPr>
    </w:p>
    <w:p>
      <w:pPr>
        <w:jc w:val="right"/>
        <w:ind w:right="20"/>
        <w:spacing w:after="0"/>
        <w:tabs>
          <w:tab w:leader="none" w:pos="160" w:val="left"/>
        </w:tabs>
        <w:rPr>
          <w:sz w:val="20"/>
          <w:szCs w:val="20"/>
          <w:color w:val="auto"/>
        </w:rPr>
      </w:pPr>
      <w:r>
        <w:rPr>
          <w:rFonts w:ascii="Arial" w:cs="Arial" w:eastAsia="Arial" w:hAnsi="Arial"/>
          <w:sz w:val="14"/>
          <w:szCs w:val="14"/>
          <w:color w:val="666666"/>
        </w:rPr>
        <w:t>Weatherford International plc — 2018 Proxy Statement</w:t>
      </w:r>
      <w:r>
        <w:rPr>
          <w:sz w:val="20"/>
          <w:szCs w:val="20"/>
          <w:color w:val="auto"/>
        </w:rPr>
        <w:tab/>
      </w:r>
      <w:r>
        <w:rPr>
          <w:rFonts w:ascii="Arial" w:cs="Arial" w:eastAsia="Arial" w:hAnsi="Arial"/>
          <w:sz w:val="14"/>
          <w:szCs w:val="14"/>
          <w:b w:val="1"/>
          <w:bCs w:val="1"/>
          <w:color w:val="666666"/>
        </w:rPr>
        <w:t>23</w:t>
      </w:r>
    </w:p>
    <w:p>
      <w:pPr>
        <w:sectPr>
          <w:pgSz w:w="11900" w:h="16838" w:orient="portrait"/>
          <w:cols w:equalWidth="0" w:num="1">
            <w:col w:w="11180"/>
          </w:cols>
          <w:pgMar w:left="240" w:top="455"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Since 2014, we have implemented the following changes to our compensation program, as well as disclosure enhancements throughout the CD&amp;A:</w:t>
      </w:r>
    </w:p>
    <w:p>
      <w:pPr>
        <w:spacing w:after="0" w:line="213" w:lineRule="exact"/>
        <w:rPr>
          <w:sz w:val="20"/>
          <w:szCs w:val="20"/>
          <w:color w:val="auto"/>
        </w:rPr>
      </w:pPr>
    </w:p>
    <w:p>
      <w:pPr>
        <w:ind w:left="480" w:hanging="213"/>
        <w:spacing w:after="0"/>
        <w:tabs>
          <w:tab w:leader="none" w:pos="480" w:val="left"/>
        </w:tabs>
        <w:numPr>
          <w:ilvl w:val="0"/>
          <w:numId w:val="62"/>
        </w:numPr>
        <w:rPr>
          <w:rFonts w:ascii="Arial" w:cs="Arial" w:eastAsia="Arial" w:hAnsi="Arial"/>
          <w:sz w:val="14"/>
          <w:szCs w:val="14"/>
          <w:color w:val="C3002F"/>
        </w:rPr>
      </w:pPr>
      <w:r>
        <w:rPr>
          <w:rFonts w:ascii="Arial" w:cs="Arial" w:eastAsia="Arial" w:hAnsi="Arial"/>
          <w:sz w:val="14"/>
          <w:szCs w:val="14"/>
          <w:color w:val="auto"/>
        </w:rPr>
        <w:t>Taken a rigorous, market-based compensation approach for our new CEO;</w:t>
      </w:r>
    </w:p>
    <w:p>
      <w:pPr>
        <w:spacing w:after="0" w:line="212" w:lineRule="exact"/>
        <w:rPr>
          <w:rFonts w:ascii="Arial" w:cs="Arial" w:eastAsia="Arial" w:hAnsi="Arial"/>
          <w:sz w:val="14"/>
          <w:szCs w:val="14"/>
          <w:color w:val="C3002F"/>
        </w:rPr>
      </w:pPr>
    </w:p>
    <w:p>
      <w:pPr>
        <w:ind w:left="480" w:hanging="213"/>
        <w:spacing w:after="0"/>
        <w:tabs>
          <w:tab w:leader="none" w:pos="480" w:val="left"/>
        </w:tabs>
        <w:numPr>
          <w:ilvl w:val="0"/>
          <w:numId w:val="62"/>
        </w:numPr>
        <w:rPr>
          <w:rFonts w:ascii="Arial" w:cs="Arial" w:eastAsia="Arial" w:hAnsi="Arial"/>
          <w:sz w:val="14"/>
          <w:szCs w:val="14"/>
          <w:color w:val="C3002F"/>
        </w:rPr>
      </w:pPr>
      <w:r>
        <w:rPr>
          <w:rFonts w:ascii="Arial" w:cs="Arial" w:eastAsia="Arial" w:hAnsi="Arial"/>
          <w:sz w:val="14"/>
          <w:szCs w:val="14"/>
          <w:color w:val="auto"/>
        </w:rPr>
        <w:t>Eliminated future employment agreements and provided non-renewal notices for all remaining employment agreements;</w:t>
      </w:r>
    </w:p>
    <w:p>
      <w:pPr>
        <w:spacing w:after="0" w:line="212" w:lineRule="exact"/>
        <w:rPr>
          <w:rFonts w:ascii="Arial" w:cs="Arial" w:eastAsia="Arial" w:hAnsi="Arial"/>
          <w:sz w:val="14"/>
          <w:szCs w:val="14"/>
          <w:color w:val="C3002F"/>
        </w:rPr>
      </w:pPr>
    </w:p>
    <w:p>
      <w:pPr>
        <w:ind w:left="480" w:hanging="213"/>
        <w:spacing w:after="0"/>
        <w:tabs>
          <w:tab w:leader="none" w:pos="480" w:val="left"/>
        </w:tabs>
        <w:numPr>
          <w:ilvl w:val="0"/>
          <w:numId w:val="62"/>
        </w:numPr>
        <w:rPr>
          <w:rFonts w:ascii="Arial" w:cs="Arial" w:eastAsia="Arial" w:hAnsi="Arial"/>
          <w:sz w:val="14"/>
          <w:szCs w:val="14"/>
          <w:color w:val="C3002F"/>
        </w:rPr>
      </w:pPr>
      <w:r>
        <w:rPr>
          <w:rFonts w:ascii="Arial" w:cs="Arial" w:eastAsia="Arial" w:hAnsi="Arial"/>
          <w:sz w:val="14"/>
          <w:szCs w:val="14"/>
          <w:color w:val="auto"/>
        </w:rPr>
        <w:t>Negotiated tailored arrangements to induce new executives and standardized our executive severance guidelines;</w:t>
      </w:r>
    </w:p>
    <w:p>
      <w:pPr>
        <w:spacing w:after="0" w:line="212" w:lineRule="exact"/>
        <w:rPr>
          <w:rFonts w:ascii="Arial" w:cs="Arial" w:eastAsia="Arial" w:hAnsi="Arial"/>
          <w:sz w:val="14"/>
          <w:szCs w:val="14"/>
          <w:color w:val="C3002F"/>
        </w:rPr>
      </w:pPr>
    </w:p>
    <w:p>
      <w:pPr>
        <w:ind w:left="480" w:hanging="213"/>
        <w:spacing w:after="0"/>
        <w:tabs>
          <w:tab w:leader="none" w:pos="480" w:val="left"/>
        </w:tabs>
        <w:numPr>
          <w:ilvl w:val="0"/>
          <w:numId w:val="62"/>
        </w:numPr>
        <w:rPr>
          <w:rFonts w:ascii="Arial" w:cs="Arial" w:eastAsia="Arial" w:hAnsi="Arial"/>
          <w:sz w:val="14"/>
          <w:szCs w:val="14"/>
          <w:color w:val="C3002F"/>
        </w:rPr>
      </w:pPr>
      <w:r>
        <w:rPr>
          <w:rFonts w:ascii="Arial" w:cs="Arial" w:eastAsia="Arial" w:hAnsi="Arial"/>
          <w:sz w:val="14"/>
          <w:szCs w:val="14"/>
          <w:color w:val="auto"/>
        </w:rPr>
        <w:t>Increased the percentage of performance-based awards relative to total incentives;</w:t>
      </w:r>
    </w:p>
    <w:p>
      <w:pPr>
        <w:spacing w:after="0" w:line="212" w:lineRule="exact"/>
        <w:rPr>
          <w:rFonts w:ascii="Arial" w:cs="Arial" w:eastAsia="Arial" w:hAnsi="Arial"/>
          <w:sz w:val="14"/>
          <w:szCs w:val="14"/>
          <w:color w:val="C3002F"/>
        </w:rPr>
      </w:pPr>
    </w:p>
    <w:p>
      <w:pPr>
        <w:ind w:left="480" w:hanging="213"/>
        <w:spacing w:after="0"/>
        <w:tabs>
          <w:tab w:leader="none" w:pos="480" w:val="left"/>
        </w:tabs>
        <w:numPr>
          <w:ilvl w:val="0"/>
          <w:numId w:val="62"/>
        </w:numPr>
        <w:rPr>
          <w:rFonts w:ascii="Arial" w:cs="Arial" w:eastAsia="Arial" w:hAnsi="Arial"/>
          <w:sz w:val="14"/>
          <w:szCs w:val="14"/>
          <w:color w:val="C3002F"/>
        </w:rPr>
      </w:pPr>
      <w:r>
        <w:rPr>
          <w:rFonts w:ascii="Arial" w:cs="Arial" w:eastAsia="Arial" w:hAnsi="Arial"/>
          <w:sz w:val="14"/>
          <w:szCs w:val="14"/>
          <w:color w:val="auto"/>
        </w:rPr>
        <w:t>Used a comparative peer performance metric as a component, or, in 2017, a multiplier for our annual cash incentive;</w:t>
      </w:r>
    </w:p>
    <w:p>
      <w:pPr>
        <w:spacing w:after="0" w:line="212" w:lineRule="exact"/>
        <w:rPr>
          <w:rFonts w:ascii="Arial" w:cs="Arial" w:eastAsia="Arial" w:hAnsi="Arial"/>
          <w:sz w:val="14"/>
          <w:szCs w:val="14"/>
          <w:color w:val="C3002F"/>
        </w:rPr>
      </w:pPr>
    </w:p>
    <w:p>
      <w:pPr>
        <w:ind w:left="480" w:hanging="213"/>
        <w:spacing w:after="0"/>
        <w:tabs>
          <w:tab w:leader="none" w:pos="480" w:val="left"/>
        </w:tabs>
        <w:numPr>
          <w:ilvl w:val="0"/>
          <w:numId w:val="62"/>
        </w:numPr>
        <w:rPr>
          <w:rFonts w:ascii="Arial" w:cs="Arial" w:eastAsia="Arial" w:hAnsi="Arial"/>
          <w:sz w:val="14"/>
          <w:szCs w:val="14"/>
          <w:color w:val="C3002F"/>
        </w:rPr>
      </w:pPr>
      <w:r>
        <w:rPr>
          <w:rFonts w:ascii="Arial" w:cs="Arial" w:eastAsia="Arial" w:hAnsi="Arial"/>
          <w:sz w:val="14"/>
          <w:szCs w:val="14"/>
          <w:color w:val="auto"/>
        </w:rPr>
        <w:t>Standardized our share price measurement date for our PSUs to a 30-day average;</w:t>
      </w:r>
    </w:p>
    <w:p>
      <w:pPr>
        <w:spacing w:after="0" w:line="212" w:lineRule="exact"/>
        <w:rPr>
          <w:rFonts w:ascii="Arial" w:cs="Arial" w:eastAsia="Arial" w:hAnsi="Arial"/>
          <w:sz w:val="14"/>
          <w:szCs w:val="14"/>
          <w:color w:val="C3002F"/>
        </w:rPr>
      </w:pPr>
    </w:p>
    <w:p>
      <w:pPr>
        <w:ind w:left="480" w:hanging="213"/>
        <w:spacing w:after="0"/>
        <w:tabs>
          <w:tab w:leader="none" w:pos="480" w:val="left"/>
        </w:tabs>
        <w:numPr>
          <w:ilvl w:val="0"/>
          <w:numId w:val="62"/>
        </w:numPr>
        <w:rPr>
          <w:rFonts w:ascii="Arial" w:cs="Arial" w:eastAsia="Arial" w:hAnsi="Arial"/>
          <w:sz w:val="14"/>
          <w:szCs w:val="14"/>
          <w:color w:val="C3002F"/>
        </w:rPr>
      </w:pPr>
      <w:r>
        <w:rPr>
          <w:rFonts w:ascii="Arial" w:cs="Arial" w:eastAsia="Arial" w:hAnsi="Arial"/>
          <w:sz w:val="14"/>
          <w:szCs w:val="14"/>
          <w:color w:val="auto"/>
        </w:rPr>
        <w:t>Changed our PSUs awarded in 2018 to a three-year cliff vesting; and</w:t>
      </w:r>
    </w:p>
    <w:p>
      <w:pPr>
        <w:spacing w:after="0" w:line="212" w:lineRule="exact"/>
        <w:rPr>
          <w:rFonts w:ascii="Arial" w:cs="Arial" w:eastAsia="Arial" w:hAnsi="Arial"/>
          <w:sz w:val="14"/>
          <w:szCs w:val="14"/>
          <w:color w:val="C3002F"/>
        </w:rPr>
      </w:pPr>
    </w:p>
    <w:p>
      <w:pPr>
        <w:ind w:left="480" w:hanging="213"/>
        <w:spacing w:after="0"/>
        <w:tabs>
          <w:tab w:leader="none" w:pos="480" w:val="left"/>
        </w:tabs>
        <w:numPr>
          <w:ilvl w:val="0"/>
          <w:numId w:val="62"/>
        </w:numPr>
        <w:rPr>
          <w:rFonts w:ascii="Arial" w:cs="Arial" w:eastAsia="Arial" w:hAnsi="Arial"/>
          <w:sz w:val="14"/>
          <w:szCs w:val="14"/>
          <w:color w:val="C3002F"/>
        </w:rPr>
      </w:pPr>
      <w:r>
        <w:rPr>
          <w:rFonts w:ascii="Arial" w:cs="Arial" w:eastAsia="Arial" w:hAnsi="Arial"/>
          <w:sz w:val="14"/>
          <w:szCs w:val="14"/>
          <w:color w:val="auto"/>
        </w:rPr>
        <w:t>Reviewed and revised our peer group in line with a changing market environment for talent and a changing industry.</w:t>
      </w:r>
    </w:p>
    <w:p>
      <w:pPr>
        <w:spacing w:after="0" w:line="368"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auto"/>
        </w:rPr>
        <w:t>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140"/>
        <w:spacing w:after="0" w:line="246" w:lineRule="auto"/>
        <w:rPr>
          <w:sz w:val="20"/>
          <w:szCs w:val="20"/>
          <w:color w:val="auto"/>
        </w:rPr>
      </w:pPr>
      <w:r>
        <w:rPr>
          <w:rFonts w:ascii="Arial" w:cs="Arial" w:eastAsia="Arial" w:hAnsi="Arial"/>
          <w:sz w:val="14"/>
          <w:szCs w:val="14"/>
          <w:color w:val="auto"/>
        </w:rPr>
        <w:t>The Compensation Committee follows a pay for performance philosophy in our executive compensation structure. The Committee’s objective is to provide compensation to our executive officers at a level and in a manner that is intended to maximize shareholder value and be market competitive. Additionally, the short-term and long-term interests of our executive officers should be aligned with those of our shareholders. Our program is designed to:</w:t>
      </w:r>
    </w:p>
    <w:p>
      <w:pPr>
        <w:spacing w:after="0" w:line="199" w:lineRule="exact"/>
        <w:rPr>
          <w:sz w:val="20"/>
          <w:szCs w:val="20"/>
          <w:color w:val="auto"/>
        </w:rPr>
      </w:pPr>
    </w:p>
    <w:p>
      <w:pPr>
        <w:ind w:left="480" w:hanging="213"/>
        <w:spacing w:after="0"/>
        <w:tabs>
          <w:tab w:leader="none" w:pos="480" w:val="left"/>
        </w:tabs>
        <w:numPr>
          <w:ilvl w:val="0"/>
          <w:numId w:val="63"/>
        </w:numPr>
        <w:rPr>
          <w:rFonts w:ascii="Arial" w:cs="Arial" w:eastAsia="Arial" w:hAnsi="Arial"/>
          <w:sz w:val="14"/>
          <w:szCs w:val="14"/>
          <w:color w:val="C3002F"/>
        </w:rPr>
      </w:pPr>
      <w:r>
        <w:rPr>
          <w:rFonts w:ascii="Arial" w:cs="Arial" w:eastAsia="Arial" w:hAnsi="Arial"/>
          <w:sz w:val="14"/>
          <w:szCs w:val="14"/>
          <w:color w:val="auto"/>
        </w:rPr>
        <w:t>drive and reward strong business performance to create superior value for our shareholders;</w:t>
      </w:r>
    </w:p>
    <w:p>
      <w:pPr>
        <w:spacing w:after="0" w:line="212" w:lineRule="exact"/>
        <w:rPr>
          <w:rFonts w:ascii="Arial" w:cs="Arial" w:eastAsia="Arial" w:hAnsi="Arial"/>
          <w:sz w:val="14"/>
          <w:szCs w:val="14"/>
          <w:color w:val="C3002F"/>
        </w:rPr>
      </w:pPr>
    </w:p>
    <w:p>
      <w:pPr>
        <w:ind w:left="480" w:hanging="213"/>
        <w:spacing w:after="0"/>
        <w:tabs>
          <w:tab w:leader="none" w:pos="480" w:val="left"/>
        </w:tabs>
        <w:numPr>
          <w:ilvl w:val="0"/>
          <w:numId w:val="63"/>
        </w:numPr>
        <w:rPr>
          <w:rFonts w:ascii="Arial" w:cs="Arial" w:eastAsia="Arial" w:hAnsi="Arial"/>
          <w:sz w:val="14"/>
          <w:szCs w:val="14"/>
          <w:color w:val="C3002F"/>
        </w:rPr>
      </w:pPr>
      <w:r>
        <w:rPr>
          <w:rFonts w:ascii="Arial" w:cs="Arial" w:eastAsia="Arial" w:hAnsi="Arial"/>
          <w:sz w:val="14"/>
          <w:szCs w:val="14"/>
          <w:color w:val="auto"/>
        </w:rPr>
        <w:t>support key financial and strategic objectives through pay for performance;</w:t>
      </w:r>
    </w:p>
    <w:p>
      <w:pPr>
        <w:spacing w:after="0" w:line="212" w:lineRule="exact"/>
        <w:rPr>
          <w:rFonts w:ascii="Arial" w:cs="Arial" w:eastAsia="Arial" w:hAnsi="Arial"/>
          <w:sz w:val="14"/>
          <w:szCs w:val="14"/>
          <w:color w:val="C3002F"/>
        </w:rPr>
      </w:pPr>
    </w:p>
    <w:p>
      <w:pPr>
        <w:ind w:left="480" w:hanging="213"/>
        <w:spacing w:after="0"/>
        <w:tabs>
          <w:tab w:leader="none" w:pos="480" w:val="left"/>
        </w:tabs>
        <w:numPr>
          <w:ilvl w:val="0"/>
          <w:numId w:val="63"/>
        </w:numPr>
        <w:rPr>
          <w:rFonts w:ascii="Arial" w:cs="Arial" w:eastAsia="Arial" w:hAnsi="Arial"/>
          <w:sz w:val="14"/>
          <w:szCs w:val="14"/>
          <w:color w:val="C3002F"/>
        </w:rPr>
      </w:pPr>
      <w:r>
        <w:rPr>
          <w:rFonts w:ascii="Arial" w:cs="Arial" w:eastAsia="Arial" w:hAnsi="Arial"/>
          <w:sz w:val="14"/>
          <w:szCs w:val="14"/>
          <w:color w:val="auto"/>
        </w:rPr>
        <w:t>attract, retain and motivate individuals in key executive positions, while limiting non-performance based entitlements;</w:t>
      </w:r>
    </w:p>
    <w:p>
      <w:pPr>
        <w:spacing w:after="0" w:line="212" w:lineRule="exact"/>
        <w:rPr>
          <w:rFonts w:ascii="Arial" w:cs="Arial" w:eastAsia="Arial" w:hAnsi="Arial"/>
          <w:sz w:val="14"/>
          <w:szCs w:val="14"/>
          <w:color w:val="C3002F"/>
        </w:rPr>
      </w:pPr>
    </w:p>
    <w:p>
      <w:pPr>
        <w:ind w:left="480" w:hanging="213"/>
        <w:spacing w:after="0"/>
        <w:tabs>
          <w:tab w:leader="none" w:pos="480" w:val="left"/>
        </w:tabs>
        <w:numPr>
          <w:ilvl w:val="0"/>
          <w:numId w:val="63"/>
        </w:numPr>
        <w:rPr>
          <w:rFonts w:ascii="Arial" w:cs="Arial" w:eastAsia="Arial" w:hAnsi="Arial"/>
          <w:sz w:val="14"/>
          <w:szCs w:val="14"/>
          <w:color w:val="C3002F"/>
        </w:rPr>
      </w:pPr>
      <w:r>
        <w:rPr>
          <w:rFonts w:ascii="Arial" w:cs="Arial" w:eastAsia="Arial" w:hAnsi="Arial"/>
          <w:sz w:val="14"/>
          <w:szCs w:val="14"/>
          <w:color w:val="auto"/>
        </w:rPr>
        <w:t>provide a clear link between pay and performance, without encouraging excessive risk taking; and</w:t>
      </w:r>
    </w:p>
    <w:p>
      <w:pPr>
        <w:spacing w:after="0" w:line="212" w:lineRule="exact"/>
        <w:rPr>
          <w:rFonts w:ascii="Arial" w:cs="Arial" w:eastAsia="Arial" w:hAnsi="Arial"/>
          <w:sz w:val="14"/>
          <w:szCs w:val="14"/>
          <w:color w:val="C3002F"/>
        </w:rPr>
      </w:pPr>
    </w:p>
    <w:p>
      <w:pPr>
        <w:ind w:left="480" w:hanging="213"/>
        <w:spacing w:after="0"/>
        <w:tabs>
          <w:tab w:leader="none" w:pos="480" w:val="left"/>
        </w:tabs>
        <w:numPr>
          <w:ilvl w:val="0"/>
          <w:numId w:val="63"/>
        </w:numPr>
        <w:rPr>
          <w:rFonts w:ascii="Arial" w:cs="Arial" w:eastAsia="Arial" w:hAnsi="Arial"/>
          <w:sz w:val="14"/>
          <w:szCs w:val="14"/>
          <w:color w:val="C3002F"/>
        </w:rPr>
      </w:pPr>
      <w:r>
        <w:rPr>
          <w:rFonts w:ascii="Arial" w:cs="Arial" w:eastAsia="Arial" w:hAnsi="Arial"/>
          <w:sz w:val="14"/>
          <w:szCs w:val="14"/>
          <w:color w:val="auto"/>
        </w:rPr>
        <w:t>require our executives to focus on both the short-term and long-term performance goals of the Company.</w:t>
      </w:r>
    </w:p>
    <w:p>
      <w:pPr>
        <w:spacing w:after="0" w:line="173" w:lineRule="exact"/>
        <w:rPr>
          <w:sz w:val="20"/>
          <w:szCs w:val="20"/>
          <w:color w:val="auto"/>
        </w:rPr>
      </w:pPr>
    </w:p>
    <w:p>
      <w:pPr>
        <w:ind w:left="260"/>
        <w:spacing w:after="0" w:line="243" w:lineRule="auto"/>
        <w:rPr>
          <w:sz w:val="20"/>
          <w:szCs w:val="20"/>
          <w:color w:val="auto"/>
        </w:rPr>
      </w:pPr>
      <w:r>
        <w:rPr>
          <w:rFonts w:ascii="Arial" w:cs="Arial" w:eastAsia="Arial" w:hAnsi="Arial"/>
          <w:sz w:val="14"/>
          <w:szCs w:val="14"/>
          <w:color w:val="auto"/>
        </w:rPr>
        <w:t>For 2017, the Committee approved base salary, annual performance compensation, and long-term incentive compensation for each NEO that was intended to be competitive with our peer group. Further, in setting the compensation of our NEOs, the Committee also took into consideration historical and individual circumstances, including our desire to attract new talent during a time of management transition. Factors also considered include tenure and experience, individual performance, anticipated future contributions, retention factors, including apparent career alternatives for each individual, and the availability of comparable data for certain positions.</w:t>
      </w:r>
    </w:p>
    <w:p>
      <w:pPr>
        <w:spacing w:after="0" w:line="162" w:lineRule="exact"/>
        <w:rPr>
          <w:sz w:val="20"/>
          <w:szCs w:val="20"/>
          <w:color w:val="auto"/>
        </w:rPr>
      </w:pPr>
    </w:p>
    <w:p>
      <w:pPr>
        <w:ind w:left="260"/>
        <w:spacing w:after="0" w:line="243" w:lineRule="auto"/>
        <w:rPr>
          <w:sz w:val="20"/>
          <w:szCs w:val="20"/>
          <w:color w:val="auto"/>
        </w:rPr>
      </w:pPr>
      <w:r>
        <w:rPr>
          <w:rFonts w:ascii="Arial" w:cs="Arial" w:eastAsia="Arial" w:hAnsi="Arial"/>
          <w:sz w:val="14"/>
          <w:szCs w:val="14"/>
          <w:color w:val="auto"/>
        </w:rPr>
        <w:t>The Committee believes a majority of executive compensation should be “at risk” — that is, the ultimate, realized value of the compensation is tied to the Company’s financial and equity performance. During periods when our financial performance meets or exceeds established objectives, we believe that NEOs should be rewarded under the incentive compensation programs for their efforts in achieving our goals. Likewise, when our performance does not meet the established goals, incentive compensation may be reduced.</w:t>
      </w:r>
    </w:p>
    <w:p>
      <w:pPr>
        <w:spacing w:after="0" w:line="358" w:lineRule="exact"/>
        <w:rPr>
          <w:sz w:val="20"/>
          <w:szCs w:val="20"/>
          <w:color w:val="auto"/>
        </w:rPr>
      </w:pPr>
    </w:p>
    <w:p>
      <w:pPr>
        <w:ind w:left="260" w:right="680"/>
        <w:spacing w:after="0" w:line="275" w:lineRule="auto"/>
        <w:rPr>
          <w:sz w:val="20"/>
          <w:szCs w:val="20"/>
          <w:color w:val="auto"/>
        </w:rPr>
      </w:pPr>
      <w:r>
        <w:rPr>
          <w:rFonts w:ascii="Arial" w:cs="Arial" w:eastAsia="Arial" w:hAnsi="Arial"/>
          <w:sz w:val="43"/>
          <w:szCs w:val="43"/>
          <w:b w:val="1"/>
          <w:bCs w:val="1"/>
          <w:color w:val="auto"/>
        </w:rPr>
        <w:t>ELEMENTS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-710565</wp:posOffset>
            </wp:positionV>
            <wp:extent cx="822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07" w:lineRule="exact"/>
        <w:rPr>
          <w:sz w:val="20"/>
          <w:szCs w:val="20"/>
          <w:color w:val="auto"/>
        </w:rPr>
      </w:pPr>
    </w:p>
    <w:p>
      <w:pPr>
        <w:ind w:left="260" w:right="20"/>
        <w:spacing w:after="0" w:line="246" w:lineRule="auto"/>
        <w:rPr>
          <w:sz w:val="20"/>
          <w:szCs w:val="20"/>
          <w:color w:val="auto"/>
        </w:rPr>
      </w:pPr>
      <w:r>
        <w:rPr>
          <w:rFonts w:ascii="Arial" w:cs="Arial" w:eastAsia="Arial" w:hAnsi="Arial"/>
          <w:sz w:val="14"/>
          <w:szCs w:val="14"/>
          <w:color w:val="auto"/>
        </w:rPr>
        <w:t>Our compensation program is designed to reward our NEOs for the achievement of strategic and operational goals as well as increased shareholder value, while avoiding excessive risk-taking. Below is a detailed discussion and analysis of each component of our executive compensation for our NEOs for 2017. All information should be read in conjunction with our 2017 Summary Compensation Table on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97790</wp:posOffset>
            </wp:positionV>
            <wp:extent cx="69176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620" w:hanging="353"/>
        <w:spacing w:after="0"/>
        <w:tabs>
          <w:tab w:leader="none" w:pos="620" w:val="left"/>
        </w:tabs>
        <w:numPr>
          <w:ilvl w:val="0"/>
          <w:numId w:val="64"/>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2018 Proxy Statement</w:t>
      </w:r>
    </w:p>
    <w:p>
      <w:pPr>
        <w:sectPr>
          <w:pgSz w:w="11900" w:h="16838" w:orient="portrait"/>
          <w:cols w:equalWidth="0" w:num="1">
            <w:col w:w="11160"/>
          </w:cols>
          <w:pgMar w:left="240" w:top="455"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64" w:lineRule="exact"/>
        <w:rPr>
          <w:sz w:val="20"/>
          <w:szCs w:val="20"/>
          <w:color w:val="auto"/>
        </w:rPr>
      </w:pPr>
    </w:p>
    <w:p>
      <w:pPr>
        <w:ind w:left="260" w:right="60"/>
        <w:spacing w:after="0" w:line="243" w:lineRule="auto"/>
        <w:rPr>
          <w:sz w:val="20"/>
          <w:szCs w:val="20"/>
          <w:color w:val="auto"/>
        </w:rPr>
      </w:pPr>
      <w:r>
        <w:rPr>
          <w:rFonts w:ascii="Arial" w:cs="Arial" w:eastAsia="Arial" w:hAnsi="Arial"/>
          <w:sz w:val="14"/>
          <w:szCs w:val="14"/>
          <w:color w:val="auto"/>
        </w:rPr>
        <w:t>For illustrative purposes, below is the compensation mix for our CEO and other NEOs, based on compensation information set forth in the 2017 Summary Compensation Table but excluding, to illustrate our general program design, the $3 million RSU inducement grant made to our current CEO. Additionally, the non-equity (cash) incentive is shown pro forma, using a target bonus to more accurately illustrate the at risk component of compensation. PSUs and RSUs are measured using the grant date fair value as set forth in the 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1064260</wp:posOffset>
            </wp:positionH>
            <wp:positionV relativeFrom="paragraph">
              <wp:posOffset>125730</wp:posOffset>
            </wp:positionV>
            <wp:extent cx="5128895" cy="13392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28895" cy="1339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80" w:hanging="213"/>
        <w:spacing w:after="0"/>
        <w:tabs>
          <w:tab w:leader="none" w:pos="4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Excludes $3 million RSU inducement award to our CEO.</w:t>
      </w:r>
    </w:p>
    <w:p>
      <w:pPr>
        <w:spacing w:after="0" w:line="39" w:lineRule="exact"/>
        <w:rPr>
          <w:sz w:val="20"/>
          <w:szCs w:val="20"/>
          <w:color w:val="auto"/>
        </w:rPr>
      </w:pPr>
    </w:p>
    <w:p>
      <w:pPr>
        <w:ind w:left="480" w:right="460" w:hanging="213"/>
        <w:spacing w:after="0" w:line="253" w:lineRule="auto"/>
        <w:tabs>
          <w:tab w:leader="none" w:pos="4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Non-Equity (Cash) Incentives are shown at target; actual amounts paid are set forth in the Summary Compensation Table on page 37 and, as a percentage of total compensation, were 3% for the CEO and 7% for the other current NEOs.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Percentagesare rounded to nearest whole number</w:t>
      </w:r>
    </w:p>
    <w:p>
      <w:pPr>
        <w:spacing w:after="0" w:line="368"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80"/>
        <w:spacing w:after="0" w:line="242" w:lineRule="auto"/>
        <w:rPr>
          <w:sz w:val="20"/>
          <w:szCs w:val="20"/>
          <w:color w:val="auto"/>
        </w:rPr>
      </w:pPr>
      <w:r>
        <w:rPr>
          <w:rFonts w:ascii="Arial" w:cs="Arial" w:eastAsia="Arial" w:hAnsi="Arial"/>
          <w:sz w:val="14"/>
          <w:szCs w:val="14"/>
          <w:color w:val="auto"/>
        </w:rPr>
        <w:t>Base salary provides a fixed level of compensation to the executive that is representative of his or her skills, responsibilities and experience. Base salaries for our executive officers are reviewed annually. Proposed changes to base salaries are reviewed by the Compensation Committee following recommendations from the CEO (excluding his own base salary) and the Vice President of Human Resources. The Committee does not rely on predetermined formulas or criteria when evaluating executive base salaries, but considers comparable market data provided by its independent compensation consultant. The Committee also considers individual contributions, retention and succession planning concerns in setting base salaries.</w:t>
      </w:r>
    </w:p>
    <w:p>
      <w:pPr>
        <w:spacing w:after="0" w:line="163" w:lineRule="exact"/>
        <w:rPr>
          <w:sz w:val="20"/>
          <w:szCs w:val="20"/>
          <w:color w:val="auto"/>
        </w:rPr>
      </w:pPr>
    </w:p>
    <w:p>
      <w:pPr>
        <w:ind w:left="260" w:right="120"/>
        <w:spacing w:after="0" w:line="242" w:lineRule="auto"/>
        <w:rPr>
          <w:sz w:val="20"/>
          <w:szCs w:val="20"/>
          <w:color w:val="auto"/>
        </w:rPr>
      </w:pPr>
      <w:r>
        <w:rPr>
          <w:rFonts w:ascii="Arial" w:cs="Arial" w:eastAsia="Arial" w:hAnsi="Arial"/>
          <w:sz w:val="14"/>
          <w:szCs w:val="14"/>
          <w:color w:val="auto"/>
        </w:rPr>
        <w:t>The table below shows the annual base salaries of the current NEOs effective after adjustments for the applicable year. Where adjustments were made during the year or where an executive officer joined mid-year, these amounts are different than the actual amount paid for the entire year. In light of the extreme client pricing pressures, lower activity and continuing energy industry decline, in March of 2016, all of our NEOs’ base salaries were reduced by 10% from April 1, 2016 until December 31, 2016. As the reductions were intended to be temporary during the downturn, they were restored to approved levels in 2017. See the 2017 Summary Compensation Table for the actual amounts paid.</w:t>
      </w:r>
    </w:p>
    <w:p>
      <w:pPr>
        <w:spacing w:after="0" w:line="197"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Executive</w:t>
            </w:r>
          </w:p>
        </w:tc>
        <w:tc>
          <w:tcPr>
            <w:tcW w:w="4440" w:type="dxa"/>
            <w:vAlign w:val="bottom"/>
            <w:tcBorders>
              <w:bottom w:val="single" w:sz="8" w:color="auto"/>
            </w:tcBorders>
            <w:gridSpan w:val="2"/>
          </w:tcPr>
          <w:p>
            <w:pPr>
              <w:ind w:left="3500"/>
              <w:spacing w:after="0"/>
              <w:rPr>
                <w:sz w:val="20"/>
                <w:szCs w:val="20"/>
                <w:color w:val="auto"/>
              </w:rPr>
            </w:pPr>
            <w:r>
              <w:rPr>
                <w:rFonts w:ascii="Arial" w:cs="Arial" w:eastAsia="Arial" w:hAnsi="Arial"/>
                <w:sz w:val="14"/>
                <w:szCs w:val="14"/>
                <w:color w:val="auto"/>
              </w:rPr>
              <w:t>2016 Salary</w:t>
            </w: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2017 Salary</w:t>
            </w: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2018 Salary</w:t>
            </w:r>
          </w:p>
        </w:tc>
      </w:tr>
      <w:tr>
        <w:trPr>
          <w:trHeight w:val="154"/>
        </w:trPr>
        <w:tc>
          <w:tcPr>
            <w:tcW w:w="438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Mr. McCollum</w:t>
            </w:r>
          </w:p>
        </w:tc>
        <w:tc>
          <w:tcPr>
            <w:tcW w:w="3660" w:type="dxa"/>
            <w:vAlign w:val="bottom"/>
            <w:tcBorders>
              <w:bottom w:val="single" w:sz="8" w:color="666666"/>
            </w:tcBorders>
          </w:tcPr>
          <w:p>
            <w:pPr>
              <w:spacing w:after="0"/>
              <w:rPr>
                <w:sz w:val="13"/>
                <w:szCs w:val="13"/>
                <w:color w:val="auto"/>
              </w:rPr>
            </w:pPr>
          </w:p>
        </w:tc>
        <w:tc>
          <w:tcPr>
            <w:tcW w:w="780" w:type="dxa"/>
            <w:vAlign w:val="bottom"/>
            <w:tcBorders>
              <w:bottom w:val="single" w:sz="8" w:color="666666"/>
            </w:tcBorders>
          </w:tcPr>
          <w:p>
            <w:pPr>
              <w:jc w:val="right"/>
              <w:ind w:right="109"/>
              <w:spacing w:after="0" w:line="153"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666666"/>
            </w:tcBorders>
          </w:tcPr>
          <w:p>
            <w:pPr>
              <w:ind w:left="180"/>
              <w:spacing w:after="0" w:line="15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666666"/>
            </w:tcBorders>
          </w:tcPr>
          <w:p>
            <w:pPr>
              <w:jc w:val="right"/>
              <w:ind w:right="89"/>
              <w:spacing w:after="0" w:line="153" w:lineRule="exact"/>
              <w:rPr>
                <w:sz w:val="20"/>
                <w:szCs w:val="20"/>
                <w:color w:val="auto"/>
              </w:rPr>
            </w:pPr>
            <w:r>
              <w:rPr>
                <w:rFonts w:ascii="Arial" w:cs="Arial" w:eastAsia="Arial" w:hAnsi="Arial"/>
                <w:sz w:val="14"/>
                <w:szCs w:val="14"/>
                <w:color w:val="auto"/>
              </w:rPr>
              <w:t>1,000,000</w:t>
            </w:r>
          </w:p>
        </w:tc>
        <w:tc>
          <w:tcPr>
            <w:tcW w:w="280" w:type="dxa"/>
            <w:vAlign w:val="bottom"/>
            <w:tcBorders>
              <w:bottom w:val="single" w:sz="8" w:color="666666"/>
            </w:tcBorders>
          </w:tcPr>
          <w:p>
            <w:pPr>
              <w:ind w:left="180"/>
              <w:spacing w:after="0" w:line="153"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1,000,000</w:t>
            </w:r>
          </w:p>
        </w:tc>
      </w:tr>
      <w:tr>
        <w:trPr>
          <w:trHeight w:val="154"/>
        </w:trPr>
        <w:tc>
          <w:tcPr>
            <w:tcW w:w="438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Mr. Bausch</w:t>
            </w:r>
          </w:p>
        </w:tc>
        <w:tc>
          <w:tcPr>
            <w:tcW w:w="3660" w:type="dxa"/>
            <w:vAlign w:val="bottom"/>
            <w:tcBorders>
              <w:bottom w:val="single" w:sz="8" w:color="666666"/>
            </w:tcBorders>
          </w:tcPr>
          <w:p>
            <w:pPr>
              <w:ind w:left="3500"/>
              <w:spacing w:after="0" w:line="15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666666"/>
            </w:tcBorders>
          </w:tcPr>
          <w:p>
            <w:pPr>
              <w:jc w:val="right"/>
              <w:ind w:right="109"/>
              <w:spacing w:after="0" w:line="153" w:lineRule="exact"/>
              <w:rPr>
                <w:sz w:val="20"/>
                <w:szCs w:val="20"/>
                <w:color w:val="auto"/>
              </w:rPr>
            </w:pPr>
            <w:r>
              <w:rPr>
                <w:rFonts w:ascii="Arial" w:cs="Arial" w:eastAsia="Arial" w:hAnsi="Arial"/>
                <w:sz w:val="14"/>
                <w:szCs w:val="14"/>
                <w:color w:val="auto"/>
              </w:rPr>
              <w:t>625,000</w:t>
            </w:r>
          </w:p>
        </w:tc>
        <w:tc>
          <w:tcPr>
            <w:tcW w:w="280" w:type="dxa"/>
            <w:vAlign w:val="bottom"/>
            <w:tcBorders>
              <w:bottom w:val="single" w:sz="8" w:color="666666"/>
            </w:tcBorders>
          </w:tcPr>
          <w:p>
            <w:pPr>
              <w:ind w:left="180"/>
              <w:spacing w:after="0" w:line="15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666666"/>
            </w:tcBorders>
          </w:tcPr>
          <w:p>
            <w:pPr>
              <w:jc w:val="right"/>
              <w:ind w:right="89"/>
              <w:spacing w:after="0" w:line="153" w:lineRule="exact"/>
              <w:rPr>
                <w:sz w:val="20"/>
                <w:szCs w:val="20"/>
                <w:color w:val="auto"/>
              </w:rPr>
            </w:pPr>
            <w:r>
              <w:rPr>
                <w:rFonts w:ascii="Arial" w:cs="Arial" w:eastAsia="Arial" w:hAnsi="Arial"/>
                <w:sz w:val="14"/>
                <w:szCs w:val="14"/>
                <w:color w:val="auto"/>
              </w:rPr>
              <w:t>625,000</w:t>
            </w:r>
          </w:p>
        </w:tc>
        <w:tc>
          <w:tcPr>
            <w:tcW w:w="280" w:type="dxa"/>
            <w:vAlign w:val="bottom"/>
            <w:tcBorders>
              <w:bottom w:val="single" w:sz="8" w:color="666666"/>
            </w:tcBorders>
          </w:tcPr>
          <w:p>
            <w:pPr>
              <w:ind w:left="180"/>
              <w:spacing w:after="0" w:line="153"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650,000</w:t>
            </w:r>
          </w:p>
        </w:tc>
      </w:tr>
      <w:tr>
        <w:trPr>
          <w:trHeight w:val="154"/>
        </w:trPr>
        <w:tc>
          <w:tcPr>
            <w:tcW w:w="438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Mrs. Ibrahim</w:t>
            </w:r>
          </w:p>
        </w:tc>
        <w:tc>
          <w:tcPr>
            <w:tcW w:w="3660" w:type="dxa"/>
            <w:vAlign w:val="bottom"/>
            <w:tcBorders>
              <w:bottom w:val="single" w:sz="8" w:color="666666"/>
            </w:tcBorders>
          </w:tcPr>
          <w:p>
            <w:pPr>
              <w:ind w:left="3500"/>
              <w:spacing w:after="0" w:line="15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666666"/>
            </w:tcBorders>
          </w:tcPr>
          <w:p>
            <w:pPr>
              <w:jc w:val="right"/>
              <w:ind w:right="109"/>
              <w:spacing w:after="0" w:line="153" w:lineRule="exact"/>
              <w:rPr>
                <w:sz w:val="20"/>
                <w:szCs w:val="20"/>
                <w:color w:val="auto"/>
              </w:rPr>
            </w:pPr>
            <w:r>
              <w:rPr>
                <w:rFonts w:ascii="Arial" w:cs="Arial" w:eastAsia="Arial" w:hAnsi="Arial"/>
                <w:sz w:val="14"/>
                <w:szCs w:val="14"/>
                <w:color w:val="auto"/>
              </w:rPr>
              <w:t>562,500</w:t>
            </w:r>
          </w:p>
        </w:tc>
        <w:tc>
          <w:tcPr>
            <w:tcW w:w="280" w:type="dxa"/>
            <w:vAlign w:val="bottom"/>
            <w:tcBorders>
              <w:bottom w:val="single" w:sz="8" w:color="666666"/>
            </w:tcBorders>
          </w:tcPr>
          <w:p>
            <w:pPr>
              <w:ind w:left="180"/>
              <w:spacing w:after="0" w:line="15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666666"/>
            </w:tcBorders>
          </w:tcPr>
          <w:p>
            <w:pPr>
              <w:jc w:val="right"/>
              <w:ind w:right="89"/>
              <w:spacing w:after="0" w:line="153" w:lineRule="exact"/>
              <w:rPr>
                <w:sz w:val="20"/>
                <w:szCs w:val="20"/>
                <w:color w:val="auto"/>
              </w:rPr>
            </w:pPr>
            <w:r>
              <w:rPr>
                <w:rFonts w:ascii="Arial" w:cs="Arial" w:eastAsia="Arial" w:hAnsi="Arial"/>
                <w:sz w:val="14"/>
                <w:szCs w:val="14"/>
                <w:color w:val="auto"/>
              </w:rPr>
              <w:t>625,000</w:t>
            </w:r>
          </w:p>
        </w:tc>
        <w:tc>
          <w:tcPr>
            <w:tcW w:w="280" w:type="dxa"/>
            <w:vAlign w:val="bottom"/>
            <w:tcBorders>
              <w:bottom w:val="single" w:sz="8" w:color="666666"/>
            </w:tcBorders>
          </w:tcPr>
          <w:p>
            <w:pPr>
              <w:ind w:left="180"/>
              <w:spacing w:after="0" w:line="153"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625,000</w:t>
            </w:r>
          </w:p>
        </w:tc>
      </w:tr>
      <w:tr>
        <w:trPr>
          <w:trHeight w:val="154"/>
        </w:trPr>
        <w:tc>
          <w:tcPr>
            <w:tcW w:w="438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Mr. Blanchard</w:t>
            </w:r>
          </w:p>
        </w:tc>
        <w:tc>
          <w:tcPr>
            <w:tcW w:w="3660" w:type="dxa"/>
            <w:vAlign w:val="bottom"/>
            <w:tcBorders>
              <w:bottom w:val="single" w:sz="8" w:color="666666"/>
            </w:tcBorders>
          </w:tcPr>
          <w:p>
            <w:pPr>
              <w:spacing w:after="0"/>
              <w:rPr>
                <w:sz w:val="13"/>
                <w:szCs w:val="13"/>
                <w:color w:val="auto"/>
              </w:rPr>
            </w:pPr>
          </w:p>
        </w:tc>
        <w:tc>
          <w:tcPr>
            <w:tcW w:w="780" w:type="dxa"/>
            <w:vAlign w:val="bottom"/>
            <w:tcBorders>
              <w:bottom w:val="single" w:sz="8" w:color="666666"/>
            </w:tcBorders>
          </w:tcPr>
          <w:p>
            <w:pPr>
              <w:jc w:val="right"/>
              <w:ind w:right="109"/>
              <w:spacing w:after="0" w:line="153"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666666"/>
            </w:tcBorders>
          </w:tcPr>
          <w:p>
            <w:pPr>
              <w:ind w:left="180"/>
              <w:spacing w:after="0" w:line="15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666666"/>
            </w:tcBorders>
          </w:tcPr>
          <w:p>
            <w:pPr>
              <w:jc w:val="right"/>
              <w:ind w:right="89"/>
              <w:spacing w:after="0" w:line="153" w:lineRule="exact"/>
              <w:rPr>
                <w:sz w:val="20"/>
                <w:szCs w:val="20"/>
                <w:color w:val="auto"/>
              </w:rPr>
            </w:pPr>
            <w:r>
              <w:rPr>
                <w:rFonts w:ascii="Arial" w:cs="Arial" w:eastAsia="Arial" w:hAnsi="Arial"/>
                <w:sz w:val="14"/>
                <w:szCs w:val="14"/>
                <w:color w:val="auto"/>
              </w:rPr>
              <w:t>700,000</w:t>
            </w:r>
          </w:p>
        </w:tc>
        <w:tc>
          <w:tcPr>
            <w:tcW w:w="280" w:type="dxa"/>
            <w:vAlign w:val="bottom"/>
            <w:tcBorders>
              <w:bottom w:val="single" w:sz="8" w:color="666666"/>
            </w:tcBorders>
          </w:tcPr>
          <w:p>
            <w:pPr>
              <w:ind w:left="180"/>
              <w:spacing w:after="0" w:line="153"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700,000</w:t>
            </w:r>
          </w:p>
        </w:tc>
      </w:tr>
      <w:tr>
        <w:trPr>
          <w:trHeight w:val="154"/>
        </w:trPr>
        <w:tc>
          <w:tcPr>
            <w:tcW w:w="438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Mr. Mills</w:t>
            </w:r>
          </w:p>
        </w:tc>
        <w:tc>
          <w:tcPr>
            <w:tcW w:w="3660" w:type="dxa"/>
            <w:vAlign w:val="bottom"/>
            <w:tcBorders>
              <w:bottom w:val="single" w:sz="8" w:color="auto"/>
            </w:tcBorders>
          </w:tcPr>
          <w:p>
            <w:pPr>
              <w:ind w:left="3500"/>
              <w:spacing w:after="0" w:line="15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9"/>
              <w:spacing w:after="0" w:line="153" w:lineRule="exact"/>
              <w:rPr>
                <w:sz w:val="20"/>
                <w:szCs w:val="20"/>
                <w:color w:val="auto"/>
              </w:rPr>
            </w:pPr>
            <w:r>
              <w:rPr>
                <w:rFonts w:ascii="Arial" w:cs="Arial" w:eastAsia="Arial" w:hAnsi="Arial"/>
                <w:sz w:val="14"/>
                <w:szCs w:val="14"/>
                <w:color w:val="auto"/>
              </w:rPr>
              <w:t>315,000</w:t>
            </w:r>
          </w:p>
        </w:tc>
        <w:tc>
          <w:tcPr>
            <w:tcW w:w="280" w:type="dxa"/>
            <w:vAlign w:val="bottom"/>
            <w:tcBorders>
              <w:bottom w:val="single" w:sz="8" w:color="auto"/>
            </w:tcBorders>
          </w:tcPr>
          <w:p>
            <w:pPr>
              <w:ind w:left="180"/>
              <w:spacing w:after="0" w:line="15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color w:val="auto"/>
              </w:rPr>
              <w:t>400,000</w:t>
            </w:r>
          </w:p>
        </w:tc>
        <w:tc>
          <w:tcPr>
            <w:tcW w:w="280" w:type="dxa"/>
            <w:vAlign w:val="bottom"/>
            <w:tcBorders>
              <w:bottom w:val="single" w:sz="8" w:color="auto"/>
            </w:tcBorders>
          </w:tcPr>
          <w:p>
            <w:pPr>
              <w:ind w:left="180"/>
              <w:spacing w:after="0" w:line="153"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400,000</w:t>
            </w:r>
          </w:p>
        </w:tc>
      </w:tr>
    </w:tbl>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With respect to each individual’s salary:</w:t>
      </w:r>
    </w:p>
    <w:p>
      <w:pPr>
        <w:spacing w:after="0" w:line="213" w:lineRule="exact"/>
        <w:rPr>
          <w:sz w:val="20"/>
          <w:szCs w:val="20"/>
          <w:color w:val="auto"/>
        </w:rPr>
      </w:pPr>
    </w:p>
    <w:p>
      <w:pPr>
        <w:jc w:val="both"/>
        <w:ind w:left="480" w:right="20" w:hanging="213"/>
        <w:spacing w:after="0" w:line="246" w:lineRule="auto"/>
        <w:tabs>
          <w:tab w:leader="none" w:pos="480" w:val="left"/>
        </w:tabs>
        <w:numPr>
          <w:ilvl w:val="0"/>
          <w:numId w:val="67"/>
        </w:numPr>
        <w:rPr>
          <w:rFonts w:ascii="Arial" w:cs="Arial" w:eastAsia="Arial" w:hAnsi="Arial"/>
          <w:sz w:val="14"/>
          <w:szCs w:val="14"/>
          <w:color w:val="C3002F"/>
        </w:rPr>
      </w:pPr>
      <w:r>
        <w:rPr>
          <w:rFonts w:ascii="Arial" w:cs="Arial" w:eastAsia="Arial" w:hAnsi="Arial"/>
          <w:sz w:val="14"/>
          <w:szCs w:val="14"/>
          <w:color w:val="auto"/>
        </w:rPr>
        <w:t>Mr. McCollum joined the Company in April 2017. His salary was determined when he joined the Company based on market information and factors, his wealth of industry and executive leadership experience, the need to attract a premier chief executive officer with the ability to drive significant financial and operational performance, and the value he was giving up at his previous employer. No increase was made for 2018.</w:t>
      </w:r>
    </w:p>
    <w:p>
      <w:pPr>
        <w:spacing w:after="0" w:line="199" w:lineRule="exact"/>
        <w:rPr>
          <w:rFonts w:ascii="Arial" w:cs="Arial" w:eastAsia="Arial" w:hAnsi="Arial"/>
          <w:sz w:val="14"/>
          <w:szCs w:val="14"/>
          <w:color w:val="C3002F"/>
        </w:rPr>
      </w:pPr>
    </w:p>
    <w:p>
      <w:pPr>
        <w:ind w:left="480" w:right="160" w:hanging="213"/>
        <w:spacing w:after="0" w:line="243" w:lineRule="auto"/>
        <w:tabs>
          <w:tab w:leader="none" w:pos="480" w:val="left"/>
        </w:tabs>
        <w:numPr>
          <w:ilvl w:val="0"/>
          <w:numId w:val="67"/>
        </w:numPr>
        <w:rPr>
          <w:rFonts w:ascii="Arial" w:cs="Arial" w:eastAsia="Arial" w:hAnsi="Arial"/>
          <w:sz w:val="14"/>
          <w:szCs w:val="14"/>
          <w:color w:val="C3002F"/>
        </w:rPr>
      </w:pPr>
      <w:r>
        <w:rPr>
          <w:rFonts w:ascii="Arial" w:cs="Arial" w:eastAsia="Arial" w:hAnsi="Arial"/>
          <w:sz w:val="14"/>
          <w:szCs w:val="14"/>
          <w:color w:val="auto"/>
        </w:rPr>
        <w:t>Mr. Bausch joined the Company in May 2016 and was promoted to Executive Vice President and Chief Financial Officer in December 2016. Mr. Bausch’s salary was determined when he was promoted based on his elevation to Chief Financial Officer, market factors, including a thorough evaluation of compensation information of our peers, his industry and financial experience and his background. No increase was approved in 2017; however, a modest increase has been made in 2018 based on market factors and a desire for retention.</w:t>
      </w:r>
    </w:p>
    <w:p>
      <w:pPr>
        <w:spacing w:after="0" w:line="202" w:lineRule="exact"/>
        <w:rPr>
          <w:rFonts w:ascii="Arial" w:cs="Arial" w:eastAsia="Arial" w:hAnsi="Arial"/>
          <w:sz w:val="14"/>
          <w:szCs w:val="14"/>
          <w:color w:val="C3002F"/>
        </w:rPr>
      </w:pPr>
    </w:p>
    <w:p>
      <w:pPr>
        <w:ind w:left="480" w:right="100" w:hanging="213"/>
        <w:spacing w:after="0" w:line="246" w:lineRule="auto"/>
        <w:tabs>
          <w:tab w:leader="none" w:pos="480" w:val="left"/>
        </w:tabs>
        <w:numPr>
          <w:ilvl w:val="0"/>
          <w:numId w:val="67"/>
        </w:numPr>
        <w:rPr>
          <w:rFonts w:ascii="Arial" w:cs="Arial" w:eastAsia="Arial" w:hAnsi="Arial"/>
          <w:sz w:val="14"/>
          <w:szCs w:val="14"/>
          <w:color w:val="C3002F"/>
        </w:rPr>
      </w:pPr>
      <w:r>
        <w:rPr>
          <w:rFonts w:ascii="Arial" w:cs="Arial" w:eastAsia="Arial" w:hAnsi="Arial"/>
          <w:sz w:val="14"/>
          <w:szCs w:val="14"/>
          <w:color w:val="auto"/>
        </w:rPr>
        <w:t>Mrs. Ibrahim’s salary was determined when she joined the Company in May of 2015 based on market factors, her significant leadership, legal and industry experience, the importance of the general counsel role to Weatherford, the departure of the prior general counsel, and the value she was giving up by leaving her previous employer. Her salary was decreased in 2016 due to the industry downturn and restored in 2017. No increase was made for 2018.</w:t>
      </w:r>
    </w:p>
    <w:p>
      <w:pPr>
        <w:spacing w:after="0" w:line="199" w:lineRule="exact"/>
        <w:rPr>
          <w:rFonts w:ascii="Arial" w:cs="Arial" w:eastAsia="Arial" w:hAnsi="Arial"/>
          <w:sz w:val="14"/>
          <w:szCs w:val="14"/>
          <w:color w:val="C3002F"/>
        </w:rPr>
      </w:pPr>
    </w:p>
    <w:p>
      <w:pPr>
        <w:ind w:left="480" w:right="260" w:hanging="213"/>
        <w:spacing w:after="0" w:line="246" w:lineRule="auto"/>
        <w:tabs>
          <w:tab w:leader="none" w:pos="480" w:val="left"/>
        </w:tabs>
        <w:numPr>
          <w:ilvl w:val="0"/>
          <w:numId w:val="67"/>
        </w:numPr>
        <w:rPr>
          <w:rFonts w:ascii="Arial" w:cs="Arial" w:eastAsia="Arial" w:hAnsi="Arial"/>
          <w:sz w:val="14"/>
          <w:szCs w:val="14"/>
          <w:color w:val="C3002F"/>
        </w:rPr>
      </w:pPr>
      <w:r>
        <w:rPr>
          <w:rFonts w:ascii="Arial" w:cs="Arial" w:eastAsia="Arial" w:hAnsi="Arial"/>
          <w:sz w:val="14"/>
          <w:szCs w:val="14"/>
          <w:color w:val="auto"/>
        </w:rPr>
        <w:t>Mr. Blanchard joined the Company in August 2017 and his salary was determined when he joined the Company based on market factors, his significant industry experience, the desire to attract a highly effective industry and operational leader to the Company, and other opportunities available to him. No increase was made for 2018.</w:t>
      </w:r>
    </w:p>
    <w:p>
      <w:pPr>
        <w:spacing w:after="0" w:line="199" w:lineRule="exact"/>
        <w:rPr>
          <w:rFonts w:ascii="Arial" w:cs="Arial" w:eastAsia="Arial" w:hAnsi="Arial"/>
          <w:sz w:val="14"/>
          <w:szCs w:val="14"/>
          <w:color w:val="C3002F"/>
        </w:rPr>
      </w:pPr>
    </w:p>
    <w:p>
      <w:pPr>
        <w:jc w:val="both"/>
        <w:ind w:left="480" w:right="60" w:hanging="213"/>
        <w:spacing w:after="0" w:line="246" w:lineRule="auto"/>
        <w:tabs>
          <w:tab w:leader="none" w:pos="480" w:val="left"/>
        </w:tabs>
        <w:numPr>
          <w:ilvl w:val="0"/>
          <w:numId w:val="67"/>
        </w:numPr>
        <w:rPr>
          <w:rFonts w:ascii="Arial" w:cs="Arial" w:eastAsia="Arial" w:hAnsi="Arial"/>
          <w:sz w:val="14"/>
          <w:szCs w:val="14"/>
          <w:color w:val="C3002F"/>
        </w:rPr>
      </w:pPr>
      <w:r>
        <w:rPr>
          <w:rFonts w:ascii="Arial" w:cs="Arial" w:eastAsia="Arial" w:hAnsi="Arial"/>
          <w:sz w:val="14"/>
          <w:szCs w:val="14"/>
          <w:color w:val="auto"/>
        </w:rPr>
        <w:t>Mr. Mills became a NEO in 2016. His salary has been set based on market factors, responsibilities and the total personal contributions he has made to the Company. His salary was decreased in 2016 due to the industry downturn and increased in the first quarter of 2017 due to market factors, his critical skills and a desire for retention, as well has his significant contributions to the Company during 2016. No increase was made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208280</wp:posOffset>
            </wp:positionV>
            <wp:extent cx="69176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ectPr>
          <w:pgSz w:w="11900" w:h="16838" w:orient="portrait"/>
          <w:cols w:equalWidth="0" w:num="1">
            <w:col w:w="11160"/>
          </w:cols>
          <w:pgMar w:left="240" w:top="456" w:right="49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7360"/>
        <w:spacing w:after="0"/>
        <w:tabs>
          <w:tab w:leader="none" w:pos="10980" w:val="left"/>
        </w:tabs>
        <w:rPr>
          <w:sz w:val="20"/>
          <w:szCs w:val="20"/>
          <w:color w:val="auto"/>
        </w:rPr>
      </w:pPr>
      <w:r>
        <w:rPr>
          <w:rFonts w:ascii="Arial" w:cs="Arial" w:eastAsia="Arial" w:hAnsi="Arial"/>
          <w:sz w:val="14"/>
          <w:szCs w:val="14"/>
          <w:color w:val="666666"/>
        </w:rPr>
        <w:t>Weatherford International plc — 2018 Proxy Statement</w:t>
      </w:r>
      <w:r>
        <w:rPr>
          <w:sz w:val="20"/>
          <w:szCs w:val="20"/>
          <w:color w:val="auto"/>
        </w:rPr>
        <w:tab/>
      </w:r>
      <w:r>
        <w:rPr>
          <w:rFonts w:ascii="Arial" w:cs="Arial" w:eastAsia="Arial" w:hAnsi="Arial"/>
          <w:sz w:val="14"/>
          <w:szCs w:val="14"/>
          <w:b w:val="1"/>
          <w:bCs w:val="1"/>
          <w:color w:val="666666"/>
        </w:rPr>
        <w:t>25</w:t>
      </w:r>
    </w:p>
    <w:p>
      <w:pPr>
        <w:sectPr>
          <w:pgSz w:w="11900" w:h="16838" w:orient="portrait"/>
          <w:cols w:equalWidth="0" w:num="1">
            <w:col w:w="11160"/>
          </w:cols>
          <w:pgMar w:left="240" w:top="456" w:right="49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338455</wp:posOffset>
            </wp:positionV>
            <wp:extent cx="822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260"/>
        <w:spacing w:after="0"/>
        <w:rPr>
          <w:sz w:val="20"/>
          <w:szCs w:val="20"/>
          <w:color w:val="auto"/>
        </w:rPr>
      </w:pPr>
      <w:r>
        <w:rPr>
          <w:rFonts w:ascii="Arial" w:cs="Arial" w:eastAsia="Arial" w:hAnsi="Arial"/>
          <w:sz w:val="28"/>
          <w:szCs w:val="28"/>
          <w:b w:val="1"/>
          <w:bCs w:val="1"/>
          <w:color w:val="C3002F"/>
        </w:rPr>
        <w:t>SIGN-ON BONUSES</w:t>
      </w:r>
    </w:p>
    <w:p>
      <w:pPr>
        <w:spacing w:after="0" w:line="270" w:lineRule="exact"/>
        <w:rPr>
          <w:sz w:val="20"/>
          <w:szCs w:val="20"/>
          <w:color w:val="auto"/>
        </w:rPr>
      </w:pPr>
    </w:p>
    <w:p>
      <w:pPr>
        <w:ind w:left="260" w:right="620"/>
        <w:spacing w:after="0" w:line="253" w:lineRule="auto"/>
        <w:rPr>
          <w:sz w:val="20"/>
          <w:szCs w:val="20"/>
          <w:color w:val="auto"/>
        </w:rPr>
      </w:pPr>
      <w:r>
        <w:rPr>
          <w:rFonts w:ascii="Arial" w:cs="Arial" w:eastAsia="Arial" w:hAnsi="Arial"/>
          <w:sz w:val="14"/>
          <w:szCs w:val="14"/>
          <w:color w:val="auto"/>
        </w:rPr>
        <w:t>While our Company does not have a policy of paying sign-on bonuses, the Company will consider one-time sign-on bonuses to induce certain employees (including executives) to join the Company. No cash sign-on bonuses were paid to NEOs joining the Company in 2017.</w:t>
      </w:r>
    </w:p>
    <w:p>
      <w:pPr>
        <w:spacing w:after="0" w:line="350"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OTHER SUPPLEMENTAL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20"/>
        <w:spacing w:after="0" w:line="241" w:lineRule="auto"/>
        <w:rPr>
          <w:sz w:val="20"/>
          <w:szCs w:val="20"/>
          <w:color w:val="auto"/>
        </w:rPr>
      </w:pPr>
      <w:r>
        <w:rPr>
          <w:rFonts w:ascii="Arial" w:cs="Arial" w:eastAsia="Arial" w:hAnsi="Arial"/>
          <w:sz w:val="14"/>
          <w:szCs w:val="14"/>
          <w:color w:val="auto"/>
        </w:rPr>
        <w:t>In connection with his promotion to, and for acting as, interim CEO of the Company during a portion of 2017, Mr. Shivram was paid a supplemental quarterly cash payment of $400,000, prorated from November 9, 2016 to March 6, 2017. Mr. Shivram was also eligible for an additional performance bonus of up to $1.5 million, based on the successful achievement of certain measurable (non-discretionary) objectives during his service as interim CEO. These objectives included two separate successful equity raises of up to a certain dollar amount, a debt raise of up to $500 million, and certain actions related to the Company’s pressure pumping leases. Each objective was given a 25% weight. A payment of $1,125,000 out of a possible $1,500,000 based on achievement of three of the four objectives was made on June 6, 2017. An additional payment of $375,000 was made for his significant contributions to the Company during his interim service as CEO. These payments were made 90 days after the Company’s permanent CEO was named. Payment would have been forfeited if Mr. Shivram voluntarily terminated his employment prior to the Company’s permanent CEO being named.</w:t>
      </w:r>
    </w:p>
    <w:p>
      <w:pPr>
        <w:spacing w:after="0" w:line="163" w:lineRule="exact"/>
        <w:rPr>
          <w:sz w:val="20"/>
          <w:szCs w:val="20"/>
          <w:color w:val="auto"/>
        </w:rPr>
      </w:pPr>
    </w:p>
    <w:p>
      <w:pPr>
        <w:ind w:left="260" w:right="40"/>
        <w:spacing w:after="0"/>
        <w:rPr>
          <w:sz w:val="20"/>
          <w:szCs w:val="20"/>
          <w:color w:val="auto"/>
        </w:rPr>
      </w:pPr>
      <w:r>
        <w:rPr>
          <w:rFonts w:ascii="Arial" w:cs="Arial" w:eastAsia="Arial" w:hAnsi="Arial"/>
          <w:sz w:val="14"/>
          <w:szCs w:val="14"/>
          <w:color w:val="auto"/>
        </w:rPr>
        <w:t xml:space="preserve">In deciding to provide Mr. Shivram with the foregoing additional compensation amounts, the Committee considered the following: Mr. Shivram’s vast industry experience, operational expertise, and financial acumen; the need to compensate him during an uncertain period while the Board conducted a thorough CEO search; a focus on increased compensation, in-line with peer company chief executive officers, </w:t>
      </w:r>
      <w:r>
        <w:rPr>
          <w:rFonts w:ascii="Arial" w:cs="Arial" w:eastAsia="Arial" w:hAnsi="Arial"/>
          <w:sz w:val="14"/>
          <w:szCs w:val="14"/>
          <w:i w:val="1"/>
          <w:iCs w:val="1"/>
          <w:color w:val="auto"/>
        </w:rPr>
        <w:t>without</w:t>
      </w:r>
      <w:r>
        <w:rPr>
          <w:rFonts w:ascii="Arial" w:cs="Arial" w:eastAsia="Arial" w:hAnsi="Arial"/>
          <w:sz w:val="14"/>
          <w:szCs w:val="14"/>
          <w:color w:val="auto"/>
        </w:rPr>
        <w:t xml:space="preserve"> an increase in potential retirement or severance benefits under his existing employment contract; ensuring that at least 50% of the additional compensation was tied to achievement of key and critical short-term objectives needed for the ongoing success of the Company, especially in light of the downturn and need to aggressively manage the Company’s capital structure and provide the market with confidence following the former CEO’s departure; and requiring payment of the additional bonus amounts only 90 days after the selection of a non-interim chief executive officer, thus allowing for a period of time to pass in the event he was not named chief executive officer and the Company requested he serve during a transition period to facilitate a smooth handover of responsibility.</w:t>
      </w:r>
    </w:p>
    <w:p>
      <w:pPr>
        <w:spacing w:after="0" w:line="200" w:lineRule="exact"/>
        <w:rPr>
          <w:sz w:val="20"/>
          <w:szCs w:val="20"/>
          <w:color w:val="auto"/>
        </w:rPr>
      </w:pPr>
    </w:p>
    <w:p>
      <w:pPr>
        <w:spacing w:after="0" w:line="324"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ANNUAL CASH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100"/>
        <w:spacing w:after="0" w:line="242" w:lineRule="auto"/>
        <w:rPr>
          <w:sz w:val="20"/>
          <w:szCs w:val="20"/>
          <w:color w:val="auto"/>
        </w:rPr>
      </w:pPr>
      <w:r>
        <w:rPr>
          <w:rFonts w:ascii="Arial" w:cs="Arial" w:eastAsia="Arial" w:hAnsi="Arial"/>
          <w:sz w:val="14"/>
          <w:szCs w:val="14"/>
          <w:color w:val="auto"/>
        </w:rPr>
        <w:t>Our annual cash incentive compensation is generally structured to deliver payouts in line with market multiples when performance targets are achieved or exceeded. During the first quarter of each year the Committee establishes the terms of any awards under our Executive Non-Equity Incentive Compensation Plan (the “EICP”), including the financial metrics and goals for each award. While the EICP awards for NEOs are determined primarily based on predetermined formulaic financial metrics aligned with the Company’s strategic and financial goals, an executive’s individual performance or specific function and functional objectives have also been taken into account when the Committee establishes the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227330</wp:posOffset>
            </wp:positionV>
            <wp:extent cx="822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352" w:lineRule="exact"/>
        <w:rPr>
          <w:sz w:val="20"/>
          <w:szCs w:val="20"/>
          <w:color w:val="auto"/>
        </w:rPr>
      </w:pPr>
    </w:p>
    <w:p>
      <w:pPr>
        <w:ind w:left="260"/>
        <w:spacing w:after="0"/>
        <w:rPr>
          <w:sz w:val="20"/>
          <w:szCs w:val="20"/>
          <w:color w:val="auto"/>
        </w:rPr>
      </w:pPr>
      <w:r>
        <w:rPr>
          <w:rFonts w:ascii="Arial" w:cs="Arial" w:eastAsia="Arial" w:hAnsi="Arial"/>
          <w:sz w:val="28"/>
          <w:szCs w:val="28"/>
          <w:b w:val="1"/>
          <w:bCs w:val="1"/>
          <w:color w:val="C3002F"/>
        </w:rPr>
        <w:t>2017 TARGET GOALS</w:t>
      </w:r>
    </w:p>
    <w:p>
      <w:pPr>
        <w:spacing w:after="0" w:line="270" w:lineRule="exact"/>
        <w:rPr>
          <w:sz w:val="20"/>
          <w:szCs w:val="20"/>
          <w:color w:val="auto"/>
        </w:rPr>
      </w:pPr>
    </w:p>
    <w:p>
      <w:pPr>
        <w:ind w:left="260" w:right="80"/>
        <w:spacing w:after="0" w:line="246" w:lineRule="auto"/>
        <w:rPr>
          <w:sz w:val="20"/>
          <w:szCs w:val="20"/>
          <w:color w:val="auto"/>
        </w:rPr>
      </w:pPr>
      <w:r>
        <w:rPr>
          <w:rFonts w:ascii="Arial" w:cs="Arial" w:eastAsia="Arial" w:hAnsi="Arial"/>
          <w:sz w:val="14"/>
          <w:szCs w:val="14"/>
          <w:color w:val="auto"/>
        </w:rPr>
        <w:t>For each metric under the EICP, the Committee establishes objective goals at three levels: threshold, target, and superior, as further described below. The goal is expressed as a percentage of base salary in effect at the end of the plan year, with a percentage determined for achievement of threshold, target, or superior level. If our results fall between levels, the award payment is determined by linear interpolation to derive the percentage of base salary that will be paid in respect of such award.</w:t>
      </w:r>
    </w:p>
    <w:p>
      <w:pPr>
        <w:spacing w:after="0" w:line="221" w:lineRule="exact"/>
        <w:rPr>
          <w:sz w:val="20"/>
          <w:szCs w:val="20"/>
          <w:color w:val="auto"/>
        </w:rPr>
      </w:pPr>
    </w:p>
    <w:tbl>
      <w:tblPr>
        <w:tblLayout w:type="fixed"/>
        <w:tblInd w:w="26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000" w:type="dxa"/>
            <w:vAlign w:val="bottom"/>
            <w:shd w:val="clear" w:color="auto" w:fill="D8D8D8"/>
          </w:tcPr>
          <w:p>
            <w:pPr>
              <w:ind w:left="80"/>
              <w:spacing w:after="0"/>
              <w:rPr>
                <w:sz w:val="20"/>
                <w:szCs w:val="20"/>
                <w:color w:val="auto"/>
              </w:rPr>
            </w:pPr>
            <w:r>
              <w:rPr>
                <w:rFonts w:ascii="Arial" w:cs="Arial" w:eastAsia="Arial" w:hAnsi="Arial"/>
                <w:sz w:val="14"/>
                <w:szCs w:val="14"/>
                <w:color w:val="C3002F"/>
              </w:rPr>
              <w:t>THRESHOLD</w:t>
            </w:r>
          </w:p>
        </w:tc>
        <w:tc>
          <w:tcPr>
            <w:tcW w:w="160" w:type="dxa"/>
            <w:vAlign w:val="bottom"/>
          </w:tcPr>
          <w:p>
            <w:pPr>
              <w:spacing w:after="0"/>
              <w:rPr>
                <w:sz w:val="16"/>
                <w:szCs w:val="16"/>
                <w:color w:val="auto"/>
              </w:rPr>
            </w:pPr>
          </w:p>
        </w:tc>
        <w:tc>
          <w:tcPr>
            <w:tcW w:w="1840" w:type="dxa"/>
            <w:vAlign w:val="bottom"/>
            <w:shd w:val="clear" w:color="auto" w:fill="D8D8D8"/>
          </w:tcPr>
          <w:p>
            <w:pPr>
              <w:ind w:left="80"/>
              <w:spacing w:after="0"/>
              <w:rPr>
                <w:sz w:val="20"/>
                <w:szCs w:val="20"/>
                <w:color w:val="auto"/>
              </w:rPr>
            </w:pPr>
            <w:r>
              <w:rPr>
                <w:rFonts w:ascii="Arial" w:cs="Arial" w:eastAsia="Arial" w:hAnsi="Arial"/>
                <w:sz w:val="14"/>
                <w:szCs w:val="14"/>
                <w:color w:val="C3002F"/>
              </w:rPr>
              <w:t>TARGET</w:t>
            </w:r>
          </w:p>
        </w:tc>
        <w:tc>
          <w:tcPr>
            <w:tcW w:w="160" w:type="dxa"/>
            <w:vAlign w:val="bottom"/>
          </w:tcPr>
          <w:p>
            <w:pPr>
              <w:spacing w:after="0"/>
              <w:rPr>
                <w:sz w:val="16"/>
                <w:szCs w:val="16"/>
                <w:color w:val="auto"/>
              </w:rPr>
            </w:pPr>
          </w:p>
        </w:tc>
        <w:tc>
          <w:tcPr>
            <w:tcW w:w="1520" w:type="dxa"/>
            <w:vAlign w:val="bottom"/>
            <w:shd w:val="clear" w:color="auto" w:fill="D8D8D8"/>
          </w:tcPr>
          <w:p>
            <w:pPr>
              <w:ind w:left="80"/>
              <w:spacing w:after="0"/>
              <w:rPr>
                <w:sz w:val="20"/>
                <w:szCs w:val="20"/>
                <w:color w:val="auto"/>
              </w:rPr>
            </w:pPr>
            <w:r>
              <w:rPr>
                <w:rFonts w:ascii="Arial" w:cs="Arial" w:eastAsia="Arial" w:hAnsi="Arial"/>
                <w:sz w:val="14"/>
                <w:szCs w:val="14"/>
                <w:color w:val="C3002F"/>
              </w:rPr>
              <w:t>SUPERIOR</w:t>
            </w:r>
          </w:p>
        </w:tc>
      </w:tr>
      <w:tr>
        <w:trPr>
          <w:trHeight w:val="214"/>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00" w:type="dxa"/>
            <w:vAlign w:val="bottom"/>
            <w:shd w:val="clear" w:color="auto" w:fill="D8D8D8"/>
          </w:tcPr>
          <w:p>
            <w:pPr>
              <w:ind w:left="80"/>
              <w:spacing w:after="0"/>
              <w:rPr>
                <w:sz w:val="20"/>
                <w:szCs w:val="20"/>
                <w:color w:val="auto"/>
              </w:rPr>
            </w:pPr>
            <w:r>
              <w:rPr>
                <w:rFonts w:ascii="Arial" w:cs="Arial" w:eastAsia="Arial" w:hAnsi="Arial"/>
                <w:sz w:val="14"/>
                <w:szCs w:val="14"/>
                <w:color w:val="auto"/>
              </w:rPr>
              <w:t>Threshold is the entry-level of</w:t>
            </w:r>
          </w:p>
        </w:tc>
        <w:tc>
          <w:tcPr>
            <w:tcW w:w="160" w:type="dxa"/>
            <w:vAlign w:val="bottom"/>
          </w:tcPr>
          <w:p>
            <w:pPr>
              <w:spacing w:after="0"/>
              <w:rPr>
                <w:sz w:val="18"/>
                <w:szCs w:val="18"/>
                <w:color w:val="auto"/>
              </w:rPr>
            </w:pPr>
          </w:p>
        </w:tc>
        <w:tc>
          <w:tcPr>
            <w:tcW w:w="1840" w:type="dxa"/>
            <w:vAlign w:val="bottom"/>
            <w:shd w:val="clear" w:color="auto" w:fill="D8D8D8"/>
          </w:tcPr>
          <w:p>
            <w:pPr>
              <w:ind w:left="80"/>
              <w:spacing w:after="0"/>
              <w:rPr>
                <w:sz w:val="20"/>
                <w:szCs w:val="20"/>
                <w:color w:val="auto"/>
              </w:rPr>
            </w:pPr>
            <w:r>
              <w:rPr>
                <w:rFonts w:ascii="Arial" w:cs="Arial" w:eastAsia="Arial" w:hAnsi="Arial"/>
                <w:sz w:val="14"/>
                <w:szCs w:val="14"/>
                <w:color w:val="auto"/>
              </w:rPr>
              <w:t>Target represents a strong,</w:t>
            </w:r>
          </w:p>
        </w:tc>
        <w:tc>
          <w:tcPr>
            <w:tcW w:w="160" w:type="dxa"/>
            <w:vAlign w:val="bottom"/>
          </w:tcPr>
          <w:p>
            <w:pPr>
              <w:spacing w:after="0"/>
              <w:rPr>
                <w:sz w:val="18"/>
                <w:szCs w:val="18"/>
                <w:color w:val="auto"/>
              </w:rPr>
            </w:pPr>
          </w:p>
        </w:tc>
        <w:tc>
          <w:tcPr>
            <w:tcW w:w="1520" w:type="dxa"/>
            <w:vAlign w:val="bottom"/>
            <w:shd w:val="clear" w:color="auto" w:fill="D8D8D8"/>
          </w:tcPr>
          <w:p>
            <w:pPr>
              <w:ind w:left="80"/>
              <w:spacing w:after="0"/>
              <w:rPr>
                <w:sz w:val="20"/>
                <w:szCs w:val="20"/>
                <w:color w:val="auto"/>
              </w:rPr>
            </w:pPr>
            <w:r>
              <w:rPr>
                <w:rFonts w:ascii="Arial" w:cs="Arial" w:eastAsia="Arial" w:hAnsi="Arial"/>
                <w:sz w:val="14"/>
                <w:szCs w:val="14"/>
                <w:color w:val="auto"/>
                <w:w w:val="99"/>
              </w:rPr>
              <w:t>Superior represents an</w:t>
            </w:r>
          </w:p>
        </w:tc>
      </w:tr>
      <w:tr>
        <w:trPr>
          <w:trHeight w:val="160"/>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2000" w:type="dxa"/>
            <w:vAlign w:val="bottom"/>
            <w:shd w:val="clear" w:color="auto" w:fill="D8D8D8"/>
          </w:tcPr>
          <w:p>
            <w:pPr>
              <w:ind w:left="80"/>
              <w:spacing w:after="0"/>
              <w:rPr>
                <w:sz w:val="20"/>
                <w:szCs w:val="20"/>
                <w:color w:val="auto"/>
              </w:rPr>
            </w:pPr>
            <w:r>
              <w:rPr>
                <w:rFonts w:ascii="Arial" w:cs="Arial" w:eastAsia="Arial" w:hAnsi="Arial"/>
                <w:sz w:val="14"/>
                <w:szCs w:val="14"/>
                <w:color w:val="auto"/>
              </w:rPr>
              <w:t>performance under the EICP,</w:t>
            </w:r>
          </w:p>
        </w:tc>
        <w:tc>
          <w:tcPr>
            <w:tcW w:w="160" w:type="dxa"/>
            <w:vAlign w:val="bottom"/>
          </w:tcPr>
          <w:p>
            <w:pPr>
              <w:spacing w:after="0"/>
              <w:rPr>
                <w:sz w:val="13"/>
                <w:szCs w:val="13"/>
                <w:color w:val="auto"/>
              </w:rPr>
            </w:pPr>
          </w:p>
        </w:tc>
        <w:tc>
          <w:tcPr>
            <w:tcW w:w="1840" w:type="dxa"/>
            <w:vAlign w:val="bottom"/>
            <w:shd w:val="clear" w:color="auto" w:fill="D8D8D8"/>
          </w:tcPr>
          <w:p>
            <w:pPr>
              <w:ind w:left="80"/>
              <w:spacing w:after="0"/>
              <w:rPr>
                <w:sz w:val="20"/>
                <w:szCs w:val="20"/>
                <w:color w:val="auto"/>
              </w:rPr>
            </w:pPr>
            <w:r>
              <w:rPr>
                <w:rFonts w:ascii="Arial" w:cs="Arial" w:eastAsia="Arial" w:hAnsi="Arial"/>
                <w:sz w:val="14"/>
                <w:szCs w:val="14"/>
                <w:color w:val="auto"/>
              </w:rPr>
              <w:t>but achievable, level of</w:t>
            </w:r>
          </w:p>
        </w:tc>
        <w:tc>
          <w:tcPr>
            <w:tcW w:w="160" w:type="dxa"/>
            <w:vAlign w:val="bottom"/>
          </w:tcPr>
          <w:p>
            <w:pPr>
              <w:spacing w:after="0"/>
              <w:rPr>
                <w:sz w:val="13"/>
                <w:szCs w:val="13"/>
                <w:color w:val="auto"/>
              </w:rPr>
            </w:pPr>
          </w:p>
        </w:tc>
        <w:tc>
          <w:tcPr>
            <w:tcW w:w="1520" w:type="dxa"/>
            <w:vAlign w:val="bottom"/>
            <w:shd w:val="clear" w:color="auto" w:fill="D8D8D8"/>
          </w:tcPr>
          <w:p>
            <w:pPr>
              <w:ind w:left="80"/>
              <w:spacing w:after="0"/>
              <w:rPr>
                <w:sz w:val="20"/>
                <w:szCs w:val="20"/>
                <w:color w:val="auto"/>
              </w:rPr>
            </w:pPr>
            <w:r>
              <w:rPr>
                <w:rFonts w:ascii="Arial" w:cs="Arial" w:eastAsia="Arial" w:hAnsi="Arial"/>
                <w:sz w:val="14"/>
                <w:szCs w:val="14"/>
                <w:color w:val="auto"/>
              </w:rPr>
              <w:t>extraordinary level of</w:t>
            </w:r>
          </w:p>
        </w:tc>
      </w:tr>
      <w:tr>
        <w:trPr>
          <w:trHeight w:val="160"/>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2000" w:type="dxa"/>
            <w:vAlign w:val="bottom"/>
            <w:shd w:val="clear" w:color="auto" w:fill="D8D8D8"/>
          </w:tcPr>
          <w:p>
            <w:pPr>
              <w:ind w:left="80"/>
              <w:spacing w:after="0"/>
              <w:rPr>
                <w:sz w:val="20"/>
                <w:szCs w:val="20"/>
                <w:color w:val="auto"/>
              </w:rPr>
            </w:pPr>
            <w:r>
              <w:rPr>
                <w:rFonts w:ascii="Arial" w:cs="Arial" w:eastAsia="Arial" w:hAnsi="Arial"/>
                <w:sz w:val="14"/>
                <w:szCs w:val="14"/>
                <w:color w:val="auto"/>
              </w:rPr>
              <w:t>established so that smaller</w:t>
            </w:r>
          </w:p>
        </w:tc>
        <w:tc>
          <w:tcPr>
            <w:tcW w:w="160" w:type="dxa"/>
            <w:vAlign w:val="bottom"/>
          </w:tcPr>
          <w:p>
            <w:pPr>
              <w:spacing w:after="0"/>
              <w:rPr>
                <w:sz w:val="13"/>
                <w:szCs w:val="13"/>
                <w:color w:val="auto"/>
              </w:rPr>
            </w:pPr>
          </w:p>
        </w:tc>
        <w:tc>
          <w:tcPr>
            <w:tcW w:w="1840" w:type="dxa"/>
            <w:vAlign w:val="bottom"/>
            <w:shd w:val="clear" w:color="auto" w:fill="D8D8D8"/>
          </w:tcPr>
          <w:p>
            <w:pPr>
              <w:ind w:left="80"/>
              <w:spacing w:after="0"/>
              <w:rPr>
                <w:sz w:val="20"/>
                <w:szCs w:val="20"/>
                <w:color w:val="auto"/>
              </w:rPr>
            </w:pPr>
            <w:r>
              <w:rPr>
                <w:rFonts w:ascii="Arial" w:cs="Arial" w:eastAsia="Arial" w:hAnsi="Arial"/>
                <w:sz w:val="14"/>
                <w:szCs w:val="14"/>
                <w:color w:val="auto"/>
              </w:rPr>
              <w:t>performance that will</w:t>
            </w:r>
          </w:p>
        </w:tc>
        <w:tc>
          <w:tcPr>
            <w:tcW w:w="160" w:type="dxa"/>
            <w:vAlign w:val="bottom"/>
          </w:tcPr>
          <w:p>
            <w:pPr>
              <w:spacing w:after="0"/>
              <w:rPr>
                <w:sz w:val="13"/>
                <w:szCs w:val="13"/>
                <w:color w:val="auto"/>
              </w:rPr>
            </w:pPr>
          </w:p>
        </w:tc>
        <w:tc>
          <w:tcPr>
            <w:tcW w:w="1520" w:type="dxa"/>
            <w:vAlign w:val="bottom"/>
            <w:shd w:val="clear" w:color="auto" w:fill="D8D8D8"/>
          </w:tcPr>
          <w:p>
            <w:pPr>
              <w:ind w:left="80"/>
              <w:spacing w:after="0"/>
              <w:rPr>
                <w:sz w:val="20"/>
                <w:szCs w:val="20"/>
                <w:color w:val="auto"/>
              </w:rPr>
            </w:pPr>
            <w:r>
              <w:rPr>
                <w:rFonts w:ascii="Arial" w:cs="Arial" w:eastAsia="Arial" w:hAnsi="Arial"/>
                <w:sz w:val="14"/>
                <w:szCs w:val="14"/>
                <w:color w:val="auto"/>
              </w:rPr>
              <w:t>performance that will</w:t>
            </w:r>
          </w:p>
        </w:tc>
      </w:tr>
      <w:tr>
        <w:trPr>
          <w:trHeight w:val="160"/>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2000" w:type="dxa"/>
            <w:vAlign w:val="bottom"/>
            <w:shd w:val="clear" w:color="auto" w:fill="D8D8D8"/>
          </w:tcPr>
          <w:p>
            <w:pPr>
              <w:ind w:left="80"/>
              <w:spacing w:after="0"/>
              <w:rPr>
                <w:sz w:val="20"/>
                <w:szCs w:val="20"/>
                <w:color w:val="auto"/>
              </w:rPr>
            </w:pPr>
            <w:r>
              <w:rPr>
                <w:rFonts w:ascii="Arial" w:cs="Arial" w:eastAsia="Arial" w:hAnsi="Arial"/>
                <w:sz w:val="14"/>
                <w:szCs w:val="14"/>
                <w:color w:val="auto"/>
              </w:rPr>
              <w:t>awards will be earned for</w:t>
            </w:r>
          </w:p>
        </w:tc>
        <w:tc>
          <w:tcPr>
            <w:tcW w:w="160" w:type="dxa"/>
            <w:vAlign w:val="bottom"/>
          </w:tcPr>
          <w:p>
            <w:pPr>
              <w:spacing w:after="0"/>
              <w:rPr>
                <w:sz w:val="13"/>
                <w:szCs w:val="13"/>
                <w:color w:val="auto"/>
              </w:rPr>
            </w:pPr>
          </w:p>
        </w:tc>
        <w:tc>
          <w:tcPr>
            <w:tcW w:w="1840" w:type="dxa"/>
            <w:vAlign w:val="bottom"/>
            <w:shd w:val="clear" w:color="auto" w:fill="D8D8D8"/>
          </w:tcPr>
          <w:p>
            <w:pPr>
              <w:ind w:left="80"/>
              <w:spacing w:after="0"/>
              <w:rPr>
                <w:sz w:val="20"/>
                <w:szCs w:val="20"/>
                <w:color w:val="auto"/>
              </w:rPr>
            </w:pPr>
            <w:r>
              <w:rPr>
                <w:rFonts w:ascii="Arial" w:cs="Arial" w:eastAsia="Arial" w:hAnsi="Arial"/>
                <w:sz w:val="14"/>
                <w:szCs w:val="14"/>
                <w:color w:val="auto"/>
              </w:rPr>
              <w:t>increase shareholder value.</w:t>
            </w:r>
          </w:p>
        </w:tc>
        <w:tc>
          <w:tcPr>
            <w:tcW w:w="160" w:type="dxa"/>
            <w:vAlign w:val="bottom"/>
          </w:tcPr>
          <w:p>
            <w:pPr>
              <w:spacing w:after="0"/>
              <w:rPr>
                <w:sz w:val="13"/>
                <w:szCs w:val="13"/>
                <w:color w:val="auto"/>
              </w:rPr>
            </w:pPr>
          </w:p>
        </w:tc>
        <w:tc>
          <w:tcPr>
            <w:tcW w:w="1520" w:type="dxa"/>
            <w:vAlign w:val="bottom"/>
            <w:shd w:val="clear" w:color="auto" w:fill="D8D8D8"/>
          </w:tcPr>
          <w:p>
            <w:pPr>
              <w:ind w:left="80"/>
              <w:spacing w:after="0"/>
              <w:rPr>
                <w:sz w:val="20"/>
                <w:szCs w:val="20"/>
                <w:color w:val="auto"/>
              </w:rPr>
            </w:pPr>
            <w:r>
              <w:rPr>
                <w:rFonts w:ascii="Arial" w:cs="Arial" w:eastAsia="Arial" w:hAnsi="Arial"/>
                <w:sz w:val="14"/>
                <w:szCs w:val="14"/>
                <w:color w:val="auto"/>
              </w:rPr>
              <w:t>substantially increase</w:t>
            </w:r>
          </w:p>
        </w:tc>
      </w:tr>
      <w:tr>
        <w:trPr>
          <w:trHeight w:val="160"/>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2000" w:type="dxa"/>
            <w:vAlign w:val="bottom"/>
            <w:shd w:val="clear" w:color="auto" w:fill="D8D8D8"/>
          </w:tcPr>
          <w:p>
            <w:pPr>
              <w:ind w:left="80"/>
              <w:spacing w:after="0"/>
              <w:rPr>
                <w:sz w:val="20"/>
                <w:szCs w:val="20"/>
                <w:color w:val="auto"/>
              </w:rPr>
            </w:pPr>
            <w:r>
              <w:rPr>
                <w:rFonts w:ascii="Arial" w:cs="Arial" w:eastAsia="Arial" w:hAnsi="Arial"/>
                <w:sz w:val="14"/>
                <w:szCs w:val="14"/>
                <w:color w:val="auto"/>
              </w:rPr>
              <w:t>satisfactory performance short</w:t>
            </w:r>
          </w:p>
        </w:tc>
        <w:tc>
          <w:tcPr>
            <w:tcW w:w="160" w:type="dxa"/>
            <w:vAlign w:val="bottom"/>
          </w:tcPr>
          <w:p>
            <w:pPr>
              <w:spacing w:after="0"/>
              <w:rPr>
                <w:sz w:val="13"/>
                <w:szCs w:val="13"/>
                <w:color w:val="auto"/>
              </w:rPr>
            </w:pPr>
          </w:p>
        </w:tc>
        <w:tc>
          <w:tcPr>
            <w:tcW w:w="1840" w:type="dxa"/>
            <w:vAlign w:val="bottom"/>
            <w:shd w:val="clear" w:color="auto" w:fill="D8D8D8"/>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shd w:val="clear" w:color="auto" w:fill="D8D8D8"/>
          </w:tcPr>
          <w:p>
            <w:pPr>
              <w:ind w:left="80"/>
              <w:spacing w:after="0"/>
              <w:rPr>
                <w:sz w:val="20"/>
                <w:szCs w:val="20"/>
                <w:color w:val="auto"/>
              </w:rPr>
            </w:pPr>
            <w:r>
              <w:rPr>
                <w:rFonts w:ascii="Arial" w:cs="Arial" w:eastAsia="Arial" w:hAnsi="Arial"/>
                <w:sz w:val="14"/>
                <w:szCs w:val="14"/>
                <w:color w:val="auto"/>
              </w:rPr>
              <w:t>shareholder value.</w:t>
            </w:r>
          </w:p>
        </w:tc>
      </w:tr>
      <w:tr>
        <w:trPr>
          <w:trHeight w:val="169"/>
        </w:trPr>
        <w:tc>
          <w:tcPr>
            <w:tcW w:w="20" w:type="dxa"/>
            <w:vAlign w:val="bottom"/>
          </w:tcPr>
          <w:p>
            <w:pPr>
              <w:spacing w:after="0"/>
              <w:rPr>
                <w:sz w:val="14"/>
                <w:szCs w:val="14"/>
                <w:color w:val="auto"/>
              </w:rPr>
            </w:pPr>
          </w:p>
        </w:tc>
        <w:tc>
          <w:tcPr>
            <w:tcW w:w="5200" w:type="dxa"/>
            <w:vAlign w:val="bottom"/>
            <w:tcBorders>
              <w:bottom w:val="single" w:sz="8" w:color="666666"/>
            </w:tcBorders>
          </w:tcPr>
          <w:p>
            <w:pPr>
              <w:spacing w:after="0"/>
              <w:rPr>
                <w:sz w:val="14"/>
                <w:szCs w:val="14"/>
                <w:color w:val="auto"/>
              </w:rPr>
            </w:pPr>
          </w:p>
        </w:tc>
        <w:tc>
          <w:tcPr>
            <w:tcW w:w="2000" w:type="dxa"/>
            <w:vAlign w:val="bottom"/>
            <w:tcBorders>
              <w:bottom w:val="single" w:sz="8" w:color="666666"/>
            </w:tcBorders>
            <w:shd w:val="clear" w:color="auto" w:fill="D8D8D8"/>
          </w:tcPr>
          <w:p>
            <w:pPr>
              <w:ind w:left="80"/>
              <w:spacing w:after="0"/>
              <w:rPr>
                <w:sz w:val="20"/>
                <w:szCs w:val="20"/>
                <w:color w:val="auto"/>
              </w:rPr>
            </w:pPr>
            <w:r>
              <w:rPr>
                <w:rFonts w:ascii="Arial" w:cs="Arial" w:eastAsia="Arial" w:hAnsi="Arial"/>
                <w:sz w:val="14"/>
                <w:szCs w:val="14"/>
                <w:color w:val="auto"/>
              </w:rPr>
              <w:t>of target.</w:t>
            </w:r>
          </w:p>
        </w:tc>
        <w:tc>
          <w:tcPr>
            <w:tcW w:w="160" w:type="dxa"/>
            <w:vAlign w:val="bottom"/>
            <w:tcBorders>
              <w:bottom w:val="single" w:sz="8" w:color="666666"/>
            </w:tcBorders>
          </w:tcPr>
          <w:p>
            <w:pPr>
              <w:spacing w:after="0"/>
              <w:rPr>
                <w:sz w:val="14"/>
                <w:szCs w:val="14"/>
                <w:color w:val="auto"/>
              </w:rPr>
            </w:pPr>
          </w:p>
        </w:tc>
        <w:tc>
          <w:tcPr>
            <w:tcW w:w="1840" w:type="dxa"/>
            <w:vAlign w:val="bottom"/>
            <w:tcBorders>
              <w:bottom w:val="single" w:sz="8" w:color="666666"/>
            </w:tcBorders>
            <w:shd w:val="clear" w:color="auto" w:fill="D8D8D8"/>
          </w:tcPr>
          <w:p>
            <w:pPr>
              <w:spacing w:after="0"/>
              <w:rPr>
                <w:sz w:val="14"/>
                <w:szCs w:val="14"/>
                <w:color w:val="auto"/>
              </w:rPr>
            </w:pPr>
          </w:p>
        </w:tc>
        <w:tc>
          <w:tcPr>
            <w:tcW w:w="160" w:type="dxa"/>
            <w:vAlign w:val="bottom"/>
            <w:tcBorders>
              <w:bottom w:val="single" w:sz="8" w:color="666666"/>
            </w:tcBorders>
          </w:tcPr>
          <w:p>
            <w:pPr>
              <w:spacing w:after="0"/>
              <w:rPr>
                <w:sz w:val="14"/>
                <w:szCs w:val="14"/>
                <w:color w:val="auto"/>
              </w:rPr>
            </w:pPr>
          </w:p>
        </w:tc>
        <w:tc>
          <w:tcPr>
            <w:tcW w:w="1520" w:type="dxa"/>
            <w:vAlign w:val="bottom"/>
            <w:tcBorders>
              <w:bottom w:val="single" w:sz="8" w:color="666666"/>
            </w:tcBorders>
            <w:shd w:val="clear" w:color="auto" w:fill="D8D8D8"/>
          </w:tcPr>
          <w:p>
            <w:pPr>
              <w:spacing w:after="0"/>
              <w:rPr>
                <w:sz w:val="14"/>
                <w:szCs w:val="14"/>
                <w:color w:val="auto"/>
              </w:rPr>
            </w:pPr>
          </w:p>
        </w:tc>
      </w:tr>
      <w:tr>
        <w:trPr>
          <w:trHeight w:val="154"/>
        </w:trPr>
        <w:tc>
          <w:tcPr>
            <w:tcW w:w="5220" w:type="dxa"/>
            <w:vAlign w:val="bottom"/>
            <w:tcBorders>
              <w:bottom w:val="single" w:sz="8" w:color="666666"/>
            </w:tcBorders>
            <w:gridSpan w:val="2"/>
          </w:tcPr>
          <w:p>
            <w:pPr>
              <w:spacing w:after="0" w:line="153" w:lineRule="exact"/>
              <w:rPr>
                <w:sz w:val="20"/>
                <w:szCs w:val="20"/>
                <w:color w:val="auto"/>
              </w:rPr>
            </w:pPr>
            <w:r>
              <w:rPr>
                <w:rFonts w:ascii="Arial" w:cs="Arial" w:eastAsia="Arial" w:hAnsi="Arial"/>
                <w:sz w:val="14"/>
                <w:szCs w:val="14"/>
                <w:color w:val="auto"/>
              </w:rPr>
              <w:t>Mr. McCollum</w:t>
            </w:r>
          </w:p>
        </w:tc>
        <w:tc>
          <w:tcPr>
            <w:tcW w:w="2000" w:type="dxa"/>
            <w:vAlign w:val="bottom"/>
            <w:tcBorders>
              <w:bottom w:val="single" w:sz="8" w:color="666666"/>
            </w:tcBorders>
            <w:shd w:val="clear" w:color="auto" w:fill="D8D8D8"/>
          </w:tcPr>
          <w:p>
            <w:pPr>
              <w:jc w:val="right"/>
              <w:ind w:right="749"/>
              <w:spacing w:after="0" w:line="153" w:lineRule="exact"/>
              <w:rPr>
                <w:sz w:val="20"/>
                <w:szCs w:val="20"/>
                <w:color w:val="auto"/>
              </w:rPr>
            </w:pPr>
            <w:r>
              <w:rPr>
                <w:rFonts w:ascii="Arial" w:cs="Arial" w:eastAsia="Arial" w:hAnsi="Arial"/>
                <w:sz w:val="14"/>
                <w:szCs w:val="14"/>
                <w:color w:val="auto"/>
              </w:rPr>
              <w:t>60%</w:t>
            </w:r>
          </w:p>
        </w:tc>
        <w:tc>
          <w:tcPr>
            <w:tcW w:w="160" w:type="dxa"/>
            <w:vAlign w:val="bottom"/>
            <w:tcBorders>
              <w:bottom w:val="single" w:sz="8" w:color="666666"/>
            </w:tcBorders>
          </w:tcPr>
          <w:p>
            <w:pPr>
              <w:spacing w:after="0"/>
              <w:rPr>
                <w:sz w:val="13"/>
                <w:szCs w:val="13"/>
                <w:color w:val="auto"/>
              </w:rPr>
            </w:pPr>
          </w:p>
        </w:tc>
        <w:tc>
          <w:tcPr>
            <w:tcW w:w="1840" w:type="dxa"/>
            <w:vAlign w:val="bottom"/>
            <w:tcBorders>
              <w:bottom w:val="single" w:sz="8" w:color="666666"/>
            </w:tcBorders>
            <w:shd w:val="clear" w:color="auto" w:fill="D8D8D8"/>
          </w:tcPr>
          <w:p>
            <w:pPr>
              <w:jc w:val="right"/>
              <w:ind w:right="629"/>
              <w:spacing w:after="0" w:line="153" w:lineRule="exact"/>
              <w:rPr>
                <w:sz w:val="20"/>
                <w:szCs w:val="20"/>
                <w:color w:val="auto"/>
              </w:rPr>
            </w:pPr>
            <w:r>
              <w:rPr>
                <w:rFonts w:ascii="Arial" w:cs="Arial" w:eastAsia="Arial" w:hAnsi="Arial"/>
                <w:sz w:val="14"/>
                <w:szCs w:val="14"/>
                <w:color w:val="auto"/>
              </w:rPr>
              <w:t>120%</w:t>
            </w:r>
          </w:p>
        </w:tc>
        <w:tc>
          <w:tcPr>
            <w:tcW w:w="160" w:type="dxa"/>
            <w:vAlign w:val="bottom"/>
            <w:tcBorders>
              <w:bottom w:val="single" w:sz="8" w:color="666666"/>
            </w:tcBorders>
          </w:tcPr>
          <w:p>
            <w:pPr>
              <w:spacing w:after="0"/>
              <w:rPr>
                <w:sz w:val="13"/>
                <w:szCs w:val="13"/>
                <w:color w:val="auto"/>
              </w:rPr>
            </w:pPr>
          </w:p>
        </w:tc>
        <w:tc>
          <w:tcPr>
            <w:tcW w:w="1520" w:type="dxa"/>
            <w:vAlign w:val="bottom"/>
            <w:tcBorders>
              <w:bottom w:val="single" w:sz="8" w:color="666666"/>
            </w:tcBorders>
            <w:shd w:val="clear" w:color="auto" w:fill="D8D8D8"/>
          </w:tcPr>
          <w:p>
            <w:pPr>
              <w:jc w:val="right"/>
              <w:ind w:right="469"/>
              <w:spacing w:after="0" w:line="153" w:lineRule="exact"/>
              <w:rPr>
                <w:sz w:val="20"/>
                <w:szCs w:val="20"/>
                <w:color w:val="auto"/>
              </w:rPr>
            </w:pPr>
            <w:r>
              <w:rPr>
                <w:rFonts w:ascii="Arial" w:cs="Arial" w:eastAsia="Arial" w:hAnsi="Arial"/>
                <w:sz w:val="14"/>
                <w:szCs w:val="14"/>
                <w:color w:val="auto"/>
              </w:rPr>
              <w:t>180%</w:t>
            </w:r>
          </w:p>
        </w:tc>
      </w:tr>
      <w:tr>
        <w:trPr>
          <w:trHeight w:val="154"/>
        </w:trPr>
        <w:tc>
          <w:tcPr>
            <w:tcW w:w="5220" w:type="dxa"/>
            <w:vAlign w:val="bottom"/>
            <w:tcBorders>
              <w:bottom w:val="single" w:sz="8" w:color="666666"/>
            </w:tcBorders>
            <w:gridSpan w:val="2"/>
          </w:tcPr>
          <w:p>
            <w:pPr>
              <w:spacing w:after="0" w:line="153" w:lineRule="exact"/>
              <w:rPr>
                <w:sz w:val="20"/>
                <w:szCs w:val="20"/>
                <w:color w:val="auto"/>
              </w:rPr>
            </w:pPr>
            <w:r>
              <w:rPr>
                <w:rFonts w:ascii="Arial" w:cs="Arial" w:eastAsia="Arial" w:hAnsi="Arial"/>
                <w:sz w:val="14"/>
                <w:szCs w:val="14"/>
                <w:color w:val="auto"/>
              </w:rPr>
              <w:t>NEOs other than Messrs. McCollum and Mills</w:t>
            </w:r>
          </w:p>
        </w:tc>
        <w:tc>
          <w:tcPr>
            <w:tcW w:w="2000" w:type="dxa"/>
            <w:vAlign w:val="bottom"/>
            <w:tcBorders>
              <w:bottom w:val="single" w:sz="8" w:color="666666"/>
            </w:tcBorders>
            <w:shd w:val="clear" w:color="auto" w:fill="D8D8D8"/>
          </w:tcPr>
          <w:p>
            <w:pPr>
              <w:jc w:val="right"/>
              <w:ind w:right="749"/>
              <w:spacing w:after="0" w:line="153" w:lineRule="exact"/>
              <w:rPr>
                <w:sz w:val="20"/>
                <w:szCs w:val="20"/>
                <w:color w:val="auto"/>
              </w:rPr>
            </w:pPr>
            <w:r>
              <w:rPr>
                <w:rFonts w:ascii="Arial" w:cs="Arial" w:eastAsia="Arial" w:hAnsi="Arial"/>
                <w:sz w:val="14"/>
                <w:szCs w:val="14"/>
                <w:color w:val="auto"/>
              </w:rPr>
              <w:t>50%</w:t>
            </w:r>
          </w:p>
        </w:tc>
        <w:tc>
          <w:tcPr>
            <w:tcW w:w="160" w:type="dxa"/>
            <w:vAlign w:val="bottom"/>
            <w:tcBorders>
              <w:bottom w:val="single" w:sz="8" w:color="666666"/>
            </w:tcBorders>
          </w:tcPr>
          <w:p>
            <w:pPr>
              <w:spacing w:after="0"/>
              <w:rPr>
                <w:sz w:val="13"/>
                <w:szCs w:val="13"/>
                <w:color w:val="auto"/>
              </w:rPr>
            </w:pPr>
          </w:p>
        </w:tc>
        <w:tc>
          <w:tcPr>
            <w:tcW w:w="1840" w:type="dxa"/>
            <w:vAlign w:val="bottom"/>
            <w:tcBorders>
              <w:bottom w:val="single" w:sz="8" w:color="666666"/>
            </w:tcBorders>
            <w:shd w:val="clear" w:color="auto" w:fill="D8D8D8"/>
          </w:tcPr>
          <w:p>
            <w:pPr>
              <w:jc w:val="right"/>
              <w:ind w:right="629"/>
              <w:spacing w:after="0" w:line="153" w:lineRule="exact"/>
              <w:rPr>
                <w:sz w:val="20"/>
                <w:szCs w:val="20"/>
                <w:color w:val="auto"/>
              </w:rPr>
            </w:pPr>
            <w:r>
              <w:rPr>
                <w:rFonts w:ascii="Arial" w:cs="Arial" w:eastAsia="Arial" w:hAnsi="Arial"/>
                <w:sz w:val="14"/>
                <w:szCs w:val="14"/>
                <w:color w:val="auto"/>
              </w:rPr>
              <w:t>100%</w:t>
            </w:r>
          </w:p>
        </w:tc>
        <w:tc>
          <w:tcPr>
            <w:tcW w:w="160" w:type="dxa"/>
            <w:vAlign w:val="bottom"/>
            <w:tcBorders>
              <w:bottom w:val="single" w:sz="8" w:color="666666"/>
            </w:tcBorders>
          </w:tcPr>
          <w:p>
            <w:pPr>
              <w:spacing w:after="0"/>
              <w:rPr>
                <w:sz w:val="13"/>
                <w:szCs w:val="13"/>
                <w:color w:val="auto"/>
              </w:rPr>
            </w:pPr>
          </w:p>
        </w:tc>
        <w:tc>
          <w:tcPr>
            <w:tcW w:w="1520" w:type="dxa"/>
            <w:vAlign w:val="bottom"/>
            <w:tcBorders>
              <w:bottom w:val="single" w:sz="8" w:color="666666"/>
            </w:tcBorders>
            <w:shd w:val="clear" w:color="auto" w:fill="D8D8D8"/>
          </w:tcPr>
          <w:p>
            <w:pPr>
              <w:jc w:val="right"/>
              <w:ind w:right="469"/>
              <w:spacing w:after="0" w:line="153" w:lineRule="exact"/>
              <w:rPr>
                <w:sz w:val="20"/>
                <w:szCs w:val="20"/>
                <w:color w:val="auto"/>
              </w:rPr>
            </w:pPr>
            <w:r>
              <w:rPr>
                <w:rFonts w:ascii="Arial" w:cs="Arial" w:eastAsia="Arial" w:hAnsi="Arial"/>
                <w:sz w:val="14"/>
                <w:szCs w:val="14"/>
                <w:color w:val="auto"/>
              </w:rPr>
              <w:t>150%</w:t>
            </w:r>
          </w:p>
        </w:tc>
      </w:tr>
      <w:tr>
        <w:trPr>
          <w:trHeight w:val="154"/>
        </w:trPr>
        <w:tc>
          <w:tcPr>
            <w:tcW w:w="5220" w:type="dxa"/>
            <w:vAlign w:val="bottom"/>
            <w:gridSpan w:val="2"/>
          </w:tcPr>
          <w:p>
            <w:pPr>
              <w:spacing w:after="0" w:line="153" w:lineRule="exact"/>
              <w:rPr>
                <w:sz w:val="20"/>
                <w:szCs w:val="20"/>
                <w:color w:val="auto"/>
              </w:rPr>
            </w:pPr>
            <w:r>
              <w:rPr>
                <w:rFonts w:ascii="Arial" w:cs="Arial" w:eastAsia="Arial" w:hAnsi="Arial"/>
                <w:sz w:val="14"/>
                <w:szCs w:val="14"/>
                <w:color w:val="auto"/>
              </w:rPr>
              <w:t>Mr. Mills</w:t>
            </w:r>
          </w:p>
        </w:tc>
        <w:tc>
          <w:tcPr>
            <w:tcW w:w="2000" w:type="dxa"/>
            <w:vAlign w:val="bottom"/>
            <w:shd w:val="clear" w:color="auto" w:fill="D8D8D8"/>
          </w:tcPr>
          <w:p>
            <w:pPr>
              <w:jc w:val="right"/>
              <w:ind w:right="729"/>
              <w:spacing w:after="0" w:line="153" w:lineRule="exact"/>
              <w:rPr>
                <w:sz w:val="20"/>
                <w:szCs w:val="20"/>
                <w:color w:val="auto"/>
              </w:rPr>
            </w:pPr>
            <w:r>
              <w:rPr>
                <w:rFonts w:ascii="Arial" w:cs="Arial" w:eastAsia="Arial" w:hAnsi="Arial"/>
                <w:sz w:val="14"/>
                <w:szCs w:val="14"/>
                <w:color w:val="auto"/>
              </w:rPr>
              <w:t>37.5%</w:t>
            </w:r>
          </w:p>
        </w:tc>
        <w:tc>
          <w:tcPr>
            <w:tcW w:w="160" w:type="dxa"/>
            <w:vAlign w:val="bottom"/>
          </w:tcPr>
          <w:p>
            <w:pPr>
              <w:spacing w:after="0"/>
              <w:rPr>
                <w:sz w:val="13"/>
                <w:szCs w:val="13"/>
                <w:color w:val="auto"/>
              </w:rPr>
            </w:pPr>
          </w:p>
        </w:tc>
        <w:tc>
          <w:tcPr>
            <w:tcW w:w="1840" w:type="dxa"/>
            <w:vAlign w:val="bottom"/>
            <w:shd w:val="clear" w:color="auto" w:fill="D8D8D8"/>
          </w:tcPr>
          <w:p>
            <w:pPr>
              <w:jc w:val="right"/>
              <w:ind w:right="629"/>
              <w:spacing w:after="0" w:line="153" w:lineRule="exact"/>
              <w:rPr>
                <w:sz w:val="20"/>
                <w:szCs w:val="20"/>
                <w:color w:val="auto"/>
              </w:rPr>
            </w:pPr>
            <w:r>
              <w:rPr>
                <w:rFonts w:ascii="Arial" w:cs="Arial" w:eastAsia="Arial" w:hAnsi="Arial"/>
                <w:sz w:val="14"/>
                <w:szCs w:val="14"/>
                <w:color w:val="auto"/>
              </w:rPr>
              <w:t>75%</w:t>
            </w:r>
          </w:p>
        </w:tc>
        <w:tc>
          <w:tcPr>
            <w:tcW w:w="160" w:type="dxa"/>
            <w:vAlign w:val="bottom"/>
          </w:tcPr>
          <w:p>
            <w:pPr>
              <w:spacing w:after="0"/>
              <w:rPr>
                <w:sz w:val="13"/>
                <w:szCs w:val="13"/>
                <w:color w:val="auto"/>
              </w:rPr>
            </w:pPr>
          </w:p>
        </w:tc>
        <w:tc>
          <w:tcPr>
            <w:tcW w:w="1520" w:type="dxa"/>
            <w:vAlign w:val="bottom"/>
            <w:shd w:val="clear" w:color="auto" w:fill="D8D8D8"/>
          </w:tcPr>
          <w:p>
            <w:pPr>
              <w:jc w:val="right"/>
              <w:ind w:right="449"/>
              <w:spacing w:after="0" w:line="153" w:lineRule="exact"/>
              <w:rPr>
                <w:sz w:val="20"/>
                <w:szCs w:val="20"/>
                <w:color w:val="auto"/>
              </w:rPr>
            </w:pPr>
            <w:r>
              <w:rPr>
                <w:rFonts w:ascii="Arial" w:cs="Arial" w:eastAsia="Arial" w:hAnsi="Arial"/>
                <w:sz w:val="14"/>
                <w:szCs w:val="14"/>
                <w:color w:val="auto"/>
              </w:rPr>
              <w:t>112.5%</w:t>
            </w:r>
          </w:p>
        </w:tc>
      </w:tr>
      <w:tr>
        <w:trPr>
          <w:trHeight w:val="154"/>
        </w:trPr>
        <w:tc>
          <w:tcPr>
            <w:tcW w:w="20" w:type="dxa"/>
            <w:vAlign w:val="bottom"/>
          </w:tcPr>
          <w:p>
            <w:pPr>
              <w:spacing w:after="0"/>
              <w:rPr>
                <w:sz w:val="13"/>
                <w:szCs w:val="13"/>
                <w:color w:val="auto"/>
              </w:rPr>
            </w:pPr>
          </w:p>
        </w:tc>
        <w:tc>
          <w:tcPr>
            <w:tcW w:w="5200" w:type="dxa"/>
            <w:vAlign w:val="bottom"/>
            <w:tcBorders>
              <w:top w:val="single" w:sz="8" w:color="666666"/>
              <w:bottom w:val="single" w:sz="8" w:color="666666"/>
            </w:tcBorders>
          </w:tcPr>
          <w:p>
            <w:pPr>
              <w:spacing w:after="0"/>
              <w:rPr>
                <w:sz w:val="13"/>
                <w:szCs w:val="13"/>
                <w:color w:val="auto"/>
              </w:rPr>
            </w:pPr>
          </w:p>
        </w:tc>
        <w:tc>
          <w:tcPr>
            <w:tcW w:w="5680" w:type="dxa"/>
            <w:vAlign w:val="bottom"/>
            <w:tcBorders>
              <w:top w:val="single" w:sz="8" w:color="666666"/>
              <w:bottom w:val="single" w:sz="8" w:color="666666"/>
            </w:tcBorders>
            <w:gridSpan w:val="5"/>
            <w:shd w:val="clear" w:color="auto" w:fill="D8D8D8"/>
          </w:tcPr>
          <w:p>
            <w:pPr>
              <w:ind w:left="1500"/>
              <w:spacing w:after="0" w:line="153" w:lineRule="exact"/>
              <w:rPr>
                <w:sz w:val="20"/>
                <w:szCs w:val="20"/>
                <w:color w:val="auto"/>
              </w:rPr>
            </w:pPr>
            <w:r>
              <w:rPr>
                <w:rFonts w:ascii="Arial" w:cs="Arial" w:eastAsia="Arial" w:hAnsi="Arial"/>
                <w:sz w:val="14"/>
                <w:szCs w:val="14"/>
                <w:color w:val="C3002F"/>
              </w:rPr>
              <w:t>Excluding CPM Multiplier (described below)</w:t>
            </w:r>
          </w:p>
        </w:tc>
      </w:tr>
      <w:tr>
        <w:trPr>
          <w:trHeight w:val="154"/>
        </w:trPr>
        <w:tc>
          <w:tcPr>
            <w:tcW w:w="20" w:type="dxa"/>
            <w:vAlign w:val="bottom"/>
          </w:tcPr>
          <w:p>
            <w:pPr>
              <w:spacing w:after="0"/>
              <w:rPr>
                <w:sz w:val="13"/>
                <w:szCs w:val="13"/>
                <w:color w:val="auto"/>
              </w:rPr>
            </w:pPr>
          </w:p>
        </w:tc>
        <w:tc>
          <w:tcPr>
            <w:tcW w:w="5200" w:type="dxa"/>
            <w:vAlign w:val="bottom"/>
            <w:tcBorders>
              <w:bottom w:val="single" w:sz="8" w:color="666666"/>
            </w:tcBorders>
          </w:tcPr>
          <w:p>
            <w:pPr>
              <w:spacing w:after="0"/>
              <w:rPr>
                <w:sz w:val="13"/>
                <w:szCs w:val="13"/>
                <w:color w:val="auto"/>
              </w:rPr>
            </w:pPr>
          </w:p>
        </w:tc>
        <w:tc>
          <w:tcPr>
            <w:tcW w:w="2000" w:type="dxa"/>
            <w:vAlign w:val="bottom"/>
            <w:tcBorders>
              <w:bottom w:val="single" w:sz="8" w:color="666666"/>
            </w:tcBorders>
          </w:tcPr>
          <w:p>
            <w:pPr>
              <w:spacing w:after="0"/>
              <w:rPr>
                <w:sz w:val="13"/>
                <w:szCs w:val="13"/>
                <w:color w:val="auto"/>
              </w:rPr>
            </w:pPr>
          </w:p>
        </w:tc>
        <w:tc>
          <w:tcPr>
            <w:tcW w:w="160" w:type="dxa"/>
            <w:vAlign w:val="bottom"/>
            <w:tcBorders>
              <w:bottom w:val="single" w:sz="8" w:color="666666"/>
            </w:tcBorders>
          </w:tcPr>
          <w:p>
            <w:pPr>
              <w:spacing w:after="0"/>
              <w:rPr>
                <w:sz w:val="13"/>
                <w:szCs w:val="13"/>
                <w:color w:val="auto"/>
              </w:rPr>
            </w:pPr>
          </w:p>
        </w:tc>
        <w:tc>
          <w:tcPr>
            <w:tcW w:w="1840" w:type="dxa"/>
            <w:vAlign w:val="bottom"/>
            <w:tcBorders>
              <w:bottom w:val="single" w:sz="8" w:color="666666"/>
            </w:tcBorders>
          </w:tcPr>
          <w:p>
            <w:pPr>
              <w:spacing w:after="0"/>
              <w:rPr>
                <w:sz w:val="13"/>
                <w:szCs w:val="13"/>
                <w:color w:val="auto"/>
              </w:rPr>
            </w:pPr>
          </w:p>
        </w:tc>
        <w:tc>
          <w:tcPr>
            <w:tcW w:w="160" w:type="dxa"/>
            <w:vAlign w:val="bottom"/>
            <w:tcBorders>
              <w:bottom w:val="single" w:sz="8" w:color="666666"/>
            </w:tcBorders>
          </w:tcPr>
          <w:p>
            <w:pPr>
              <w:spacing w:after="0"/>
              <w:rPr>
                <w:sz w:val="13"/>
                <w:szCs w:val="13"/>
                <w:color w:val="auto"/>
              </w:rPr>
            </w:pPr>
          </w:p>
        </w:tc>
        <w:tc>
          <w:tcPr>
            <w:tcW w:w="1520" w:type="dxa"/>
            <w:vAlign w:val="bottom"/>
            <w:tcBorders>
              <w:bottom w:val="single" w:sz="8" w:color="666666"/>
            </w:tcBorders>
          </w:tcPr>
          <w:p>
            <w:pPr>
              <w:spacing w:after="0"/>
              <w:rPr>
                <w:sz w:val="13"/>
                <w:szCs w:val="13"/>
                <w:color w:val="auto"/>
              </w:rPr>
            </w:pPr>
          </w:p>
        </w:tc>
      </w:tr>
    </w:tbl>
    <w:p>
      <w:pPr>
        <w:spacing w:after="0" w:line="272" w:lineRule="exact"/>
        <w:rPr>
          <w:sz w:val="20"/>
          <w:szCs w:val="20"/>
          <w:color w:val="auto"/>
        </w:rPr>
      </w:pPr>
    </w:p>
    <w:p>
      <w:pPr>
        <w:ind w:left="620" w:hanging="353"/>
        <w:spacing w:after="0"/>
        <w:tabs>
          <w:tab w:leader="none" w:pos="620" w:val="left"/>
        </w:tabs>
        <w:numPr>
          <w:ilvl w:val="0"/>
          <w:numId w:val="68"/>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2018 Proxy Statement</w:t>
      </w:r>
    </w:p>
    <w:p>
      <w:pPr>
        <w:sectPr>
          <w:pgSz w:w="11900" w:h="16838" w:orient="portrait"/>
          <w:cols w:equalWidth="0" w:num="1">
            <w:col w:w="11160"/>
          </w:cols>
          <w:pgMar w:left="240" w:top="456"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245110</wp:posOffset>
            </wp:positionV>
            <wp:extent cx="8223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380" w:lineRule="exact"/>
        <w:rPr>
          <w:sz w:val="20"/>
          <w:szCs w:val="20"/>
          <w:color w:val="auto"/>
        </w:rPr>
      </w:pPr>
    </w:p>
    <w:p>
      <w:pPr>
        <w:ind w:left="260"/>
        <w:spacing w:after="0"/>
        <w:rPr>
          <w:sz w:val="20"/>
          <w:szCs w:val="20"/>
          <w:color w:val="auto"/>
        </w:rPr>
      </w:pPr>
      <w:r>
        <w:rPr>
          <w:rFonts w:ascii="Arial" w:cs="Arial" w:eastAsia="Arial" w:hAnsi="Arial"/>
          <w:sz w:val="28"/>
          <w:szCs w:val="28"/>
          <w:b w:val="1"/>
          <w:bCs w:val="1"/>
          <w:color w:val="C3002F"/>
        </w:rPr>
        <w:t>2017 OBJECTIVES, METRICS, FORMULA, AND PAYOUT</w:t>
      </w:r>
    </w:p>
    <w:p>
      <w:pPr>
        <w:spacing w:after="0" w:line="270" w:lineRule="exact"/>
        <w:rPr>
          <w:sz w:val="20"/>
          <w:szCs w:val="20"/>
          <w:color w:val="auto"/>
        </w:rPr>
      </w:pPr>
    </w:p>
    <w:p>
      <w:pPr>
        <w:jc w:val="both"/>
        <w:ind w:left="260" w:right="100"/>
        <w:spacing w:after="0" w:line="246" w:lineRule="auto"/>
        <w:rPr>
          <w:sz w:val="20"/>
          <w:szCs w:val="20"/>
          <w:color w:val="auto"/>
        </w:rPr>
      </w:pPr>
      <w:r>
        <w:rPr>
          <w:rFonts w:ascii="Arial" w:cs="Arial" w:eastAsia="Arial" w:hAnsi="Arial"/>
          <w:sz w:val="14"/>
          <w:szCs w:val="14"/>
          <w:color w:val="auto"/>
        </w:rPr>
        <w:t>To set the objectives for 2017, the Committee evaluated the Company’s ongoing performance, market conditions, and officer performance and adopted metrics to ensure all of the Company’s key focus areas were included in the objectives for its executive officer group. The 2017 performance goals were designed to bring focus by the executive officers on the following strategies and plans:</w:t>
      </w:r>
    </w:p>
    <w:p>
      <w:pPr>
        <w:spacing w:after="0" w:line="199" w:lineRule="exact"/>
        <w:rPr>
          <w:sz w:val="20"/>
          <w:szCs w:val="20"/>
          <w:color w:val="auto"/>
        </w:rPr>
      </w:pPr>
    </w:p>
    <w:p>
      <w:pPr>
        <w:ind w:left="480" w:hanging="213"/>
        <w:spacing w:after="0"/>
        <w:tabs>
          <w:tab w:leader="none" w:pos="480" w:val="left"/>
        </w:tabs>
        <w:numPr>
          <w:ilvl w:val="0"/>
          <w:numId w:val="69"/>
        </w:numPr>
        <w:rPr>
          <w:rFonts w:ascii="Arial" w:cs="Arial" w:eastAsia="Arial" w:hAnsi="Arial"/>
          <w:sz w:val="14"/>
          <w:szCs w:val="14"/>
          <w:color w:val="C3002F"/>
        </w:rPr>
      </w:pPr>
      <w:r>
        <w:rPr>
          <w:rFonts w:ascii="Arial" w:cs="Arial" w:eastAsia="Arial" w:hAnsi="Arial"/>
          <w:sz w:val="14"/>
          <w:szCs w:val="14"/>
          <w:color w:val="auto"/>
        </w:rPr>
        <w:t>responding to the continued downturn in the oil and gas industry;</w:t>
      </w:r>
    </w:p>
    <w:p>
      <w:pPr>
        <w:spacing w:after="0" w:line="212" w:lineRule="exact"/>
        <w:rPr>
          <w:rFonts w:ascii="Arial" w:cs="Arial" w:eastAsia="Arial" w:hAnsi="Arial"/>
          <w:sz w:val="14"/>
          <w:szCs w:val="14"/>
          <w:color w:val="C3002F"/>
        </w:rPr>
      </w:pPr>
    </w:p>
    <w:p>
      <w:pPr>
        <w:ind w:left="480" w:hanging="213"/>
        <w:spacing w:after="0"/>
        <w:tabs>
          <w:tab w:leader="none" w:pos="480" w:val="left"/>
        </w:tabs>
        <w:numPr>
          <w:ilvl w:val="0"/>
          <w:numId w:val="69"/>
        </w:numPr>
        <w:rPr>
          <w:rFonts w:ascii="Arial" w:cs="Arial" w:eastAsia="Arial" w:hAnsi="Arial"/>
          <w:sz w:val="14"/>
          <w:szCs w:val="14"/>
          <w:color w:val="C3002F"/>
        </w:rPr>
      </w:pPr>
      <w:r>
        <w:rPr>
          <w:rFonts w:ascii="Arial" w:cs="Arial" w:eastAsia="Arial" w:hAnsi="Arial"/>
          <w:sz w:val="14"/>
          <w:szCs w:val="14"/>
          <w:color w:val="auto"/>
        </w:rPr>
        <w:t>responding to the massive contraction in activity and reduction in pricing, including cost cuts and market share gains and losses; and</w:t>
      </w:r>
    </w:p>
    <w:p>
      <w:pPr>
        <w:spacing w:after="0" w:line="212" w:lineRule="exact"/>
        <w:rPr>
          <w:rFonts w:ascii="Arial" w:cs="Arial" w:eastAsia="Arial" w:hAnsi="Arial"/>
          <w:sz w:val="14"/>
          <w:szCs w:val="14"/>
          <w:color w:val="C3002F"/>
        </w:rPr>
      </w:pPr>
    </w:p>
    <w:p>
      <w:pPr>
        <w:ind w:left="480" w:hanging="213"/>
        <w:spacing w:after="0"/>
        <w:tabs>
          <w:tab w:leader="none" w:pos="480" w:val="left"/>
        </w:tabs>
        <w:numPr>
          <w:ilvl w:val="0"/>
          <w:numId w:val="69"/>
        </w:numPr>
        <w:rPr>
          <w:rFonts w:ascii="Arial" w:cs="Arial" w:eastAsia="Arial" w:hAnsi="Arial"/>
          <w:sz w:val="14"/>
          <w:szCs w:val="14"/>
          <w:color w:val="C3002F"/>
        </w:rPr>
      </w:pPr>
      <w:r>
        <w:rPr>
          <w:rFonts w:ascii="Arial" w:cs="Arial" w:eastAsia="Arial" w:hAnsi="Arial"/>
          <w:sz w:val="14"/>
          <w:szCs w:val="14"/>
          <w:color w:val="auto"/>
        </w:rPr>
        <w:t>focusing on recapture and growth of market share.</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Key objectives arising from these strategies and set by the Committee are as follows:</w:t>
      </w:r>
    </w:p>
    <w:p>
      <w:pPr>
        <w:spacing w:after="0" w:line="213" w:lineRule="exact"/>
        <w:rPr>
          <w:sz w:val="20"/>
          <w:szCs w:val="20"/>
          <w:color w:val="auto"/>
        </w:rPr>
      </w:pPr>
    </w:p>
    <w:p>
      <w:pPr>
        <w:ind w:left="480" w:hanging="213"/>
        <w:spacing w:after="0"/>
        <w:tabs>
          <w:tab w:leader="none" w:pos="480" w:val="left"/>
        </w:tabs>
        <w:numPr>
          <w:ilvl w:val="0"/>
          <w:numId w:val="70"/>
        </w:numPr>
        <w:rPr>
          <w:rFonts w:ascii="Arial" w:cs="Arial" w:eastAsia="Arial" w:hAnsi="Arial"/>
          <w:sz w:val="14"/>
          <w:szCs w:val="14"/>
          <w:color w:val="C3002F"/>
        </w:rPr>
      </w:pPr>
      <w:r>
        <w:rPr>
          <w:rFonts w:ascii="Arial" w:cs="Arial" w:eastAsia="Arial" w:hAnsi="Arial"/>
          <w:sz w:val="14"/>
          <w:szCs w:val="14"/>
          <w:color w:val="auto"/>
        </w:rPr>
        <w:t>increasing revenue and EBITDA (defined below);</w:t>
      </w:r>
    </w:p>
    <w:p>
      <w:pPr>
        <w:spacing w:after="0" w:line="212" w:lineRule="exact"/>
        <w:rPr>
          <w:rFonts w:ascii="Arial" w:cs="Arial" w:eastAsia="Arial" w:hAnsi="Arial"/>
          <w:sz w:val="14"/>
          <w:szCs w:val="14"/>
          <w:color w:val="C3002F"/>
        </w:rPr>
      </w:pPr>
    </w:p>
    <w:p>
      <w:pPr>
        <w:ind w:left="480" w:hanging="213"/>
        <w:spacing w:after="0"/>
        <w:tabs>
          <w:tab w:leader="none" w:pos="480" w:val="left"/>
        </w:tabs>
        <w:numPr>
          <w:ilvl w:val="0"/>
          <w:numId w:val="70"/>
        </w:numPr>
        <w:rPr>
          <w:rFonts w:ascii="Arial" w:cs="Arial" w:eastAsia="Arial" w:hAnsi="Arial"/>
          <w:sz w:val="14"/>
          <w:szCs w:val="14"/>
          <w:color w:val="C3002F"/>
        </w:rPr>
      </w:pPr>
      <w:r>
        <w:rPr>
          <w:rFonts w:ascii="Arial" w:cs="Arial" w:eastAsia="Arial" w:hAnsi="Arial"/>
          <w:sz w:val="14"/>
          <w:szCs w:val="14"/>
          <w:color w:val="auto"/>
        </w:rPr>
        <w:t>generating positive free cash flow from operations;</w:t>
      </w:r>
    </w:p>
    <w:p>
      <w:pPr>
        <w:spacing w:after="0" w:line="212" w:lineRule="exact"/>
        <w:rPr>
          <w:rFonts w:ascii="Arial" w:cs="Arial" w:eastAsia="Arial" w:hAnsi="Arial"/>
          <w:sz w:val="14"/>
          <w:szCs w:val="14"/>
          <w:color w:val="C3002F"/>
        </w:rPr>
      </w:pPr>
    </w:p>
    <w:p>
      <w:pPr>
        <w:ind w:left="480" w:hanging="213"/>
        <w:spacing w:after="0"/>
        <w:tabs>
          <w:tab w:leader="none" w:pos="480" w:val="left"/>
        </w:tabs>
        <w:numPr>
          <w:ilvl w:val="0"/>
          <w:numId w:val="70"/>
        </w:numPr>
        <w:rPr>
          <w:rFonts w:ascii="Arial" w:cs="Arial" w:eastAsia="Arial" w:hAnsi="Arial"/>
          <w:sz w:val="14"/>
          <w:szCs w:val="14"/>
          <w:color w:val="C3002F"/>
        </w:rPr>
      </w:pPr>
      <w:r>
        <w:rPr>
          <w:rFonts w:ascii="Arial" w:cs="Arial" w:eastAsia="Arial" w:hAnsi="Arial"/>
          <w:sz w:val="14"/>
          <w:szCs w:val="14"/>
          <w:color w:val="auto"/>
        </w:rPr>
        <w:t>further reducing the Company’s support ratio (the number of non-revenue-generating employees to the number of revenue generating employees);</w:t>
      </w:r>
    </w:p>
    <w:p>
      <w:pPr>
        <w:spacing w:after="0" w:line="212" w:lineRule="exact"/>
        <w:rPr>
          <w:rFonts w:ascii="Arial" w:cs="Arial" w:eastAsia="Arial" w:hAnsi="Arial"/>
          <w:sz w:val="14"/>
          <w:szCs w:val="14"/>
          <w:color w:val="C3002F"/>
        </w:rPr>
      </w:pPr>
    </w:p>
    <w:p>
      <w:pPr>
        <w:ind w:left="480" w:hanging="213"/>
        <w:spacing w:after="0"/>
        <w:tabs>
          <w:tab w:leader="none" w:pos="480" w:val="left"/>
        </w:tabs>
        <w:numPr>
          <w:ilvl w:val="0"/>
          <w:numId w:val="70"/>
        </w:numPr>
        <w:rPr>
          <w:rFonts w:ascii="Arial" w:cs="Arial" w:eastAsia="Arial" w:hAnsi="Arial"/>
          <w:sz w:val="14"/>
          <w:szCs w:val="14"/>
          <w:color w:val="C3002F"/>
        </w:rPr>
      </w:pPr>
      <w:r>
        <w:rPr>
          <w:rFonts w:ascii="Arial" w:cs="Arial" w:eastAsia="Arial" w:hAnsi="Arial"/>
          <w:sz w:val="14"/>
          <w:szCs w:val="14"/>
          <w:color w:val="auto"/>
        </w:rPr>
        <w:t>focusing on service quality, measured by reducing non-productive time (NPT); and</w:t>
      </w:r>
    </w:p>
    <w:p>
      <w:pPr>
        <w:spacing w:after="0" w:line="212" w:lineRule="exact"/>
        <w:rPr>
          <w:rFonts w:ascii="Arial" w:cs="Arial" w:eastAsia="Arial" w:hAnsi="Arial"/>
          <w:sz w:val="14"/>
          <w:szCs w:val="14"/>
          <w:color w:val="C3002F"/>
        </w:rPr>
      </w:pPr>
    </w:p>
    <w:p>
      <w:pPr>
        <w:ind w:left="480" w:right="120" w:hanging="213"/>
        <w:spacing w:after="0" w:line="253" w:lineRule="auto"/>
        <w:tabs>
          <w:tab w:leader="none" w:pos="480" w:val="left"/>
        </w:tabs>
        <w:numPr>
          <w:ilvl w:val="0"/>
          <w:numId w:val="70"/>
        </w:numPr>
        <w:rPr>
          <w:rFonts w:ascii="Arial" w:cs="Arial" w:eastAsia="Arial" w:hAnsi="Arial"/>
          <w:sz w:val="14"/>
          <w:szCs w:val="14"/>
          <w:color w:val="C3002F"/>
        </w:rPr>
      </w:pPr>
      <w:r>
        <w:rPr>
          <w:rFonts w:ascii="Arial" w:cs="Arial" w:eastAsia="Arial" w:hAnsi="Arial"/>
          <w:sz w:val="14"/>
          <w:szCs w:val="14"/>
          <w:color w:val="auto"/>
        </w:rPr>
        <w:t>maintaining focus on individual goals and safety performance, even in a continued downturn, as safety is of utmost importance to our Company, our employees, and our clients.</w:t>
      </w:r>
    </w:p>
    <w:p>
      <w:pPr>
        <w:spacing w:after="0" w:line="155" w:lineRule="exact"/>
        <w:rPr>
          <w:sz w:val="20"/>
          <w:szCs w:val="20"/>
          <w:color w:val="auto"/>
        </w:rPr>
      </w:pPr>
    </w:p>
    <w:p>
      <w:pPr>
        <w:jc w:val="both"/>
        <w:ind w:left="260" w:right="100"/>
        <w:spacing w:after="0" w:line="243" w:lineRule="auto"/>
        <w:rPr>
          <w:sz w:val="20"/>
          <w:szCs w:val="20"/>
          <w:color w:val="auto"/>
        </w:rPr>
      </w:pPr>
      <w:r>
        <w:rPr>
          <w:rFonts w:ascii="Arial" w:cs="Arial" w:eastAsia="Arial" w:hAnsi="Arial"/>
          <w:sz w:val="14"/>
          <w:szCs w:val="14"/>
          <w:color w:val="auto"/>
        </w:rPr>
        <w:t>The Company also continues to strive to increase market share, measured by improvement of the Company’s performance (using revenue, operating income and free cash flow) as compared to our key oilfield service company peers: Schlumberger, Halliburton, and Baker Hughes/GE, or our “Significant Peers.” To focus on this measurement of performance, a comparative performance matrix was used to establish a multiplier on the payouts for the objectives set forth below (vs. an independent performance metric in prior years).</w:t>
      </w:r>
    </w:p>
    <w:p>
      <w:pPr>
        <w:spacing w:after="0" w:line="176" w:lineRule="exact"/>
        <w:rPr>
          <w:sz w:val="20"/>
          <w:szCs w:val="20"/>
          <w:color w:val="auto"/>
        </w:rPr>
      </w:pPr>
    </w:p>
    <w:p>
      <w:pPr>
        <w:ind w:left="260" w:right="60"/>
        <w:spacing w:after="0" w:line="253" w:lineRule="auto"/>
        <w:rPr>
          <w:sz w:val="20"/>
          <w:szCs w:val="20"/>
          <w:color w:val="auto"/>
        </w:rPr>
      </w:pPr>
      <w:r>
        <w:rPr>
          <w:rFonts w:ascii="Arial" w:cs="Arial" w:eastAsia="Arial" w:hAnsi="Arial"/>
          <w:sz w:val="14"/>
          <w:szCs w:val="14"/>
          <w:color w:val="auto"/>
        </w:rPr>
        <w:t>The targets for these objectives are also tied to internal budgets and expectations and require incremental improvement and continued savings. The Committee believes the targets set were rigorous, appropriate for our market and the shifting industry landscape, and are at or above market expectations.</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formula for payout is set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1250950</wp:posOffset>
            </wp:positionV>
            <wp:extent cx="69176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2018 Proxy Statement</w:t>
      </w:r>
      <w:r>
        <w:rPr>
          <w:sz w:val="20"/>
          <w:szCs w:val="20"/>
          <w:color w:val="auto"/>
        </w:rPr>
        <w:tab/>
      </w:r>
      <w:r>
        <w:rPr>
          <w:rFonts w:ascii="Arial" w:cs="Arial" w:eastAsia="Arial" w:hAnsi="Arial"/>
          <w:sz w:val="14"/>
          <w:szCs w:val="14"/>
          <w:b w:val="1"/>
          <w:bCs w:val="1"/>
          <w:color w:val="666666"/>
        </w:rPr>
        <w:t>27</w:t>
      </w:r>
    </w:p>
    <w:p>
      <w:pPr>
        <w:sectPr>
          <w:pgSz w:w="11900" w:h="16838" w:orient="portrait"/>
          <w:cols w:equalWidth="0" w:num="1">
            <w:col w:w="11160"/>
          </w:cols>
          <w:pgMar w:left="240" w:top="455"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objectives for all NEOs are summarized as follows, including achievement results for each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149225</wp:posOffset>
            </wp:positionV>
            <wp:extent cx="1610995" cy="27552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610995" cy="2755265"/>
                    </a:xfrm>
                    <a:prstGeom prst="rect">
                      <a:avLst/>
                    </a:prstGeom>
                    <a:noFill/>
                  </pic:spPr>
                </pic:pic>
              </a:graphicData>
            </a:graphic>
          </wp:anchor>
        </w:drawing>
      </w:r>
    </w:p>
    <w:p>
      <w:pPr>
        <w:spacing w:after="0" w:line="215" w:lineRule="exact"/>
        <w:rPr>
          <w:sz w:val="20"/>
          <w:szCs w:val="20"/>
          <w:color w:val="auto"/>
        </w:rPr>
      </w:pPr>
    </w:p>
    <w:tbl>
      <w:tblPr>
        <w:tblLayout w:type="fixed"/>
        <w:tblInd w:w="2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540" w:type="dxa"/>
            <w:vAlign w:val="bottom"/>
            <w:shd w:val="clear" w:color="auto" w:fill="D8D8D8"/>
          </w:tcPr>
          <w:p>
            <w:pPr>
              <w:spacing w:after="0"/>
              <w:rPr>
                <w:sz w:val="14"/>
                <w:szCs w:val="14"/>
                <w:color w:val="auto"/>
              </w:rPr>
            </w:pPr>
          </w:p>
        </w:tc>
        <w:tc>
          <w:tcPr>
            <w:tcW w:w="1220" w:type="dxa"/>
            <w:vAlign w:val="bottom"/>
            <w:shd w:val="clear" w:color="auto" w:fill="D8D8D8"/>
          </w:tcPr>
          <w:p>
            <w:pPr>
              <w:spacing w:after="0"/>
              <w:rPr>
                <w:sz w:val="14"/>
                <w:szCs w:val="14"/>
                <w:color w:val="auto"/>
              </w:rPr>
            </w:pPr>
          </w:p>
        </w:tc>
        <w:tc>
          <w:tcPr>
            <w:tcW w:w="660" w:type="dxa"/>
            <w:vAlign w:val="bottom"/>
            <w:shd w:val="clear" w:color="auto" w:fill="D8D8D8"/>
          </w:tcPr>
          <w:p>
            <w:pPr>
              <w:spacing w:after="0"/>
              <w:rPr>
                <w:sz w:val="14"/>
                <w:szCs w:val="14"/>
                <w:color w:val="auto"/>
              </w:rPr>
            </w:pPr>
          </w:p>
        </w:tc>
        <w:tc>
          <w:tcPr>
            <w:tcW w:w="1080" w:type="dxa"/>
            <w:vAlign w:val="bottom"/>
            <w:shd w:val="clear" w:color="auto" w:fill="D8D8D8"/>
          </w:tcPr>
          <w:p>
            <w:pPr>
              <w:spacing w:after="0"/>
              <w:rPr>
                <w:sz w:val="14"/>
                <w:szCs w:val="14"/>
                <w:color w:val="auto"/>
              </w:rPr>
            </w:pPr>
          </w:p>
        </w:tc>
        <w:tc>
          <w:tcPr>
            <w:tcW w:w="1060" w:type="dxa"/>
            <w:vAlign w:val="bottom"/>
            <w:shd w:val="clear" w:color="auto" w:fill="D8D8D8"/>
          </w:tcPr>
          <w:p>
            <w:pPr>
              <w:spacing w:after="0"/>
              <w:rPr>
                <w:sz w:val="14"/>
                <w:szCs w:val="14"/>
                <w:color w:val="auto"/>
              </w:rPr>
            </w:pPr>
          </w:p>
        </w:tc>
        <w:tc>
          <w:tcPr>
            <w:tcW w:w="1200" w:type="dxa"/>
            <w:vAlign w:val="bottom"/>
            <w:shd w:val="clear" w:color="auto" w:fill="D8D8D8"/>
          </w:tcPr>
          <w:p>
            <w:pPr>
              <w:spacing w:after="0"/>
              <w:rPr>
                <w:sz w:val="14"/>
                <w:szCs w:val="14"/>
                <w:color w:val="auto"/>
              </w:rPr>
            </w:pPr>
          </w:p>
        </w:tc>
        <w:tc>
          <w:tcPr>
            <w:tcW w:w="1080" w:type="dxa"/>
            <w:vAlign w:val="bottom"/>
            <w:shd w:val="clear" w:color="auto" w:fill="D8D8D8"/>
          </w:tcPr>
          <w:p>
            <w:pPr>
              <w:jc w:val="center"/>
              <w:spacing w:after="0"/>
              <w:rPr>
                <w:sz w:val="20"/>
                <w:szCs w:val="20"/>
                <w:color w:val="auto"/>
              </w:rPr>
            </w:pPr>
            <w:r>
              <w:rPr>
                <w:rFonts w:ascii="Arial" w:cs="Arial" w:eastAsia="Arial" w:hAnsi="Arial"/>
                <w:sz w:val="14"/>
                <w:szCs w:val="14"/>
                <w:color w:val="auto"/>
                <w:w w:val="96"/>
              </w:rPr>
              <w:t>2016</w:t>
            </w:r>
          </w:p>
        </w:tc>
        <w:tc>
          <w:tcPr>
            <w:tcW w:w="114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2017</w:t>
            </w:r>
          </w:p>
        </w:tc>
        <w:tc>
          <w:tcPr>
            <w:tcW w:w="9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4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4"/>
                <w:szCs w:val="14"/>
                <w:color w:val="auto"/>
              </w:rPr>
              <w:t>Applicable NEO</w:t>
            </w:r>
          </w:p>
        </w:tc>
        <w:tc>
          <w:tcPr>
            <w:tcW w:w="1220" w:type="dxa"/>
            <w:vAlign w:val="bottom"/>
            <w:tcBorders>
              <w:bottom w:val="single" w:sz="8" w:color="auto"/>
            </w:tcBorders>
            <w:shd w:val="clear" w:color="auto" w:fill="D8D8D8"/>
          </w:tcPr>
          <w:p>
            <w:pPr>
              <w:ind w:left="440"/>
              <w:spacing w:after="0"/>
              <w:rPr>
                <w:sz w:val="20"/>
                <w:szCs w:val="20"/>
                <w:color w:val="auto"/>
              </w:rPr>
            </w:pPr>
            <w:r>
              <w:rPr>
                <w:rFonts w:ascii="Arial" w:cs="Arial" w:eastAsia="Arial" w:hAnsi="Arial"/>
                <w:sz w:val="14"/>
                <w:szCs w:val="14"/>
                <w:color w:val="auto"/>
              </w:rPr>
              <w:t>Metric</w:t>
            </w:r>
          </w:p>
        </w:tc>
        <w:tc>
          <w:tcPr>
            <w:tcW w:w="66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Weight</w:t>
            </w:r>
          </w:p>
        </w:tc>
        <w:tc>
          <w:tcPr>
            <w:tcW w:w="108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9"/>
              </w:rPr>
              <w:t>Threshold</w:t>
            </w:r>
          </w:p>
        </w:tc>
        <w:tc>
          <w:tcPr>
            <w:tcW w:w="106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8"/>
              </w:rPr>
              <w:t>Target</w:t>
            </w:r>
          </w:p>
        </w:tc>
        <w:tc>
          <w:tcPr>
            <w:tcW w:w="120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Superior</w:t>
            </w:r>
          </w:p>
        </w:tc>
        <w:tc>
          <w:tcPr>
            <w:tcW w:w="108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Comparative</w:t>
            </w:r>
          </w:p>
        </w:tc>
        <w:tc>
          <w:tcPr>
            <w:tcW w:w="114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Result</w:t>
            </w:r>
          </w:p>
        </w:tc>
        <w:tc>
          <w:tcPr>
            <w:tcW w:w="900" w:type="dxa"/>
            <w:vAlign w:val="bottom"/>
            <w:tcBorders>
              <w:bottom w:val="single" w:sz="8" w:color="auto"/>
            </w:tcBorders>
            <w:shd w:val="clear" w:color="auto" w:fill="D8D8D8"/>
          </w:tcPr>
          <w:p>
            <w:pPr>
              <w:jc w:val="center"/>
              <w:ind w:left="9"/>
              <w:spacing w:after="0"/>
              <w:rPr>
                <w:sz w:val="20"/>
                <w:szCs w:val="20"/>
                <w:color w:val="auto"/>
              </w:rPr>
            </w:pPr>
            <w:r>
              <w:rPr>
                <w:rFonts w:ascii="Arial" w:cs="Arial" w:eastAsia="Arial" w:hAnsi="Arial"/>
                <w:sz w:val="14"/>
                <w:szCs w:val="14"/>
                <w:color w:val="auto"/>
              </w:rPr>
              <w:t>Achievement</w:t>
            </w:r>
          </w:p>
        </w:tc>
        <w:tc>
          <w:tcPr>
            <w:tcW w:w="0" w:type="dxa"/>
            <w:vAlign w:val="bottom"/>
          </w:tcPr>
          <w:p>
            <w:pPr>
              <w:spacing w:after="0"/>
              <w:rPr>
                <w:sz w:val="1"/>
                <w:szCs w:val="1"/>
                <w:color w:val="auto"/>
              </w:rPr>
            </w:pPr>
          </w:p>
        </w:tc>
      </w:tr>
      <w:tr>
        <w:trPr>
          <w:trHeight w:val="158"/>
        </w:trPr>
        <w:tc>
          <w:tcPr>
            <w:tcW w:w="2560" w:type="dxa"/>
            <w:vAlign w:val="bottom"/>
            <w:gridSpan w:val="2"/>
          </w:tcPr>
          <w:p>
            <w:pPr>
              <w:spacing w:after="0" w:line="158" w:lineRule="exact"/>
              <w:rPr>
                <w:sz w:val="20"/>
                <w:szCs w:val="20"/>
                <w:color w:val="auto"/>
              </w:rPr>
            </w:pPr>
            <w:r>
              <w:rPr>
                <w:rFonts w:ascii="Arial" w:cs="Arial" w:eastAsia="Arial" w:hAnsi="Arial"/>
                <w:sz w:val="14"/>
                <w:szCs w:val="14"/>
                <w:color w:val="auto"/>
              </w:rPr>
              <w:t>All NEOs</w:t>
            </w:r>
          </w:p>
        </w:tc>
        <w:tc>
          <w:tcPr>
            <w:tcW w:w="1220" w:type="dxa"/>
            <w:vAlign w:val="bottom"/>
            <w:vMerge w:val="restart"/>
          </w:tcPr>
          <w:p>
            <w:pPr>
              <w:ind w:left="140"/>
              <w:spacing w:after="0"/>
              <w:rPr>
                <w:sz w:val="20"/>
                <w:szCs w:val="20"/>
                <w:color w:val="auto"/>
              </w:rPr>
            </w:pPr>
            <w:r>
              <w:rPr>
                <w:rFonts w:ascii="Arial" w:cs="Arial" w:eastAsia="Arial" w:hAnsi="Arial"/>
                <w:sz w:val="14"/>
                <w:szCs w:val="14"/>
                <w:color w:val="auto"/>
              </w:rPr>
              <w:t>Revenue</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w w:val="99"/>
              </w:rPr>
              <w:t>25%</w:t>
            </w:r>
          </w:p>
        </w:tc>
        <w:tc>
          <w:tcPr>
            <w:tcW w:w="1080" w:type="dxa"/>
            <w:vAlign w:val="bottom"/>
            <w:vMerge w:val="restart"/>
          </w:tcPr>
          <w:p>
            <w:pPr>
              <w:jc w:val="center"/>
              <w:ind w:left="9"/>
              <w:spacing w:after="0"/>
              <w:rPr>
                <w:sz w:val="20"/>
                <w:szCs w:val="20"/>
                <w:color w:val="auto"/>
              </w:rPr>
            </w:pPr>
            <w:r>
              <w:rPr>
                <w:rFonts w:ascii="Arial" w:cs="Arial" w:eastAsia="Arial" w:hAnsi="Arial"/>
                <w:sz w:val="14"/>
                <w:szCs w:val="14"/>
                <w:color w:val="auto"/>
              </w:rPr>
              <w:t>$5,700 million</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$6,266 million</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$6,700 million</w:t>
            </w:r>
          </w:p>
        </w:tc>
        <w:tc>
          <w:tcPr>
            <w:tcW w:w="1080" w:type="dxa"/>
            <w:vAlign w:val="bottom"/>
            <w:vMerge w:val="restart"/>
          </w:tcPr>
          <w:p>
            <w:pPr>
              <w:jc w:val="center"/>
              <w:ind w:left="9"/>
              <w:spacing w:after="0"/>
              <w:rPr>
                <w:sz w:val="20"/>
                <w:szCs w:val="20"/>
                <w:color w:val="auto"/>
              </w:rPr>
            </w:pPr>
            <w:r>
              <w:rPr>
                <w:rFonts w:ascii="Arial" w:cs="Arial" w:eastAsia="Arial" w:hAnsi="Arial"/>
                <w:sz w:val="14"/>
                <w:szCs w:val="14"/>
                <w:color w:val="auto"/>
              </w:rPr>
              <w:t>$5,749 million</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$5,722 million</w:t>
            </w:r>
          </w:p>
        </w:tc>
        <w:tc>
          <w:tcPr>
            <w:tcW w:w="900" w:type="dxa"/>
            <w:vAlign w:val="bottom"/>
          </w:tcPr>
          <w:p>
            <w:pPr>
              <w:jc w:val="center"/>
              <w:spacing w:after="0" w:line="158" w:lineRule="exact"/>
              <w:rPr>
                <w:sz w:val="20"/>
                <w:szCs w:val="20"/>
                <w:color w:val="auto"/>
              </w:rPr>
            </w:pPr>
            <w:r>
              <w:rPr>
                <w:rFonts w:ascii="Arial" w:cs="Arial" w:eastAsia="Arial" w:hAnsi="Arial"/>
                <w:sz w:val="14"/>
                <w:szCs w:val="14"/>
                <w:color w:val="C3002F"/>
              </w:rPr>
              <w:t>Above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900" w:type="dxa"/>
            <w:vAlign w:val="bottom"/>
            <w:vMerge w:val="restart"/>
          </w:tcPr>
          <w:p>
            <w:pPr>
              <w:jc w:val="center"/>
              <w:ind w:left="9"/>
              <w:spacing w:after="0"/>
              <w:rPr>
                <w:sz w:val="20"/>
                <w:szCs w:val="20"/>
                <w:color w:val="auto"/>
              </w:rPr>
            </w:pPr>
            <w:r>
              <w:rPr>
                <w:rFonts w:ascii="Arial" w:cs="Arial" w:eastAsia="Arial" w:hAnsi="Arial"/>
                <w:sz w:val="14"/>
                <w:szCs w:val="14"/>
                <w:color w:val="C3002F"/>
                <w:w w:val="99"/>
              </w:rPr>
              <w:t>Threshold</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220" w:type="dxa"/>
            <w:vAlign w:val="bottom"/>
            <w:tcBorders>
              <w:bottom w:val="single" w:sz="8" w:color="666666"/>
            </w:tcBorders>
          </w:tcPr>
          <w:p>
            <w:pPr>
              <w:spacing w:after="0"/>
              <w:rPr>
                <w:sz w:val="6"/>
                <w:szCs w:val="6"/>
                <w:color w:val="auto"/>
              </w:rPr>
            </w:pPr>
          </w:p>
        </w:tc>
        <w:tc>
          <w:tcPr>
            <w:tcW w:w="660" w:type="dxa"/>
            <w:vAlign w:val="bottom"/>
            <w:tcBorders>
              <w:bottom w:val="single" w:sz="8" w:color="666666"/>
            </w:tcBorders>
          </w:tcPr>
          <w:p>
            <w:pPr>
              <w:spacing w:after="0"/>
              <w:rPr>
                <w:sz w:val="6"/>
                <w:szCs w:val="6"/>
                <w:color w:val="auto"/>
              </w:rPr>
            </w:pPr>
          </w:p>
        </w:tc>
        <w:tc>
          <w:tcPr>
            <w:tcW w:w="1080" w:type="dxa"/>
            <w:vAlign w:val="bottom"/>
            <w:tcBorders>
              <w:bottom w:val="single" w:sz="8" w:color="666666"/>
            </w:tcBorders>
          </w:tcPr>
          <w:p>
            <w:pPr>
              <w:spacing w:after="0"/>
              <w:rPr>
                <w:sz w:val="6"/>
                <w:szCs w:val="6"/>
                <w:color w:val="auto"/>
              </w:rPr>
            </w:pPr>
          </w:p>
        </w:tc>
        <w:tc>
          <w:tcPr>
            <w:tcW w:w="1060" w:type="dxa"/>
            <w:vAlign w:val="bottom"/>
            <w:tcBorders>
              <w:bottom w:val="single" w:sz="8" w:color="666666"/>
            </w:tcBorders>
          </w:tcPr>
          <w:p>
            <w:pPr>
              <w:spacing w:after="0"/>
              <w:rPr>
                <w:sz w:val="6"/>
                <w:szCs w:val="6"/>
                <w:color w:val="auto"/>
              </w:rPr>
            </w:pPr>
          </w:p>
        </w:tc>
        <w:tc>
          <w:tcPr>
            <w:tcW w:w="1200" w:type="dxa"/>
            <w:vAlign w:val="bottom"/>
            <w:tcBorders>
              <w:bottom w:val="single" w:sz="8" w:color="666666"/>
            </w:tcBorders>
          </w:tcPr>
          <w:p>
            <w:pPr>
              <w:spacing w:after="0"/>
              <w:rPr>
                <w:sz w:val="6"/>
                <w:szCs w:val="6"/>
                <w:color w:val="auto"/>
              </w:rPr>
            </w:pPr>
          </w:p>
        </w:tc>
        <w:tc>
          <w:tcPr>
            <w:tcW w:w="1080" w:type="dxa"/>
            <w:vAlign w:val="bottom"/>
            <w:tcBorders>
              <w:bottom w:val="single" w:sz="8" w:color="666666"/>
            </w:tcBorders>
          </w:tcPr>
          <w:p>
            <w:pPr>
              <w:spacing w:after="0"/>
              <w:rPr>
                <w:sz w:val="6"/>
                <w:szCs w:val="6"/>
                <w:color w:val="auto"/>
              </w:rPr>
            </w:pPr>
          </w:p>
        </w:tc>
        <w:tc>
          <w:tcPr>
            <w:tcW w:w="1140" w:type="dxa"/>
            <w:vAlign w:val="bottom"/>
            <w:tcBorders>
              <w:bottom w:val="single" w:sz="8" w:color="666666"/>
            </w:tcBorders>
          </w:tcPr>
          <w:p>
            <w:pPr>
              <w:spacing w:after="0"/>
              <w:rPr>
                <w:sz w:val="6"/>
                <w:szCs w:val="6"/>
                <w:color w:val="auto"/>
              </w:rPr>
            </w:pPr>
          </w:p>
        </w:tc>
        <w:tc>
          <w:tcPr>
            <w:tcW w:w="900" w:type="dxa"/>
            <w:vAlign w:val="bottom"/>
            <w:tcBorders>
              <w:bottom w:val="single" w:sz="8" w:color="666666"/>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20" w:type="dxa"/>
            <w:vAlign w:val="bottom"/>
            <w:vMerge w:val="restart"/>
            <w:shd w:val="clear" w:color="auto" w:fill="D8D8D8"/>
          </w:tcPr>
          <w:p>
            <w:pPr>
              <w:ind w:left="140"/>
              <w:spacing w:after="0"/>
              <w:rPr>
                <w:sz w:val="20"/>
                <w:szCs w:val="20"/>
                <w:color w:val="auto"/>
              </w:rPr>
            </w:pPr>
            <w:r>
              <w:rPr>
                <w:rFonts w:ascii="Arial" w:cs="Arial" w:eastAsia="Arial" w:hAnsi="Arial"/>
                <w:sz w:val="14"/>
                <w:szCs w:val="14"/>
                <w:color w:val="auto"/>
              </w:rPr>
              <w:t>EBITDA</w:t>
            </w:r>
          </w:p>
        </w:tc>
        <w:tc>
          <w:tcPr>
            <w:tcW w:w="660" w:type="dxa"/>
            <w:vAlign w:val="bottom"/>
            <w:vMerge w:val="restart"/>
            <w:shd w:val="clear" w:color="auto" w:fill="D8D8D8"/>
          </w:tcPr>
          <w:p>
            <w:pPr>
              <w:jc w:val="center"/>
              <w:spacing w:after="0"/>
              <w:rPr>
                <w:sz w:val="20"/>
                <w:szCs w:val="20"/>
                <w:color w:val="auto"/>
              </w:rPr>
            </w:pPr>
            <w:r>
              <w:rPr>
                <w:rFonts w:ascii="Arial" w:cs="Arial" w:eastAsia="Arial" w:hAnsi="Arial"/>
                <w:sz w:val="14"/>
                <w:szCs w:val="14"/>
                <w:color w:val="auto"/>
                <w:w w:val="99"/>
              </w:rPr>
              <w:t>25%</w:t>
            </w:r>
          </w:p>
        </w:tc>
        <w:tc>
          <w:tcPr>
            <w:tcW w:w="1080" w:type="dxa"/>
            <w:vAlign w:val="bottom"/>
            <w:vMerge w:val="restart"/>
            <w:shd w:val="clear" w:color="auto" w:fill="D8D8D8"/>
          </w:tcPr>
          <w:p>
            <w:pPr>
              <w:jc w:val="center"/>
              <w:ind w:left="9"/>
              <w:spacing w:after="0"/>
              <w:rPr>
                <w:sz w:val="20"/>
                <w:szCs w:val="20"/>
                <w:color w:val="auto"/>
              </w:rPr>
            </w:pPr>
            <w:r>
              <w:rPr>
                <w:rFonts w:ascii="Arial" w:cs="Arial" w:eastAsia="Arial" w:hAnsi="Arial"/>
                <w:sz w:val="14"/>
                <w:szCs w:val="14"/>
                <w:color w:val="auto"/>
              </w:rPr>
              <w:t>$500 million</w:t>
            </w:r>
          </w:p>
        </w:tc>
        <w:tc>
          <w:tcPr>
            <w:tcW w:w="1060" w:type="dxa"/>
            <w:vAlign w:val="bottom"/>
            <w:vMerge w:val="restart"/>
            <w:shd w:val="clear" w:color="auto" w:fill="D8D8D8"/>
          </w:tcPr>
          <w:p>
            <w:pPr>
              <w:jc w:val="center"/>
              <w:spacing w:after="0"/>
              <w:rPr>
                <w:sz w:val="20"/>
                <w:szCs w:val="20"/>
                <w:color w:val="auto"/>
              </w:rPr>
            </w:pPr>
            <w:r>
              <w:rPr>
                <w:rFonts w:ascii="Arial" w:cs="Arial" w:eastAsia="Arial" w:hAnsi="Arial"/>
                <w:sz w:val="14"/>
                <w:szCs w:val="14"/>
                <w:color w:val="auto"/>
              </w:rPr>
              <w:t>$750 million</w:t>
            </w:r>
          </w:p>
        </w:tc>
        <w:tc>
          <w:tcPr>
            <w:tcW w:w="1200" w:type="dxa"/>
            <w:vAlign w:val="bottom"/>
            <w:vMerge w:val="restart"/>
            <w:shd w:val="clear" w:color="auto" w:fill="D8D8D8"/>
          </w:tcPr>
          <w:p>
            <w:pPr>
              <w:jc w:val="center"/>
              <w:spacing w:after="0"/>
              <w:rPr>
                <w:sz w:val="20"/>
                <w:szCs w:val="20"/>
                <w:color w:val="auto"/>
              </w:rPr>
            </w:pPr>
            <w:r>
              <w:rPr>
                <w:rFonts w:ascii="Arial" w:cs="Arial" w:eastAsia="Arial" w:hAnsi="Arial"/>
                <w:sz w:val="14"/>
                <w:szCs w:val="14"/>
                <w:color w:val="auto"/>
              </w:rPr>
              <w:t>$1,000 million</w:t>
            </w:r>
          </w:p>
        </w:tc>
        <w:tc>
          <w:tcPr>
            <w:tcW w:w="1080" w:type="dxa"/>
            <w:vAlign w:val="bottom"/>
            <w:vMerge w:val="restart"/>
            <w:shd w:val="clear" w:color="auto" w:fill="D8D8D8"/>
          </w:tcPr>
          <w:p>
            <w:pPr>
              <w:jc w:val="center"/>
              <w:ind w:left="9"/>
              <w:spacing w:after="0"/>
              <w:rPr>
                <w:sz w:val="20"/>
                <w:szCs w:val="20"/>
                <w:color w:val="auto"/>
              </w:rPr>
            </w:pPr>
            <w:r>
              <w:rPr>
                <w:rFonts w:ascii="Arial" w:cs="Arial" w:eastAsia="Arial" w:hAnsi="Arial"/>
                <w:sz w:val="14"/>
                <w:szCs w:val="14"/>
                <w:color w:val="auto"/>
              </w:rPr>
              <w:t>$250 million</w:t>
            </w:r>
          </w:p>
        </w:tc>
        <w:tc>
          <w:tcPr>
            <w:tcW w:w="1140" w:type="dxa"/>
            <w:vAlign w:val="bottom"/>
            <w:vMerge w:val="restart"/>
            <w:shd w:val="clear" w:color="auto" w:fill="D8D8D8"/>
          </w:tcPr>
          <w:p>
            <w:pPr>
              <w:jc w:val="center"/>
              <w:spacing w:after="0"/>
              <w:rPr>
                <w:sz w:val="20"/>
                <w:szCs w:val="20"/>
                <w:color w:val="auto"/>
              </w:rPr>
            </w:pPr>
            <w:r>
              <w:rPr>
                <w:rFonts w:ascii="Arial" w:cs="Arial" w:eastAsia="Arial" w:hAnsi="Arial"/>
                <w:sz w:val="14"/>
                <w:szCs w:val="14"/>
                <w:color w:val="auto"/>
              </w:rPr>
              <w:t>$413 million</w:t>
            </w:r>
          </w:p>
        </w:tc>
        <w:tc>
          <w:tcPr>
            <w:tcW w:w="900" w:type="dxa"/>
            <w:vAlign w:val="bottom"/>
            <w:shd w:val="clear" w:color="auto" w:fill="D8D8D8"/>
          </w:tcPr>
          <w:p>
            <w:pPr>
              <w:jc w:val="center"/>
              <w:ind w:left="9"/>
              <w:spacing w:after="0" w:line="158" w:lineRule="exact"/>
              <w:rPr>
                <w:sz w:val="20"/>
                <w:szCs w:val="20"/>
                <w:color w:val="auto"/>
              </w:rPr>
            </w:pPr>
            <w:r>
              <w:rPr>
                <w:rFonts w:ascii="Arial" w:cs="Arial" w:eastAsia="Arial" w:hAnsi="Arial"/>
                <w:sz w:val="14"/>
                <w:szCs w:val="14"/>
                <w:color w:val="auto"/>
                <w:w w:val="99"/>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220" w:type="dxa"/>
            <w:vAlign w:val="bottom"/>
            <w:vMerge w:val="continue"/>
            <w:shd w:val="clear" w:color="auto" w:fill="D8D8D8"/>
          </w:tcPr>
          <w:p>
            <w:pPr>
              <w:spacing w:after="0"/>
              <w:rPr>
                <w:sz w:val="7"/>
                <w:szCs w:val="7"/>
                <w:color w:val="auto"/>
              </w:rPr>
            </w:pPr>
          </w:p>
        </w:tc>
        <w:tc>
          <w:tcPr>
            <w:tcW w:w="660" w:type="dxa"/>
            <w:vAlign w:val="bottom"/>
            <w:vMerge w:val="continue"/>
            <w:shd w:val="clear" w:color="auto" w:fill="D8D8D8"/>
          </w:tcPr>
          <w:p>
            <w:pPr>
              <w:spacing w:after="0"/>
              <w:rPr>
                <w:sz w:val="7"/>
                <w:szCs w:val="7"/>
                <w:color w:val="auto"/>
              </w:rPr>
            </w:pPr>
          </w:p>
        </w:tc>
        <w:tc>
          <w:tcPr>
            <w:tcW w:w="1080" w:type="dxa"/>
            <w:vAlign w:val="bottom"/>
            <w:vMerge w:val="continue"/>
            <w:shd w:val="clear" w:color="auto" w:fill="D8D8D8"/>
          </w:tcPr>
          <w:p>
            <w:pPr>
              <w:spacing w:after="0"/>
              <w:rPr>
                <w:sz w:val="7"/>
                <w:szCs w:val="7"/>
                <w:color w:val="auto"/>
              </w:rPr>
            </w:pPr>
          </w:p>
        </w:tc>
        <w:tc>
          <w:tcPr>
            <w:tcW w:w="1060" w:type="dxa"/>
            <w:vAlign w:val="bottom"/>
            <w:vMerge w:val="continue"/>
            <w:shd w:val="clear" w:color="auto" w:fill="D8D8D8"/>
          </w:tcPr>
          <w:p>
            <w:pPr>
              <w:spacing w:after="0"/>
              <w:rPr>
                <w:sz w:val="7"/>
                <w:szCs w:val="7"/>
                <w:color w:val="auto"/>
              </w:rPr>
            </w:pPr>
          </w:p>
        </w:tc>
        <w:tc>
          <w:tcPr>
            <w:tcW w:w="1200" w:type="dxa"/>
            <w:vAlign w:val="bottom"/>
            <w:vMerge w:val="continue"/>
            <w:shd w:val="clear" w:color="auto" w:fill="D8D8D8"/>
          </w:tcPr>
          <w:p>
            <w:pPr>
              <w:spacing w:after="0"/>
              <w:rPr>
                <w:sz w:val="7"/>
                <w:szCs w:val="7"/>
                <w:color w:val="auto"/>
              </w:rPr>
            </w:pPr>
          </w:p>
        </w:tc>
        <w:tc>
          <w:tcPr>
            <w:tcW w:w="1080" w:type="dxa"/>
            <w:vAlign w:val="bottom"/>
            <w:vMerge w:val="continue"/>
            <w:shd w:val="clear" w:color="auto" w:fill="D8D8D8"/>
          </w:tcPr>
          <w:p>
            <w:pPr>
              <w:spacing w:after="0"/>
              <w:rPr>
                <w:sz w:val="7"/>
                <w:szCs w:val="7"/>
                <w:color w:val="auto"/>
              </w:rPr>
            </w:pPr>
          </w:p>
        </w:tc>
        <w:tc>
          <w:tcPr>
            <w:tcW w:w="1140" w:type="dxa"/>
            <w:vAlign w:val="bottom"/>
            <w:vMerge w:val="continue"/>
            <w:shd w:val="clear" w:color="auto" w:fill="D8D8D8"/>
          </w:tcPr>
          <w:p>
            <w:pPr>
              <w:spacing w:after="0"/>
              <w:rPr>
                <w:sz w:val="7"/>
                <w:szCs w:val="7"/>
                <w:color w:val="auto"/>
              </w:rPr>
            </w:pPr>
          </w:p>
        </w:tc>
        <w:tc>
          <w:tcPr>
            <w:tcW w:w="900" w:type="dxa"/>
            <w:vAlign w:val="bottom"/>
            <w:vMerge w:val="restart"/>
            <w:shd w:val="clear" w:color="auto" w:fill="D8D8D8"/>
          </w:tcPr>
          <w:p>
            <w:pPr>
              <w:jc w:val="center"/>
              <w:ind w:left="9"/>
              <w:spacing w:after="0" w:line="155" w:lineRule="exact"/>
              <w:rPr>
                <w:sz w:val="20"/>
                <w:szCs w:val="20"/>
                <w:color w:val="auto"/>
              </w:rPr>
            </w:pPr>
            <w:r>
              <w:rPr>
                <w:rFonts w:ascii="Arial" w:cs="Arial" w:eastAsia="Arial" w:hAnsi="Arial"/>
                <w:sz w:val="14"/>
                <w:szCs w:val="14"/>
                <w:color w:val="auto"/>
                <w:w w:val="99"/>
              </w:rPr>
              <w:t>Threshold</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220" w:type="dxa"/>
            <w:vAlign w:val="bottom"/>
            <w:tcBorders>
              <w:bottom w:val="single" w:sz="8" w:color="666666"/>
            </w:tcBorders>
            <w:shd w:val="clear" w:color="auto" w:fill="D8D8D8"/>
          </w:tcPr>
          <w:p>
            <w:pPr>
              <w:spacing w:after="0"/>
              <w:rPr>
                <w:sz w:val="5"/>
                <w:szCs w:val="5"/>
                <w:color w:val="auto"/>
              </w:rPr>
            </w:pPr>
          </w:p>
        </w:tc>
        <w:tc>
          <w:tcPr>
            <w:tcW w:w="660" w:type="dxa"/>
            <w:vAlign w:val="bottom"/>
            <w:tcBorders>
              <w:bottom w:val="single" w:sz="8" w:color="666666"/>
            </w:tcBorders>
            <w:shd w:val="clear" w:color="auto" w:fill="D8D8D8"/>
          </w:tcPr>
          <w:p>
            <w:pPr>
              <w:spacing w:after="0"/>
              <w:rPr>
                <w:sz w:val="5"/>
                <w:szCs w:val="5"/>
                <w:color w:val="auto"/>
              </w:rPr>
            </w:pPr>
          </w:p>
        </w:tc>
        <w:tc>
          <w:tcPr>
            <w:tcW w:w="1080" w:type="dxa"/>
            <w:vAlign w:val="bottom"/>
            <w:tcBorders>
              <w:bottom w:val="single" w:sz="8" w:color="666666"/>
            </w:tcBorders>
            <w:shd w:val="clear" w:color="auto" w:fill="D8D8D8"/>
          </w:tcPr>
          <w:p>
            <w:pPr>
              <w:spacing w:after="0"/>
              <w:rPr>
                <w:sz w:val="5"/>
                <w:szCs w:val="5"/>
                <w:color w:val="auto"/>
              </w:rPr>
            </w:pPr>
          </w:p>
        </w:tc>
        <w:tc>
          <w:tcPr>
            <w:tcW w:w="1060" w:type="dxa"/>
            <w:vAlign w:val="bottom"/>
            <w:tcBorders>
              <w:bottom w:val="single" w:sz="8" w:color="666666"/>
            </w:tcBorders>
            <w:shd w:val="clear" w:color="auto" w:fill="D8D8D8"/>
          </w:tcPr>
          <w:p>
            <w:pPr>
              <w:spacing w:after="0"/>
              <w:rPr>
                <w:sz w:val="5"/>
                <w:szCs w:val="5"/>
                <w:color w:val="auto"/>
              </w:rPr>
            </w:pPr>
          </w:p>
        </w:tc>
        <w:tc>
          <w:tcPr>
            <w:tcW w:w="1200" w:type="dxa"/>
            <w:vAlign w:val="bottom"/>
            <w:tcBorders>
              <w:bottom w:val="single" w:sz="8" w:color="666666"/>
            </w:tcBorders>
            <w:shd w:val="clear" w:color="auto" w:fill="D8D8D8"/>
          </w:tcPr>
          <w:p>
            <w:pPr>
              <w:spacing w:after="0"/>
              <w:rPr>
                <w:sz w:val="5"/>
                <w:szCs w:val="5"/>
                <w:color w:val="auto"/>
              </w:rPr>
            </w:pPr>
          </w:p>
        </w:tc>
        <w:tc>
          <w:tcPr>
            <w:tcW w:w="1080" w:type="dxa"/>
            <w:vAlign w:val="bottom"/>
            <w:tcBorders>
              <w:bottom w:val="single" w:sz="8" w:color="666666"/>
            </w:tcBorders>
            <w:shd w:val="clear" w:color="auto" w:fill="D8D8D8"/>
          </w:tcPr>
          <w:p>
            <w:pPr>
              <w:spacing w:after="0"/>
              <w:rPr>
                <w:sz w:val="5"/>
                <w:szCs w:val="5"/>
                <w:color w:val="auto"/>
              </w:rPr>
            </w:pPr>
          </w:p>
        </w:tc>
        <w:tc>
          <w:tcPr>
            <w:tcW w:w="1140" w:type="dxa"/>
            <w:vAlign w:val="bottom"/>
            <w:tcBorders>
              <w:bottom w:val="single" w:sz="8" w:color="666666"/>
            </w:tcBorders>
            <w:shd w:val="clear" w:color="auto" w:fill="D8D8D8"/>
          </w:tcPr>
          <w:p>
            <w:pPr>
              <w:spacing w:after="0"/>
              <w:rPr>
                <w:sz w:val="5"/>
                <w:szCs w:val="5"/>
                <w:color w:val="auto"/>
              </w:rPr>
            </w:pPr>
          </w:p>
        </w:tc>
        <w:tc>
          <w:tcPr>
            <w:tcW w:w="900" w:type="dxa"/>
            <w:vAlign w:val="bottom"/>
            <w:tcBorders>
              <w:bottom w:val="single" w:sz="8" w:color="666666"/>
            </w:tcBorders>
            <w:vMerge w:val="continue"/>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20" w:type="dxa"/>
            <w:vAlign w:val="bottom"/>
            <w:vMerge w:val="restart"/>
          </w:tcPr>
          <w:p>
            <w:pPr>
              <w:ind w:left="140"/>
              <w:spacing w:after="0"/>
              <w:rPr>
                <w:sz w:val="20"/>
                <w:szCs w:val="20"/>
                <w:color w:val="auto"/>
              </w:rPr>
            </w:pPr>
            <w:r>
              <w:rPr>
                <w:rFonts w:ascii="Arial" w:cs="Arial" w:eastAsia="Arial" w:hAnsi="Arial"/>
                <w:sz w:val="14"/>
                <w:szCs w:val="14"/>
                <w:color w:val="auto"/>
              </w:rPr>
              <w:t>Free Cash Flow</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w w:val="99"/>
              </w:rPr>
              <w:t>20%</w:t>
            </w:r>
          </w:p>
        </w:tc>
        <w:tc>
          <w:tcPr>
            <w:tcW w:w="1080" w:type="dxa"/>
            <w:vAlign w:val="bottom"/>
            <w:vMerge w:val="restart"/>
          </w:tcPr>
          <w:p>
            <w:pPr>
              <w:jc w:val="center"/>
              <w:ind w:left="9"/>
              <w:spacing w:after="0"/>
              <w:rPr>
                <w:sz w:val="20"/>
                <w:szCs w:val="20"/>
                <w:color w:val="auto"/>
              </w:rPr>
            </w:pPr>
            <w:r>
              <w:rPr>
                <w:rFonts w:ascii="Arial" w:cs="Arial" w:eastAsia="Arial" w:hAnsi="Arial"/>
                <w:sz w:val="14"/>
                <w:szCs w:val="14"/>
                <w:color w:val="auto"/>
              </w:rPr>
              <w:t>$0 million</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$230 million</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$410 million</w:t>
            </w:r>
          </w:p>
        </w:tc>
        <w:tc>
          <w:tcPr>
            <w:tcW w:w="1080" w:type="dxa"/>
            <w:vAlign w:val="bottom"/>
          </w:tcPr>
          <w:p>
            <w:pPr>
              <w:jc w:val="center"/>
              <w:spacing w:after="0" w:line="158" w:lineRule="exact"/>
              <w:rPr>
                <w:sz w:val="20"/>
                <w:szCs w:val="20"/>
                <w:color w:val="auto"/>
              </w:rPr>
            </w:pPr>
            <w:r>
              <w:rPr>
                <w:rFonts w:ascii="Arial" w:cs="Arial" w:eastAsia="Arial" w:hAnsi="Arial"/>
                <w:sz w:val="14"/>
                <w:szCs w:val="14"/>
                <w:color w:val="auto"/>
              </w:rPr>
              <w:t>(Negative</w:t>
            </w:r>
          </w:p>
        </w:tc>
        <w:tc>
          <w:tcPr>
            <w:tcW w:w="1140" w:type="dxa"/>
            <w:vAlign w:val="bottom"/>
          </w:tcPr>
          <w:p>
            <w:pPr>
              <w:jc w:val="center"/>
              <w:spacing w:after="0" w:line="158" w:lineRule="exact"/>
              <w:rPr>
                <w:sz w:val="20"/>
                <w:szCs w:val="20"/>
                <w:color w:val="auto"/>
              </w:rPr>
            </w:pPr>
            <w:r>
              <w:rPr>
                <w:rFonts w:ascii="Arial" w:cs="Arial" w:eastAsia="Arial" w:hAnsi="Arial"/>
                <w:sz w:val="14"/>
                <w:szCs w:val="14"/>
                <w:color w:val="auto"/>
              </w:rPr>
              <w:t>(Negative $447</w:t>
            </w:r>
          </w:p>
        </w:tc>
        <w:tc>
          <w:tcPr>
            <w:tcW w:w="900" w:type="dxa"/>
            <w:vAlign w:val="bottom"/>
          </w:tcPr>
          <w:p>
            <w:pPr>
              <w:jc w:val="center"/>
              <w:ind w:left="9"/>
              <w:spacing w:after="0" w:line="158" w:lineRule="exact"/>
              <w:rPr>
                <w:sz w:val="20"/>
                <w:szCs w:val="20"/>
                <w:color w:val="auto"/>
              </w:rPr>
            </w:pPr>
            <w:r>
              <w:rPr>
                <w:rFonts w:ascii="Arial" w:cs="Arial" w:eastAsia="Arial" w:hAnsi="Arial"/>
                <w:sz w:val="14"/>
                <w:szCs w:val="14"/>
                <w:color w:val="auto"/>
                <w:w w:val="99"/>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80" w:type="dxa"/>
            <w:vAlign w:val="bottom"/>
            <w:vMerge w:val="restart"/>
          </w:tcPr>
          <w:p>
            <w:pPr>
              <w:jc w:val="center"/>
              <w:spacing w:after="0" w:line="155" w:lineRule="exact"/>
              <w:rPr>
                <w:sz w:val="20"/>
                <w:szCs w:val="20"/>
                <w:color w:val="auto"/>
              </w:rPr>
            </w:pPr>
            <w:r>
              <w:rPr>
                <w:rFonts w:ascii="Arial" w:cs="Arial" w:eastAsia="Arial" w:hAnsi="Arial"/>
                <w:sz w:val="14"/>
                <w:szCs w:val="14"/>
                <w:color w:val="auto"/>
              </w:rPr>
              <w:t>$352 million)</w:t>
            </w:r>
          </w:p>
        </w:tc>
        <w:tc>
          <w:tcPr>
            <w:tcW w:w="1140" w:type="dxa"/>
            <w:vAlign w:val="bottom"/>
            <w:vMerge w:val="restart"/>
          </w:tcPr>
          <w:p>
            <w:pPr>
              <w:jc w:val="center"/>
              <w:spacing w:after="0" w:line="155" w:lineRule="exact"/>
              <w:rPr>
                <w:sz w:val="20"/>
                <w:szCs w:val="20"/>
                <w:color w:val="auto"/>
              </w:rPr>
            </w:pPr>
            <w:r>
              <w:rPr>
                <w:rFonts w:ascii="Arial" w:cs="Arial" w:eastAsia="Arial" w:hAnsi="Arial"/>
                <w:sz w:val="14"/>
                <w:szCs w:val="14"/>
                <w:color w:val="auto"/>
              </w:rPr>
              <w:t>million)</w:t>
            </w:r>
          </w:p>
        </w:tc>
        <w:tc>
          <w:tcPr>
            <w:tcW w:w="900" w:type="dxa"/>
            <w:vAlign w:val="bottom"/>
            <w:vMerge w:val="restart"/>
          </w:tcPr>
          <w:p>
            <w:pPr>
              <w:jc w:val="center"/>
              <w:ind w:left="9"/>
              <w:spacing w:after="0" w:line="155" w:lineRule="exact"/>
              <w:rPr>
                <w:sz w:val="20"/>
                <w:szCs w:val="20"/>
                <w:color w:val="auto"/>
              </w:rPr>
            </w:pPr>
            <w:r>
              <w:rPr>
                <w:rFonts w:ascii="Arial" w:cs="Arial" w:eastAsia="Arial" w:hAnsi="Arial"/>
                <w:sz w:val="14"/>
                <w:szCs w:val="14"/>
                <w:color w:val="auto"/>
                <w:w w:val="99"/>
              </w:rPr>
              <w:t>Threshold</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220" w:type="dxa"/>
            <w:vAlign w:val="bottom"/>
            <w:tcBorders>
              <w:bottom w:val="single" w:sz="8" w:color="666666"/>
            </w:tcBorders>
          </w:tcPr>
          <w:p>
            <w:pPr>
              <w:spacing w:after="0"/>
              <w:rPr>
                <w:sz w:val="5"/>
                <w:szCs w:val="5"/>
                <w:color w:val="auto"/>
              </w:rPr>
            </w:pPr>
          </w:p>
        </w:tc>
        <w:tc>
          <w:tcPr>
            <w:tcW w:w="660" w:type="dxa"/>
            <w:vAlign w:val="bottom"/>
            <w:tcBorders>
              <w:bottom w:val="single" w:sz="8" w:color="666666"/>
            </w:tcBorders>
          </w:tcPr>
          <w:p>
            <w:pPr>
              <w:spacing w:after="0"/>
              <w:rPr>
                <w:sz w:val="5"/>
                <w:szCs w:val="5"/>
                <w:color w:val="auto"/>
              </w:rPr>
            </w:pPr>
          </w:p>
        </w:tc>
        <w:tc>
          <w:tcPr>
            <w:tcW w:w="1080" w:type="dxa"/>
            <w:vAlign w:val="bottom"/>
            <w:tcBorders>
              <w:bottom w:val="single" w:sz="8" w:color="666666"/>
            </w:tcBorders>
          </w:tcPr>
          <w:p>
            <w:pPr>
              <w:spacing w:after="0"/>
              <w:rPr>
                <w:sz w:val="5"/>
                <w:szCs w:val="5"/>
                <w:color w:val="auto"/>
              </w:rPr>
            </w:pPr>
          </w:p>
        </w:tc>
        <w:tc>
          <w:tcPr>
            <w:tcW w:w="1060" w:type="dxa"/>
            <w:vAlign w:val="bottom"/>
            <w:tcBorders>
              <w:bottom w:val="single" w:sz="8" w:color="666666"/>
            </w:tcBorders>
          </w:tcPr>
          <w:p>
            <w:pPr>
              <w:spacing w:after="0"/>
              <w:rPr>
                <w:sz w:val="5"/>
                <w:szCs w:val="5"/>
                <w:color w:val="auto"/>
              </w:rPr>
            </w:pPr>
          </w:p>
        </w:tc>
        <w:tc>
          <w:tcPr>
            <w:tcW w:w="1200" w:type="dxa"/>
            <w:vAlign w:val="bottom"/>
            <w:tcBorders>
              <w:bottom w:val="single" w:sz="8" w:color="666666"/>
            </w:tcBorders>
          </w:tcPr>
          <w:p>
            <w:pPr>
              <w:spacing w:after="0"/>
              <w:rPr>
                <w:sz w:val="5"/>
                <w:szCs w:val="5"/>
                <w:color w:val="auto"/>
              </w:rPr>
            </w:pPr>
          </w:p>
        </w:tc>
        <w:tc>
          <w:tcPr>
            <w:tcW w:w="1080" w:type="dxa"/>
            <w:vAlign w:val="bottom"/>
            <w:tcBorders>
              <w:bottom w:val="single" w:sz="8" w:color="666666"/>
            </w:tcBorders>
            <w:vMerge w:val="continue"/>
          </w:tcPr>
          <w:p>
            <w:pPr>
              <w:spacing w:after="0"/>
              <w:rPr>
                <w:sz w:val="5"/>
                <w:szCs w:val="5"/>
                <w:color w:val="auto"/>
              </w:rPr>
            </w:pPr>
          </w:p>
        </w:tc>
        <w:tc>
          <w:tcPr>
            <w:tcW w:w="1140" w:type="dxa"/>
            <w:vAlign w:val="bottom"/>
            <w:tcBorders>
              <w:bottom w:val="single" w:sz="8" w:color="666666"/>
            </w:tcBorders>
            <w:vMerge w:val="continue"/>
          </w:tcPr>
          <w:p>
            <w:pPr>
              <w:spacing w:after="0"/>
              <w:rPr>
                <w:sz w:val="5"/>
                <w:szCs w:val="5"/>
                <w:color w:val="auto"/>
              </w:rPr>
            </w:pPr>
          </w:p>
        </w:tc>
        <w:tc>
          <w:tcPr>
            <w:tcW w:w="900" w:type="dxa"/>
            <w:vAlign w:val="bottom"/>
            <w:tcBorders>
              <w:bottom w:val="single" w:sz="8" w:color="666666"/>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540" w:type="dxa"/>
            <w:vAlign w:val="bottom"/>
            <w:tcBorders>
              <w:bottom w:val="single" w:sz="8" w:color="666666"/>
            </w:tcBorders>
          </w:tcPr>
          <w:p>
            <w:pPr>
              <w:spacing w:after="0"/>
              <w:rPr>
                <w:sz w:val="13"/>
                <w:szCs w:val="13"/>
                <w:color w:val="auto"/>
              </w:rPr>
            </w:pPr>
          </w:p>
        </w:tc>
        <w:tc>
          <w:tcPr>
            <w:tcW w:w="1220" w:type="dxa"/>
            <w:vAlign w:val="bottom"/>
            <w:tcBorders>
              <w:bottom w:val="single" w:sz="8" w:color="666666"/>
            </w:tcBorders>
            <w:shd w:val="clear" w:color="auto" w:fill="D8D8D8"/>
          </w:tcPr>
          <w:p>
            <w:pPr>
              <w:ind w:left="140"/>
              <w:spacing w:after="0" w:line="153" w:lineRule="exact"/>
              <w:rPr>
                <w:sz w:val="20"/>
                <w:szCs w:val="20"/>
                <w:color w:val="auto"/>
              </w:rPr>
            </w:pPr>
            <w:r>
              <w:rPr>
                <w:rFonts w:ascii="Arial" w:cs="Arial" w:eastAsia="Arial" w:hAnsi="Arial"/>
                <w:sz w:val="14"/>
                <w:szCs w:val="14"/>
                <w:color w:val="auto"/>
              </w:rPr>
              <w:t>Support Ratio</w:t>
            </w:r>
          </w:p>
        </w:tc>
        <w:tc>
          <w:tcPr>
            <w:tcW w:w="660" w:type="dxa"/>
            <w:vAlign w:val="bottom"/>
            <w:tcBorders>
              <w:bottom w:val="single" w:sz="8" w:color="666666"/>
            </w:tcBorders>
            <w:shd w:val="clear" w:color="auto" w:fill="D8D8D8"/>
          </w:tcPr>
          <w:p>
            <w:pPr>
              <w:jc w:val="center"/>
              <w:spacing w:after="0" w:line="153" w:lineRule="exact"/>
              <w:rPr>
                <w:sz w:val="20"/>
                <w:szCs w:val="20"/>
                <w:color w:val="auto"/>
              </w:rPr>
            </w:pPr>
            <w:r>
              <w:rPr>
                <w:rFonts w:ascii="Arial" w:cs="Arial" w:eastAsia="Arial" w:hAnsi="Arial"/>
                <w:sz w:val="14"/>
                <w:szCs w:val="14"/>
                <w:color w:val="auto"/>
                <w:w w:val="98"/>
              </w:rPr>
              <w:t>5%</w:t>
            </w:r>
          </w:p>
        </w:tc>
        <w:tc>
          <w:tcPr>
            <w:tcW w:w="1080" w:type="dxa"/>
            <w:vAlign w:val="bottom"/>
            <w:tcBorders>
              <w:bottom w:val="single" w:sz="8" w:color="666666"/>
            </w:tcBorders>
            <w:shd w:val="clear" w:color="auto" w:fill="D8D8D8"/>
          </w:tcPr>
          <w:p>
            <w:pPr>
              <w:jc w:val="center"/>
              <w:ind w:left="9"/>
              <w:spacing w:after="0" w:line="153" w:lineRule="exact"/>
              <w:rPr>
                <w:sz w:val="20"/>
                <w:szCs w:val="20"/>
                <w:color w:val="auto"/>
              </w:rPr>
            </w:pPr>
            <w:r>
              <w:rPr>
                <w:rFonts w:ascii="Arial" w:cs="Arial" w:eastAsia="Arial" w:hAnsi="Arial"/>
                <w:sz w:val="14"/>
                <w:szCs w:val="14"/>
                <w:color w:val="auto"/>
                <w:w w:val="99"/>
              </w:rPr>
              <w:t>34%</w:t>
            </w:r>
          </w:p>
        </w:tc>
        <w:tc>
          <w:tcPr>
            <w:tcW w:w="1060" w:type="dxa"/>
            <w:vAlign w:val="bottom"/>
            <w:tcBorders>
              <w:bottom w:val="single" w:sz="8" w:color="666666"/>
            </w:tcBorders>
            <w:shd w:val="clear" w:color="auto" w:fill="D8D8D8"/>
          </w:tcPr>
          <w:p>
            <w:pPr>
              <w:jc w:val="center"/>
              <w:spacing w:after="0" w:line="153" w:lineRule="exact"/>
              <w:rPr>
                <w:sz w:val="20"/>
                <w:szCs w:val="20"/>
                <w:color w:val="auto"/>
              </w:rPr>
            </w:pPr>
            <w:r>
              <w:rPr>
                <w:rFonts w:ascii="Arial" w:cs="Arial" w:eastAsia="Arial" w:hAnsi="Arial"/>
                <w:sz w:val="14"/>
                <w:szCs w:val="14"/>
                <w:color w:val="auto"/>
                <w:w w:val="99"/>
              </w:rPr>
              <w:t>32%</w:t>
            </w:r>
          </w:p>
        </w:tc>
        <w:tc>
          <w:tcPr>
            <w:tcW w:w="1200" w:type="dxa"/>
            <w:vAlign w:val="bottom"/>
            <w:tcBorders>
              <w:bottom w:val="single" w:sz="8" w:color="666666"/>
            </w:tcBorders>
            <w:shd w:val="clear" w:color="auto" w:fill="D8D8D8"/>
          </w:tcPr>
          <w:p>
            <w:pPr>
              <w:jc w:val="center"/>
              <w:spacing w:after="0" w:line="153" w:lineRule="exact"/>
              <w:rPr>
                <w:sz w:val="20"/>
                <w:szCs w:val="20"/>
                <w:color w:val="auto"/>
              </w:rPr>
            </w:pPr>
            <w:r>
              <w:rPr>
                <w:rFonts w:ascii="Arial" w:cs="Arial" w:eastAsia="Arial" w:hAnsi="Arial"/>
                <w:sz w:val="14"/>
                <w:szCs w:val="14"/>
                <w:color w:val="auto"/>
                <w:w w:val="99"/>
              </w:rPr>
              <w:t>30%</w:t>
            </w:r>
          </w:p>
        </w:tc>
        <w:tc>
          <w:tcPr>
            <w:tcW w:w="1080" w:type="dxa"/>
            <w:vAlign w:val="bottom"/>
            <w:tcBorders>
              <w:bottom w:val="single" w:sz="8" w:color="666666"/>
            </w:tcBorders>
            <w:shd w:val="clear" w:color="auto" w:fill="D8D8D8"/>
          </w:tcPr>
          <w:p>
            <w:pPr>
              <w:jc w:val="center"/>
              <w:spacing w:after="0" w:line="153" w:lineRule="exact"/>
              <w:rPr>
                <w:sz w:val="20"/>
                <w:szCs w:val="20"/>
                <w:color w:val="auto"/>
              </w:rPr>
            </w:pPr>
            <w:r>
              <w:rPr>
                <w:rFonts w:ascii="Arial" w:cs="Arial" w:eastAsia="Arial" w:hAnsi="Arial"/>
                <w:sz w:val="14"/>
                <w:szCs w:val="14"/>
                <w:color w:val="auto"/>
              </w:rPr>
              <w:t>35%</w:t>
            </w:r>
          </w:p>
        </w:tc>
        <w:tc>
          <w:tcPr>
            <w:tcW w:w="1140" w:type="dxa"/>
            <w:vAlign w:val="bottom"/>
            <w:tcBorders>
              <w:bottom w:val="single" w:sz="8" w:color="666666"/>
            </w:tcBorders>
            <w:shd w:val="clear" w:color="auto" w:fill="D8D8D8"/>
          </w:tcPr>
          <w:p>
            <w:pPr>
              <w:jc w:val="center"/>
              <w:spacing w:after="0" w:line="153" w:lineRule="exact"/>
              <w:rPr>
                <w:sz w:val="20"/>
                <w:szCs w:val="20"/>
                <w:color w:val="auto"/>
              </w:rPr>
            </w:pPr>
            <w:r>
              <w:rPr>
                <w:rFonts w:ascii="Arial" w:cs="Arial" w:eastAsia="Arial" w:hAnsi="Arial"/>
                <w:sz w:val="14"/>
                <w:szCs w:val="14"/>
                <w:color w:val="auto"/>
                <w:w w:val="99"/>
              </w:rPr>
              <w:t>30%</w:t>
            </w:r>
          </w:p>
        </w:tc>
        <w:tc>
          <w:tcPr>
            <w:tcW w:w="900" w:type="dxa"/>
            <w:vAlign w:val="bottom"/>
            <w:tcBorders>
              <w:bottom w:val="single" w:sz="8" w:color="666666"/>
            </w:tcBorders>
            <w:shd w:val="clear" w:color="auto" w:fill="D8D8D8"/>
          </w:tcPr>
          <w:p>
            <w:pPr>
              <w:jc w:val="center"/>
              <w:ind w:left="9"/>
              <w:spacing w:after="0" w:line="153" w:lineRule="exact"/>
              <w:rPr>
                <w:sz w:val="20"/>
                <w:szCs w:val="20"/>
                <w:color w:val="auto"/>
              </w:rPr>
            </w:pPr>
            <w:r>
              <w:rPr>
                <w:rFonts w:ascii="Arial" w:cs="Arial" w:eastAsia="Arial" w:hAnsi="Arial"/>
                <w:sz w:val="14"/>
                <w:szCs w:val="14"/>
                <w:color w:val="C3002F"/>
              </w:rPr>
              <w:t>Superior</w:t>
            </w:r>
          </w:p>
        </w:tc>
        <w:tc>
          <w:tcPr>
            <w:tcW w:w="0" w:type="dxa"/>
            <w:vAlign w:val="bottom"/>
          </w:tcPr>
          <w:p>
            <w:pPr>
              <w:spacing w:after="0"/>
              <w:rPr>
                <w:sz w:val="1"/>
                <w:szCs w:val="1"/>
                <w:color w:val="auto"/>
              </w:rPr>
            </w:pPr>
          </w:p>
        </w:tc>
      </w:tr>
      <w:tr>
        <w:trPr>
          <w:trHeight w:val="158"/>
        </w:trPr>
        <w:tc>
          <w:tcPr>
            <w:tcW w:w="2560" w:type="dxa"/>
            <w:vAlign w:val="bottom"/>
            <w:gridSpan w:val="2"/>
          </w:tcPr>
          <w:p>
            <w:pPr>
              <w:spacing w:after="0" w:line="158" w:lineRule="exact"/>
              <w:rPr>
                <w:sz w:val="20"/>
                <w:szCs w:val="20"/>
                <w:color w:val="auto"/>
              </w:rPr>
            </w:pPr>
            <w:r>
              <w:rPr>
                <w:rFonts w:ascii="Arial" w:cs="Arial" w:eastAsia="Arial" w:hAnsi="Arial"/>
                <w:sz w:val="14"/>
                <w:szCs w:val="14"/>
                <w:color w:val="auto"/>
              </w:rPr>
              <w:t>Mr. McCollum and</w:t>
            </w:r>
          </w:p>
        </w:tc>
        <w:tc>
          <w:tcPr>
            <w:tcW w:w="1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jc w:val="center"/>
              <w:ind w:left="9"/>
              <w:spacing w:after="0" w:line="158" w:lineRule="exact"/>
              <w:rPr>
                <w:sz w:val="20"/>
                <w:szCs w:val="20"/>
                <w:color w:val="auto"/>
              </w:rPr>
            </w:pPr>
            <w:r>
              <w:rPr>
                <w:rFonts w:ascii="Arial" w:cs="Arial" w:eastAsia="Arial" w:hAnsi="Arial"/>
                <w:sz w:val="14"/>
                <w:szCs w:val="14"/>
                <w:color w:val="C3002F"/>
                <w:w w:val="99"/>
              </w:rPr>
              <w:t>Between</w:t>
            </w:r>
          </w:p>
        </w:tc>
        <w:tc>
          <w:tcPr>
            <w:tcW w:w="0" w:type="dxa"/>
            <w:vAlign w:val="bottom"/>
          </w:tcPr>
          <w:p>
            <w:pPr>
              <w:spacing w:after="0"/>
              <w:rPr>
                <w:sz w:val="1"/>
                <w:szCs w:val="1"/>
                <w:color w:val="auto"/>
              </w:rPr>
            </w:pPr>
          </w:p>
        </w:tc>
      </w:tr>
      <w:tr>
        <w:trPr>
          <w:trHeight w:val="160"/>
        </w:trPr>
        <w:tc>
          <w:tcPr>
            <w:tcW w:w="2560" w:type="dxa"/>
            <w:vAlign w:val="bottom"/>
            <w:gridSpan w:val="2"/>
          </w:tcPr>
          <w:p>
            <w:pPr>
              <w:spacing w:after="0"/>
              <w:rPr>
                <w:sz w:val="20"/>
                <w:szCs w:val="20"/>
                <w:color w:val="auto"/>
              </w:rPr>
            </w:pPr>
            <w:r>
              <w:rPr>
                <w:rFonts w:ascii="Arial" w:cs="Arial" w:eastAsia="Arial" w:hAnsi="Arial"/>
                <w:sz w:val="14"/>
                <w:szCs w:val="14"/>
                <w:color w:val="auto"/>
              </w:rPr>
              <w:t>Mr. Blanchard</w:t>
            </w:r>
          </w:p>
        </w:tc>
        <w:tc>
          <w:tcPr>
            <w:tcW w:w="1220" w:type="dxa"/>
            <w:vAlign w:val="bottom"/>
          </w:tcPr>
          <w:p>
            <w:pPr>
              <w:ind w:left="140"/>
              <w:spacing w:after="0"/>
              <w:rPr>
                <w:sz w:val="20"/>
                <w:szCs w:val="20"/>
                <w:color w:val="auto"/>
              </w:rPr>
            </w:pPr>
            <w:r>
              <w:rPr>
                <w:rFonts w:ascii="Arial" w:cs="Arial" w:eastAsia="Arial" w:hAnsi="Arial"/>
                <w:sz w:val="14"/>
                <w:szCs w:val="14"/>
                <w:color w:val="auto"/>
              </w:rPr>
              <w:t>Service Quality</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w w:val="99"/>
              </w:rPr>
              <w:t>10%</w:t>
            </w:r>
          </w:p>
        </w:tc>
        <w:tc>
          <w:tcPr>
            <w:tcW w:w="1080" w:type="dxa"/>
            <w:vAlign w:val="bottom"/>
            <w:vMerge w:val="restart"/>
          </w:tcPr>
          <w:p>
            <w:pPr>
              <w:jc w:val="center"/>
              <w:ind w:left="9"/>
              <w:spacing w:after="0"/>
              <w:rPr>
                <w:sz w:val="20"/>
                <w:szCs w:val="20"/>
                <w:color w:val="auto"/>
              </w:rPr>
            </w:pPr>
            <w:r>
              <w:rPr>
                <w:rFonts w:ascii="Arial" w:cs="Arial" w:eastAsia="Arial" w:hAnsi="Arial"/>
                <w:sz w:val="14"/>
                <w:szCs w:val="14"/>
                <w:color w:val="auto"/>
              </w:rPr>
              <w:t>0.59%</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0.57%</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0.54%</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0.67%</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0.55%</w:t>
            </w:r>
          </w:p>
        </w:tc>
        <w:tc>
          <w:tcPr>
            <w:tcW w:w="900" w:type="dxa"/>
            <w:vAlign w:val="bottom"/>
          </w:tcPr>
          <w:p>
            <w:pPr>
              <w:jc w:val="center"/>
              <w:spacing w:after="0"/>
              <w:rPr>
                <w:sz w:val="20"/>
                <w:szCs w:val="20"/>
                <w:color w:val="auto"/>
              </w:rPr>
            </w:pPr>
            <w:r>
              <w:rPr>
                <w:rFonts w:ascii="Arial" w:cs="Arial" w:eastAsia="Arial" w:hAnsi="Arial"/>
                <w:sz w:val="14"/>
                <w:szCs w:val="14"/>
                <w:color w:val="C3002F"/>
                <w:w w:val="98"/>
              </w:rPr>
              <w:t>Target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220" w:type="dxa"/>
            <w:vAlign w:val="bottom"/>
            <w:vMerge w:val="restart"/>
          </w:tcPr>
          <w:p>
            <w:pPr>
              <w:ind w:left="140"/>
              <w:spacing w:after="0"/>
              <w:rPr>
                <w:sz w:val="20"/>
                <w:szCs w:val="20"/>
                <w:color w:val="auto"/>
              </w:rPr>
            </w:pPr>
            <w:r>
              <w:rPr>
                <w:rFonts w:ascii="Arial" w:cs="Arial" w:eastAsia="Arial" w:hAnsi="Arial"/>
                <w:sz w:val="14"/>
                <w:szCs w:val="14"/>
                <w:color w:val="auto"/>
              </w:rPr>
              <w:t>(NPT)</w:t>
            </w:r>
          </w:p>
        </w:tc>
        <w:tc>
          <w:tcPr>
            <w:tcW w:w="6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C3002F"/>
              </w:rPr>
              <w:t>and</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20" w:type="dxa"/>
            <w:vAlign w:val="bottom"/>
            <w:tcBorders>
              <w:bottom w:val="single" w:sz="8" w:color="666666"/>
            </w:tcBorders>
          </w:tcPr>
          <w:p>
            <w:pPr>
              <w:spacing w:after="0"/>
              <w:rPr>
                <w:sz w:val="13"/>
                <w:szCs w:val="13"/>
                <w:color w:val="auto"/>
              </w:rPr>
            </w:pPr>
          </w:p>
        </w:tc>
        <w:tc>
          <w:tcPr>
            <w:tcW w:w="660" w:type="dxa"/>
            <w:vAlign w:val="bottom"/>
            <w:tcBorders>
              <w:bottom w:val="single" w:sz="8" w:color="666666"/>
            </w:tcBorders>
          </w:tcPr>
          <w:p>
            <w:pPr>
              <w:spacing w:after="0"/>
              <w:rPr>
                <w:sz w:val="13"/>
                <w:szCs w:val="13"/>
                <w:color w:val="auto"/>
              </w:rPr>
            </w:pPr>
          </w:p>
        </w:tc>
        <w:tc>
          <w:tcPr>
            <w:tcW w:w="1080" w:type="dxa"/>
            <w:vAlign w:val="bottom"/>
            <w:tcBorders>
              <w:bottom w:val="single" w:sz="8" w:color="666666"/>
            </w:tcBorders>
          </w:tcPr>
          <w:p>
            <w:pPr>
              <w:spacing w:after="0"/>
              <w:rPr>
                <w:sz w:val="13"/>
                <w:szCs w:val="13"/>
                <w:color w:val="auto"/>
              </w:rPr>
            </w:pPr>
          </w:p>
        </w:tc>
        <w:tc>
          <w:tcPr>
            <w:tcW w:w="1060" w:type="dxa"/>
            <w:vAlign w:val="bottom"/>
            <w:tcBorders>
              <w:bottom w:val="single" w:sz="8" w:color="666666"/>
            </w:tcBorders>
          </w:tcPr>
          <w:p>
            <w:pPr>
              <w:spacing w:after="0"/>
              <w:rPr>
                <w:sz w:val="13"/>
                <w:szCs w:val="13"/>
                <w:color w:val="auto"/>
              </w:rPr>
            </w:pPr>
          </w:p>
        </w:tc>
        <w:tc>
          <w:tcPr>
            <w:tcW w:w="1200" w:type="dxa"/>
            <w:vAlign w:val="bottom"/>
            <w:tcBorders>
              <w:bottom w:val="single" w:sz="8" w:color="666666"/>
            </w:tcBorders>
          </w:tcPr>
          <w:p>
            <w:pPr>
              <w:spacing w:after="0"/>
              <w:rPr>
                <w:sz w:val="13"/>
                <w:szCs w:val="13"/>
                <w:color w:val="auto"/>
              </w:rPr>
            </w:pPr>
          </w:p>
        </w:tc>
        <w:tc>
          <w:tcPr>
            <w:tcW w:w="1080" w:type="dxa"/>
            <w:vAlign w:val="bottom"/>
            <w:tcBorders>
              <w:bottom w:val="single" w:sz="8" w:color="666666"/>
            </w:tcBorders>
          </w:tcPr>
          <w:p>
            <w:pPr>
              <w:spacing w:after="0"/>
              <w:rPr>
                <w:sz w:val="13"/>
                <w:szCs w:val="13"/>
                <w:color w:val="auto"/>
              </w:rPr>
            </w:pPr>
          </w:p>
        </w:tc>
        <w:tc>
          <w:tcPr>
            <w:tcW w:w="1140" w:type="dxa"/>
            <w:vAlign w:val="bottom"/>
            <w:tcBorders>
              <w:bottom w:val="single" w:sz="8" w:color="666666"/>
            </w:tcBorders>
          </w:tcPr>
          <w:p>
            <w:pPr>
              <w:spacing w:after="0"/>
              <w:rPr>
                <w:sz w:val="13"/>
                <w:szCs w:val="13"/>
                <w:color w:val="auto"/>
              </w:rPr>
            </w:pPr>
          </w:p>
        </w:tc>
        <w:tc>
          <w:tcPr>
            <w:tcW w:w="900" w:type="dxa"/>
            <w:vAlign w:val="bottom"/>
            <w:tcBorders>
              <w:bottom w:val="single" w:sz="8" w:color="666666"/>
            </w:tcBorders>
          </w:tcPr>
          <w:p>
            <w:pPr>
              <w:jc w:val="center"/>
              <w:ind w:left="9"/>
              <w:spacing w:after="0" w:line="155" w:lineRule="exact"/>
              <w:rPr>
                <w:sz w:val="20"/>
                <w:szCs w:val="20"/>
                <w:color w:val="auto"/>
              </w:rPr>
            </w:pPr>
            <w:r>
              <w:rPr>
                <w:rFonts w:ascii="Arial" w:cs="Arial" w:eastAsia="Arial" w:hAnsi="Arial"/>
                <w:sz w:val="14"/>
                <w:szCs w:val="14"/>
                <w:color w:val="C3002F"/>
              </w:rPr>
              <w:t>Superior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20" w:type="dxa"/>
            <w:vAlign w:val="bottom"/>
            <w:vMerge w:val="restart"/>
            <w:shd w:val="clear" w:color="auto" w:fill="D8D8D8"/>
          </w:tcPr>
          <w:p>
            <w:pPr>
              <w:ind w:left="140"/>
              <w:spacing w:after="0"/>
              <w:rPr>
                <w:sz w:val="20"/>
                <w:szCs w:val="20"/>
                <w:color w:val="auto"/>
              </w:rPr>
            </w:pPr>
            <w:r>
              <w:rPr>
                <w:rFonts w:ascii="Arial" w:cs="Arial" w:eastAsia="Arial" w:hAnsi="Arial"/>
                <w:sz w:val="14"/>
                <w:szCs w:val="14"/>
                <w:color w:val="auto"/>
              </w:rPr>
              <w:t>Safety-TRIR</w:t>
            </w:r>
          </w:p>
        </w:tc>
        <w:tc>
          <w:tcPr>
            <w:tcW w:w="660" w:type="dxa"/>
            <w:vAlign w:val="bottom"/>
            <w:vMerge w:val="restart"/>
            <w:shd w:val="clear" w:color="auto" w:fill="D8D8D8"/>
          </w:tcPr>
          <w:p>
            <w:pPr>
              <w:jc w:val="center"/>
              <w:spacing w:after="0"/>
              <w:rPr>
                <w:sz w:val="20"/>
                <w:szCs w:val="20"/>
                <w:color w:val="auto"/>
              </w:rPr>
            </w:pPr>
            <w:r>
              <w:rPr>
                <w:rFonts w:ascii="Arial" w:cs="Arial" w:eastAsia="Arial" w:hAnsi="Arial"/>
                <w:sz w:val="14"/>
                <w:szCs w:val="14"/>
                <w:color w:val="auto"/>
                <w:w w:val="99"/>
              </w:rPr>
              <w:t>10%</w:t>
            </w:r>
          </w:p>
        </w:tc>
        <w:tc>
          <w:tcPr>
            <w:tcW w:w="1080" w:type="dxa"/>
            <w:vAlign w:val="bottom"/>
            <w:vMerge w:val="restart"/>
            <w:shd w:val="clear" w:color="auto" w:fill="D8D8D8"/>
          </w:tcPr>
          <w:p>
            <w:pPr>
              <w:jc w:val="center"/>
              <w:ind w:left="9"/>
              <w:spacing w:after="0"/>
              <w:rPr>
                <w:sz w:val="20"/>
                <w:szCs w:val="20"/>
                <w:color w:val="auto"/>
              </w:rPr>
            </w:pPr>
            <w:r>
              <w:rPr>
                <w:rFonts w:ascii="Arial" w:cs="Arial" w:eastAsia="Arial" w:hAnsi="Arial"/>
                <w:sz w:val="14"/>
                <w:szCs w:val="14"/>
                <w:color w:val="auto"/>
              </w:rPr>
              <w:t>0.35</w:t>
            </w:r>
          </w:p>
        </w:tc>
        <w:tc>
          <w:tcPr>
            <w:tcW w:w="1060" w:type="dxa"/>
            <w:vAlign w:val="bottom"/>
            <w:vMerge w:val="restart"/>
            <w:shd w:val="clear" w:color="auto" w:fill="D8D8D8"/>
          </w:tcPr>
          <w:p>
            <w:pPr>
              <w:jc w:val="center"/>
              <w:spacing w:after="0"/>
              <w:rPr>
                <w:sz w:val="20"/>
                <w:szCs w:val="20"/>
                <w:color w:val="auto"/>
              </w:rPr>
            </w:pPr>
            <w:r>
              <w:rPr>
                <w:rFonts w:ascii="Arial" w:cs="Arial" w:eastAsia="Arial" w:hAnsi="Arial"/>
                <w:sz w:val="14"/>
                <w:szCs w:val="14"/>
                <w:color w:val="auto"/>
              </w:rPr>
              <w:t>0.34</w:t>
            </w:r>
          </w:p>
        </w:tc>
        <w:tc>
          <w:tcPr>
            <w:tcW w:w="1200" w:type="dxa"/>
            <w:vAlign w:val="bottom"/>
            <w:vMerge w:val="restart"/>
            <w:shd w:val="clear" w:color="auto" w:fill="D8D8D8"/>
          </w:tcPr>
          <w:p>
            <w:pPr>
              <w:jc w:val="center"/>
              <w:spacing w:after="0"/>
              <w:rPr>
                <w:sz w:val="20"/>
                <w:szCs w:val="20"/>
                <w:color w:val="auto"/>
              </w:rPr>
            </w:pPr>
            <w:r>
              <w:rPr>
                <w:rFonts w:ascii="Arial" w:cs="Arial" w:eastAsia="Arial" w:hAnsi="Arial"/>
                <w:sz w:val="14"/>
                <w:szCs w:val="14"/>
                <w:color w:val="auto"/>
              </w:rPr>
              <w:t>0.33</w:t>
            </w:r>
          </w:p>
        </w:tc>
        <w:tc>
          <w:tcPr>
            <w:tcW w:w="1080" w:type="dxa"/>
            <w:vAlign w:val="bottom"/>
            <w:vMerge w:val="restart"/>
            <w:shd w:val="clear" w:color="auto" w:fill="D8D8D8"/>
          </w:tcPr>
          <w:p>
            <w:pPr>
              <w:jc w:val="center"/>
              <w:spacing w:after="0"/>
              <w:rPr>
                <w:sz w:val="20"/>
                <w:szCs w:val="20"/>
                <w:color w:val="auto"/>
              </w:rPr>
            </w:pPr>
            <w:r>
              <w:rPr>
                <w:rFonts w:ascii="Arial" w:cs="Arial" w:eastAsia="Arial" w:hAnsi="Arial"/>
                <w:sz w:val="14"/>
                <w:szCs w:val="14"/>
                <w:color w:val="auto"/>
                <w:w w:val="95"/>
              </w:rPr>
              <w:t>0.35</w:t>
            </w:r>
          </w:p>
        </w:tc>
        <w:tc>
          <w:tcPr>
            <w:tcW w:w="1140" w:type="dxa"/>
            <w:vAlign w:val="bottom"/>
            <w:vMerge w:val="restart"/>
            <w:shd w:val="clear" w:color="auto" w:fill="D8D8D8"/>
          </w:tcPr>
          <w:p>
            <w:pPr>
              <w:jc w:val="center"/>
              <w:spacing w:after="0"/>
              <w:rPr>
                <w:sz w:val="20"/>
                <w:szCs w:val="20"/>
                <w:color w:val="auto"/>
              </w:rPr>
            </w:pPr>
            <w:r>
              <w:rPr>
                <w:rFonts w:ascii="Arial" w:cs="Arial" w:eastAsia="Arial" w:hAnsi="Arial"/>
                <w:sz w:val="14"/>
                <w:szCs w:val="14"/>
                <w:color w:val="auto"/>
              </w:rPr>
              <w:t>0.37</w:t>
            </w:r>
          </w:p>
        </w:tc>
        <w:tc>
          <w:tcPr>
            <w:tcW w:w="900" w:type="dxa"/>
            <w:vAlign w:val="bottom"/>
            <w:shd w:val="clear" w:color="auto" w:fill="D8D8D8"/>
          </w:tcPr>
          <w:p>
            <w:pPr>
              <w:jc w:val="center"/>
              <w:ind w:left="9"/>
              <w:spacing w:after="0" w:line="158" w:lineRule="exact"/>
              <w:rPr>
                <w:sz w:val="20"/>
                <w:szCs w:val="20"/>
                <w:color w:val="auto"/>
              </w:rPr>
            </w:pPr>
            <w:r>
              <w:rPr>
                <w:rFonts w:ascii="Arial" w:cs="Arial" w:eastAsia="Arial" w:hAnsi="Arial"/>
                <w:sz w:val="14"/>
                <w:szCs w:val="14"/>
                <w:color w:val="auto"/>
                <w:w w:val="99"/>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220" w:type="dxa"/>
            <w:vAlign w:val="bottom"/>
            <w:vMerge w:val="continue"/>
            <w:shd w:val="clear" w:color="auto" w:fill="D8D8D8"/>
          </w:tcPr>
          <w:p>
            <w:pPr>
              <w:spacing w:after="0"/>
              <w:rPr>
                <w:sz w:val="7"/>
                <w:szCs w:val="7"/>
                <w:color w:val="auto"/>
              </w:rPr>
            </w:pPr>
          </w:p>
        </w:tc>
        <w:tc>
          <w:tcPr>
            <w:tcW w:w="660" w:type="dxa"/>
            <w:vAlign w:val="bottom"/>
            <w:vMerge w:val="continue"/>
            <w:shd w:val="clear" w:color="auto" w:fill="D8D8D8"/>
          </w:tcPr>
          <w:p>
            <w:pPr>
              <w:spacing w:after="0"/>
              <w:rPr>
                <w:sz w:val="7"/>
                <w:szCs w:val="7"/>
                <w:color w:val="auto"/>
              </w:rPr>
            </w:pPr>
          </w:p>
        </w:tc>
        <w:tc>
          <w:tcPr>
            <w:tcW w:w="1080" w:type="dxa"/>
            <w:vAlign w:val="bottom"/>
            <w:vMerge w:val="continue"/>
            <w:shd w:val="clear" w:color="auto" w:fill="D8D8D8"/>
          </w:tcPr>
          <w:p>
            <w:pPr>
              <w:spacing w:after="0"/>
              <w:rPr>
                <w:sz w:val="7"/>
                <w:szCs w:val="7"/>
                <w:color w:val="auto"/>
              </w:rPr>
            </w:pPr>
          </w:p>
        </w:tc>
        <w:tc>
          <w:tcPr>
            <w:tcW w:w="1060" w:type="dxa"/>
            <w:vAlign w:val="bottom"/>
            <w:vMerge w:val="continue"/>
            <w:shd w:val="clear" w:color="auto" w:fill="D8D8D8"/>
          </w:tcPr>
          <w:p>
            <w:pPr>
              <w:spacing w:after="0"/>
              <w:rPr>
                <w:sz w:val="7"/>
                <w:szCs w:val="7"/>
                <w:color w:val="auto"/>
              </w:rPr>
            </w:pPr>
          </w:p>
        </w:tc>
        <w:tc>
          <w:tcPr>
            <w:tcW w:w="1200" w:type="dxa"/>
            <w:vAlign w:val="bottom"/>
            <w:vMerge w:val="continue"/>
            <w:shd w:val="clear" w:color="auto" w:fill="D8D8D8"/>
          </w:tcPr>
          <w:p>
            <w:pPr>
              <w:spacing w:after="0"/>
              <w:rPr>
                <w:sz w:val="7"/>
                <w:szCs w:val="7"/>
                <w:color w:val="auto"/>
              </w:rPr>
            </w:pPr>
          </w:p>
        </w:tc>
        <w:tc>
          <w:tcPr>
            <w:tcW w:w="1080" w:type="dxa"/>
            <w:vAlign w:val="bottom"/>
            <w:vMerge w:val="continue"/>
            <w:shd w:val="clear" w:color="auto" w:fill="D8D8D8"/>
          </w:tcPr>
          <w:p>
            <w:pPr>
              <w:spacing w:after="0"/>
              <w:rPr>
                <w:sz w:val="7"/>
                <w:szCs w:val="7"/>
                <w:color w:val="auto"/>
              </w:rPr>
            </w:pPr>
          </w:p>
        </w:tc>
        <w:tc>
          <w:tcPr>
            <w:tcW w:w="1140" w:type="dxa"/>
            <w:vAlign w:val="bottom"/>
            <w:vMerge w:val="continue"/>
            <w:shd w:val="clear" w:color="auto" w:fill="D8D8D8"/>
          </w:tcPr>
          <w:p>
            <w:pPr>
              <w:spacing w:after="0"/>
              <w:rPr>
                <w:sz w:val="7"/>
                <w:szCs w:val="7"/>
                <w:color w:val="auto"/>
              </w:rPr>
            </w:pPr>
          </w:p>
        </w:tc>
        <w:tc>
          <w:tcPr>
            <w:tcW w:w="900" w:type="dxa"/>
            <w:vAlign w:val="bottom"/>
            <w:vMerge w:val="restart"/>
            <w:shd w:val="clear" w:color="auto" w:fill="D8D8D8"/>
          </w:tcPr>
          <w:p>
            <w:pPr>
              <w:jc w:val="center"/>
              <w:ind w:left="9"/>
              <w:spacing w:after="0" w:line="155" w:lineRule="exact"/>
              <w:rPr>
                <w:sz w:val="20"/>
                <w:szCs w:val="20"/>
                <w:color w:val="auto"/>
              </w:rPr>
            </w:pPr>
            <w:r>
              <w:rPr>
                <w:rFonts w:ascii="Arial" w:cs="Arial" w:eastAsia="Arial" w:hAnsi="Arial"/>
                <w:sz w:val="14"/>
                <w:szCs w:val="14"/>
                <w:color w:val="auto"/>
                <w:w w:val="99"/>
              </w:rPr>
              <w:t>Threshold</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220" w:type="dxa"/>
            <w:vAlign w:val="bottom"/>
            <w:tcBorders>
              <w:bottom w:val="single" w:sz="8" w:color="666666"/>
            </w:tcBorders>
            <w:shd w:val="clear" w:color="auto" w:fill="D8D8D8"/>
          </w:tcPr>
          <w:p>
            <w:pPr>
              <w:spacing w:after="0"/>
              <w:rPr>
                <w:sz w:val="5"/>
                <w:szCs w:val="5"/>
                <w:color w:val="auto"/>
              </w:rPr>
            </w:pPr>
          </w:p>
        </w:tc>
        <w:tc>
          <w:tcPr>
            <w:tcW w:w="660" w:type="dxa"/>
            <w:vAlign w:val="bottom"/>
            <w:tcBorders>
              <w:bottom w:val="single" w:sz="8" w:color="666666"/>
            </w:tcBorders>
            <w:shd w:val="clear" w:color="auto" w:fill="D8D8D8"/>
          </w:tcPr>
          <w:p>
            <w:pPr>
              <w:spacing w:after="0"/>
              <w:rPr>
                <w:sz w:val="5"/>
                <w:szCs w:val="5"/>
                <w:color w:val="auto"/>
              </w:rPr>
            </w:pPr>
          </w:p>
        </w:tc>
        <w:tc>
          <w:tcPr>
            <w:tcW w:w="1080" w:type="dxa"/>
            <w:vAlign w:val="bottom"/>
            <w:tcBorders>
              <w:bottom w:val="single" w:sz="8" w:color="666666"/>
            </w:tcBorders>
            <w:shd w:val="clear" w:color="auto" w:fill="D8D8D8"/>
          </w:tcPr>
          <w:p>
            <w:pPr>
              <w:spacing w:after="0"/>
              <w:rPr>
                <w:sz w:val="5"/>
                <w:szCs w:val="5"/>
                <w:color w:val="auto"/>
              </w:rPr>
            </w:pPr>
          </w:p>
        </w:tc>
        <w:tc>
          <w:tcPr>
            <w:tcW w:w="1060" w:type="dxa"/>
            <w:vAlign w:val="bottom"/>
            <w:tcBorders>
              <w:bottom w:val="single" w:sz="8" w:color="666666"/>
            </w:tcBorders>
            <w:shd w:val="clear" w:color="auto" w:fill="D8D8D8"/>
          </w:tcPr>
          <w:p>
            <w:pPr>
              <w:spacing w:after="0"/>
              <w:rPr>
                <w:sz w:val="5"/>
                <w:szCs w:val="5"/>
                <w:color w:val="auto"/>
              </w:rPr>
            </w:pPr>
          </w:p>
        </w:tc>
        <w:tc>
          <w:tcPr>
            <w:tcW w:w="1200" w:type="dxa"/>
            <w:vAlign w:val="bottom"/>
            <w:tcBorders>
              <w:bottom w:val="single" w:sz="8" w:color="666666"/>
            </w:tcBorders>
            <w:shd w:val="clear" w:color="auto" w:fill="D8D8D8"/>
          </w:tcPr>
          <w:p>
            <w:pPr>
              <w:spacing w:after="0"/>
              <w:rPr>
                <w:sz w:val="5"/>
                <w:szCs w:val="5"/>
                <w:color w:val="auto"/>
              </w:rPr>
            </w:pPr>
          </w:p>
        </w:tc>
        <w:tc>
          <w:tcPr>
            <w:tcW w:w="1080" w:type="dxa"/>
            <w:vAlign w:val="bottom"/>
            <w:tcBorders>
              <w:bottom w:val="single" w:sz="8" w:color="666666"/>
            </w:tcBorders>
            <w:shd w:val="clear" w:color="auto" w:fill="D8D8D8"/>
          </w:tcPr>
          <w:p>
            <w:pPr>
              <w:spacing w:after="0"/>
              <w:rPr>
                <w:sz w:val="5"/>
                <w:szCs w:val="5"/>
                <w:color w:val="auto"/>
              </w:rPr>
            </w:pPr>
          </w:p>
        </w:tc>
        <w:tc>
          <w:tcPr>
            <w:tcW w:w="1140" w:type="dxa"/>
            <w:vAlign w:val="bottom"/>
            <w:tcBorders>
              <w:bottom w:val="single" w:sz="8" w:color="666666"/>
            </w:tcBorders>
            <w:shd w:val="clear" w:color="auto" w:fill="D8D8D8"/>
          </w:tcPr>
          <w:p>
            <w:pPr>
              <w:spacing w:after="0"/>
              <w:rPr>
                <w:sz w:val="5"/>
                <w:szCs w:val="5"/>
                <w:color w:val="auto"/>
              </w:rPr>
            </w:pPr>
          </w:p>
        </w:tc>
        <w:tc>
          <w:tcPr>
            <w:tcW w:w="900" w:type="dxa"/>
            <w:vAlign w:val="bottom"/>
            <w:tcBorders>
              <w:bottom w:val="single" w:sz="8" w:color="666666"/>
            </w:tcBorders>
            <w:vMerge w:val="continue"/>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20" w:type="dxa"/>
            <w:vAlign w:val="bottom"/>
            <w:vMerge w:val="restart"/>
          </w:tcPr>
          <w:p>
            <w:pPr>
              <w:ind w:left="140"/>
              <w:spacing w:after="0"/>
              <w:rPr>
                <w:sz w:val="20"/>
                <w:szCs w:val="20"/>
                <w:color w:val="auto"/>
              </w:rPr>
            </w:pPr>
            <w:r>
              <w:rPr>
                <w:rFonts w:ascii="Arial" w:cs="Arial" w:eastAsia="Arial" w:hAnsi="Arial"/>
                <w:sz w:val="14"/>
                <w:szCs w:val="14"/>
                <w:color w:val="auto"/>
              </w:rPr>
              <w:t>Safety-VPR</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w w:val="98"/>
              </w:rPr>
              <w:t>5%</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3 audits</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4 audits</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5 audits</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4"/>
              </w:rPr>
              <w:t>N/A</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1.9 audits</w:t>
            </w:r>
          </w:p>
        </w:tc>
        <w:tc>
          <w:tcPr>
            <w:tcW w:w="900" w:type="dxa"/>
            <w:vAlign w:val="bottom"/>
          </w:tcPr>
          <w:p>
            <w:pPr>
              <w:jc w:val="center"/>
              <w:ind w:left="9"/>
              <w:spacing w:after="0" w:line="158" w:lineRule="exact"/>
              <w:rPr>
                <w:sz w:val="20"/>
                <w:szCs w:val="20"/>
                <w:color w:val="auto"/>
              </w:rPr>
            </w:pPr>
            <w:r>
              <w:rPr>
                <w:rFonts w:ascii="Arial" w:cs="Arial" w:eastAsia="Arial" w:hAnsi="Arial"/>
                <w:sz w:val="14"/>
                <w:szCs w:val="14"/>
                <w:color w:val="auto"/>
                <w:w w:val="99"/>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900" w:type="dxa"/>
            <w:vAlign w:val="bottom"/>
            <w:vMerge w:val="restart"/>
          </w:tcPr>
          <w:p>
            <w:pPr>
              <w:jc w:val="center"/>
              <w:ind w:left="9"/>
              <w:spacing w:after="0" w:line="155" w:lineRule="exact"/>
              <w:rPr>
                <w:sz w:val="20"/>
                <w:szCs w:val="20"/>
                <w:color w:val="auto"/>
              </w:rPr>
            </w:pPr>
            <w:r>
              <w:rPr>
                <w:rFonts w:ascii="Arial" w:cs="Arial" w:eastAsia="Arial" w:hAnsi="Arial"/>
                <w:sz w:val="14"/>
                <w:szCs w:val="14"/>
                <w:color w:val="auto"/>
                <w:w w:val="99"/>
              </w:rPr>
              <w:t>Threshold</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40" w:type="dxa"/>
            <w:vAlign w:val="bottom"/>
            <w:tcBorders>
              <w:bottom w:val="single" w:sz="8" w:color="666666"/>
            </w:tcBorders>
          </w:tcPr>
          <w:p>
            <w:pPr>
              <w:spacing w:after="0"/>
              <w:rPr>
                <w:sz w:val="5"/>
                <w:szCs w:val="5"/>
                <w:color w:val="auto"/>
              </w:rPr>
            </w:pPr>
          </w:p>
        </w:tc>
        <w:tc>
          <w:tcPr>
            <w:tcW w:w="1220" w:type="dxa"/>
            <w:vAlign w:val="bottom"/>
            <w:tcBorders>
              <w:bottom w:val="single" w:sz="8" w:color="666666"/>
            </w:tcBorders>
          </w:tcPr>
          <w:p>
            <w:pPr>
              <w:spacing w:after="0"/>
              <w:rPr>
                <w:sz w:val="5"/>
                <w:szCs w:val="5"/>
                <w:color w:val="auto"/>
              </w:rPr>
            </w:pPr>
          </w:p>
        </w:tc>
        <w:tc>
          <w:tcPr>
            <w:tcW w:w="660" w:type="dxa"/>
            <w:vAlign w:val="bottom"/>
            <w:tcBorders>
              <w:bottom w:val="single" w:sz="8" w:color="666666"/>
            </w:tcBorders>
          </w:tcPr>
          <w:p>
            <w:pPr>
              <w:spacing w:after="0"/>
              <w:rPr>
                <w:sz w:val="5"/>
                <w:szCs w:val="5"/>
                <w:color w:val="auto"/>
              </w:rPr>
            </w:pPr>
          </w:p>
        </w:tc>
        <w:tc>
          <w:tcPr>
            <w:tcW w:w="1080" w:type="dxa"/>
            <w:vAlign w:val="bottom"/>
            <w:tcBorders>
              <w:bottom w:val="single" w:sz="8" w:color="666666"/>
            </w:tcBorders>
          </w:tcPr>
          <w:p>
            <w:pPr>
              <w:spacing w:after="0"/>
              <w:rPr>
                <w:sz w:val="5"/>
                <w:szCs w:val="5"/>
                <w:color w:val="auto"/>
              </w:rPr>
            </w:pPr>
          </w:p>
        </w:tc>
        <w:tc>
          <w:tcPr>
            <w:tcW w:w="1060" w:type="dxa"/>
            <w:vAlign w:val="bottom"/>
            <w:tcBorders>
              <w:bottom w:val="single" w:sz="8" w:color="666666"/>
            </w:tcBorders>
          </w:tcPr>
          <w:p>
            <w:pPr>
              <w:spacing w:after="0"/>
              <w:rPr>
                <w:sz w:val="5"/>
                <w:szCs w:val="5"/>
                <w:color w:val="auto"/>
              </w:rPr>
            </w:pPr>
          </w:p>
        </w:tc>
        <w:tc>
          <w:tcPr>
            <w:tcW w:w="1200" w:type="dxa"/>
            <w:vAlign w:val="bottom"/>
            <w:tcBorders>
              <w:bottom w:val="single" w:sz="8" w:color="666666"/>
            </w:tcBorders>
          </w:tcPr>
          <w:p>
            <w:pPr>
              <w:spacing w:after="0"/>
              <w:rPr>
                <w:sz w:val="5"/>
                <w:szCs w:val="5"/>
                <w:color w:val="auto"/>
              </w:rPr>
            </w:pPr>
          </w:p>
        </w:tc>
        <w:tc>
          <w:tcPr>
            <w:tcW w:w="1080" w:type="dxa"/>
            <w:vAlign w:val="bottom"/>
            <w:tcBorders>
              <w:bottom w:val="single" w:sz="8" w:color="666666"/>
            </w:tcBorders>
          </w:tcPr>
          <w:p>
            <w:pPr>
              <w:spacing w:after="0"/>
              <w:rPr>
                <w:sz w:val="5"/>
                <w:szCs w:val="5"/>
                <w:color w:val="auto"/>
              </w:rPr>
            </w:pPr>
          </w:p>
        </w:tc>
        <w:tc>
          <w:tcPr>
            <w:tcW w:w="1140" w:type="dxa"/>
            <w:vAlign w:val="bottom"/>
            <w:tcBorders>
              <w:bottom w:val="single" w:sz="8" w:color="666666"/>
            </w:tcBorders>
          </w:tcPr>
          <w:p>
            <w:pPr>
              <w:spacing w:after="0"/>
              <w:rPr>
                <w:sz w:val="5"/>
                <w:szCs w:val="5"/>
                <w:color w:val="auto"/>
              </w:rPr>
            </w:pPr>
          </w:p>
        </w:tc>
        <w:tc>
          <w:tcPr>
            <w:tcW w:w="900" w:type="dxa"/>
            <w:vAlign w:val="bottom"/>
            <w:tcBorders>
              <w:bottom w:val="single" w:sz="8" w:color="666666"/>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40" w:type="dxa"/>
            <w:vAlign w:val="bottom"/>
            <w:shd w:val="clear" w:color="auto" w:fill="D8D8D8"/>
          </w:tcPr>
          <w:p>
            <w:pPr>
              <w:spacing w:after="0" w:line="158" w:lineRule="exact"/>
              <w:rPr>
                <w:sz w:val="20"/>
                <w:szCs w:val="20"/>
                <w:color w:val="auto"/>
              </w:rPr>
            </w:pPr>
            <w:r>
              <w:rPr>
                <w:rFonts w:ascii="Arial" w:cs="Arial" w:eastAsia="Arial" w:hAnsi="Arial"/>
                <w:sz w:val="14"/>
                <w:szCs w:val="14"/>
                <w:color w:val="auto"/>
              </w:rPr>
              <w:t>Mr. Bausch, Mr. Mills and Mrs. Ibrahim</w:t>
            </w:r>
          </w:p>
        </w:tc>
        <w:tc>
          <w:tcPr>
            <w:tcW w:w="1220" w:type="dxa"/>
            <w:vAlign w:val="bottom"/>
            <w:vMerge w:val="restart"/>
            <w:shd w:val="clear" w:color="auto" w:fill="D8D8D8"/>
          </w:tcPr>
          <w:p>
            <w:pPr>
              <w:ind w:left="140"/>
              <w:spacing w:after="0"/>
              <w:rPr>
                <w:sz w:val="20"/>
                <w:szCs w:val="20"/>
                <w:color w:val="auto"/>
              </w:rPr>
            </w:pPr>
            <w:r>
              <w:rPr>
                <w:rFonts w:ascii="Arial" w:cs="Arial" w:eastAsia="Arial" w:hAnsi="Arial"/>
                <w:sz w:val="14"/>
                <w:szCs w:val="14"/>
                <w:color w:val="auto"/>
              </w:rPr>
              <w:t>Quality-</w:t>
            </w:r>
          </w:p>
        </w:tc>
        <w:tc>
          <w:tcPr>
            <w:tcW w:w="660" w:type="dxa"/>
            <w:vAlign w:val="bottom"/>
            <w:shd w:val="clear" w:color="auto" w:fill="D8D8D8"/>
          </w:tcPr>
          <w:p>
            <w:pPr>
              <w:spacing w:after="0"/>
              <w:rPr>
                <w:sz w:val="13"/>
                <w:szCs w:val="13"/>
                <w:color w:val="auto"/>
              </w:rPr>
            </w:pPr>
          </w:p>
        </w:tc>
        <w:tc>
          <w:tcPr>
            <w:tcW w:w="1080" w:type="dxa"/>
            <w:vAlign w:val="bottom"/>
            <w:shd w:val="clear" w:color="auto" w:fill="D8D8D8"/>
          </w:tcPr>
          <w:p>
            <w:pPr>
              <w:spacing w:after="0"/>
              <w:rPr>
                <w:sz w:val="13"/>
                <w:szCs w:val="13"/>
                <w:color w:val="auto"/>
              </w:rPr>
            </w:pPr>
          </w:p>
        </w:tc>
        <w:tc>
          <w:tcPr>
            <w:tcW w:w="1060" w:type="dxa"/>
            <w:vAlign w:val="bottom"/>
            <w:shd w:val="clear" w:color="auto" w:fill="D8D8D8"/>
          </w:tcPr>
          <w:p>
            <w:pPr>
              <w:spacing w:after="0"/>
              <w:rPr>
                <w:sz w:val="13"/>
                <w:szCs w:val="13"/>
                <w:color w:val="auto"/>
              </w:rPr>
            </w:pPr>
          </w:p>
        </w:tc>
        <w:tc>
          <w:tcPr>
            <w:tcW w:w="1200" w:type="dxa"/>
            <w:vAlign w:val="bottom"/>
            <w:shd w:val="clear" w:color="auto" w:fill="D8D8D8"/>
          </w:tcPr>
          <w:p>
            <w:pPr>
              <w:spacing w:after="0"/>
              <w:rPr>
                <w:sz w:val="13"/>
                <w:szCs w:val="13"/>
                <w:color w:val="auto"/>
              </w:rPr>
            </w:pPr>
          </w:p>
        </w:tc>
        <w:tc>
          <w:tcPr>
            <w:tcW w:w="1080" w:type="dxa"/>
            <w:vAlign w:val="bottom"/>
            <w:shd w:val="clear" w:color="auto" w:fill="D8D8D8"/>
          </w:tcPr>
          <w:p>
            <w:pPr>
              <w:spacing w:after="0"/>
              <w:rPr>
                <w:sz w:val="13"/>
                <w:szCs w:val="13"/>
                <w:color w:val="auto"/>
              </w:rPr>
            </w:pPr>
          </w:p>
        </w:tc>
        <w:tc>
          <w:tcPr>
            <w:tcW w:w="1140" w:type="dxa"/>
            <w:vAlign w:val="bottom"/>
            <w:shd w:val="clear" w:color="auto" w:fill="D8D8D8"/>
          </w:tcPr>
          <w:p>
            <w:pPr>
              <w:spacing w:after="0"/>
              <w:rPr>
                <w:sz w:val="13"/>
                <w:szCs w:val="13"/>
                <w:color w:val="auto"/>
              </w:rPr>
            </w:pPr>
          </w:p>
        </w:tc>
        <w:tc>
          <w:tcPr>
            <w:tcW w:w="900" w:type="dxa"/>
            <w:vAlign w:val="bottom"/>
            <w:shd w:val="clear" w:color="auto" w:fill="D8D8D8"/>
          </w:tcPr>
          <w:p>
            <w:pPr>
              <w:jc w:val="center"/>
              <w:ind w:left="9"/>
              <w:spacing w:after="0" w:line="158" w:lineRule="exact"/>
              <w:rPr>
                <w:sz w:val="20"/>
                <w:szCs w:val="20"/>
                <w:color w:val="auto"/>
              </w:rPr>
            </w:pPr>
            <w:r>
              <w:rPr>
                <w:rFonts w:ascii="Arial" w:cs="Arial" w:eastAsia="Arial" w:hAnsi="Arial"/>
                <w:sz w:val="14"/>
                <w:szCs w:val="14"/>
                <w:color w:val="C3002F"/>
                <w:w w:val="99"/>
              </w:rPr>
              <w:t>Threshold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540" w:type="dxa"/>
            <w:vAlign w:val="bottom"/>
            <w:shd w:val="clear" w:color="auto" w:fill="D8D8D8"/>
          </w:tcPr>
          <w:p>
            <w:pPr>
              <w:spacing w:after="0"/>
              <w:rPr>
                <w:sz w:val="6"/>
                <w:szCs w:val="6"/>
                <w:color w:val="auto"/>
              </w:rPr>
            </w:pPr>
          </w:p>
        </w:tc>
        <w:tc>
          <w:tcPr>
            <w:tcW w:w="1220" w:type="dxa"/>
            <w:vAlign w:val="bottom"/>
            <w:vMerge w:val="continue"/>
            <w:shd w:val="clear" w:color="auto" w:fill="D8D8D8"/>
          </w:tcPr>
          <w:p>
            <w:pPr>
              <w:spacing w:after="0"/>
              <w:rPr>
                <w:sz w:val="6"/>
                <w:szCs w:val="6"/>
                <w:color w:val="auto"/>
              </w:rPr>
            </w:pPr>
          </w:p>
        </w:tc>
        <w:tc>
          <w:tcPr>
            <w:tcW w:w="660" w:type="dxa"/>
            <w:vAlign w:val="bottom"/>
            <w:vMerge w:val="restart"/>
            <w:shd w:val="clear" w:color="auto" w:fill="D8D8D8"/>
          </w:tcPr>
          <w:p>
            <w:pPr>
              <w:jc w:val="center"/>
              <w:spacing w:after="0"/>
              <w:rPr>
                <w:sz w:val="20"/>
                <w:szCs w:val="20"/>
                <w:color w:val="auto"/>
              </w:rPr>
            </w:pPr>
            <w:r>
              <w:rPr>
                <w:rFonts w:ascii="Arial" w:cs="Arial" w:eastAsia="Arial" w:hAnsi="Arial"/>
                <w:sz w:val="14"/>
                <w:szCs w:val="14"/>
                <w:color w:val="auto"/>
                <w:w w:val="99"/>
              </w:rPr>
              <w:t>25%</w:t>
            </w:r>
          </w:p>
        </w:tc>
        <w:tc>
          <w:tcPr>
            <w:tcW w:w="1080" w:type="dxa"/>
            <w:vAlign w:val="bottom"/>
            <w:shd w:val="clear" w:color="auto" w:fill="D8D8D8"/>
          </w:tcPr>
          <w:p>
            <w:pPr>
              <w:spacing w:after="0"/>
              <w:rPr>
                <w:sz w:val="6"/>
                <w:szCs w:val="6"/>
                <w:color w:val="auto"/>
              </w:rPr>
            </w:pPr>
          </w:p>
        </w:tc>
        <w:tc>
          <w:tcPr>
            <w:tcW w:w="1060" w:type="dxa"/>
            <w:vAlign w:val="bottom"/>
            <w:shd w:val="clear" w:color="auto" w:fill="D8D8D8"/>
          </w:tcPr>
          <w:p>
            <w:pPr>
              <w:spacing w:after="0"/>
              <w:rPr>
                <w:sz w:val="6"/>
                <w:szCs w:val="6"/>
                <w:color w:val="auto"/>
              </w:rPr>
            </w:pPr>
          </w:p>
        </w:tc>
        <w:tc>
          <w:tcPr>
            <w:tcW w:w="1200" w:type="dxa"/>
            <w:vAlign w:val="bottom"/>
            <w:vMerge w:val="restart"/>
            <w:shd w:val="clear" w:color="auto" w:fill="D8D8D8"/>
          </w:tcPr>
          <w:p>
            <w:pPr>
              <w:ind w:left="340"/>
              <w:spacing w:after="0"/>
              <w:rPr>
                <w:sz w:val="20"/>
                <w:szCs w:val="20"/>
                <w:color w:val="auto"/>
              </w:rPr>
            </w:pPr>
            <w:r>
              <w:rPr>
                <w:rFonts w:ascii="Arial" w:cs="Arial" w:eastAsia="Arial" w:hAnsi="Arial"/>
                <w:sz w:val="14"/>
                <w:szCs w:val="14"/>
                <w:color w:val="auto"/>
              </w:rPr>
              <w:t>See below</w:t>
            </w:r>
          </w:p>
        </w:tc>
        <w:tc>
          <w:tcPr>
            <w:tcW w:w="1080" w:type="dxa"/>
            <w:vAlign w:val="bottom"/>
            <w:shd w:val="clear" w:color="auto" w:fill="D8D8D8"/>
          </w:tcPr>
          <w:p>
            <w:pPr>
              <w:spacing w:after="0"/>
              <w:rPr>
                <w:sz w:val="6"/>
                <w:szCs w:val="6"/>
                <w:color w:val="auto"/>
              </w:rPr>
            </w:pPr>
          </w:p>
        </w:tc>
        <w:tc>
          <w:tcPr>
            <w:tcW w:w="1140" w:type="dxa"/>
            <w:vAlign w:val="bottom"/>
            <w:shd w:val="clear" w:color="auto" w:fill="D8D8D8"/>
          </w:tcPr>
          <w:p>
            <w:pPr>
              <w:spacing w:after="0"/>
              <w:rPr>
                <w:sz w:val="6"/>
                <w:szCs w:val="6"/>
                <w:color w:val="auto"/>
              </w:rPr>
            </w:pPr>
          </w:p>
        </w:tc>
        <w:tc>
          <w:tcPr>
            <w:tcW w:w="900" w:type="dxa"/>
            <w:vAlign w:val="bottom"/>
            <w:vMerge w:val="restart"/>
            <w:shd w:val="clear" w:color="auto" w:fill="D8D8D8"/>
          </w:tcPr>
          <w:p>
            <w:pPr>
              <w:jc w:val="center"/>
              <w:spacing w:after="0"/>
              <w:rPr>
                <w:sz w:val="20"/>
                <w:szCs w:val="20"/>
                <w:color w:val="auto"/>
              </w:rPr>
            </w:pPr>
            <w:r>
              <w:rPr>
                <w:rFonts w:ascii="Arial" w:cs="Arial" w:eastAsia="Arial" w:hAnsi="Arial"/>
                <w:sz w:val="14"/>
                <w:szCs w:val="14"/>
                <w:color w:val="C3002F"/>
              </w:rPr>
              <w:t>through</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540" w:type="dxa"/>
            <w:vAlign w:val="bottom"/>
            <w:shd w:val="clear" w:color="auto" w:fill="D8D8D8"/>
          </w:tcPr>
          <w:p>
            <w:pPr>
              <w:spacing w:after="0"/>
              <w:rPr>
                <w:sz w:val="6"/>
                <w:szCs w:val="6"/>
                <w:color w:val="auto"/>
              </w:rPr>
            </w:pPr>
          </w:p>
        </w:tc>
        <w:tc>
          <w:tcPr>
            <w:tcW w:w="1220" w:type="dxa"/>
            <w:vAlign w:val="bottom"/>
            <w:vMerge w:val="restart"/>
            <w:shd w:val="clear" w:color="auto" w:fill="D8D8D8"/>
          </w:tcPr>
          <w:p>
            <w:pPr>
              <w:ind w:left="140"/>
              <w:spacing w:after="0"/>
              <w:rPr>
                <w:sz w:val="20"/>
                <w:szCs w:val="20"/>
                <w:color w:val="auto"/>
              </w:rPr>
            </w:pPr>
            <w:r>
              <w:rPr>
                <w:rFonts w:ascii="Arial" w:cs="Arial" w:eastAsia="Arial" w:hAnsi="Arial"/>
                <w:sz w:val="14"/>
                <w:szCs w:val="14"/>
                <w:color w:val="auto"/>
              </w:rPr>
              <w:t>Individual Goals</w:t>
            </w:r>
          </w:p>
        </w:tc>
        <w:tc>
          <w:tcPr>
            <w:tcW w:w="660" w:type="dxa"/>
            <w:vAlign w:val="bottom"/>
            <w:vMerge w:val="continue"/>
            <w:shd w:val="clear" w:color="auto" w:fill="D8D8D8"/>
          </w:tcPr>
          <w:p>
            <w:pPr>
              <w:spacing w:after="0"/>
              <w:rPr>
                <w:sz w:val="6"/>
                <w:szCs w:val="6"/>
                <w:color w:val="auto"/>
              </w:rPr>
            </w:pPr>
          </w:p>
        </w:tc>
        <w:tc>
          <w:tcPr>
            <w:tcW w:w="1080" w:type="dxa"/>
            <w:vAlign w:val="bottom"/>
            <w:shd w:val="clear" w:color="auto" w:fill="D8D8D8"/>
          </w:tcPr>
          <w:p>
            <w:pPr>
              <w:spacing w:after="0"/>
              <w:rPr>
                <w:sz w:val="6"/>
                <w:szCs w:val="6"/>
                <w:color w:val="auto"/>
              </w:rPr>
            </w:pPr>
          </w:p>
        </w:tc>
        <w:tc>
          <w:tcPr>
            <w:tcW w:w="1060" w:type="dxa"/>
            <w:vAlign w:val="bottom"/>
            <w:shd w:val="clear" w:color="auto" w:fill="D8D8D8"/>
          </w:tcPr>
          <w:p>
            <w:pPr>
              <w:spacing w:after="0"/>
              <w:rPr>
                <w:sz w:val="6"/>
                <w:szCs w:val="6"/>
                <w:color w:val="auto"/>
              </w:rPr>
            </w:pPr>
          </w:p>
        </w:tc>
        <w:tc>
          <w:tcPr>
            <w:tcW w:w="1200" w:type="dxa"/>
            <w:vAlign w:val="bottom"/>
            <w:vMerge w:val="continue"/>
            <w:shd w:val="clear" w:color="auto" w:fill="D8D8D8"/>
          </w:tcPr>
          <w:p>
            <w:pPr>
              <w:spacing w:after="0"/>
              <w:rPr>
                <w:sz w:val="6"/>
                <w:szCs w:val="6"/>
                <w:color w:val="auto"/>
              </w:rPr>
            </w:pPr>
          </w:p>
        </w:tc>
        <w:tc>
          <w:tcPr>
            <w:tcW w:w="1080" w:type="dxa"/>
            <w:vAlign w:val="bottom"/>
            <w:shd w:val="clear" w:color="auto" w:fill="D8D8D8"/>
          </w:tcPr>
          <w:p>
            <w:pPr>
              <w:spacing w:after="0"/>
              <w:rPr>
                <w:sz w:val="6"/>
                <w:szCs w:val="6"/>
                <w:color w:val="auto"/>
              </w:rPr>
            </w:pPr>
          </w:p>
        </w:tc>
        <w:tc>
          <w:tcPr>
            <w:tcW w:w="1140" w:type="dxa"/>
            <w:vAlign w:val="bottom"/>
            <w:shd w:val="clear" w:color="auto" w:fill="D8D8D8"/>
          </w:tcPr>
          <w:p>
            <w:pPr>
              <w:spacing w:after="0"/>
              <w:rPr>
                <w:sz w:val="6"/>
                <w:szCs w:val="6"/>
                <w:color w:val="auto"/>
              </w:rPr>
            </w:pPr>
          </w:p>
        </w:tc>
        <w:tc>
          <w:tcPr>
            <w:tcW w:w="900" w:type="dxa"/>
            <w:vAlign w:val="bottom"/>
            <w:vMerge w:val="continue"/>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40" w:type="dxa"/>
            <w:vAlign w:val="bottom"/>
            <w:shd w:val="clear" w:color="auto" w:fill="D8D8D8"/>
          </w:tcPr>
          <w:p>
            <w:pPr>
              <w:spacing w:after="0"/>
              <w:rPr>
                <w:sz w:val="7"/>
                <w:szCs w:val="7"/>
                <w:color w:val="auto"/>
              </w:rPr>
            </w:pPr>
          </w:p>
        </w:tc>
        <w:tc>
          <w:tcPr>
            <w:tcW w:w="1220" w:type="dxa"/>
            <w:vAlign w:val="bottom"/>
            <w:vMerge w:val="continue"/>
            <w:shd w:val="clear" w:color="auto" w:fill="D8D8D8"/>
          </w:tcPr>
          <w:p>
            <w:pPr>
              <w:spacing w:after="0"/>
              <w:rPr>
                <w:sz w:val="7"/>
                <w:szCs w:val="7"/>
                <w:color w:val="auto"/>
              </w:rPr>
            </w:pPr>
          </w:p>
        </w:tc>
        <w:tc>
          <w:tcPr>
            <w:tcW w:w="660" w:type="dxa"/>
            <w:vAlign w:val="bottom"/>
            <w:shd w:val="clear" w:color="auto" w:fill="D8D8D8"/>
          </w:tcPr>
          <w:p>
            <w:pPr>
              <w:spacing w:after="0"/>
              <w:rPr>
                <w:sz w:val="7"/>
                <w:szCs w:val="7"/>
                <w:color w:val="auto"/>
              </w:rPr>
            </w:pPr>
          </w:p>
        </w:tc>
        <w:tc>
          <w:tcPr>
            <w:tcW w:w="1080" w:type="dxa"/>
            <w:vAlign w:val="bottom"/>
            <w:shd w:val="clear" w:color="auto" w:fill="D8D8D8"/>
          </w:tcPr>
          <w:p>
            <w:pPr>
              <w:spacing w:after="0"/>
              <w:rPr>
                <w:sz w:val="7"/>
                <w:szCs w:val="7"/>
                <w:color w:val="auto"/>
              </w:rPr>
            </w:pPr>
          </w:p>
        </w:tc>
        <w:tc>
          <w:tcPr>
            <w:tcW w:w="1060" w:type="dxa"/>
            <w:vAlign w:val="bottom"/>
            <w:shd w:val="clear" w:color="auto" w:fill="D8D8D8"/>
          </w:tcPr>
          <w:p>
            <w:pPr>
              <w:spacing w:after="0"/>
              <w:rPr>
                <w:sz w:val="7"/>
                <w:szCs w:val="7"/>
                <w:color w:val="auto"/>
              </w:rPr>
            </w:pPr>
          </w:p>
        </w:tc>
        <w:tc>
          <w:tcPr>
            <w:tcW w:w="1200" w:type="dxa"/>
            <w:vAlign w:val="bottom"/>
            <w:shd w:val="clear" w:color="auto" w:fill="D8D8D8"/>
          </w:tcPr>
          <w:p>
            <w:pPr>
              <w:spacing w:after="0"/>
              <w:rPr>
                <w:sz w:val="7"/>
                <w:szCs w:val="7"/>
                <w:color w:val="auto"/>
              </w:rPr>
            </w:pPr>
          </w:p>
        </w:tc>
        <w:tc>
          <w:tcPr>
            <w:tcW w:w="1080" w:type="dxa"/>
            <w:vAlign w:val="bottom"/>
            <w:shd w:val="clear" w:color="auto" w:fill="D8D8D8"/>
          </w:tcPr>
          <w:p>
            <w:pPr>
              <w:spacing w:after="0"/>
              <w:rPr>
                <w:sz w:val="7"/>
                <w:szCs w:val="7"/>
                <w:color w:val="auto"/>
              </w:rPr>
            </w:pPr>
          </w:p>
        </w:tc>
        <w:tc>
          <w:tcPr>
            <w:tcW w:w="1140" w:type="dxa"/>
            <w:vAlign w:val="bottom"/>
            <w:shd w:val="clear" w:color="auto" w:fill="D8D8D8"/>
          </w:tcPr>
          <w:p>
            <w:pPr>
              <w:spacing w:after="0"/>
              <w:rPr>
                <w:sz w:val="7"/>
                <w:szCs w:val="7"/>
                <w:color w:val="auto"/>
              </w:rPr>
            </w:pPr>
          </w:p>
        </w:tc>
        <w:tc>
          <w:tcPr>
            <w:tcW w:w="900" w:type="dxa"/>
            <w:vAlign w:val="bottom"/>
            <w:vMerge w:val="restart"/>
            <w:shd w:val="clear" w:color="auto" w:fill="D8D8D8"/>
          </w:tcPr>
          <w:p>
            <w:pPr>
              <w:jc w:val="center"/>
              <w:ind w:left="9"/>
              <w:spacing w:after="0"/>
              <w:rPr>
                <w:sz w:val="20"/>
                <w:szCs w:val="20"/>
                <w:color w:val="auto"/>
              </w:rPr>
            </w:pPr>
            <w:r>
              <w:rPr>
                <w:rFonts w:ascii="Arial" w:cs="Arial" w:eastAsia="Arial" w:hAnsi="Arial"/>
                <w:sz w:val="14"/>
                <w:szCs w:val="14"/>
                <w:color w:val="C3002F"/>
              </w:rPr>
              <w:t>Superior</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540" w:type="dxa"/>
            <w:vAlign w:val="bottom"/>
            <w:tcBorders>
              <w:bottom w:val="single" w:sz="8" w:color="666666"/>
            </w:tcBorders>
            <w:shd w:val="clear" w:color="auto" w:fill="D8D8D8"/>
          </w:tcPr>
          <w:p>
            <w:pPr>
              <w:spacing w:after="0"/>
              <w:rPr>
                <w:sz w:val="6"/>
                <w:szCs w:val="6"/>
                <w:color w:val="auto"/>
              </w:rPr>
            </w:pPr>
          </w:p>
        </w:tc>
        <w:tc>
          <w:tcPr>
            <w:tcW w:w="1220" w:type="dxa"/>
            <w:vAlign w:val="bottom"/>
            <w:tcBorders>
              <w:bottom w:val="single" w:sz="8" w:color="666666"/>
            </w:tcBorders>
            <w:shd w:val="clear" w:color="auto" w:fill="D8D8D8"/>
          </w:tcPr>
          <w:p>
            <w:pPr>
              <w:spacing w:after="0"/>
              <w:rPr>
                <w:sz w:val="6"/>
                <w:szCs w:val="6"/>
                <w:color w:val="auto"/>
              </w:rPr>
            </w:pPr>
          </w:p>
        </w:tc>
        <w:tc>
          <w:tcPr>
            <w:tcW w:w="660" w:type="dxa"/>
            <w:vAlign w:val="bottom"/>
            <w:tcBorders>
              <w:bottom w:val="single" w:sz="8" w:color="666666"/>
            </w:tcBorders>
            <w:shd w:val="clear" w:color="auto" w:fill="D8D8D8"/>
          </w:tcPr>
          <w:p>
            <w:pPr>
              <w:spacing w:after="0"/>
              <w:rPr>
                <w:sz w:val="6"/>
                <w:szCs w:val="6"/>
                <w:color w:val="auto"/>
              </w:rPr>
            </w:pPr>
          </w:p>
        </w:tc>
        <w:tc>
          <w:tcPr>
            <w:tcW w:w="1080" w:type="dxa"/>
            <w:vAlign w:val="bottom"/>
            <w:tcBorders>
              <w:bottom w:val="single" w:sz="8" w:color="666666"/>
            </w:tcBorders>
            <w:shd w:val="clear" w:color="auto" w:fill="D8D8D8"/>
          </w:tcPr>
          <w:p>
            <w:pPr>
              <w:spacing w:after="0"/>
              <w:rPr>
                <w:sz w:val="6"/>
                <w:szCs w:val="6"/>
                <w:color w:val="auto"/>
              </w:rPr>
            </w:pPr>
          </w:p>
        </w:tc>
        <w:tc>
          <w:tcPr>
            <w:tcW w:w="1060" w:type="dxa"/>
            <w:vAlign w:val="bottom"/>
            <w:tcBorders>
              <w:bottom w:val="single" w:sz="8" w:color="666666"/>
            </w:tcBorders>
            <w:shd w:val="clear" w:color="auto" w:fill="D8D8D8"/>
          </w:tcPr>
          <w:p>
            <w:pPr>
              <w:spacing w:after="0"/>
              <w:rPr>
                <w:sz w:val="6"/>
                <w:szCs w:val="6"/>
                <w:color w:val="auto"/>
              </w:rPr>
            </w:pPr>
          </w:p>
        </w:tc>
        <w:tc>
          <w:tcPr>
            <w:tcW w:w="1200" w:type="dxa"/>
            <w:vAlign w:val="bottom"/>
            <w:tcBorders>
              <w:bottom w:val="single" w:sz="8" w:color="666666"/>
            </w:tcBorders>
            <w:shd w:val="clear" w:color="auto" w:fill="D8D8D8"/>
          </w:tcPr>
          <w:p>
            <w:pPr>
              <w:spacing w:after="0"/>
              <w:rPr>
                <w:sz w:val="6"/>
                <w:szCs w:val="6"/>
                <w:color w:val="auto"/>
              </w:rPr>
            </w:pPr>
          </w:p>
        </w:tc>
        <w:tc>
          <w:tcPr>
            <w:tcW w:w="1080" w:type="dxa"/>
            <w:vAlign w:val="bottom"/>
            <w:tcBorders>
              <w:bottom w:val="single" w:sz="8" w:color="666666"/>
            </w:tcBorders>
            <w:shd w:val="clear" w:color="auto" w:fill="D8D8D8"/>
          </w:tcPr>
          <w:p>
            <w:pPr>
              <w:spacing w:after="0"/>
              <w:rPr>
                <w:sz w:val="6"/>
                <w:szCs w:val="6"/>
                <w:color w:val="auto"/>
              </w:rPr>
            </w:pPr>
          </w:p>
        </w:tc>
        <w:tc>
          <w:tcPr>
            <w:tcW w:w="1140" w:type="dxa"/>
            <w:vAlign w:val="bottom"/>
            <w:tcBorders>
              <w:bottom w:val="single" w:sz="8" w:color="666666"/>
            </w:tcBorders>
            <w:shd w:val="clear" w:color="auto" w:fill="D8D8D8"/>
          </w:tcPr>
          <w:p>
            <w:pPr>
              <w:spacing w:after="0"/>
              <w:rPr>
                <w:sz w:val="6"/>
                <w:szCs w:val="6"/>
                <w:color w:val="auto"/>
              </w:rPr>
            </w:pPr>
          </w:p>
        </w:tc>
        <w:tc>
          <w:tcPr>
            <w:tcW w:w="900" w:type="dxa"/>
            <w:vAlign w:val="bottom"/>
            <w:tcBorders>
              <w:bottom w:val="single" w:sz="8" w:color="666666"/>
            </w:tcBorders>
            <w:vMerge w:val="continue"/>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560" w:type="dxa"/>
            <w:vAlign w:val="bottom"/>
            <w:gridSpan w:val="2"/>
          </w:tcPr>
          <w:p>
            <w:pPr>
              <w:spacing w:after="0" w:line="158" w:lineRule="exact"/>
              <w:rPr>
                <w:sz w:val="20"/>
                <w:szCs w:val="20"/>
                <w:color w:val="auto"/>
              </w:rPr>
            </w:pPr>
            <w:r>
              <w:rPr>
                <w:rFonts w:ascii="Arial" w:cs="Arial" w:eastAsia="Arial" w:hAnsi="Arial"/>
                <w:sz w:val="14"/>
                <w:szCs w:val="14"/>
                <w:color w:val="auto"/>
              </w:rPr>
              <w:t>All NEOs</w:t>
            </w:r>
          </w:p>
        </w:tc>
        <w:tc>
          <w:tcPr>
            <w:tcW w:w="1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Arial" w:cs="Arial" w:eastAsia="Arial" w:hAnsi="Arial"/>
                <w:sz w:val="14"/>
                <w:szCs w:val="14"/>
                <w:color w:val="auto"/>
              </w:rPr>
              <w:t>Score of 3:</w:t>
            </w:r>
          </w:p>
        </w:tc>
        <w:tc>
          <w:tcPr>
            <w:tcW w:w="1060" w:type="dxa"/>
            <w:vAlign w:val="bottom"/>
          </w:tcPr>
          <w:p>
            <w:pPr>
              <w:jc w:val="center"/>
              <w:spacing w:after="0" w:line="158" w:lineRule="exact"/>
              <w:rPr>
                <w:sz w:val="20"/>
                <w:szCs w:val="20"/>
                <w:color w:val="auto"/>
              </w:rPr>
            </w:pPr>
            <w:r>
              <w:rPr>
                <w:rFonts w:ascii="Arial" w:cs="Arial" w:eastAsia="Arial" w:hAnsi="Arial"/>
                <w:sz w:val="14"/>
                <w:szCs w:val="14"/>
                <w:color w:val="auto"/>
              </w:rPr>
              <w:t>Score of 4:</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Score of 5: 1.2x</w:t>
            </w: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220" w:type="dxa"/>
            <w:vAlign w:val="bottom"/>
            <w:vMerge w:val="restart"/>
          </w:tcPr>
          <w:p>
            <w:pPr>
              <w:ind w:left="140"/>
              <w:spacing w:after="0"/>
              <w:rPr>
                <w:sz w:val="20"/>
                <w:szCs w:val="20"/>
                <w:color w:val="auto"/>
              </w:rPr>
            </w:pPr>
            <w:r>
              <w:rPr>
                <w:rFonts w:ascii="Arial" w:cs="Arial" w:eastAsia="Arial" w:hAnsi="Arial"/>
                <w:sz w:val="14"/>
                <w:szCs w:val="14"/>
                <w:color w:val="auto"/>
              </w:rPr>
              <w:t>Comparative</w:t>
            </w:r>
          </w:p>
        </w:tc>
        <w:tc>
          <w:tcPr>
            <w:tcW w:w="660" w:type="dxa"/>
            <w:vAlign w:val="bottom"/>
          </w:tcPr>
          <w:p>
            <w:pPr>
              <w:spacing w:after="0"/>
              <w:rPr>
                <w:sz w:val="7"/>
                <w:szCs w:val="7"/>
                <w:color w:val="auto"/>
              </w:rPr>
            </w:pPr>
          </w:p>
        </w:tc>
        <w:tc>
          <w:tcPr>
            <w:tcW w:w="1080" w:type="dxa"/>
            <w:vAlign w:val="bottom"/>
            <w:vMerge w:val="restart"/>
          </w:tcPr>
          <w:p>
            <w:pPr>
              <w:jc w:val="center"/>
              <w:spacing w:after="0" w:line="155" w:lineRule="exact"/>
              <w:rPr>
                <w:sz w:val="20"/>
                <w:szCs w:val="20"/>
                <w:color w:val="auto"/>
              </w:rPr>
            </w:pPr>
            <w:r>
              <w:rPr>
                <w:rFonts w:ascii="Arial" w:cs="Arial" w:eastAsia="Arial" w:hAnsi="Arial"/>
                <w:sz w:val="14"/>
                <w:szCs w:val="14"/>
                <w:color w:val="auto"/>
                <w:w w:val="99"/>
              </w:rPr>
              <w:t>1.33x</w:t>
            </w:r>
          </w:p>
        </w:tc>
        <w:tc>
          <w:tcPr>
            <w:tcW w:w="1060" w:type="dxa"/>
            <w:vAlign w:val="bottom"/>
            <w:vMerge w:val="restart"/>
          </w:tcPr>
          <w:p>
            <w:pPr>
              <w:jc w:val="center"/>
              <w:spacing w:after="0" w:line="155" w:lineRule="exact"/>
              <w:rPr>
                <w:sz w:val="20"/>
                <w:szCs w:val="20"/>
                <w:color w:val="auto"/>
              </w:rPr>
            </w:pPr>
            <w:r>
              <w:rPr>
                <w:rFonts w:ascii="Arial" w:cs="Arial" w:eastAsia="Arial" w:hAnsi="Arial"/>
                <w:sz w:val="14"/>
                <w:szCs w:val="14"/>
                <w:color w:val="auto"/>
              </w:rPr>
              <w:t>1.25x</w:t>
            </w:r>
          </w:p>
        </w:tc>
        <w:tc>
          <w:tcPr>
            <w:tcW w:w="12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Borders>
              <w:bottom w:val="single" w:sz="8" w:color="666666"/>
            </w:tcBorders>
            <w:vMerge w:val="continue"/>
          </w:tcPr>
          <w:p>
            <w:pPr>
              <w:spacing w:after="0"/>
              <w:rPr>
                <w:sz w:val="5"/>
                <w:szCs w:val="5"/>
                <w:color w:val="auto"/>
              </w:rPr>
            </w:pPr>
          </w:p>
        </w:tc>
        <w:tc>
          <w:tcPr>
            <w:tcW w:w="1060" w:type="dxa"/>
            <w:vAlign w:val="bottom"/>
            <w:tcBorders>
              <w:bottom w:val="single" w:sz="8" w:color="666666"/>
            </w:tcBorders>
            <w:vMerge w:val="continue"/>
          </w:tcPr>
          <w:p>
            <w:pPr>
              <w:spacing w:after="0"/>
              <w:rPr>
                <w:sz w:val="5"/>
                <w:szCs w:val="5"/>
                <w:color w:val="auto"/>
              </w:rPr>
            </w:pPr>
          </w:p>
        </w:tc>
        <w:tc>
          <w:tcPr>
            <w:tcW w:w="1200" w:type="dxa"/>
            <w:vAlign w:val="bottom"/>
            <w:tcBorders>
              <w:bottom w:val="single" w:sz="8" w:color="666666"/>
            </w:tcBorders>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vMerge w:val="restart"/>
          </w:tcPr>
          <w:p>
            <w:pPr>
              <w:jc w:val="center"/>
              <w:spacing w:after="0" w:line="158" w:lineRule="exact"/>
              <w:rPr>
                <w:sz w:val="20"/>
                <w:szCs w:val="20"/>
                <w:color w:val="auto"/>
              </w:rPr>
            </w:pPr>
            <w:r>
              <w:rPr>
                <w:rFonts w:ascii="Arial" w:cs="Arial" w:eastAsia="Arial" w:hAnsi="Arial"/>
                <w:sz w:val="14"/>
                <w:szCs w:val="14"/>
                <w:color w:val="auto"/>
                <w:w w:val="99"/>
              </w:rPr>
              <w:t>Score of</w:t>
            </w: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20" w:type="dxa"/>
            <w:vAlign w:val="bottom"/>
            <w:vMerge w:val="restart"/>
          </w:tcPr>
          <w:p>
            <w:pPr>
              <w:ind w:left="140"/>
              <w:spacing w:after="0"/>
              <w:rPr>
                <w:sz w:val="20"/>
                <w:szCs w:val="20"/>
                <w:color w:val="auto"/>
              </w:rPr>
            </w:pPr>
            <w:r>
              <w:rPr>
                <w:rFonts w:ascii="Arial" w:cs="Arial" w:eastAsia="Arial" w:hAnsi="Arial"/>
                <w:sz w:val="14"/>
                <w:szCs w:val="14"/>
                <w:color w:val="auto"/>
              </w:rPr>
              <w:t>Performance</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C3002F"/>
                <w:w w:val="99"/>
              </w:rPr>
              <w:t>Multiplier</w:t>
            </w: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80" w:type="dxa"/>
            <w:vAlign w:val="bottom"/>
            <w:vMerge w:val="restart"/>
          </w:tcPr>
          <w:p>
            <w:pPr>
              <w:jc w:val="center"/>
              <w:ind w:left="9"/>
              <w:spacing w:after="0"/>
              <w:rPr>
                <w:sz w:val="20"/>
                <w:szCs w:val="20"/>
                <w:color w:val="auto"/>
              </w:rPr>
            </w:pPr>
            <w:r>
              <w:rPr>
                <w:rFonts w:ascii="Arial" w:cs="Arial" w:eastAsia="Arial" w:hAnsi="Arial"/>
                <w:sz w:val="14"/>
                <w:szCs w:val="14"/>
                <w:color w:val="auto"/>
              </w:rPr>
              <w:t>11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7</w:t>
            </w:r>
          </w:p>
        </w:tc>
        <w:tc>
          <w:tcPr>
            <w:tcW w:w="900" w:type="dxa"/>
            <w:vAlign w:val="bottom"/>
            <w:vMerge w:val="restart"/>
          </w:tcPr>
          <w:p>
            <w:pPr>
              <w:jc w:val="center"/>
              <w:ind w:left="9"/>
              <w:spacing w:after="0"/>
              <w:rPr>
                <w:sz w:val="20"/>
                <w:szCs w:val="20"/>
                <w:color w:val="auto"/>
              </w:rPr>
            </w:pPr>
            <w:r>
              <w:rPr>
                <w:rFonts w:ascii="Arial" w:cs="Arial" w:eastAsia="Arial" w:hAnsi="Arial"/>
                <w:sz w:val="14"/>
                <w:szCs w:val="14"/>
                <w:color w:val="auto"/>
                <w:w w:val="99"/>
              </w:rPr>
              <w:t>1.00x</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Score of 6:</w:t>
            </w:r>
          </w:p>
        </w:tc>
        <w:tc>
          <w:tcPr>
            <w:tcW w:w="2260" w:type="dxa"/>
            <w:vAlign w:val="bottom"/>
            <w:gridSpan w:val="2"/>
            <w:vMerge w:val="restart"/>
          </w:tcPr>
          <w:p>
            <w:pPr>
              <w:ind w:left="120"/>
              <w:spacing w:after="0"/>
              <w:rPr>
                <w:sz w:val="20"/>
                <w:szCs w:val="20"/>
                <w:color w:val="auto"/>
              </w:rPr>
            </w:pPr>
            <w:r>
              <w:rPr>
                <w:rFonts w:ascii="Arial" w:cs="Arial" w:eastAsia="Arial" w:hAnsi="Arial"/>
                <w:sz w:val="14"/>
                <w:szCs w:val="14"/>
                <w:color w:val="auto"/>
              </w:rPr>
              <w:t>Score of 7-9:   10-12: All payouts</w:t>
            </w:r>
          </w:p>
        </w:tc>
        <w:tc>
          <w:tcPr>
            <w:tcW w:w="108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20" w:type="dxa"/>
            <w:vAlign w:val="bottom"/>
            <w:vMerge w:val="restart"/>
          </w:tcPr>
          <w:p>
            <w:pPr>
              <w:ind w:left="140"/>
              <w:spacing w:after="0"/>
              <w:rPr>
                <w:sz w:val="20"/>
                <w:szCs w:val="20"/>
                <w:color w:val="auto"/>
              </w:rPr>
            </w:pPr>
            <w:r>
              <w:rPr>
                <w:rFonts w:ascii="Arial" w:cs="Arial" w:eastAsia="Arial" w:hAnsi="Arial"/>
                <w:sz w:val="14"/>
                <w:szCs w:val="14"/>
                <w:color w:val="auto"/>
              </w:rPr>
              <w:t>Matrix (CPM)</w:t>
            </w:r>
          </w:p>
        </w:tc>
        <w:tc>
          <w:tcPr>
            <w:tcW w:w="6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2260" w:type="dxa"/>
            <w:vAlign w:val="bottom"/>
            <w:gridSpan w:val="2"/>
            <w:vMerge w:val="continue"/>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9"/>
              </w:rPr>
              <w:t>1.15x</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1.00x</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capped at target</w:t>
            </w: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7280"/>
        <w:spacing w:after="0"/>
        <w:rPr>
          <w:sz w:val="20"/>
          <w:szCs w:val="20"/>
          <w:color w:val="auto"/>
        </w:rPr>
      </w:pPr>
      <w:r>
        <w:rPr>
          <w:rFonts w:ascii="Arial" w:cs="Arial" w:eastAsia="Arial" w:hAnsi="Arial"/>
          <w:sz w:val="14"/>
          <w:szCs w:val="14"/>
          <w:color w:val="auto"/>
        </w:rPr>
        <w:t>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-3175</wp:posOffset>
            </wp:positionV>
            <wp:extent cx="69176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38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Details for each objective are as follows:</w:t>
      </w:r>
    </w:p>
    <w:p>
      <w:pPr>
        <w:spacing w:after="0" w:line="155" w:lineRule="exact"/>
        <w:rPr>
          <w:sz w:val="20"/>
          <w:szCs w:val="20"/>
          <w:color w:val="auto"/>
        </w:rPr>
      </w:pPr>
    </w:p>
    <w:p>
      <w:pPr>
        <w:ind w:left="260"/>
        <w:spacing w:after="0" w:line="245" w:lineRule="auto"/>
        <w:rPr>
          <w:sz w:val="20"/>
          <w:szCs w:val="20"/>
          <w:color w:val="auto"/>
        </w:rPr>
      </w:pPr>
      <w:r>
        <w:rPr>
          <w:rFonts w:ascii="Arial" w:cs="Arial" w:eastAsia="Arial" w:hAnsi="Arial"/>
          <w:sz w:val="14"/>
          <w:szCs w:val="14"/>
          <w:b w:val="1"/>
          <w:bCs w:val="1"/>
          <w:color w:val="auto"/>
        </w:rPr>
        <w:t>Revenue</w:t>
      </w:r>
      <w:r>
        <w:rPr>
          <w:rFonts w:ascii="Arial" w:cs="Arial" w:eastAsia="Arial" w:hAnsi="Arial"/>
          <w:sz w:val="14"/>
          <w:szCs w:val="14"/>
          <w:color w:val="auto"/>
        </w:rPr>
        <w:t>. Increasing Company revenue was a key objective for 2017. Revenue is calculated for the fiscal year and based on the Company’s GAAP results. While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Company’s reported GAAP revenue was $5,699 million, the Compensation Committee approved an adjustment to GAAP reported revenue in an amount equal to $23 million, due to an unforeseen accounting change for the revenue recognition of a customer in Venezuela, Petróleos de Venezuela, S.A. (“PDVSA”). The accounting change determined that the duration of time expected to collect accounts receivable from PDVSA significantly exceeds the contractual payment terms and was determined to represent an implied financing arrangement, requiring the Company to record a discount to the revenue reflecting the time value of money. This change in revenue recognition was not anticipated when the Compensation Committee set revenue metrics (which were expected to include the full amount of PDVSA revenue), and the Committee approved the relatively small adjustment so as to not unfairly penalize the NEOs.</w:t>
      </w:r>
    </w:p>
    <w:p>
      <w:pPr>
        <w:spacing w:after="0" w:line="158" w:lineRule="exact"/>
        <w:rPr>
          <w:sz w:val="20"/>
          <w:szCs w:val="20"/>
          <w:color w:val="auto"/>
        </w:rPr>
      </w:pPr>
    </w:p>
    <w:p>
      <w:pPr>
        <w:ind w:left="260" w:right="40"/>
        <w:spacing w:after="0" w:line="280" w:lineRule="auto"/>
        <w:rPr>
          <w:sz w:val="20"/>
          <w:szCs w:val="20"/>
          <w:color w:val="auto"/>
        </w:rPr>
      </w:pPr>
      <w:r>
        <w:rPr>
          <w:rFonts w:ascii="Arial" w:cs="Arial" w:eastAsia="Arial" w:hAnsi="Arial"/>
          <w:sz w:val="14"/>
          <w:szCs w:val="14"/>
          <w:b w:val="1"/>
          <w:bCs w:val="1"/>
          <w:color w:val="auto"/>
        </w:rPr>
        <w:t>EBITDA</w:t>
      </w:r>
      <w:r>
        <w:rPr>
          <w:rFonts w:ascii="Arial" w:cs="Arial" w:eastAsia="Arial" w:hAnsi="Arial"/>
          <w:sz w:val="14"/>
          <w:szCs w:val="14"/>
          <w:color w:val="auto"/>
        </w:rPr>
        <w:t>. Like revenue, increasing the Company’s EBITDA was a key objective for 2017. EBITDA is a non-GAAP financial measure, and represents earnings before interest,</w:t>
      </w:r>
      <w:r>
        <w:rPr>
          <w:rFonts w:ascii="Arial" w:cs="Arial" w:eastAsia="Arial" w:hAnsi="Arial"/>
          <w:sz w:val="14"/>
          <w:szCs w:val="14"/>
          <w:b w:val="1"/>
          <w:bCs w:val="1"/>
          <w:color w:val="auto"/>
        </w:rPr>
        <w:t xml:space="preserve"> </w:t>
      </w:r>
      <w:r>
        <w:rPr>
          <w:rFonts w:ascii="Arial" w:cs="Arial" w:eastAsia="Arial" w:hAnsi="Arial"/>
          <w:sz w:val="14"/>
          <w:szCs w:val="14"/>
          <w:color w:val="auto"/>
        </w:rPr>
        <w:t>taxes, depreciation and amortization; the amount was calculated as provided in the Company’s publicly available year-end earnings release.</w:t>
      </w:r>
    </w:p>
    <w:p>
      <w:pPr>
        <w:spacing w:after="0" w:line="118" w:lineRule="exact"/>
        <w:rPr>
          <w:sz w:val="20"/>
          <w:szCs w:val="20"/>
          <w:color w:val="auto"/>
        </w:rPr>
      </w:pPr>
    </w:p>
    <w:p>
      <w:pPr>
        <w:ind w:left="260" w:right="60"/>
        <w:spacing w:after="0" w:line="245" w:lineRule="auto"/>
        <w:rPr>
          <w:sz w:val="20"/>
          <w:szCs w:val="20"/>
          <w:color w:val="auto"/>
        </w:rPr>
      </w:pPr>
      <w:r>
        <w:rPr>
          <w:rFonts w:ascii="Arial" w:cs="Arial" w:eastAsia="Arial" w:hAnsi="Arial"/>
          <w:sz w:val="14"/>
          <w:szCs w:val="14"/>
          <w:b w:val="1"/>
          <w:bCs w:val="1"/>
          <w:color w:val="auto"/>
        </w:rPr>
        <w:t xml:space="preserve">Free Cash Flow (FCF). </w:t>
      </w:r>
      <w:r>
        <w:rPr>
          <w:rFonts w:ascii="Arial" w:cs="Arial" w:eastAsia="Arial" w:hAnsi="Arial"/>
          <w:sz w:val="14"/>
          <w:szCs w:val="14"/>
          <w:color w:val="auto"/>
        </w:rPr>
        <w:t>The Committee carefully reviewed past performance, the Company’s outlook, strategy and enterprise goals and noted that in 2014, 2015 and 2016</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had not achieved free cash flow objectives. They determined the free cash flow metric was important to the Company’s investors and generally viewed as a measure of financial success and ability to reduce debt. In setting dollar thresholds, the Committee evaluated historical performance and information used by the Company’s investors for evaluating performance as well as internal projections and expectations. Specifically, “free cash flow” means net income from continuing operations before charges and credits, plus depreciation and amortization, plus or minus movement in working capital accounts (accounts receivable, inventories and accounts payable), minus capital expenditures. Acquisitions and divestitures and exceptional items such as government fines, large legal settlements and devaluations are excluded from the FCF calculation.</w:t>
      </w:r>
    </w:p>
    <w:p>
      <w:pPr>
        <w:spacing w:after="0" w:line="309" w:lineRule="exact"/>
        <w:rPr>
          <w:sz w:val="20"/>
          <w:szCs w:val="20"/>
          <w:color w:val="auto"/>
        </w:rPr>
      </w:pPr>
    </w:p>
    <w:p>
      <w:pPr>
        <w:ind w:left="260"/>
        <w:spacing w:after="0" w:line="247" w:lineRule="auto"/>
        <w:rPr>
          <w:sz w:val="20"/>
          <w:szCs w:val="20"/>
          <w:color w:val="auto"/>
        </w:rPr>
      </w:pPr>
      <w:r>
        <w:rPr>
          <w:rFonts w:ascii="Arial" w:cs="Arial" w:eastAsia="Arial" w:hAnsi="Arial"/>
          <w:sz w:val="14"/>
          <w:szCs w:val="14"/>
          <w:b w:val="1"/>
          <w:bCs w:val="1"/>
          <w:color w:val="auto"/>
        </w:rPr>
        <w:t>Support Ratio</w:t>
      </w:r>
      <w:r>
        <w:rPr>
          <w:rFonts w:ascii="Arial" w:cs="Arial" w:eastAsia="Arial" w:hAnsi="Arial"/>
          <w:sz w:val="14"/>
          <w:szCs w:val="14"/>
          <w:color w:val="auto"/>
        </w:rPr>
        <w:t>. For 2017, as in 2015 and 2016, cost reductions continued to be a key focus in the ongoing downturn. Reductions in the support ratio (the number of</w:t>
      </w:r>
      <w:r>
        <w:rPr>
          <w:rFonts w:ascii="Arial" w:cs="Arial" w:eastAsia="Arial" w:hAnsi="Arial"/>
          <w:sz w:val="14"/>
          <w:szCs w:val="14"/>
          <w:b w:val="1"/>
          <w:bCs w:val="1"/>
          <w:color w:val="auto"/>
        </w:rPr>
        <w:t xml:space="preserve"> </w:t>
      </w:r>
      <w:r>
        <w:rPr>
          <w:rFonts w:ascii="Arial" w:cs="Arial" w:eastAsia="Arial" w:hAnsi="Arial"/>
          <w:sz w:val="14"/>
          <w:szCs w:val="14"/>
          <w:color w:val="auto"/>
        </w:rPr>
        <w:t>non-revenue-generating employees to the number of revenue generating employees) was a continued focus to further align the organizational structure to substantially reduce overhead in all forms, rationalize support functions, eliminate duplicate staff, and de-layer the organization. Reduction in support ratio is also designed to drive financial achievement should the industry rebound, and accelerate profitability. All NEOs were given this metric other than Mr. Mills, who had an individual support cost metric related to achieving his functional support cost and budget reductions. Achievement for 2017 for all NEOs other than Mr. Mills was superior. On functional support costs, Mr. Mills achieved above target, with costs slightly under his cost budget.</w:t>
      </w:r>
    </w:p>
    <w:p>
      <w:pPr>
        <w:spacing w:after="0" w:line="154" w:lineRule="exact"/>
        <w:rPr>
          <w:sz w:val="20"/>
          <w:szCs w:val="20"/>
          <w:color w:val="auto"/>
        </w:rPr>
      </w:pPr>
    </w:p>
    <w:p>
      <w:pPr>
        <w:jc w:val="both"/>
        <w:ind w:left="260" w:right="20"/>
        <w:spacing w:after="0" w:line="259" w:lineRule="auto"/>
        <w:rPr>
          <w:sz w:val="20"/>
          <w:szCs w:val="20"/>
          <w:color w:val="auto"/>
        </w:rPr>
      </w:pPr>
      <w:r>
        <w:rPr>
          <w:rFonts w:ascii="Arial" w:cs="Arial" w:eastAsia="Arial" w:hAnsi="Arial"/>
          <w:sz w:val="14"/>
          <w:szCs w:val="14"/>
          <w:b w:val="1"/>
          <w:bCs w:val="1"/>
          <w:color w:val="auto"/>
        </w:rPr>
        <w:t>Service Quality</w:t>
      </w:r>
      <w:r>
        <w:rPr>
          <w:rFonts w:ascii="Arial" w:cs="Arial" w:eastAsia="Arial" w:hAnsi="Arial"/>
          <w:sz w:val="14"/>
          <w:szCs w:val="14"/>
          <w:color w:val="auto"/>
        </w:rPr>
        <w:t>. One of the key elements to achieve the Company’s objective of recapturing and increasing market share is service quality. A key measure of service quality</w:t>
      </w:r>
      <w:r>
        <w:rPr>
          <w:rFonts w:ascii="Arial" w:cs="Arial" w:eastAsia="Arial" w:hAnsi="Arial"/>
          <w:sz w:val="14"/>
          <w:szCs w:val="14"/>
          <w:b w:val="1"/>
          <w:bCs w:val="1"/>
          <w:color w:val="auto"/>
        </w:rPr>
        <w:t xml:space="preserve"> </w:t>
      </w:r>
      <w:r>
        <w:rPr>
          <w:rFonts w:ascii="Arial" w:cs="Arial" w:eastAsia="Arial" w:hAnsi="Arial"/>
          <w:sz w:val="14"/>
          <w:szCs w:val="14"/>
          <w:color w:val="auto"/>
        </w:rPr>
        <w:t>in our industry is nonproductive time (NPT) expressed as a percentage of total operating time; the lower the percentage, the better the performance. Metrics were set based on industry standards and client feedback provided to the Company.</w:t>
      </w:r>
    </w:p>
    <w:p>
      <w:pPr>
        <w:spacing w:after="0" w:line="133" w:lineRule="exact"/>
        <w:rPr>
          <w:sz w:val="20"/>
          <w:szCs w:val="20"/>
          <w:color w:val="auto"/>
        </w:rPr>
      </w:pPr>
    </w:p>
    <w:p>
      <w:pPr>
        <w:ind w:left="260" w:right="20"/>
        <w:spacing w:after="0" w:line="249" w:lineRule="auto"/>
        <w:rPr>
          <w:sz w:val="20"/>
          <w:szCs w:val="20"/>
          <w:color w:val="auto"/>
        </w:rPr>
      </w:pPr>
      <w:r>
        <w:rPr>
          <w:rFonts w:ascii="Arial" w:cs="Arial" w:eastAsia="Arial" w:hAnsi="Arial"/>
          <w:sz w:val="14"/>
          <w:szCs w:val="14"/>
          <w:b w:val="1"/>
          <w:bCs w:val="1"/>
          <w:color w:val="auto"/>
        </w:rPr>
        <w:t>Safety</w:t>
      </w:r>
      <w:r>
        <w:rPr>
          <w:rFonts w:ascii="Arial" w:cs="Arial" w:eastAsia="Arial" w:hAnsi="Arial"/>
          <w:sz w:val="14"/>
          <w:szCs w:val="14"/>
          <w:color w:val="auto"/>
        </w:rPr>
        <w:t>. In our industry and our Company, safety performance will always be of paramount importance. For 2017, the metrics were split between total recordable incident rate</w:t>
      </w:r>
      <w:r>
        <w:rPr>
          <w:rFonts w:ascii="Arial" w:cs="Arial" w:eastAsia="Arial" w:hAnsi="Arial"/>
          <w:sz w:val="14"/>
          <w:szCs w:val="14"/>
          <w:b w:val="1"/>
          <w:bCs w:val="1"/>
          <w:color w:val="auto"/>
        </w:rPr>
        <w:t xml:space="preserve"> </w:t>
      </w:r>
      <w:r>
        <w:rPr>
          <w:rFonts w:ascii="Arial" w:cs="Arial" w:eastAsia="Arial" w:hAnsi="Arial"/>
          <w:sz w:val="14"/>
          <w:szCs w:val="14"/>
          <w:color w:val="auto"/>
        </w:rPr>
        <w:t>(TRIR) and verified participation rate (VPR).The TRIR metric is calculated by multiplying the total number of recordable incidents by 200,000 and dividing by the hours worked. It was included to replace prior metrics of lost time incident rate (LTIR) and preventable vehicle incident rate, as all injuries are unacceptable to the Company. The TRIR metric broadened the Company’s safety focus and was found to be appropriate given the Company’s safety maturity—having improved performance in prior years in LTIR to a point where it is difficult to make significant improvements that are meaningful to the Company’s safety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88265</wp:posOffset>
            </wp:positionV>
            <wp:extent cx="69176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20" w:hanging="353"/>
        <w:spacing w:after="0"/>
        <w:tabs>
          <w:tab w:leader="none" w:pos="620" w:val="left"/>
        </w:tabs>
        <w:numPr>
          <w:ilvl w:val="0"/>
          <w:numId w:val="71"/>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2018 Proxy Statement</w:t>
      </w:r>
    </w:p>
    <w:p>
      <w:pPr>
        <w:sectPr>
          <w:pgSz w:w="11900" w:h="16838" w:orient="portrait"/>
          <w:cols w:equalWidth="0" w:num="1">
            <w:col w:w="11160"/>
          </w:cols>
          <w:pgMar w:left="240" w:top="455"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64" w:lineRule="exact"/>
        <w:rPr>
          <w:sz w:val="20"/>
          <w:szCs w:val="20"/>
          <w:color w:val="auto"/>
        </w:rPr>
      </w:pPr>
    </w:p>
    <w:p>
      <w:pPr>
        <w:jc w:val="both"/>
        <w:ind w:left="260" w:right="40"/>
        <w:spacing w:after="0" w:line="246" w:lineRule="auto"/>
        <w:rPr>
          <w:sz w:val="20"/>
          <w:szCs w:val="20"/>
          <w:color w:val="auto"/>
        </w:rPr>
      </w:pPr>
      <w:r>
        <w:rPr>
          <w:rFonts w:ascii="Arial" w:cs="Arial" w:eastAsia="Arial" w:hAnsi="Arial"/>
          <w:sz w:val="14"/>
          <w:szCs w:val="14"/>
          <w:color w:val="auto"/>
        </w:rPr>
        <w:t>The VPR metric is calculated by analyzing our proprietary safety smartphone application, or “app,” and by dividing the total number of verified app audits by the total number of verified app users. This metric was specifically designed to drive leadership engagement in safety and quality across the organization. The safety app allows management a template to perform onsite QHSE mini-audits in the field and workshop locations.</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 xml:space="preserve">Individual Metrics. </w:t>
      </w:r>
      <w:r>
        <w:rPr>
          <w:rFonts w:ascii="Arial" w:cs="Arial" w:eastAsia="Arial" w:hAnsi="Arial"/>
          <w:sz w:val="14"/>
          <w:szCs w:val="14"/>
          <w:color w:val="auto"/>
        </w:rPr>
        <w:t>Functional objectives deemed important for each role were set for certain NEOs as described below.</w:t>
      </w:r>
    </w:p>
    <w:p>
      <w:pPr>
        <w:spacing w:after="0" w:line="173" w:lineRule="exact"/>
        <w:rPr>
          <w:sz w:val="20"/>
          <w:szCs w:val="20"/>
          <w:color w:val="auto"/>
        </w:rPr>
      </w:pPr>
    </w:p>
    <w:p>
      <w:pPr>
        <w:ind w:left="260" w:right="320"/>
        <w:spacing w:after="0" w:line="280" w:lineRule="auto"/>
        <w:rPr>
          <w:sz w:val="20"/>
          <w:szCs w:val="20"/>
          <w:color w:val="auto"/>
        </w:rPr>
      </w:pPr>
      <w:r>
        <w:rPr>
          <w:rFonts w:ascii="Arial" w:cs="Arial" w:eastAsia="Arial" w:hAnsi="Arial"/>
          <w:sz w:val="14"/>
          <w:szCs w:val="14"/>
          <w:b w:val="1"/>
          <w:bCs w:val="1"/>
          <w:color w:val="auto"/>
        </w:rPr>
        <w:t xml:space="preserve">Mr. Bausch. </w:t>
      </w:r>
      <w:r>
        <w:rPr>
          <w:rFonts w:ascii="Arial" w:cs="Arial" w:eastAsia="Arial" w:hAnsi="Arial"/>
          <w:sz w:val="14"/>
          <w:szCs w:val="14"/>
          <w:color w:val="auto"/>
        </w:rPr>
        <w:t>Mr. Bausch’s personal objectives related to: (i) M&amp;A transactions (5%), (ii) internal controls reporting (5%), (iii) integrated projects (5%), (iv) global business</w:t>
      </w:r>
      <w:r>
        <w:rPr>
          <w:rFonts w:ascii="Arial" w:cs="Arial" w:eastAsia="Arial" w:hAnsi="Arial"/>
          <w:sz w:val="14"/>
          <w:szCs w:val="14"/>
          <w:b w:val="1"/>
          <w:bCs w:val="1"/>
          <w:color w:val="auto"/>
        </w:rPr>
        <w:t xml:space="preserve"> </w:t>
      </w:r>
      <w:r>
        <w:rPr>
          <w:rFonts w:ascii="Arial" w:cs="Arial" w:eastAsia="Arial" w:hAnsi="Arial"/>
          <w:sz w:val="14"/>
          <w:szCs w:val="14"/>
          <w:color w:val="auto"/>
        </w:rPr>
        <w:t>support center enhancements (5%), and (v) talent management (5%). Target was achieved for all objectives, except internal controls which was below threshold.</w:t>
      </w:r>
    </w:p>
    <w:p>
      <w:pPr>
        <w:spacing w:after="0" w:line="132" w:lineRule="exact"/>
        <w:rPr>
          <w:sz w:val="20"/>
          <w:szCs w:val="20"/>
          <w:color w:val="auto"/>
        </w:rPr>
      </w:pPr>
    </w:p>
    <w:p>
      <w:pPr>
        <w:ind w:left="260" w:right="260"/>
        <w:spacing w:after="0" w:line="280" w:lineRule="auto"/>
        <w:rPr>
          <w:sz w:val="20"/>
          <w:szCs w:val="20"/>
          <w:color w:val="auto"/>
        </w:rPr>
      </w:pPr>
      <w:r>
        <w:rPr>
          <w:rFonts w:ascii="Arial" w:cs="Arial" w:eastAsia="Arial" w:hAnsi="Arial"/>
          <w:sz w:val="14"/>
          <w:szCs w:val="14"/>
          <w:b w:val="1"/>
          <w:bCs w:val="1"/>
          <w:color w:val="auto"/>
        </w:rPr>
        <w:t xml:space="preserve">Mrs. Ibrahim. </w:t>
      </w:r>
      <w:r>
        <w:rPr>
          <w:rFonts w:ascii="Arial" w:cs="Arial" w:eastAsia="Arial" w:hAnsi="Arial"/>
          <w:sz w:val="14"/>
          <w:szCs w:val="14"/>
          <w:color w:val="auto"/>
        </w:rPr>
        <w:t>Mrs. Ibrahim’s personal objectives related to: (i) reduction in legal spend (10%), (ii) career development and training (5%), (iii) onboarding and competency</w:t>
      </w:r>
      <w:r>
        <w:rPr>
          <w:rFonts w:ascii="Arial" w:cs="Arial" w:eastAsia="Arial" w:hAnsi="Arial"/>
          <w:sz w:val="14"/>
          <w:szCs w:val="14"/>
          <w:b w:val="1"/>
          <w:bCs w:val="1"/>
          <w:color w:val="auto"/>
        </w:rPr>
        <w:t xml:space="preserve"> </w:t>
      </w:r>
      <w:r>
        <w:rPr>
          <w:rFonts w:ascii="Arial" w:cs="Arial" w:eastAsia="Arial" w:hAnsi="Arial"/>
          <w:sz w:val="14"/>
          <w:szCs w:val="14"/>
          <w:color w:val="auto"/>
        </w:rPr>
        <w:t>assessment for members of the legal department (5%), and (iv) legal department improvement (5%). Superior was achieved for each objective.</w:t>
      </w:r>
    </w:p>
    <w:p>
      <w:pPr>
        <w:spacing w:after="0" w:line="118" w:lineRule="exact"/>
        <w:rPr>
          <w:sz w:val="20"/>
          <w:szCs w:val="20"/>
          <w:color w:val="auto"/>
        </w:rPr>
      </w:pPr>
    </w:p>
    <w:p>
      <w:pPr>
        <w:ind w:left="260" w:right="100"/>
        <w:spacing w:after="0" w:line="259" w:lineRule="auto"/>
        <w:rPr>
          <w:sz w:val="20"/>
          <w:szCs w:val="20"/>
          <w:color w:val="auto"/>
        </w:rPr>
      </w:pPr>
      <w:r>
        <w:rPr>
          <w:rFonts w:ascii="Arial" w:cs="Arial" w:eastAsia="Arial" w:hAnsi="Arial"/>
          <w:sz w:val="14"/>
          <w:szCs w:val="14"/>
          <w:b w:val="1"/>
          <w:bCs w:val="1"/>
          <w:color w:val="auto"/>
        </w:rPr>
        <w:t xml:space="preserve">Mr. Mills. </w:t>
      </w:r>
      <w:r>
        <w:rPr>
          <w:rFonts w:ascii="Arial" w:cs="Arial" w:eastAsia="Arial" w:hAnsi="Arial"/>
          <w:sz w:val="14"/>
          <w:szCs w:val="14"/>
          <w:color w:val="auto"/>
        </w:rPr>
        <w:t>Mr. Mills’ personal objectives related to: (i) global business support center (5%), (ii) reporting simplification and standardization (5%), (iii) intercompany accounting</w:t>
      </w:r>
      <w:r>
        <w:rPr>
          <w:rFonts w:ascii="Arial" w:cs="Arial" w:eastAsia="Arial" w:hAnsi="Arial"/>
          <w:sz w:val="14"/>
          <w:szCs w:val="14"/>
          <w:b w:val="1"/>
          <w:bCs w:val="1"/>
          <w:color w:val="auto"/>
        </w:rPr>
        <w:t xml:space="preserve"> </w:t>
      </w:r>
      <w:r>
        <w:rPr>
          <w:rFonts w:ascii="Arial" w:cs="Arial" w:eastAsia="Arial" w:hAnsi="Arial"/>
          <w:sz w:val="14"/>
          <w:szCs w:val="14"/>
          <w:color w:val="auto"/>
        </w:rPr>
        <w:t>projects (5%), (iv) revenue recognition developments (5%), and (v) talent management (5%). Target was achieved for objectives (i) and (iv). Superior was achieved for objectives (ii) and (v). Achievement for objective (iii) came in between target and superior.</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Comparative Performance Matrix (CPM) Multiplier.</w:t>
      </w:r>
    </w:p>
    <w:p>
      <w:pPr>
        <w:spacing w:after="0" w:line="204" w:lineRule="exact"/>
        <w:rPr>
          <w:sz w:val="20"/>
          <w:szCs w:val="20"/>
          <w:color w:val="auto"/>
        </w:rPr>
      </w:pPr>
    </w:p>
    <w:p>
      <w:pPr>
        <w:ind w:left="260" w:right="440"/>
        <w:spacing w:after="0" w:line="243" w:lineRule="auto"/>
        <w:rPr>
          <w:sz w:val="20"/>
          <w:szCs w:val="20"/>
          <w:color w:val="auto"/>
        </w:rPr>
      </w:pPr>
      <w:r>
        <w:rPr>
          <w:rFonts w:ascii="Arial" w:cs="Arial" w:eastAsia="Arial" w:hAnsi="Arial"/>
          <w:sz w:val="14"/>
          <w:szCs w:val="14"/>
          <w:color w:val="auto"/>
        </w:rPr>
        <w:t>As in 2015 and 2016, the Committee decided to use the CPM metric in 2017 to measure performance improvement compared to Significant Peers as the Company continued to focus on capturing market share. The CPM is included as a means of capturing growth not measured by a narrow focus on dollar targets. In 2017 it was removed as a standalone metric and converted to a multiplier to further incentivize performance as a “stretch” goal so our NEOs would be rewarded for year-over-year performance improvements relative to our Significant Peers, especially given 2016 CPM performance below threshold.</w:t>
      </w:r>
    </w:p>
    <w:p>
      <w:pPr>
        <w:spacing w:after="0" w:line="162" w:lineRule="exact"/>
        <w:rPr>
          <w:sz w:val="20"/>
          <w:szCs w:val="20"/>
          <w:color w:val="auto"/>
        </w:rPr>
      </w:pPr>
    </w:p>
    <w:p>
      <w:pPr>
        <w:jc w:val="both"/>
        <w:ind w:left="260" w:right="180"/>
        <w:spacing w:after="0" w:line="246" w:lineRule="auto"/>
        <w:rPr>
          <w:sz w:val="20"/>
          <w:szCs w:val="20"/>
          <w:color w:val="auto"/>
        </w:rPr>
      </w:pPr>
      <w:r>
        <w:rPr>
          <w:rFonts w:ascii="Arial" w:cs="Arial" w:eastAsia="Arial" w:hAnsi="Arial"/>
          <w:sz w:val="14"/>
          <w:szCs w:val="14"/>
          <w:color w:val="auto"/>
        </w:rPr>
        <w:t>Specifically, the CPM structure measures the year-over-year change in revenue, operating income and free cash flow, in each case measured as a percentage change, for the Company and our Significant Peers. Revenue, free cash flow and operating income rankings from one (best achievement) to four (worst achievement) are summed to get a total CPM score, with the best score being three (i.e., a “one” in each category) and the worst score being a twelve (i.e., a “four” in each category).</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scored a 7 for 2017, consisting of a score of 3 in revenue, 2 in free cash flow, and 2 in operating income (or profitability).</w:t>
      </w:r>
    </w:p>
    <w:p>
      <w:pPr>
        <w:spacing w:after="0" w:line="186" w:lineRule="exact"/>
        <w:rPr>
          <w:sz w:val="20"/>
          <w:szCs w:val="20"/>
          <w:color w:val="auto"/>
        </w:rPr>
      </w:pPr>
    </w:p>
    <w:p>
      <w:pPr>
        <w:ind w:left="260" w:right="60"/>
        <w:spacing w:after="0"/>
        <w:rPr>
          <w:sz w:val="20"/>
          <w:szCs w:val="20"/>
          <w:color w:val="auto"/>
        </w:rPr>
      </w:pPr>
      <w:r>
        <w:rPr>
          <w:rFonts w:ascii="Arial" w:cs="Arial" w:eastAsia="Arial" w:hAnsi="Arial"/>
          <w:sz w:val="14"/>
          <w:szCs w:val="14"/>
          <w:color w:val="auto"/>
        </w:rPr>
        <w:t>While the Committee evaluates a larger group of peers when determining compensation for our NEOs, the Committee continues to believe the Significant Peers are most relevant and appropriate competitors for this measurement and evaluating the Company’s ability to capture market share. Our clients (whether independent or national oil companies), the financial sector, and our investor community are most interested in our performance against these Significant Peers. It is with these companies that Weatherford shares the greatest similarity in business purpose within the oilfield services sector, has the most similar client base and competes most directly for talent. These Significant Peers are all integrated oilfield service companies with truly international footprints against which Weatherford’s performance is measured by industry analysts. To include other companies outside of this Significant Peer group would include oil and gas operators and pure oil field manufacturers, against which our performance would be most difficult to measure accurately and with which we do not have the same symbiotic business purpose or strategic alignment. Providing non-equity (cash) compensation for performance measured against this Significant Peer group is more rigorous than if we were to expand the population, especially given the Company’s last-place standing in the CPM metric against the Significant Peers when this metric was implemented, only reaching the threshold score in 2015, and not achieving threshold in 2016.</w:t>
      </w:r>
    </w:p>
    <w:p>
      <w:pPr>
        <w:spacing w:after="0" w:line="32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 summary, payout for current NEOs as a percentage of base salary is:</w:t>
      </w:r>
    </w:p>
    <w:p>
      <w:pPr>
        <w:spacing w:after="0" w:line="207"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2"/>
          </w:tcPr>
          <w:p>
            <w:pPr>
              <w:jc w:val="right"/>
              <w:ind w:right="229"/>
              <w:spacing w:after="0"/>
              <w:rPr>
                <w:sz w:val="20"/>
                <w:szCs w:val="20"/>
                <w:color w:val="auto"/>
              </w:rPr>
            </w:pPr>
            <w:r>
              <w:rPr>
                <w:rFonts w:ascii="Arial" w:cs="Arial" w:eastAsia="Arial" w:hAnsi="Arial"/>
                <w:sz w:val="14"/>
                <w:szCs w:val="14"/>
                <w:color w:val="auto"/>
              </w:rPr>
              <w:t>Metrics Exceeding Threshold Achievement</w:t>
            </w:r>
          </w:p>
        </w:tc>
        <w:tc>
          <w:tcPr>
            <w:tcW w:w="1480" w:type="dxa"/>
            <w:vAlign w:val="bottom"/>
            <w:tcBorders>
              <w:bottom w:val="single" w:sz="8" w:color="auto"/>
            </w:tcBorders>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Cash Incentive</w:t>
            </w:r>
          </w:p>
        </w:tc>
      </w:tr>
      <w:tr>
        <w:trPr>
          <w:trHeight w:val="154"/>
        </w:trPr>
        <w:tc>
          <w:tcPr>
            <w:tcW w:w="3080" w:type="dxa"/>
            <w:vAlign w:val="bottom"/>
            <w:tcBorders>
              <w:bottom w:val="single" w:sz="8" w:color="auto"/>
            </w:tcBorders>
          </w:tcPr>
          <w:p>
            <w:pPr>
              <w:ind w:left="60"/>
              <w:spacing w:after="0" w:line="153" w:lineRule="exact"/>
              <w:rPr>
                <w:sz w:val="20"/>
                <w:szCs w:val="20"/>
                <w:color w:val="auto"/>
              </w:rPr>
            </w:pPr>
            <w:r>
              <w:rPr>
                <w:rFonts w:ascii="Arial" w:cs="Arial" w:eastAsia="Arial" w:hAnsi="Arial"/>
                <w:sz w:val="14"/>
                <w:szCs w:val="14"/>
                <w:color w:val="auto"/>
              </w:rPr>
              <w:t>NEO</w:t>
            </w:r>
          </w:p>
        </w:tc>
        <w:tc>
          <w:tcPr>
            <w:tcW w:w="1340" w:type="dxa"/>
            <w:vAlign w:val="bottom"/>
            <w:tcBorders>
              <w:bottom w:val="single" w:sz="8" w:color="auto"/>
            </w:tcBorders>
          </w:tcPr>
          <w:p>
            <w:pPr>
              <w:jc w:val="right"/>
              <w:ind w:right="389"/>
              <w:spacing w:after="0" w:line="153" w:lineRule="exact"/>
              <w:rPr>
                <w:sz w:val="20"/>
                <w:szCs w:val="20"/>
                <w:color w:val="auto"/>
              </w:rPr>
            </w:pPr>
            <w:r>
              <w:rPr>
                <w:rFonts w:ascii="Arial" w:cs="Arial" w:eastAsia="Arial" w:hAnsi="Arial"/>
                <w:sz w:val="14"/>
                <w:szCs w:val="14"/>
                <w:color w:val="auto"/>
              </w:rPr>
              <w:t>Revenue</w:t>
            </w:r>
          </w:p>
        </w:tc>
        <w:tc>
          <w:tcPr>
            <w:tcW w:w="2060" w:type="dxa"/>
            <w:vAlign w:val="bottom"/>
            <w:tcBorders>
              <w:bottom w:val="single" w:sz="8" w:color="auto"/>
            </w:tcBorders>
          </w:tcPr>
          <w:p>
            <w:pPr>
              <w:jc w:val="right"/>
              <w:ind w:right="189"/>
              <w:spacing w:after="0" w:line="153" w:lineRule="exact"/>
              <w:rPr>
                <w:sz w:val="20"/>
                <w:szCs w:val="20"/>
                <w:color w:val="auto"/>
              </w:rPr>
            </w:pPr>
            <w:r>
              <w:rPr>
                <w:rFonts w:ascii="Arial" w:cs="Arial" w:eastAsia="Arial" w:hAnsi="Arial"/>
                <w:sz w:val="14"/>
                <w:szCs w:val="14"/>
                <w:color w:val="auto"/>
              </w:rPr>
              <w:t>Support Ratio / Costs</w:t>
            </w:r>
          </w:p>
        </w:tc>
        <w:tc>
          <w:tcPr>
            <w:tcW w:w="1440" w:type="dxa"/>
            <w:vAlign w:val="bottom"/>
            <w:tcBorders>
              <w:bottom w:val="single" w:sz="8" w:color="auto"/>
            </w:tcBorders>
          </w:tcPr>
          <w:p>
            <w:pPr>
              <w:jc w:val="right"/>
              <w:ind w:right="149"/>
              <w:spacing w:after="0" w:line="153" w:lineRule="exact"/>
              <w:rPr>
                <w:sz w:val="20"/>
                <w:szCs w:val="20"/>
                <w:color w:val="auto"/>
              </w:rPr>
            </w:pPr>
            <w:r>
              <w:rPr>
                <w:rFonts w:ascii="Arial" w:cs="Arial" w:eastAsia="Arial" w:hAnsi="Arial"/>
                <w:sz w:val="14"/>
                <w:szCs w:val="14"/>
                <w:color w:val="auto"/>
              </w:rPr>
              <w:t>Service Quality</w:t>
            </w:r>
          </w:p>
        </w:tc>
        <w:tc>
          <w:tcPr>
            <w:tcW w:w="1480" w:type="dxa"/>
            <w:vAlign w:val="bottom"/>
            <w:tcBorders>
              <w:bottom w:val="single" w:sz="8" w:color="auto"/>
            </w:tcBorders>
          </w:tcPr>
          <w:p>
            <w:pPr>
              <w:jc w:val="right"/>
              <w:ind w:right="149"/>
              <w:spacing w:after="0" w:line="153" w:lineRule="exact"/>
              <w:rPr>
                <w:sz w:val="20"/>
                <w:szCs w:val="20"/>
                <w:color w:val="auto"/>
              </w:rPr>
            </w:pPr>
            <w:r>
              <w:rPr>
                <w:rFonts w:ascii="Arial" w:cs="Arial" w:eastAsia="Arial" w:hAnsi="Arial"/>
                <w:sz w:val="14"/>
                <w:szCs w:val="14"/>
                <w:color w:val="auto"/>
              </w:rPr>
              <w:t>Individual Goals</w:t>
            </w:r>
          </w:p>
        </w:tc>
        <w:tc>
          <w:tcPr>
            <w:tcW w:w="12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Percent</w:t>
            </w:r>
          </w:p>
        </w:tc>
        <w:tc>
          <w:tcPr>
            <w:tcW w:w="220" w:type="dxa"/>
            <w:vAlign w:val="bottom"/>
          </w:tcPr>
          <w:p>
            <w:pPr>
              <w:spacing w:after="0"/>
              <w:rPr>
                <w:sz w:val="13"/>
                <w:szCs w:val="13"/>
                <w:color w:val="auto"/>
              </w:rPr>
            </w:pPr>
          </w:p>
        </w:tc>
      </w:tr>
      <w:tr>
        <w:trPr>
          <w:trHeight w:val="154"/>
        </w:trPr>
        <w:tc>
          <w:tcPr>
            <w:tcW w:w="3080" w:type="dxa"/>
            <w:vAlign w:val="bottom"/>
            <w:tcBorders>
              <w:bottom w:val="single" w:sz="8" w:color="666666"/>
            </w:tcBorders>
          </w:tcPr>
          <w:p>
            <w:pPr>
              <w:ind w:left="60"/>
              <w:spacing w:after="0" w:line="153" w:lineRule="exact"/>
              <w:rPr>
                <w:sz w:val="20"/>
                <w:szCs w:val="20"/>
                <w:color w:val="auto"/>
              </w:rPr>
            </w:pPr>
            <w:r>
              <w:rPr>
                <w:rFonts w:ascii="Arial" w:cs="Arial" w:eastAsia="Arial" w:hAnsi="Arial"/>
                <w:sz w:val="14"/>
                <w:szCs w:val="14"/>
                <w:color w:val="auto"/>
              </w:rPr>
              <w:t>McCollum</w:t>
            </w:r>
          </w:p>
        </w:tc>
        <w:tc>
          <w:tcPr>
            <w:tcW w:w="1340" w:type="dxa"/>
            <w:vAlign w:val="bottom"/>
            <w:tcBorders>
              <w:bottom w:val="single" w:sz="8" w:color="666666"/>
            </w:tcBorders>
          </w:tcPr>
          <w:p>
            <w:pPr>
              <w:jc w:val="right"/>
              <w:ind w:right="389"/>
              <w:spacing w:after="0" w:line="153" w:lineRule="exact"/>
              <w:rPr>
                <w:sz w:val="20"/>
                <w:szCs w:val="20"/>
                <w:color w:val="auto"/>
              </w:rPr>
            </w:pPr>
            <w:r>
              <w:rPr>
                <w:rFonts w:ascii="Arial" w:cs="Arial" w:eastAsia="Arial" w:hAnsi="Arial"/>
                <w:sz w:val="14"/>
                <w:szCs w:val="14"/>
                <w:color w:val="auto"/>
              </w:rPr>
              <w:t>15.6%</w:t>
            </w:r>
          </w:p>
        </w:tc>
        <w:tc>
          <w:tcPr>
            <w:tcW w:w="2060" w:type="dxa"/>
            <w:vAlign w:val="bottom"/>
            <w:tcBorders>
              <w:bottom w:val="single" w:sz="8" w:color="666666"/>
            </w:tcBorders>
          </w:tcPr>
          <w:p>
            <w:pPr>
              <w:jc w:val="right"/>
              <w:ind w:right="189"/>
              <w:spacing w:after="0" w:line="153" w:lineRule="exact"/>
              <w:rPr>
                <w:sz w:val="20"/>
                <w:szCs w:val="20"/>
                <w:color w:val="auto"/>
              </w:rPr>
            </w:pPr>
            <w:r>
              <w:rPr>
                <w:rFonts w:ascii="Arial" w:cs="Arial" w:eastAsia="Arial" w:hAnsi="Arial"/>
                <w:sz w:val="14"/>
                <w:szCs w:val="14"/>
                <w:color w:val="auto"/>
              </w:rPr>
              <w:t>9%</w:t>
            </w:r>
          </w:p>
        </w:tc>
        <w:tc>
          <w:tcPr>
            <w:tcW w:w="1440" w:type="dxa"/>
            <w:vAlign w:val="bottom"/>
            <w:tcBorders>
              <w:bottom w:val="single" w:sz="8" w:color="666666"/>
            </w:tcBorders>
          </w:tcPr>
          <w:p>
            <w:pPr>
              <w:jc w:val="right"/>
              <w:ind w:right="149"/>
              <w:spacing w:after="0" w:line="153" w:lineRule="exact"/>
              <w:rPr>
                <w:sz w:val="20"/>
                <w:szCs w:val="20"/>
                <w:color w:val="auto"/>
              </w:rPr>
            </w:pPr>
            <w:r>
              <w:rPr>
                <w:rFonts w:ascii="Arial" w:cs="Arial" w:eastAsia="Arial" w:hAnsi="Arial"/>
                <w:sz w:val="14"/>
                <w:szCs w:val="14"/>
                <w:color w:val="auto"/>
              </w:rPr>
              <w:t>16%</w:t>
            </w:r>
          </w:p>
        </w:tc>
        <w:tc>
          <w:tcPr>
            <w:tcW w:w="1480" w:type="dxa"/>
            <w:vAlign w:val="bottom"/>
            <w:tcBorders>
              <w:bottom w:val="single" w:sz="8" w:color="666666"/>
            </w:tcBorders>
          </w:tcPr>
          <w:p>
            <w:pPr>
              <w:jc w:val="right"/>
              <w:ind w:right="149"/>
              <w:spacing w:after="0" w:line="153" w:lineRule="exact"/>
              <w:rPr>
                <w:sz w:val="20"/>
                <w:szCs w:val="20"/>
                <w:color w:val="auto"/>
              </w:rPr>
            </w:pPr>
            <w:r>
              <w:rPr>
                <w:rFonts w:ascii="Arial" w:cs="Arial" w:eastAsia="Arial" w:hAnsi="Arial"/>
                <w:sz w:val="14"/>
                <w:szCs w:val="14"/>
                <w:color w:val="auto"/>
              </w:rPr>
              <w:t>N/A</w:t>
            </w:r>
          </w:p>
        </w:tc>
        <w:tc>
          <w:tcPr>
            <w:tcW w:w="1480" w:type="dxa"/>
            <w:vAlign w:val="bottom"/>
            <w:tcBorders>
              <w:bottom w:val="single" w:sz="8" w:color="666666"/>
            </w:tcBorders>
            <w:gridSpan w:val="2"/>
          </w:tcPr>
          <w:p>
            <w:pPr>
              <w:jc w:val="right"/>
              <w:ind w:right="220"/>
              <w:spacing w:after="0" w:line="153" w:lineRule="exact"/>
              <w:rPr>
                <w:sz w:val="20"/>
                <w:szCs w:val="20"/>
                <w:color w:val="auto"/>
              </w:rPr>
            </w:pPr>
            <w:r>
              <w:rPr>
                <w:rFonts w:ascii="Arial" w:cs="Arial" w:eastAsia="Arial" w:hAnsi="Arial"/>
                <w:sz w:val="14"/>
                <w:szCs w:val="14"/>
                <w:color w:val="auto"/>
              </w:rPr>
              <w:t>40.6%(a)</w:t>
            </w:r>
          </w:p>
        </w:tc>
      </w:tr>
      <w:tr>
        <w:trPr>
          <w:trHeight w:val="154"/>
        </w:trPr>
        <w:tc>
          <w:tcPr>
            <w:tcW w:w="3080" w:type="dxa"/>
            <w:vAlign w:val="bottom"/>
            <w:tcBorders>
              <w:bottom w:val="single" w:sz="8" w:color="666666"/>
            </w:tcBorders>
          </w:tcPr>
          <w:p>
            <w:pPr>
              <w:ind w:left="60"/>
              <w:spacing w:after="0" w:line="153" w:lineRule="exact"/>
              <w:rPr>
                <w:sz w:val="20"/>
                <w:szCs w:val="20"/>
                <w:color w:val="auto"/>
              </w:rPr>
            </w:pPr>
            <w:r>
              <w:rPr>
                <w:rFonts w:ascii="Arial" w:cs="Arial" w:eastAsia="Arial" w:hAnsi="Arial"/>
                <w:sz w:val="14"/>
                <w:szCs w:val="14"/>
                <w:color w:val="auto"/>
              </w:rPr>
              <w:t>Bausch</w:t>
            </w:r>
          </w:p>
        </w:tc>
        <w:tc>
          <w:tcPr>
            <w:tcW w:w="1340" w:type="dxa"/>
            <w:vAlign w:val="bottom"/>
            <w:tcBorders>
              <w:bottom w:val="single" w:sz="8" w:color="666666"/>
            </w:tcBorders>
          </w:tcPr>
          <w:p>
            <w:pPr>
              <w:jc w:val="right"/>
              <w:ind w:right="389"/>
              <w:spacing w:after="0" w:line="153" w:lineRule="exact"/>
              <w:rPr>
                <w:sz w:val="20"/>
                <w:szCs w:val="20"/>
                <w:color w:val="auto"/>
              </w:rPr>
            </w:pPr>
            <w:r>
              <w:rPr>
                <w:rFonts w:ascii="Arial" w:cs="Arial" w:eastAsia="Arial" w:hAnsi="Arial"/>
                <w:sz w:val="14"/>
                <w:szCs w:val="14"/>
                <w:color w:val="auto"/>
              </w:rPr>
              <w:t>13%</w:t>
            </w:r>
          </w:p>
        </w:tc>
        <w:tc>
          <w:tcPr>
            <w:tcW w:w="2060" w:type="dxa"/>
            <w:vAlign w:val="bottom"/>
            <w:tcBorders>
              <w:bottom w:val="single" w:sz="8" w:color="666666"/>
            </w:tcBorders>
          </w:tcPr>
          <w:p>
            <w:pPr>
              <w:jc w:val="right"/>
              <w:ind w:right="189"/>
              <w:spacing w:after="0" w:line="153" w:lineRule="exact"/>
              <w:rPr>
                <w:sz w:val="20"/>
                <w:szCs w:val="20"/>
                <w:color w:val="auto"/>
              </w:rPr>
            </w:pPr>
            <w:r>
              <w:rPr>
                <w:rFonts w:ascii="Arial" w:cs="Arial" w:eastAsia="Arial" w:hAnsi="Arial"/>
                <w:sz w:val="14"/>
                <w:szCs w:val="14"/>
                <w:color w:val="auto"/>
              </w:rPr>
              <w:t>7.5%</w:t>
            </w:r>
          </w:p>
        </w:tc>
        <w:tc>
          <w:tcPr>
            <w:tcW w:w="1440" w:type="dxa"/>
            <w:vAlign w:val="bottom"/>
            <w:tcBorders>
              <w:bottom w:val="single" w:sz="8" w:color="666666"/>
            </w:tcBorders>
          </w:tcPr>
          <w:p>
            <w:pPr>
              <w:jc w:val="right"/>
              <w:ind w:right="149"/>
              <w:spacing w:after="0" w:line="153" w:lineRule="exact"/>
              <w:rPr>
                <w:sz w:val="20"/>
                <w:szCs w:val="20"/>
                <w:color w:val="auto"/>
              </w:rPr>
            </w:pPr>
            <w:r>
              <w:rPr>
                <w:rFonts w:ascii="Arial" w:cs="Arial" w:eastAsia="Arial" w:hAnsi="Arial"/>
                <w:sz w:val="14"/>
                <w:szCs w:val="14"/>
                <w:color w:val="auto"/>
              </w:rPr>
              <w:t>N/A</w:t>
            </w:r>
          </w:p>
        </w:tc>
        <w:tc>
          <w:tcPr>
            <w:tcW w:w="1480" w:type="dxa"/>
            <w:vAlign w:val="bottom"/>
            <w:tcBorders>
              <w:bottom w:val="single" w:sz="8" w:color="666666"/>
            </w:tcBorders>
          </w:tcPr>
          <w:p>
            <w:pPr>
              <w:jc w:val="right"/>
              <w:ind w:right="149"/>
              <w:spacing w:after="0" w:line="153" w:lineRule="exact"/>
              <w:rPr>
                <w:sz w:val="20"/>
                <w:szCs w:val="20"/>
                <w:color w:val="auto"/>
              </w:rPr>
            </w:pPr>
            <w:r>
              <w:rPr>
                <w:rFonts w:ascii="Arial" w:cs="Arial" w:eastAsia="Arial" w:hAnsi="Arial"/>
                <w:sz w:val="14"/>
                <w:szCs w:val="14"/>
                <w:color w:val="auto"/>
              </w:rPr>
              <w:t>20%</w:t>
            </w:r>
          </w:p>
        </w:tc>
        <w:tc>
          <w:tcPr>
            <w:tcW w:w="126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40.5%</w:t>
            </w:r>
          </w:p>
        </w:tc>
        <w:tc>
          <w:tcPr>
            <w:tcW w:w="220" w:type="dxa"/>
            <w:vAlign w:val="bottom"/>
            <w:tcBorders>
              <w:bottom w:val="single" w:sz="8" w:color="666666"/>
            </w:tcBorders>
          </w:tcPr>
          <w:p>
            <w:pPr>
              <w:spacing w:after="0"/>
              <w:rPr>
                <w:sz w:val="13"/>
                <w:szCs w:val="13"/>
                <w:color w:val="auto"/>
              </w:rPr>
            </w:pPr>
          </w:p>
        </w:tc>
      </w:tr>
      <w:tr>
        <w:trPr>
          <w:trHeight w:val="154"/>
        </w:trPr>
        <w:tc>
          <w:tcPr>
            <w:tcW w:w="3080" w:type="dxa"/>
            <w:vAlign w:val="bottom"/>
            <w:tcBorders>
              <w:bottom w:val="single" w:sz="8" w:color="666666"/>
            </w:tcBorders>
          </w:tcPr>
          <w:p>
            <w:pPr>
              <w:ind w:left="60"/>
              <w:spacing w:after="0" w:line="153" w:lineRule="exact"/>
              <w:rPr>
                <w:sz w:val="20"/>
                <w:szCs w:val="20"/>
                <w:color w:val="auto"/>
              </w:rPr>
            </w:pPr>
            <w:r>
              <w:rPr>
                <w:rFonts w:ascii="Arial" w:cs="Arial" w:eastAsia="Arial" w:hAnsi="Arial"/>
                <w:sz w:val="14"/>
                <w:szCs w:val="14"/>
                <w:color w:val="auto"/>
              </w:rPr>
              <w:t>Ibrahim</w:t>
            </w:r>
          </w:p>
        </w:tc>
        <w:tc>
          <w:tcPr>
            <w:tcW w:w="1340" w:type="dxa"/>
            <w:vAlign w:val="bottom"/>
            <w:tcBorders>
              <w:bottom w:val="single" w:sz="8" w:color="666666"/>
            </w:tcBorders>
          </w:tcPr>
          <w:p>
            <w:pPr>
              <w:jc w:val="right"/>
              <w:ind w:right="389"/>
              <w:spacing w:after="0" w:line="153" w:lineRule="exact"/>
              <w:rPr>
                <w:sz w:val="20"/>
                <w:szCs w:val="20"/>
                <w:color w:val="auto"/>
              </w:rPr>
            </w:pPr>
            <w:r>
              <w:rPr>
                <w:rFonts w:ascii="Arial" w:cs="Arial" w:eastAsia="Arial" w:hAnsi="Arial"/>
                <w:sz w:val="14"/>
                <w:szCs w:val="14"/>
                <w:color w:val="auto"/>
              </w:rPr>
              <w:t>13%</w:t>
            </w:r>
          </w:p>
        </w:tc>
        <w:tc>
          <w:tcPr>
            <w:tcW w:w="2060" w:type="dxa"/>
            <w:vAlign w:val="bottom"/>
            <w:tcBorders>
              <w:bottom w:val="single" w:sz="8" w:color="666666"/>
            </w:tcBorders>
          </w:tcPr>
          <w:p>
            <w:pPr>
              <w:jc w:val="right"/>
              <w:ind w:right="189"/>
              <w:spacing w:after="0" w:line="153" w:lineRule="exact"/>
              <w:rPr>
                <w:sz w:val="20"/>
                <w:szCs w:val="20"/>
                <w:color w:val="auto"/>
              </w:rPr>
            </w:pPr>
            <w:r>
              <w:rPr>
                <w:rFonts w:ascii="Arial" w:cs="Arial" w:eastAsia="Arial" w:hAnsi="Arial"/>
                <w:sz w:val="14"/>
                <w:szCs w:val="14"/>
                <w:color w:val="auto"/>
              </w:rPr>
              <w:t>7.5%</w:t>
            </w:r>
          </w:p>
        </w:tc>
        <w:tc>
          <w:tcPr>
            <w:tcW w:w="1440" w:type="dxa"/>
            <w:vAlign w:val="bottom"/>
            <w:tcBorders>
              <w:bottom w:val="single" w:sz="8" w:color="666666"/>
            </w:tcBorders>
          </w:tcPr>
          <w:p>
            <w:pPr>
              <w:jc w:val="right"/>
              <w:ind w:right="149"/>
              <w:spacing w:after="0" w:line="153" w:lineRule="exact"/>
              <w:rPr>
                <w:sz w:val="20"/>
                <w:szCs w:val="20"/>
                <w:color w:val="auto"/>
              </w:rPr>
            </w:pPr>
            <w:r>
              <w:rPr>
                <w:rFonts w:ascii="Arial" w:cs="Arial" w:eastAsia="Arial" w:hAnsi="Arial"/>
                <w:sz w:val="14"/>
                <w:szCs w:val="14"/>
                <w:color w:val="auto"/>
              </w:rPr>
              <w:t>N/A</w:t>
            </w:r>
          </w:p>
        </w:tc>
        <w:tc>
          <w:tcPr>
            <w:tcW w:w="1480" w:type="dxa"/>
            <w:vAlign w:val="bottom"/>
            <w:tcBorders>
              <w:bottom w:val="single" w:sz="8" w:color="666666"/>
            </w:tcBorders>
          </w:tcPr>
          <w:p>
            <w:pPr>
              <w:jc w:val="right"/>
              <w:ind w:right="149"/>
              <w:spacing w:after="0" w:line="153" w:lineRule="exact"/>
              <w:rPr>
                <w:sz w:val="20"/>
                <w:szCs w:val="20"/>
                <w:color w:val="auto"/>
              </w:rPr>
            </w:pPr>
            <w:r>
              <w:rPr>
                <w:rFonts w:ascii="Arial" w:cs="Arial" w:eastAsia="Arial" w:hAnsi="Arial"/>
                <w:sz w:val="14"/>
                <w:szCs w:val="14"/>
                <w:color w:val="auto"/>
              </w:rPr>
              <w:t>37.5%</w:t>
            </w:r>
          </w:p>
        </w:tc>
        <w:tc>
          <w:tcPr>
            <w:tcW w:w="126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58%</w:t>
            </w:r>
          </w:p>
        </w:tc>
        <w:tc>
          <w:tcPr>
            <w:tcW w:w="220" w:type="dxa"/>
            <w:vAlign w:val="bottom"/>
            <w:tcBorders>
              <w:bottom w:val="single" w:sz="8" w:color="666666"/>
            </w:tcBorders>
          </w:tcPr>
          <w:p>
            <w:pPr>
              <w:spacing w:after="0"/>
              <w:rPr>
                <w:sz w:val="13"/>
                <w:szCs w:val="13"/>
                <w:color w:val="auto"/>
              </w:rPr>
            </w:pPr>
          </w:p>
        </w:tc>
      </w:tr>
      <w:tr>
        <w:trPr>
          <w:trHeight w:val="154"/>
        </w:trPr>
        <w:tc>
          <w:tcPr>
            <w:tcW w:w="3080" w:type="dxa"/>
            <w:vAlign w:val="bottom"/>
            <w:tcBorders>
              <w:bottom w:val="single" w:sz="8" w:color="666666"/>
            </w:tcBorders>
          </w:tcPr>
          <w:p>
            <w:pPr>
              <w:ind w:left="60"/>
              <w:spacing w:after="0" w:line="153" w:lineRule="exact"/>
              <w:rPr>
                <w:sz w:val="20"/>
                <w:szCs w:val="20"/>
                <w:color w:val="auto"/>
              </w:rPr>
            </w:pPr>
            <w:r>
              <w:rPr>
                <w:rFonts w:ascii="Arial" w:cs="Arial" w:eastAsia="Arial" w:hAnsi="Arial"/>
                <w:sz w:val="14"/>
                <w:szCs w:val="14"/>
                <w:color w:val="auto"/>
              </w:rPr>
              <w:t>Blanchard</w:t>
            </w:r>
          </w:p>
        </w:tc>
        <w:tc>
          <w:tcPr>
            <w:tcW w:w="1340" w:type="dxa"/>
            <w:vAlign w:val="bottom"/>
            <w:tcBorders>
              <w:bottom w:val="single" w:sz="8" w:color="666666"/>
            </w:tcBorders>
          </w:tcPr>
          <w:p>
            <w:pPr>
              <w:jc w:val="right"/>
              <w:ind w:right="389"/>
              <w:spacing w:after="0" w:line="153" w:lineRule="exact"/>
              <w:rPr>
                <w:sz w:val="20"/>
                <w:szCs w:val="20"/>
                <w:color w:val="auto"/>
              </w:rPr>
            </w:pPr>
            <w:r>
              <w:rPr>
                <w:rFonts w:ascii="Arial" w:cs="Arial" w:eastAsia="Arial" w:hAnsi="Arial"/>
                <w:sz w:val="14"/>
                <w:szCs w:val="14"/>
                <w:color w:val="auto"/>
              </w:rPr>
              <w:t>13%</w:t>
            </w:r>
          </w:p>
        </w:tc>
        <w:tc>
          <w:tcPr>
            <w:tcW w:w="2060" w:type="dxa"/>
            <w:vAlign w:val="bottom"/>
            <w:tcBorders>
              <w:bottom w:val="single" w:sz="8" w:color="666666"/>
            </w:tcBorders>
          </w:tcPr>
          <w:p>
            <w:pPr>
              <w:jc w:val="right"/>
              <w:ind w:right="189"/>
              <w:spacing w:after="0" w:line="153" w:lineRule="exact"/>
              <w:rPr>
                <w:sz w:val="20"/>
                <w:szCs w:val="20"/>
                <w:color w:val="auto"/>
              </w:rPr>
            </w:pPr>
            <w:r>
              <w:rPr>
                <w:rFonts w:ascii="Arial" w:cs="Arial" w:eastAsia="Arial" w:hAnsi="Arial"/>
                <w:sz w:val="14"/>
                <w:szCs w:val="14"/>
                <w:color w:val="auto"/>
              </w:rPr>
              <w:t>7.5%</w:t>
            </w:r>
          </w:p>
        </w:tc>
        <w:tc>
          <w:tcPr>
            <w:tcW w:w="1440" w:type="dxa"/>
            <w:vAlign w:val="bottom"/>
            <w:tcBorders>
              <w:bottom w:val="single" w:sz="8" w:color="666666"/>
            </w:tcBorders>
          </w:tcPr>
          <w:p>
            <w:pPr>
              <w:jc w:val="right"/>
              <w:ind w:right="149"/>
              <w:spacing w:after="0" w:line="153" w:lineRule="exact"/>
              <w:rPr>
                <w:sz w:val="20"/>
                <w:szCs w:val="20"/>
                <w:color w:val="auto"/>
              </w:rPr>
            </w:pPr>
            <w:r>
              <w:rPr>
                <w:rFonts w:ascii="Arial" w:cs="Arial" w:eastAsia="Arial" w:hAnsi="Arial"/>
                <w:sz w:val="14"/>
                <w:szCs w:val="14"/>
                <w:color w:val="auto"/>
              </w:rPr>
              <w:t>13.3%</w:t>
            </w:r>
          </w:p>
        </w:tc>
        <w:tc>
          <w:tcPr>
            <w:tcW w:w="1480" w:type="dxa"/>
            <w:vAlign w:val="bottom"/>
            <w:tcBorders>
              <w:bottom w:val="single" w:sz="8" w:color="666666"/>
            </w:tcBorders>
          </w:tcPr>
          <w:p>
            <w:pPr>
              <w:jc w:val="right"/>
              <w:ind w:right="149"/>
              <w:spacing w:after="0" w:line="153" w:lineRule="exact"/>
              <w:rPr>
                <w:sz w:val="20"/>
                <w:szCs w:val="20"/>
                <w:color w:val="auto"/>
              </w:rPr>
            </w:pPr>
            <w:r>
              <w:rPr>
                <w:rFonts w:ascii="Arial" w:cs="Arial" w:eastAsia="Arial" w:hAnsi="Arial"/>
                <w:sz w:val="14"/>
                <w:szCs w:val="14"/>
                <w:color w:val="auto"/>
              </w:rPr>
              <w:t>N/A</w:t>
            </w:r>
          </w:p>
        </w:tc>
        <w:tc>
          <w:tcPr>
            <w:tcW w:w="1480" w:type="dxa"/>
            <w:vAlign w:val="bottom"/>
            <w:tcBorders>
              <w:bottom w:val="single" w:sz="8" w:color="666666"/>
            </w:tcBorders>
            <w:gridSpan w:val="2"/>
          </w:tcPr>
          <w:p>
            <w:pPr>
              <w:jc w:val="right"/>
              <w:ind w:right="220"/>
              <w:spacing w:after="0" w:line="153" w:lineRule="exact"/>
              <w:rPr>
                <w:sz w:val="20"/>
                <w:szCs w:val="20"/>
                <w:color w:val="auto"/>
              </w:rPr>
            </w:pPr>
            <w:r>
              <w:rPr>
                <w:rFonts w:ascii="Arial" w:cs="Arial" w:eastAsia="Arial" w:hAnsi="Arial"/>
                <w:sz w:val="14"/>
                <w:szCs w:val="14"/>
                <w:color w:val="auto"/>
              </w:rPr>
              <w:t>33.8%(a)</w:t>
            </w:r>
          </w:p>
        </w:tc>
      </w:tr>
      <w:tr>
        <w:trPr>
          <w:trHeight w:val="154"/>
        </w:trPr>
        <w:tc>
          <w:tcPr>
            <w:tcW w:w="3080" w:type="dxa"/>
            <w:vAlign w:val="bottom"/>
            <w:tcBorders>
              <w:bottom w:val="single" w:sz="8" w:color="auto"/>
            </w:tcBorders>
          </w:tcPr>
          <w:p>
            <w:pPr>
              <w:ind w:left="60"/>
              <w:spacing w:after="0" w:line="153" w:lineRule="exact"/>
              <w:rPr>
                <w:sz w:val="20"/>
                <w:szCs w:val="20"/>
                <w:color w:val="auto"/>
              </w:rPr>
            </w:pPr>
            <w:r>
              <w:rPr>
                <w:rFonts w:ascii="Arial" w:cs="Arial" w:eastAsia="Arial" w:hAnsi="Arial"/>
                <w:sz w:val="14"/>
                <w:szCs w:val="14"/>
                <w:color w:val="auto"/>
              </w:rPr>
              <w:t>Mills</w:t>
            </w:r>
          </w:p>
        </w:tc>
        <w:tc>
          <w:tcPr>
            <w:tcW w:w="1340" w:type="dxa"/>
            <w:vAlign w:val="bottom"/>
            <w:tcBorders>
              <w:bottom w:val="single" w:sz="8" w:color="auto"/>
            </w:tcBorders>
          </w:tcPr>
          <w:p>
            <w:pPr>
              <w:jc w:val="right"/>
              <w:ind w:right="389"/>
              <w:spacing w:after="0" w:line="153" w:lineRule="exact"/>
              <w:rPr>
                <w:sz w:val="20"/>
                <w:szCs w:val="20"/>
                <w:color w:val="auto"/>
              </w:rPr>
            </w:pPr>
            <w:r>
              <w:rPr>
                <w:rFonts w:ascii="Arial" w:cs="Arial" w:eastAsia="Arial" w:hAnsi="Arial"/>
                <w:sz w:val="14"/>
                <w:szCs w:val="14"/>
                <w:color w:val="auto"/>
              </w:rPr>
              <w:t>9.7%</w:t>
            </w:r>
          </w:p>
        </w:tc>
        <w:tc>
          <w:tcPr>
            <w:tcW w:w="2060" w:type="dxa"/>
            <w:vAlign w:val="bottom"/>
            <w:tcBorders>
              <w:bottom w:val="single" w:sz="8" w:color="auto"/>
            </w:tcBorders>
          </w:tcPr>
          <w:p>
            <w:pPr>
              <w:jc w:val="right"/>
              <w:ind w:right="189"/>
              <w:spacing w:after="0" w:line="153" w:lineRule="exact"/>
              <w:rPr>
                <w:sz w:val="20"/>
                <w:szCs w:val="20"/>
                <w:color w:val="auto"/>
              </w:rPr>
            </w:pPr>
            <w:r>
              <w:rPr>
                <w:rFonts w:ascii="Arial" w:cs="Arial" w:eastAsia="Arial" w:hAnsi="Arial"/>
                <w:sz w:val="14"/>
                <w:szCs w:val="14"/>
                <w:color w:val="auto"/>
              </w:rPr>
              <w:t>4.7%</w:t>
            </w:r>
          </w:p>
        </w:tc>
        <w:tc>
          <w:tcPr>
            <w:tcW w:w="1440" w:type="dxa"/>
            <w:vAlign w:val="bottom"/>
            <w:tcBorders>
              <w:bottom w:val="single" w:sz="8" w:color="auto"/>
            </w:tcBorders>
          </w:tcPr>
          <w:p>
            <w:pPr>
              <w:jc w:val="right"/>
              <w:ind w:right="149"/>
              <w:spacing w:after="0" w:line="153" w:lineRule="exact"/>
              <w:rPr>
                <w:sz w:val="20"/>
                <w:szCs w:val="20"/>
                <w:color w:val="auto"/>
              </w:rPr>
            </w:pPr>
            <w:r>
              <w:rPr>
                <w:rFonts w:ascii="Arial" w:cs="Arial" w:eastAsia="Arial" w:hAnsi="Arial"/>
                <w:sz w:val="14"/>
                <w:szCs w:val="14"/>
                <w:color w:val="auto"/>
              </w:rPr>
              <w:t>N/A</w:t>
            </w:r>
          </w:p>
        </w:tc>
        <w:tc>
          <w:tcPr>
            <w:tcW w:w="1480" w:type="dxa"/>
            <w:vAlign w:val="bottom"/>
            <w:tcBorders>
              <w:bottom w:val="single" w:sz="8" w:color="auto"/>
            </w:tcBorders>
          </w:tcPr>
          <w:p>
            <w:pPr>
              <w:jc w:val="right"/>
              <w:ind w:right="149"/>
              <w:spacing w:after="0" w:line="153" w:lineRule="exact"/>
              <w:rPr>
                <w:sz w:val="20"/>
                <w:szCs w:val="20"/>
                <w:color w:val="auto"/>
              </w:rPr>
            </w:pPr>
            <w:r>
              <w:rPr>
                <w:rFonts w:ascii="Arial" w:cs="Arial" w:eastAsia="Arial" w:hAnsi="Arial"/>
                <w:sz w:val="14"/>
                <w:szCs w:val="14"/>
                <w:color w:val="auto"/>
              </w:rPr>
              <w:t>23%</w:t>
            </w:r>
          </w:p>
        </w:tc>
        <w:tc>
          <w:tcPr>
            <w:tcW w:w="12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37.4%</w:t>
            </w:r>
          </w:p>
        </w:tc>
        <w:tc>
          <w:tcPr>
            <w:tcW w:w="220" w:type="dxa"/>
            <w:vAlign w:val="bottom"/>
            <w:tcBorders>
              <w:bottom w:val="single" w:sz="8" w:color="auto"/>
            </w:tcBorders>
          </w:tcPr>
          <w:p>
            <w:pPr>
              <w:spacing w:after="0"/>
              <w:rPr>
                <w:sz w:val="13"/>
                <w:szCs w:val="13"/>
                <w:color w:val="auto"/>
              </w:rPr>
            </w:pPr>
          </w:p>
        </w:tc>
      </w:tr>
    </w:tbl>
    <w:p>
      <w:pPr>
        <w:spacing w:after="0" w:line="4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 As per the terms of the EICP plan, the amounts paid were prorated to reflect the date the executives joined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233680</wp:posOffset>
            </wp:positionV>
            <wp:extent cx="822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362" w:lineRule="exact"/>
        <w:rPr>
          <w:sz w:val="20"/>
          <w:szCs w:val="20"/>
          <w:color w:val="auto"/>
        </w:rPr>
      </w:pPr>
    </w:p>
    <w:p>
      <w:pPr>
        <w:ind w:left="260"/>
        <w:spacing w:after="0"/>
        <w:rPr>
          <w:sz w:val="20"/>
          <w:szCs w:val="20"/>
          <w:color w:val="auto"/>
        </w:rPr>
      </w:pPr>
      <w:r>
        <w:rPr>
          <w:rFonts w:ascii="Arial" w:cs="Arial" w:eastAsia="Arial" w:hAnsi="Arial"/>
          <w:sz w:val="28"/>
          <w:szCs w:val="28"/>
          <w:b w:val="1"/>
          <w:bCs w:val="1"/>
          <w:color w:val="C3002F"/>
        </w:rPr>
        <w:t>OTHER INFORMATION</w:t>
      </w:r>
    </w:p>
    <w:p>
      <w:pPr>
        <w:spacing w:after="0" w:line="252" w:lineRule="exact"/>
        <w:rPr>
          <w:sz w:val="20"/>
          <w:szCs w:val="20"/>
          <w:color w:val="auto"/>
        </w:rPr>
      </w:pPr>
    </w:p>
    <w:p>
      <w:pPr>
        <w:ind w:left="260" w:right="40"/>
        <w:spacing w:after="0" w:line="259" w:lineRule="auto"/>
        <w:rPr>
          <w:sz w:val="20"/>
          <w:szCs w:val="20"/>
          <w:color w:val="auto"/>
        </w:rPr>
      </w:pPr>
      <w:r>
        <w:rPr>
          <w:rFonts w:ascii="Arial" w:cs="Arial" w:eastAsia="Arial" w:hAnsi="Arial"/>
          <w:sz w:val="14"/>
          <w:szCs w:val="14"/>
          <w:b w:val="1"/>
          <w:bCs w:val="1"/>
          <w:color w:val="auto"/>
        </w:rPr>
        <w:t>Payment Timing</w:t>
      </w:r>
      <w:r>
        <w:rPr>
          <w:rFonts w:ascii="Arial" w:cs="Arial" w:eastAsia="Arial" w:hAnsi="Arial"/>
          <w:sz w:val="14"/>
          <w:szCs w:val="14"/>
          <w:color w:val="auto"/>
        </w:rPr>
        <w:t>. Cash award payments under the EICP were made in February 2018 after the public release of our year-end financial results and after determination of the</w:t>
      </w:r>
      <w:r>
        <w:rPr>
          <w:rFonts w:ascii="Arial" w:cs="Arial" w:eastAsia="Arial" w:hAnsi="Arial"/>
          <w:sz w:val="14"/>
          <w:szCs w:val="14"/>
          <w:b w:val="1"/>
          <w:bCs w:val="1"/>
          <w:color w:val="auto"/>
        </w:rPr>
        <w:t xml:space="preserve"> </w:t>
      </w:r>
      <w:r>
        <w:rPr>
          <w:rFonts w:ascii="Arial" w:cs="Arial" w:eastAsia="Arial" w:hAnsi="Arial"/>
          <w:sz w:val="14"/>
          <w:szCs w:val="14"/>
          <w:color w:val="auto"/>
        </w:rPr>
        <w:t>award payments by the Committee. No award payment is made until the calculation of the payment award is approved by the Committee. Plan awards earned for a given year generally are paid in February or March of the following year. Awards are paid in cash in the currency in which the NEO is ordinarily paid.</w:t>
      </w:r>
    </w:p>
    <w:p>
      <w:pPr>
        <w:spacing w:after="0" w:line="133" w:lineRule="exact"/>
        <w:rPr>
          <w:sz w:val="20"/>
          <w:szCs w:val="20"/>
          <w:color w:val="auto"/>
        </w:rPr>
      </w:pPr>
    </w:p>
    <w:p>
      <w:pPr>
        <w:ind w:left="260" w:right="120"/>
        <w:spacing w:after="0" w:line="249" w:lineRule="auto"/>
        <w:rPr>
          <w:sz w:val="20"/>
          <w:szCs w:val="20"/>
          <w:color w:val="auto"/>
        </w:rPr>
      </w:pPr>
      <w:r>
        <w:rPr>
          <w:rFonts w:ascii="Arial" w:cs="Arial" w:eastAsia="Arial" w:hAnsi="Arial"/>
          <w:sz w:val="14"/>
          <w:szCs w:val="14"/>
          <w:b w:val="1"/>
          <w:bCs w:val="1"/>
          <w:color w:val="auto"/>
        </w:rPr>
        <w:t>Adjustments</w:t>
      </w:r>
      <w:r>
        <w:rPr>
          <w:rFonts w:ascii="Arial" w:cs="Arial" w:eastAsia="Arial" w:hAnsi="Arial"/>
          <w:sz w:val="14"/>
          <w:szCs w:val="14"/>
          <w:color w:val="auto"/>
        </w:rPr>
        <w:t>. In the event of unforeseen developments, the Committee may determine that modifying the EICP, the goals or the potential award payments would provide</w:t>
      </w:r>
      <w:r>
        <w:rPr>
          <w:rFonts w:ascii="Arial" w:cs="Arial" w:eastAsia="Arial" w:hAnsi="Arial"/>
          <w:sz w:val="14"/>
          <w:szCs w:val="14"/>
          <w:b w:val="1"/>
          <w:bCs w:val="1"/>
          <w:color w:val="auto"/>
        </w:rPr>
        <w:t xml:space="preserve"> </w:t>
      </w:r>
      <w:r>
        <w:rPr>
          <w:rFonts w:ascii="Arial" w:cs="Arial" w:eastAsia="Arial" w:hAnsi="Arial"/>
          <w:sz w:val="14"/>
          <w:szCs w:val="14"/>
          <w:color w:val="auto"/>
        </w:rPr>
        <w:t>more appropriate incentives for executives. The Committee does not intend to exercise this discretion except in extraordinary circumstances and exercised this discretion only once in 2017 as described under “Revenue” above. The Committee has reserved this right, in its sole discretion, to adjust the performance goals under the EICP to reflect: (1) a change in the business, operations, corporate or capital structure; (2) a change in the manner in which business is conducted; or (3) any other material change or event which will impact one or more performance goals in a manner the Committee did not intend, as was the case for the revenue adjustment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97155</wp:posOffset>
            </wp:positionV>
            <wp:extent cx="69176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38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2018 Proxy Statement</w:t>
      </w:r>
      <w:r>
        <w:rPr>
          <w:sz w:val="20"/>
          <w:szCs w:val="20"/>
          <w:color w:val="auto"/>
        </w:rPr>
        <w:tab/>
      </w:r>
      <w:r>
        <w:rPr>
          <w:rFonts w:ascii="Arial" w:cs="Arial" w:eastAsia="Arial" w:hAnsi="Arial"/>
          <w:sz w:val="14"/>
          <w:szCs w:val="14"/>
          <w:b w:val="1"/>
          <w:bCs w:val="1"/>
          <w:color w:val="666666"/>
        </w:rPr>
        <w:t>29</w:t>
      </w:r>
    </w:p>
    <w:p>
      <w:pPr>
        <w:sectPr>
          <w:pgSz w:w="11900" w:h="16838" w:orient="portrait"/>
          <w:cols w:equalWidth="0" w:num="1">
            <w:col w:w="11160"/>
          </w:cols>
          <w:pgMar w:left="240" w:top="455"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0" w:lineRule="exact"/>
        <w:rPr>
          <w:sz w:val="20"/>
          <w:szCs w:val="20"/>
          <w:color w:val="auto"/>
        </w:rPr>
      </w:pPr>
    </w:p>
    <w:p>
      <w:pPr>
        <w:spacing w:after="0" w:line="333"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LONG-TERM EQUITY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200"/>
        <w:spacing w:after="0" w:line="243" w:lineRule="auto"/>
        <w:rPr>
          <w:sz w:val="20"/>
          <w:szCs w:val="20"/>
          <w:color w:val="auto"/>
        </w:rPr>
      </w:pPr>
      <w:r>
        <w:rPr>
          <w:rFonts w:ascii="Arial" w:cs="Arial" w:eastAsia="Arial" w:hAnsi="Arial"/>
          <w:sz w:val="14"/>
          <w:szCs w:val="14"/>
          <w:color w:val="auto"/>
        </w:rPr>
        <w:t>Long-term equity incentives are designed to motivate management to enable the Company to achieve long-term performance improvements and serve to link a significant portion of compensation to shareholder returns. The Company issues awards of long-term equity compensation from time to time consistent with the objectives and philosophy of our compensation programs under our 2010 Omnibus Incentive Plan, as amended, and approved by our shareholders. We generally grant long-term equity awards annually in the first quarter to incentivize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227330</wp:posOffset>
            </wp:positionV>
            <wp:extent cx="822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351" w:lineRule="exact"/>
        <w:rPr>
          <w:sz w:val="20"/>
          <w:szCs w:val="20"/>
          <w:color w:val="auto"/>
        </w:rPr>
      </w:pPr>
    </w:p>
    <w:p>
      <w:pPr>
        <w:ind w:left="260"/>
        <w:spacing w:after="0"/>
        <w:rPr>
          <w:sz w:val="20"/>
          <w:szCs w:val="20"/>
          <w:color w:val="auto"/>
        </w:rPr>
      </w:pPr>
      <w:r>
        <w:rPr>
          <w:rFonts w:ascii="Arial" w:cs="Arial" w:eastAsia="Arial" w:hAnsi="Arial"/>
          <w:sz w:val="28"/>
          <w:szCs w:val="28"/>
          <w:b w:val="1"/>
          <w:bCs w:val="1"/>
          <w:color w:val="C3002F"/>
        </w:rPr>
        <w:t>FORMS OF LONG-TERM INCENTIVES</w:t>
      </w:r>
    </w:p>
    <w:p>
      <w:pPr>
        <w:spacing w:after="0" w:line="270" w:lineRule="exact"/>
        <w:rPr>
          <w:sz w:val="20"/>
          <w:szCs w:val="20"/>
          <w:color w:val="auto"/>
        </w:rPr>
      </w:pPr>
    </w:p>
    <w:p>
      <w:pPr>
        <w:ind w:left="260" w:right="380"/>
        <w:spacing w:after="0" w:line="243" w:lineRule="auto"/>
        <w:rPr>
          <w:sz w:val="20"/>
          <w:szCs w:val="20"/>
          <w:color w:val="auto"/>
        </w:rPr>
      </w:pPr>
      <w:r>
        <w:rPr>
          <w:rFonts w:ascii="Arial" w:cs="Arial" w:eastAsia="Arial" w:hAnsi="Arial"/>
          <w:sz w:val="14"/>
          <w:szCs w:val="14"/>
          <w:color w:val="auto"/>
        </w:rPr>
        <w:t>Long-term incentive awards provide our NEOs with a benefit that increases only when the value of our shares increases, which aligns their interests with increasing shareholder value. Long-term incentives are equity-based and include restricted share units (“RSUs”) and performance share units (“PSUs”). In determining the form or forms of award grants, the Committee considers, among other factors, the role of the executive and the ability of the executive to impact our success, as well as the appropriateness of a particular security to the individual executive.</w:t>
      </w:r>
    </w:p>
    <w:p>
      <w:pPr>
        <w:spacing w:after="0" w:line="184" w:lineRule="exact"/>
        <w:rPr>
          <w:sz w:val="20"/>
          <w:szCs w:val="20"/>
          <w:color w:val="auto"/>
        </w:rPr>
      </w:pPr>
    </w:p>
    <w:p>
      <w:pPr>
        <w:ind w:left="480" w:right="40" w:hanging="213"/>
        <w:spacing w:after="0" w:line="252" w:lineRule="auto"/>
        <w:tabs>
          <w:tab w:leader="none" w:pos="480" w:val="left"/>
        </w:tabs>
        <w:numPr>
          <w:ilvl w:val="0"/>
          <w:numId w:val="72"/>
        </w:numPr>
        <w:rPr>
          <w:rFonts w:ascii="Arial" w:cs="Arial" w:eastAsia="Arial" w:hAnsi="Arial"/>
          <w:sz w:val="14"/>
          <w:szCs w:val="14"/>
          <w:color w:val="C3002F"/>
        </w:rPr>
      </w:pPr>
      <w:r>
        <w:rPr>
          <w:rFonts w:ascii="Arial" w:cs="Arial" w:eastAsia="Arial" w:hAnsi="Arial"/>
          <w:sz w:val="14"/>
          <w:szCs w:val="14"/>
          <w:b w:val="1"/>
          <w:bCs w:val="1"/>
          <w:color w:val="auto"/>
        </w:rPr>
        <w:t xml:space="preserve">RSUs </w:t>
      </w:r>
      <w:r>
        <w:rPr>
          <w:rFonts w:ascii="Arial" w:cs="Arial" w:eastAsia="Arial" w:hAnsi="Arial"/>
          <w:sz w:val="14"/>
          <w:szCs w:val="14"/>
          <w:color w:val="auto"/>
        </w:rPr>
        <w:t>motivate our NEOs to strive for share price appreciation, as they are granted in an amount based on the closing share price on the date of grant, and the executive</w:t>
      </w:r>
      <w:r>
        <w:rPr>
          <w:rFonts w:ascii="Arial" w:cs="Arial" w:eastAsia="Arial" w:hAnsi="Arial"/>
          <w:sz w:val="14"/>
          <w:szCs w:val="14"/>
          <w:b w:val="1"/>
          <w:bCs w:val="1"/>
          <w:color w:val="auto"/>
        </w:rPr>
        <w:t xml:space="preserve"> </w:t>
      </w:r>
      <w:r>
        <w:rPr>
          <w:rFonts w:ascii="Arial" w:cs="Arial" w:eastAsia="Arial" w:hAnsi="Arial"/>
          <w:sz w:val="14"/>
          <w:szCs w:val="14"/>
          <w:color w:val="auto"/>
        </w:rPr>
        <w:t>realizes value only when the units vest and the underlying shares are delivered. Except as provided below, RSUs generally vest in equal annual installments over a period of three years. Upon vesting, the holder of RSUs receives one ordinary share for each unit that vested. Holders of RSUs do not have voting rights or dividend participation rights until delivery of the underlying shares.</w:t>
      </w:r>
    </w:p>
    <w:p>
      <w:pPr>
        <w:spacing w:after="0" w:line="178" w:lineRule="exact"/>
        <w:rPr>
          <w:rFonts w:ascii="Arial" w:cs="Arial" w:eastAsia="Arial" w:hAnsi="Arial"/>
          <w:sz w:val="14"/>
          <w:szCs w:val="14"/>
          <w:color w:val="C3002F"/>
        </w:rPr>
      </w:pPr>
    </w:p>
    <w:p>
      <w:pPr>
        <w:ind w:left="480" w:right="40" w:hanging="213"/>
        <w:spacing w:after="0" w:line="244" w:lineRule="auto"/>
        <w:tabs>
          <w:tab w:leader="none" w:pos="480" w:val="left"/>
        </w:tabs>
        <w:numPr>
          <w:ilvl w:val="0"/>
          <w:numId w:val="72"/>
        </w:numPr>
        <w:rPr>
          <w:rFonts w:ascii="Arial" w:cs="Arial" w:eastAsia="Arial" w:hAnsi="Arial"/>
          <w:sz w:val="14"/>
          <w:szCs w:val="14"/>
          <w:color w:val="C3002F"/>
        </w:rPr>
      </w:pPr>
      <w:r>
        <w:rPr>
          <w:rFonts w:ascii="Arial" w:cs="Arial" w:eastAsia="Arial" w:hAnsi="Arial"/>
          <w:sz w:val="14"/>
          <w:szCs w:val="14"/>
          <w:b w:val="1"/>
          <w:bCs w:val="1"/>
          <w:color w:val="auto"/>
        </w:rPr>
        <w:t xml:space="preserve">PSUs </w:t>
      </w:r>
      <w:r>
        <w:rPr>
          <w:rFonts w:ascii="Arial" w:cs="Arial" w:eastAsia="Arial" w:hAnsi="Arial"/>
          <w:sz w:val="14"/>
          <w:szCs w:val="14"/>
          <w:color w:val="auto"/>
        </w:rPr>
        <w:t>have higher possible returns and also higher risk when compared to the various forms of awards available to the Committee to grant. PSUs provide an even</w:t>
      </w:r>
      <w:r>
        <w:rPr>
          <w:rFonts w:ascii="Arial" w:cs="Arial" w:eastAsia="Arial" w:hAnsi="Arial"/>
          <w:sz w:val="14"/>
          <w:szCs w:val="14"/>
          <w:b w:val="1"/>
          <w:bCs w:val="1"/>
          <w:color w:val="auto"/>
        </w:rPr>
        <w:t xml:space="preserve"> </w:t>
      </w:r>
      <w:r>
        <w:rPr>
          <w:rFonts w:ascii="Arial" w:cs="Arial" w:eastAsia="Arial" w:hAnsi="Arial"/>
          <w:sz w:val="14"/>
          <w:szCs w:val="14"/>
          <w:color w:val="auto"/>
        </w:rPr>
        <w:t>stronger correlation to shareholder value, as they vest, if at all, as to a number of shares depending on achievement of specified performance targets. Except as provided below, PSUs vest over a specified period of time, as determined for each award. PSUs awarded in 2015, 2016 and 2017 vest in three equal installments over a three-year period. This vesting schedule was adopted in 2014 (and continued in 2015, 2016 and 2017) to alleviate drastic movements, or volatility, in share price affecting abnormal payouts (high or low) based on a single, three-year stock performance measure. This was intended to smooth out the share price performance metric and any payouts that may occur through the vesting period of the PSUs. As a further improvement, the 2015, 2016, and 2017 PSU awards include a share price measurement period of each trading day in the month of December of the applicable calendar year which is used to set the share price performance target and to determine the actual performance result. In 2018, awards were changed to have a three-year cliff vesting.</w:t>
      </w:r>
    </w:p>
    <w:p>
      <w:pPr>
        <w:spacing w:after="0" w:line="164" w:lineRule="exact"/>
        <w:rPr>
          <w:sz w:val="20"/>
          <w:szCs w:val="20"/>
          <w:color w:val="auto"/>
        </w:rPr>
      </w:pPr>
    </w:p>
    <w:p>
      <w:pPr>
        <w:ind w:left="260" w:right="20"/>
        <w:spacing w:after="0" w:line="242" w:lineRule="auto"/>
        <w:rPr>
          <w:sz w:val="20"/>
          <w:szCs w:val="20"/>
          <w:color w:val="auto"/>
        </w:rPr>
      </w:pPr>
      <w:r>
        <w:rPr>
          <w:rFonts w:ascii="Arial" w:cs="Arial" w:eastAsia="Arial" w:hAnsi="Arial"/>
          <w:sz w:val="14"/>
          <w:szCs w:val="14"/>
          <w:color w:val="auto"/>
        </w:rPr>
        <w:t>With regard to vesting of RSUs and PSUs for Mr. Mills, who is the only current NEO who has an employment agreement, if his employment with the Company is terminated prior to the last vesting date by Mr. Mills for “good reason” or by the Company without “cause,” the units that have not been forfeited to the Company will automatically vest. If Mr. Mills’ employment is terminated for any other reason, any units with respect to which the forfeiture restrictions have not lapsed will be forfeited to the Company. With regard to vesting of RSUs and PSUs upon a change of control, any forfeiture restrictions that have not previously lapsed will lapse upon the occurrence of such event. See additional descriptions and definitions in “Other Generally Available Benefits and Other Compensation” on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227330</wp:posOffset>
            </wp:positionV>
            <wp:extent cx="822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352" w:lineRule="exact"/>
        <w:rPr>
          <w:sz w:val="20"/>
          <w:szCs w:val="20"/>
          <w:color w:val="auto"/>
        </w:rPr>
      </w:pPr>
    </w:p>
    <w:p>
      <w:pPr>
        <w:ind w:left="260"/>
        <w:spacing w:after="0"/>
        <w:rPr>
          <w:sz w:val="20"/>
          <w:szCs w:val="20"/>
          <w:color w:val="auto"/>
        </w:rPr>
      </w:pPr>
      <w:r>
        <w:rPr>
          <w:rFonts w:ascii="Arial" w:cs="Arial" w:eastAsia="Arial" w:hAnsi="Arial"/>
          <w:sz w:val="28"/>
          <w:szCs w:val="28"/>
          <w:b w:val="1"/>
          <w:bCs w:val="1"/>
          <w:color w:val="C3002F"/>
        </w:rPr>
        <w:t>DETERMINATION OF AGGREGATE VALUE OF AWARDS</w:t>
      </w:r>
    </w:p>
    <w:p>
      <w:pPr>
        <w:spacing w:after="0" w:line="270" w:lineRule="exact"/>
        <w:rPr>
          <w:sz w:val="20"/>
          <w:szCs w:val="20"/>
          <w:color w:val="auto"/>
        </w:rPr>
      </w:pPr>
    </w:p>
    <w:p>
      <w:pPr>
        <w:ind w:left="260" w:right="400"/>
        <w:spacing w:after="0" w:line="243" w:lineRule="auto"/>
        <w:rPr>
          <w:sz w:val="20"/>
          <w:szCs w:val="20"/>
          <w:color w:val="auto"/>
        </w:rPr>
      </w:pPr>
      <w:r>
        <w:rPr>
          <w:rFonts w:ascii="Arial" w:cs="Arial" w:eastAsia="Arial" w:hAnsi="Arial"/>
          <w:sz w:val="14"/>
          <w:szCs w:val="14"/>
          <w:color w:val="auto"/>
        </w:rPr>
        <w:t>In determining the total value of long-term incentive awards to be granted to each NEO, the Committee determines the award value as a nominal dollar amount in accordance with market data and considers, without giving particular weight to any specific factor, the position of the executive officer (both in terms of function and responsibilities), tenure, anticipated future contributions, and the long-term incentive compensation of similarly situated executives in our peer group. In determining the number of RSUs or PSUs to award, the Committee looks to the closing share price as of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227330</wp:posOffset>
            </wp:positionV>
            <wp:extent cx="822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351" w:lineRule="exact"/>
        <w:rPr>
          <w:sz w:val="20"/>
          <w:szCs w:val="20"/>
          <w:color w:val="auto"/>
        </w:rPr>
      </w:pPr>
    </w:p>
    <w:p>
      <w:pPr>
        <w:ind w:left="260"/>
        <w:spacing w:after="0"/>
        <w:rPr>
          <w:sz w:val="20"/>
          <w:szCs w:val="20"/>
          <w:color w:val="auto"/>
        </w:rPr>
      </w:pPr>
      <w:r>
        <w:rPr>
          <w:rFonts w:ascii="Arial" w:cs="Arial" w:eastAsia="Arial" w:hAnsi="Arial"/>
          <w:sz w:val="28"/>
          <w:szCs w:val="28"/>
          <w:b w:val="1"/>
          <w:bCs w:val="1"/>
          <w:color w:val="C3002F"/>
        </w:rPr>
        <w:t>GRANTS IN 2017</w:t>
      </w:r>
    </w:p>
    <w:p>
      <w:pPr>
        <w:spacing w:after="0" w:line="270" w:lineRule="exact"/>
        <w:rPr>
          <w:sz w:val="20"/>
          <w:szCs w:val="20"/>
          <w:color w:val="auto"/>
        </w:rPr>
      </w:pPr>
    </w:p>
    <w:p>
      <w:pPr>
        <w:ind w:left="260"/>
        <w:spacing w:after="0" w:line="242" w:lineRule="auto"/>
        <w:rPr>
          <w:sz w:val="20"/>
          <w:szCs w:val="20"/>
          <w:color w:val="auto"/>
        </w:rPr>
      </w:pPr>
      <w:r>
        <w:rPr>
          <w:rFonts w:ascii="Arial" w:cs="Arial" w:eastAsia="Arial" w:hAnsi="Arial"/>
          <w:sz w:val="14"/>
          <w:szCs w:val="14"/>
          <w:color w:val="auto"/>
        </w:rPr>
        <w:t>In 2017, the Company continued to focus on navigating the continued downturn and lowering cost structure. In January 2017, or, with respect to Messrs. McCollum and Blanchard, upon joining the Company, the Committee awarded long-term equity incentives at the values below to our NEOs, based on market comparisons, peer information, and the desire to retain or induce and motivate qualified executives, especially during a continued industry downturn and, with respect to Mr. McCollum, the value he was forfeiting at a previous employer. The Committee believes this mix of awards set forth below aligns the executive’s mix of long-term incentives with awards in our peer group and ties an additional portion of NEO performance to an increase in the Company’s share price, the metric used to determine whether PSUs vest.</w:t>
      </w:r>
    </w:p>
    <w:p>
      <w:pPr>
        <w:spacing w:after="0" w:line="185"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Executive</w:t>
            </w:r>
          </w:p>
        </w:tc>
        <w:tc>
          <w:tcPr>
            <w:tcW w:w="4000" w:type="dxa"/>
            <w:vAlign w:val="bottom"/>
            <w:tcBorders>
              <w:bottom w:val="single" w:sz="8" w:color="auto"/>
            </w:tcBorders>
            <w:gridSpan w:val="2"/>
          </w:tcPr>
          <w:p>
            <w:pPr>
              <w:ind w:left="2420"/>
              <w:spacing w:after="0"/>
              <w:rPr>
                <w:sz w:val="20"/>
                <w:szCs w:val="20"/>
                <w:color w:val="auto"/>
              </w:rPr>
            </w:pPr>
            <w:r>
              <w:rPr>
                <w:rFonts w:ascii="Arial" w:cs="Arial" w:eastAsia="Arial" w:hAnsi="Arial"/>
                <w:sz w:val="14"/>
                <w:szCs w:val="14"/>
                <w:color w:val="auto"/>
              </w:rPr>
              <w:t>2017 RSU Award(d)</w:t>
            </w:r>
          </w:p>
        </w:tc>
        <w:tc>
          <w:tcPr>
            <w:tcW w:w="190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2017 PSU Award(d)</w:t>
            </w:r>
          </w:p>
        </w:tc>
        <w:tc>
          <w:tcPr>
            <w:tcW w:w="15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2017 Total Award</w:t>
            </w:r>
          </w:p>
        </w:tc>
      </w:tr>
      <w:tr>
        <w:trPr>
          <w:trHeight w:val="154"/>
        </w:trPr>
        <w:tc>
          <w:tcPr>
            <w:tcW w:w="3480" w:type="dxa"/>
            <w:vAlign w:val="bottom"/>
            <w:tcBorders>
              <w:bottom w:val="single" w:sz="8" w:color="666666"/>
            </w:tcBorders>
            <w:gridSpan w:val="2"/>
          </w:tcPr>
          <w:p>
            <w:pPr>
              <w:spacing w:after="0" w:line="153" w:lineRule="exact"/>
              <w:rPr>
                <w:sz w:val="20"/>
                <w:szCs w:val="20"/>
                <w:color w:val="auto"/>
              </w:rPr>
            </w:pPr>
            <w:r>
              <w:rPr>
                <w:rFonts w:ascii="Arial" w:cs="Arial" w:eastAsia="Arial" w:hAnsi="Arial"/>
                <w:sz w:val="14"/>
                <w:szCs w:val="14"/>
                <w:color w:val="auto"/>
              </w:rPr>
              <w:t>Mr. McCollum(a)</w:t>
            </w:r>
          </w:p>
        </w:tc>
        <w:tc>
          <w:tcPr>
            <w:tcW w:w="2780" w:type="dxa"/>
            <w:vAlign w:val="bottom"/>
            <w:tcBorders>
              <w:bottom w:val="single" w:sz="8" w:color="666666"/>
            </w:tcBorders>
          </w:tcPr>
          <w:p>
            <w:pPr>
              <w:ind w:left="2420"/>
              <w:spacing w:after="0" w:line="153"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666666"/>
            </w:tcBorders>
          </w:tcPr>
          <w:p>
            <w:pPr>
              <w:jc w:val="right"/>
              <w:ind w:right="249"/>
              <w:spacing w:after="0" w:line="153" w:lineRule="exact"/>
              <w:rPr>
                <w:sz w:val="20"/>
                <w:szCs w:val="20"/>
                <w:color w:val="auto"/>
              </w:rPr>
            </w:pPr>
            <w:r>
              <w:rPr>
                <w:rFonts w:ascii="Arial" w:cs="Arial" w:eastAsia="Arial" w:hAnsi="Arial"/>
                <w:sz w:val="14"/>
                <w:szCs w:val="14"/>
                <w:color w:val="auto"/>
              </w:rPr>
              <w:t>6,000,000</w:t>
            </w:r>
          </w:p>
        </w:tc>
        <w:tc>
          <w:tcPr>
            <w:tcW w:w="680" w:type="dxa"/>
            <w:vAlign w:val="bottom"/>
            <w:tcBorders>
              <w:bottom w:val="single" w:sz="8" w:color="666666"/>
            </w:tcBorders>
          </w:tcPr>
          <w:p>
            <w:pPr>
              <w:ind w:left="320"/>
              <w:spacing w:after="0" w:line="153"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666666"/>
            </w:tcBorders>
          </w:tcPr>
          <w:p>
            <w:pPr>
              <w:jc w:val="right"/>
              <w:ind w:right="249"/>
              <w:spacing w:after="0" w:line="153" w:lineRule="exact"/>
              <w:rPr>
                <w:sz w:val="20"/>
                <w:szCs w:val="20"/>
                <w:color w:val="auto"/>
              </w:rPr>
            </w:pPr>
            <w:r>
              <w:rPr>
                <w:rFonts w:ascii="Arial" w:cs="Arial" w:eastAsia="Arial" w:hAnsi="Arial"/>
                <w:sz w:val="14"/>
                <w:szCs w:val="14"/>
                <w:color w:val="auto"/>
              </w:rPr>
              <w:t>3,000,000</w:t>
            </w:r>
          </w:p>
        </w:tc>
        <w:tc>
          <w:tcPr>
            <w:tcW w:w="620" w:type="dxa"/>
            <w:vAlign w:val="bottom"/>
            <w:tcBorders>
              <w:bottom w:val="single" w:sz="8" w:color="666666"/>
            </w:tcBorders>
          </w:tcPr>
          <w:p>
            <w:pPr>
              <w:ind w:left="320"/>
              <w:spacing w:after="0" w:line="153"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9,000,000</w:t>
            </w:r>
          </w:p>
        </w:tc>
      </w:tr>
      <w:tr>
        <w:trPr>
          <w:trHeight w:val="154"/>
        </w:trPr>
        <w:tc>
          <w:tcPr>
            <w:tcW w:w="3480" w:type="dxa"/>
            <w:vAlign w:val="bottom"/>
            <w:tcBorders>
              <w:bottom w:val="single" w:sz="8" w:color="666666"/>
            </w:tcBorders>
            <w:gridSpan w:val="2"/>
          </w:tcPr>
          <w:p>
            <w:pPr>
              <w:spacing w:after="0" w:line="153" w:lineRule="exact"/>
              <w:rPr>
                <w:sz w:val="20"/>
                <w:szCs w:val="20"/>
                <w:color w:val="auto"/>
              </w:rPr>
            </w:pPr>
            <w:r>
              <w:rPr>
                <w:rFonts w:ascii="Arial" w:cs="Arial" w:eastAsia="Arial" w:hAnsi="Arial"/>
                <w:sz w:val="14"/>
                <w:szCs w:val="14"/>
                <w:color w:val="auto"/>
              </w:rPr>
              <w:t>Mr. Bausch</w:t>
            </w:r>
          </w:p>
        </w:tc>
        <w:tc>
          <w:tcPr>
            <w:tcW w:w="2780" w:type="dxa"/>
            <w:vAlign w:val="bottom"/>
            <w:tcBorders>
              <w:bottom w:val="single" w:sz="8" w:color="666666"/>
            </w:tcBorders>
          </w:tcPr>
          <w:p>
            <w:pPr>
              <w:ind w:left="2420"/>
              <w:spacing w:after="0" w:line="153"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666666"/>
            </w:tcBorders>
          </w:tcPr>
          <w:p>
            <w:pPr>
              <w:jc w:val="right"/>
              <w:ind w:right="249"/>
              <w:spacing w:after="0" w:line="153" w:lineRule="exact"/>
              <w:rPr>
                <w:sz w:val="20"/>
                <w:szCs w:val="20"/>
                <w:color w:val="auto"/>
              </w:rPr>
            </w:pPr>
            <w:r>
              <w:rPr>
                <w:rFonts w:ascii="Arial" w:cs="Arial" w:eastAsia="Arial" w:hAnsi="Arial"/>
                <w:sz w:val="14"/>
                <w:szCs w:val="14"/>
                <w:color w:val="auto"/>
              </w:rPr>
              <w:t>1,050,000</w:t>
            </w:r>
          </w:p>
        </w:tc>
        <w:tc>
          <w:tcPr>
            <w:tcW w:w="680" w:type="dxa"/>
            <w:vAlign w:val="bottom"/>
            <w:tcBorders>
              <w:bottom w:val="single" w:sz="8" w:color="666666"/>
            </w:tcBorders>
          </w:tcPr>
          <w:p>
            <w:pPr>
              <w:ind w:left="320"/>
              <w:spacing w:after="0" w:line="153"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666666"/>
            </w:tcBorders>
          </w:tcPr>
          <w:p>
            <w:pPr>
              <w:jc w:val="right"/>
              <w:ind w:right="249"/>
              <w:spacing w:after="0" w:line="153" w:lineRule="exact"/>
              <w:rPr>
                <w:sz w:val="20"/>
                <w:szCs w:val="20"/>
                <w:color w:val="auto"/>
              </w:rPr>
            </w:pPr>
            <w:r>
              <w:rPr>
                <w:rFonts w:ascii="Arial" w:cs="Arial" w:eastAsia="Arial" w:hAnsi="Arial"/>
                <w:sz w:val="14"/>
                <w:szCs w:val="14"/>
                <w:color w:val="auto"/>
              </w:rPr>
              <w:t>1,050,000</w:t>
            </w:r>
          </w:p>
        </w:tc>
        <w:tc>
          <w:tcPr>
            <w:tcW w:w="620" w:type="dxa"/>
            <w:vAlign w:val="bottom"/>
            <w:tcBorders>
              <w:bottom w:val="single" w:sz="8" w:color="666666"/>
            </w:tcBorders>
          </w:tcPr>
          <w:p>
            <w:pPr>
              <w:ind w:left="320"/>
              <w:spacing w:after="0" w:line="153"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2,100,000</w:t>
            </w:r>
          </w:p>
        </w:tc>
      </w:tr>
      <w:tr>
        <w:trPr>
          <w:trHeight w:val="154"/>
        </w:trPr>
        <w:tc>
          <w:tcPr>
            <w:tcW w:w="3480" w:type="dxa"/>
            <w:vAlign w:val="bottom"/>
            <w:tcBorders>
              <w:bottom w:val="single" w:sz="8" w:color="666666"/>
            </w:tcBorders>
            <w:gridSpan w:val="2"/>
          </w:tcPr>
          <w:p>
            <w:pPr>
              <w:spacing w:after="0" w:line="153" w:lineRule="exact"/>
              <w:rPr>
                <w:sz w:val="20"/>
                <w:szCs w:val="20"/>
                <w:color w:val="auto"/>
              </w:rPr>
            </w:pPr>
            <w:r>
              <w:rPr>
                <w:rFonts w:ascii="Arial" w:cs="Arial" w:eastAsia="Arial" w:hAnsi="Arial"/>
                <w:sz w:val="14"/>
                <w:szCs w:val="14"/>
                <w:color w:val="auto"/>
              </w:rPr>
              <w:t>Mrs. Ibrahim</w:t>
            </w:r>
          </w:p>
        </w:tc>
        <w:tc>
          <w:tcPr>
            <w:tcW w:w="2780" w:type="dxa"/>
            <w:vAlign w:val="bottom"/>
            <w:tcBorders>
              <w:bottom w:val="single" w:sz="8" w:color="666666"/>
            </w:tcBorders>
          </w:tcPr>
          <w:p>
            <w:pPr>
              <w:ind w:left="2420"/>
              <w:spacing w:after="0" w:line="153"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666666"/>
            </w:tcBorders>
          </w:tcPr>
          <w:p>
            <w:pPr>
              <w:jc w:val="right"/>
              <w:ind w:right="249"/>
              <w:spacing w:after="0" w:line="153" w:lineRule="exact"/>
              <w:rPr>
                <w:sz w:val="20"/>
                <w:szCs w:val="20"/>
                <w:color w:val="auto"/>
              </w:rPr>
            </w:pPr>
            <w:r>
              <w:rPr>
                <w:rFonts w:ascii="Arial" w:cs="Arial" w:eastAsia="Arial" w:hAnsi="Arial"/>
                <w:sz w:val="14"/>
                <w:szCs w:val="14"/>
                <w:color w:val="auto"/>
              </w:rPr>
              <w:t>1,000,000</w:t>
            </w:r>
          </w:p>
        </w:tc>
        <w:tc>
          <w:tcPr>
            <w:tcW w:w="680" w:type="dxa"/>
            <w:vAlign w:val="bottom"/>
            <w:tcBorders>
              <w:bottom w:val="single" w:sz="8" w:color="666666"/>
            </w:tcBorders>
          </w:tcPr>
          <w:p>
            <w:pPr>
              <w:ind w:left="320"/>
              <w:spacing w:after="0" w:line="153"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666666"/>
            </w:tcBorders>
          </w:tcPr>
          <w:p>
            <w:pPr>
              <w:jc w:val="right"/>
              <w:ind w:right="249"/>
              <w:spacing w:after="0" w:line="153" w:lineRule="exact"/>
              <w:rPr>
                <w:sz w:val="20"/>
                <w:szCs w:val="20"/>
                <w:color w:val="auto"/>
              </w:rPr>
            </w:pPr>
            <w:r>
              <w:rPr>
                <w:rFonts w:ascii="Arial" w:cs="Arial" w:eastAsia="Arial" w:hAnsi="Arial"/>
                <w:sz w:val="14"/>
                <w:szCs w:val="14"/>
                <w:color w:val="auto"/>
              </w:rPr>
              <w:t>1,000,000</w:t>
            </w:r>
          </w:p>
        </w:tc>
        <w:tc>
          <w:tcPr>
            <w:tcW w:w="620" w:type="dxa"/>
            <w:vAlign w:val="bottom"/>
            <w:tcBorders>
              <w:bottom w:val="single" w:sz="8" w:color="666666"/>
            </w:tcBorders>
          </w:tcPr>
          <w:p>
            <w:pPr>
              <w:ind w:left="320"/>
              <w:spacing w:after="0" w:line="153"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2,000,000</w:t>
            </w:r>
          </w:p>
        </w:tc>
      </w:tr>
      <w:tr>
        <w:trPr>
          <w:trHeight w:val="154"/>
        </w:trPr>
        <w:tc>
          <w:tcPr>
            <w:tcW w:w="3480" w:type="dxa"/>
            <w:vAlign w:val="bottom"/>
            <w:tcBorders>
              <w:bottom w:val="single" w:sz="8" w:color="666666"/>
            </w:tcBorders>
            <w:gridSpan w:val="2"/>
          </w:tcPr>
          <w:p>
            <w:pPr>
              <w:spacing w:after="0" w:line="153" w:lineRule="exact"/>
              <w:rPr>
                <w:sz w:val="20"/>
                <w:szCs w:val="20"/>
                <w:color w:val="auto"/>
              </w:rPr>
            </w:pPr>
            <w:r>
              <w:rPr>
                <w:rFonts w:ascii="Arial" w:cs="Arial" w:eastAsia="Arial" w:hAnsi="Arial"/>
                <w:sz w:val="14"/>
                <w:szCs w:val="14"/>
                <w:color w:val="auto"/>
              </w:rPr>
              <w:t>Mr. Blanchard(b)</w:t>
            </w:r>
          </w:p>
        </w:tc>
        <w:tc>
          <w:tcPr>
            <w:tcW w:w="2780" w:type="dxa"/>
            <w:vAlign w:val="bottom"/>
            <w:tcBorders>
              <w:bottom w:val="single" w:sz="8" w:color="666666"/>
            </w:tcBorders>
          </w:tcPr>
          <w:p>
            <w:pPr>
              <w:ind w:left="2420"/>
              <w:spacing w:after="0" w:line="153"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666666"/>
            </w:tcBorders>
          </w:tcPr>
          <w:p>
            <w:pPr>
              <w:jc w:val="right"/>
              <w:ind w:right="249"/>
              <w:spacing w:after="0" w:line="153" w:lineRule="exact"/>
              <w:rPr>
                <w:sz w:val="20"/>
                <w:szCs w:val="20"/>
                <w:color w:val="auto"/>
              </w:rPr>
            </w:pPr>
            <w:r>
              <w:rPr>
                <w:rFonts w:ascii="Arial" w:cs="Arial" w:eastAsia="Arial" w:hAnsi="Arial"/>
                <w:sz w:val="14"/>
                <w:szCs w:val="14"/>
                <w:color w:val="auto"/>
              </w:rPr>
              <w:t>2,100,000</w:t>
            </w:r>
          </w:p>
        </w:tc>
        <w:tc>
          <w:tcPr>
            <w:tcW w:w="680" w:type="dxa"/>
            <w:vAlign w:val="bottom"/>
            <w:tcBorders>
              <w:bottom w:val="single" w:sz="8" w:color="666666"/>
            </w:tcBorders>
          </w:tcPr>
          <w:p>
            <w:pPr>
              <w:ind w:left="320"/>
              <w:spacing w:after="0" w:line="153"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666666"/>
            </w:tcBorders>
          </w:tcPr>
          <w:p>
            <w:pPr>
              <w:jc w:val="right"/>
              <w:ind w:right="249"/>
              <w:spacing w:after="0" w:line="153" w:lineRule="exact"/>
              <w:rPr>
                <w:sz w:val="20"/>
                <w:szCs w:val="20"/>
                <w:color w:val="auto"/>
              </w:rPr>
            </w:pPr>
            <w:r>
              <w:rPr>
                <w:rFonts w:ascii="Arial" w:cs="Arial" w:eastAsia="Arial" w:hAnsi="Arial"/>
                <w:sz w:val="14"/>
                <w:szCs w:val="14"/>
                <w:color w:val="auto"/>
              </w:rPr>
              <w:t>700,000</w:t>
            </w:r>
          </w:p>
        </w:tc>
        <w:tc>
          <w:tcPr>
            <w:tcW w:w="620" w:type="dxa"/>
            <w:vAlign w:val="bottom"/>
            <w:tcBorders>
              <w:bottom w:val="single" w:sz="8" w:color="666666"/>
            </w:tcBorders>
          </w:tcPr>
          <w:p>
            <w:pPr>
              <w:ind w:left="320"/>
              <w:spacing w:after="0" w:line="153"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2,800,000</w:t>
            </w:r>
          </w:p>
        </w:tc>
      </w:tr>
      <w:tr>
        <w:trPr>
          <w:trHeight w:val="154"/>
        </w:trPr>
        <w:tc>
          <w:tcPr>
            <w:tcW w:w="3480" w:type="dxa"/>
            <w:vAlign w:val="bottom"/>
            <w:tcBorders>
              <w:bottom w:val="single" w:sz="8" w:color="666666"/>
            </w:tcBorders>
            <w:gridSpan w:val="2"/>
          </w:tcPr>
          <w:p>
            <w:pPr>
              <w:spacing w:after="0" w:line="153" w:lineRule="exact"/>
              <w:rPr>
                <w:sz w:val="20"/>
                <w:szCs w:val="20"/>
                <w:color w:val="auto"/>
              </w:rPr>
            </w:pPr>
            <w:r>
              <w:rPr>
                <w:rFonts w:ascii="Arial" w:cs="Arial" w:eastAsia="Arial" w:hAnsi="Arial"/>
                <w:sz w:val="14"/>
                <w:szCs w:val="14"/>
                <w:color w:val="auto"/>
              </w:rPr>
              <w:t>Mr. Mills(c)</w:t>
            </w:r>
          </w:p>
        </w:tc>
        <w:tc>
          <w:tcPr>
            <w:tcW w:w="2780" w:type="dxa"/>
            <w:vAlign w:val="bottom"/>
            <w:tcBorders>
              <w:bottom w:val="single" w:sz="8" w:color="666666"/>
            </w:tcBorders>
          </w:tcPr>
          <w:p>
            <w:pPr>
              <w:ind w:left="2420"/>
              <w:spacing w:after="0" w:line="153"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666666"/>
            </w:tcBorders>
          </w:tcPr>
          <w:p>
            <w:pPr>
              <w:jc w:val="right"/>
              <w:ind w:right="249"/>
              <w:spacing w:after="0" w:line="153" w:lineRule="exact"/>
              <w:rPr>
                <w:sz w:val="20"/>
                <w:szCs w:val="20"/>
                <w:color w:val="auto"/>
              </w:rPr>
            </w:pPr>
            <w:r>
              <w:rPr>
                <w:rFonts w:ascii="Arial" w:cs="Arial" w:eastAsia="Arial" w:hAnsi="Arial"/>
                <w:sz w:val="14"/>
                <w:szCs w:val="14"/>
                <w:color w:val="auto"/>
              </w:rPr>
              <w:t>700,000</w:t>
            </w:r>
          </w:p>
        </w:tc>
        <w:tc>
          <w:tcPr>
            <w:tcW w:w="680" w:type="dxa"/>
            <w:vAlign w:val="bottom"/>
            <w:tcBorders>
              <w:bottom w:val="single" w:sz="8" w:color="666666"/>
            </w:tcBorders>
          </w:tcPr>
          <w:p>
            <w:pPr>
              <w:ind w:left="320"/>
              <w:spacing w:after="0" w:line="153"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666666"/>
            </w:tcBorders>
          </w:tcPr>
          <w:p>
            <w:pPr>
              <w:jc w:val="right"/>
              <w:ind w:right="249"/>
              <w:spacing w:after="0" w:line="153" w:lineRule="exact"/>
              <w:rPr>
                <w:sz w:val="20"/>
                <w:szCs w:val="20"/>
                <w:color w:val="auto"/>
              </w:rPr>
            </w:pPr>
            <w:r>
              <w:rPr>
                <w:rFonts w:ascii="Arial" w:cs="Arial" w:eastAsia="Arial" w:hAnsi="Arial"/>
                <w:sz w:val="14"/>
                <w:szCs w:val="14"/>
                <w:color w:val="auto"/>
              </w:rPr>
              <w:t>700,000</w:t>
            </w:r>
          </w:p>
        </w:tc>
        <w:tc>
          <w:tcPr>
            <w:tcW w:w="620" w:type="dxa"/>
            <w:vAlign w:val="bottom"/>
            <w:tcBorders>
              <w:bottom w:val="single" w:sz="8" w:color="666666"/>
            </w:tcBorders>
          </w:tcPr>
          <w:p>
            <w:pPr>
              <w:ind w:left="320"/>
              <w:spacing w:after="0" w:line="153"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1,400,000</w:t>
            </w:r>
          </w:p>
        </w:tc>
      </w:tr>
      <w:tr>
        <w:trPr>
          <w:trHeight w:val="154"/>
        </w:trPr>
        <w:tc>
          <w:tcPr>
            <w:tcW w:w="3480" w:type="dxa"/>
            <w:vAlign w:val="bottom"/>
            <w:tcBorders>
              <w:bottom w:val="single" w:sz="8" w:color="666666"/>
            </w:tcBorders>
            <w:gridSpan w:val="2"/>
          </w:tcPr>
          <w:p>
            <w:pPr>
              <w:spacing w:after="0" w:line="153" w:lineRule="exact"/>
              <w:rPr>
                <w:sz w:val="20"/>
                <w:szCs w:val="20"/>
                <w:color w:val="auto"/>
              </w:rPr>
            </w:pPr>
            <w:r>
              <w:rPr>
                <w:rFonts w:ascii="Arial" w:cs="Arial" w:eastAsia="Arial" w:hAnsi="Arial"/>
                <w:sz w:val="14"/>
                <w:szCs w:val="14"/>
                <w:color w:val="auto"/>
              </w:rPr>
              <w:t>Mr. Shivram</w:t>
            </w:r>
          </w:p>
        </w:tc>
        <w:tc>
          <w:tcPr>
            <w:tcW w:w="2780" w:type="dxa"/>
            <w:vAlign w:val="bottom"/>
            <w:tcBorders>
              <w:bottom w:val="single" w:sz="8" w:color="666666"/>
            </w:tcBorders>
          </w:tcPr>
          <w:p>
            <w:pPr>
              <w:ind w:left="2420"/>
              <w:spacing w:after="0" w:line="153"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666666"/>
            </w:tcBorders>
          </w:tcPr>
          <w:p>
            <w:pPr>
              <w:jc w:val="right"/>
              <w:ind w:right="249"/>
              <w:spacing w:after="0" w:line="153" w:lineRule="exact"/>
              <w:rPr>
                <w:sz w:val="20"/>
                <w:szCs w:val="20"/>
                <w:color w:val="auto"/>
              </w:rPr>
            </w:pPr>
            <w:r>
              <w:rPr>
                <w:rFonts w:ascii="Arial" w:cs="Arial" w:eastAsia="Arial" w:hAnsi="Arial"/>
                <w:sz w:val="14"/>
                <w:szCs w:val="14"/>
                <w:color w:val="auto"/>
              </w:rPr>
              <w:t>1,825,000</w:t>
            </w:r>
          </w:p>
        </w:tc>
        <w:tc>
          <w:tcPr>
            <w:tcW w:w="680" w:type="dxa"/>
            <w:vAlign w:val="bottom"/>
            <w:tcBorders>
              <w:bottom w:val="single" w:sz="8" w:color="666666"/>
            </w:tcBorders>
          </w:tcPr>
          <w:p>
            <w:pPr>
              <w:ind w:left="320"/>
              <w:spacing w:after="0" w:line="153"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666666"/>
            </w:tcBorders>
          </w:tcPr>
          <w:p>
            <w:pPr>
              <w:jc w:val="right"/>
              <w:ind w:right="249"/>
              <w:spacing w:after="0" w:line="153" w:lineRule="exact"/>
              <w:rPr>
                <w:sz w:val="20"/>
                <w:szCs w:val="20"/>
                <w:color w:val="auto"/>
              </w:rPr>
            </w:pPr>
            <w:r>
              <w:rPr>
                <w:rFonts w:ascii="Arial" w:cs="Arial" w:eastAsia="Arial" w:hAnsi="Arial"/>
                <w:sz w:val="14"/>
                <w:szCs w:val="14"/>
                <w:color w:val="auto"/>
              </w:rPr>
              <w:t>1,825,000</w:t>
            </w:r>
          </w:p>
        </w:tc>
        <w:tc>
          <w:tcPr>
            <w:tcW w:w="620" w:type="dxa"/>
            <w:vAlign w:val="bottom"/>
            <w:tcBorders>
              <w:bottom w:val="single" w:sz="8" w:color="666666"/>
            </w:tcBorders>
          </w:tcPr>
          <w:p>
            <w:pPr>
              <w:ind w:left="320"/>
              <w:spacing w:after="0" w:line="153"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3,650,000</w:t>
            </w:r>
          </w:p>
        </w:tc>
      </w:tr>
      <w:tr>
        <w:trPr>
          <w:trHeight w:val="154"/>
        </w:trPr>
        <w:tc>
          <w:tcPr>
            <w:tcW w:w="3480" w:type="dxa"/>
            <w:vAlign w:val="bottom"/>
            <w:tcBorders>
              <w:bottom w:val="single" w:sz="8" w:color="auto"/>
            </w:tcBorders>
            <w:gridSpan w:val="2"/>
          </w:tcPr>
          <w:p>
            <w:pPr>
              <w:spacing w:after="0" w:line="153" w:lineRule="exact"/>
              <w:rPr>
                <w:sz w:val="20"/>
                <w:szCs w:val="20"/>
                <w:color w:val="auto"/>
              </w:rPr>
            </w:pPr>
            <w:r>
              <w:rPr>
                <w:rFonts w:ascii="Arial" w:cs="Arial" w:eastAsia="Arial" w:hAnsi="Arial"/>
                <w:sz w:val="14"/>
                <w:szCs w:val="14"/>
                <w:color w:val="auto"/>
              </w:rPr>
              <w:t>Mr. Ruscev</w:t>
            </w:r>
          </w:p>
        </w:tc>
        <w:tc>
          <w:tcPr>
            <w:tcW w:w="2780" w:type="dxa"/>
            <w:vAlign w:val="bottom"/>
            <w:tcBorders>
              <w:bottom w:val="single" w:sz="8" w:color="auto"/>
            </w:tcBorders>
          </w:tcPr>
          <w:p>
            <w:pPr>
              <w:ind w:left="2420"/>
              <w:spacing w:after="0" w:line="153"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49"/>
              <w:spacing w:after="0" w:line="153" w:lineRule="exact"/>
              <w:rPr>
                <w:sz w:val="20"/>
                <w:szCs w:val="20"/>
                <w:color w:val="auto"/>
              </w:rPr>
            </w:pPr>
            <w:r>
              <w:rPr>
                <w:rFonts w:ascii="Arial" w:cs="Arial" w:eastAsia="Arial" w:hAnsi="Arial"/>
                <w:sz w:val="14"/>
                <w:szCs w:val="14"/>
                <w:color w:val="auto"/>
              </w:rPr>
              <w:t>1,800,000</w:t>
            </w:r>
          </w:p>
        </w:tc>
        <w:tc>
          <w:tcPr>
            <w:tcW w:w="680" w:type="dxa"/>
            <w:vAlign w:val="bottom"/>
            <w:tcBorders>
              <w:bottom w:val="single" w:sz="8" w:color="auto"/>
            </w:tcBorders>
          </w:tcPr>
          <w:p>
            <w:pPr>
              <w:ind w:left="320"/>
              <w:spacing w:after="0" w:line="153"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49"/>
              <w:spacing w:after="0" w:line="153" w:lineRule="exact"/>
              <w:rPr>
                <w:sz w:val="20"/>
                <w:szCs w:val="20"/>
                <w:color w:val="auto"/>
              </w:rPr>
            </w:pPr>
            <w:r>
              <w:rPr>
                <w:rFonts w:ascii="Arial" w:cs="Arial" w:eastAsia="Arial" w:hAnsi="Arial"/>
                <w:sz w:val="14"/>
                <w:szCs w:val="14"/>
                <w:color w:val="auto"/>
              </w:rPr>
              <w:t>1,800,000</w:t>
            </w:r>
          </w:p>
        </w:tc>
        <w:tc>
          <w:tcPr>
            <w:tcW w:w="620" w:type="dxa"/>
            <w:vAlign w:val="bottom"/>
            <w:tcBorders>
              <w:bottom w:val="single" w:sz="8" w:color="auto"/>
            </w:tcBorders>
          </w:tcPr>
          <w:p>
            <w:pPr>
              <w:ind w:left="320"/>
              <w:spacing w:after="0" w:line="153"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3,600,000</w:t>
            </w:r>
          </w:p>
        </w:tc>
      </w:tr>
      <w:tr>
        <w:trPr>
          <w:trHeight w:val="154"/>
        </w:trPr>
        <w:tc>
          <w:tcPr>
            <w:tcW w:w="20" w:type="dxa"/>
            <w:vAlign w:val="bottom"/>
          </w:tcPr>
          <w:p>
            <w:pPr>
              <w:spacing w:after="0"/>
              <w:rPr>
                <w:sz w:val="13"/>
                <w:szCs w:val="13"/>
                <w:color w:val="auto"/>
              </w:rPr>
            </w:pPr>
          </w:p>
        </w:tc>
        <w:tc>
          <w:tcPr>
            <w:tcW w:w="3460" w:type="dxa"/>
            <w:vAlign w:val="bottom"/>
            <w:tcBorders>
              <w:bottom w:val="single" w:sz="8" w:color="666666"/>
            </w:tcBorders>
          </w:tcPr>
          <w:p>
            <w:pPr>
              <w:spacing w:after="0"/>
              <w:rPr>
                <w:sz w:val="13"/>
                <w:szCs w:val="13"/>
                <w:color w:val="auto"/>
              </w:rPr>
            </w:pPr>
          </w:p>
        </w:tc>
        <w:tc>
          <w:tcPr>
            <w:tcW w:w="2780" w:type="dxa"/>
            <w:vAlign w:val="bottom"/>
            <w:tcBorders>
              <w:bottom w:val="single" w:sz="8" w:color="666666"/>
            </w:tcBorders>
          </w:tcPr>
          <w:p>
            <w:pPr>
              <w:spacing w:after="0"/>
              <w:rPr>
                <w:sz w:val="13"/>
                <w:szCs w:val="13"/>
                <w:color w:val="auto"/>
              </w:rPr>
            </w:pPr>
          </w:p>
        </w:tc>
        <w:tc>
          <w:tcPr>
            <w:tcW w:w="1220" w:type="dxa"/>
            <w:vAlign w:val="bottom"/>
            <w:tcBorders>
              <w:bottom w:val="single" w:sz="8" w:color="666666"/>
            </w:tcBorders>
          </w:tcPr>
          <w:p>
            <w:pPr>
              <w:spacing w:after="0"/>
              <w:rPr>
                <w:sz w:val="13"/>
                <w:szCs w:val="13"/>
                <w:color w:val="auto"/>
              </w:rPr>
            </w:pPr>
          </w:p>
        </w:tc>
        <w:tc>
          <w:tcPr>
            <w:tcW w:w="680" w:type="dxa"/>
            <w:vAlign w:val="bottom"/>
            <w:tcBorders>
              <w:bottom w:val="single" w:sz="8" w:color="666666"/>
            </w:tcBorders>
          </w:tcPr>
          <w:p>
            <w:pPr>
              <w:spacing w:after="0"/>
              <w:rPr>
                <w:sz w:val="13"/>
                <w:szCs w:val="13"/>
                <w:color w:val="auto"/>
              </w:rPr>
            </w:pPr>
          </w:p>
        </w:tc>
        <w:tc>
          <w:tcPr>
            <w:tcW w:w="1220" w:type="dxa"/>
            <w:vAlign w:val="bottom"/>
            <w:tcBorders>
              <w:bottom w:val="single" w:sz="8" w:color="666666"/>
            </w:tcBorders>
          </w:tcPr>
          <w:p>
            <w:pPr>
              <w:spacing w:after="0"/>
              <w:rPr>
                <w:sz w:val="13"/>
                <w:szCs w:val="13"/>
                <w:color w:val="auto"/>
              </w:rPr>
            </w:pPr>
          </w:p>
        </w:tc>
        <w:tc>
          <w:tcPr>
            <w:tcW w:w="620" w:type="dxa"/>
            <w:vAlign w:val="bottom"/>
            <w:tcBorders>
              <w:bottom w:val="single" w:sz="8" w:color="666666"/>
            </w:tcBorders>
          </w:tcPr>
          <w:p>
            <w:pPr>
              <w:spacing w:after="0"/>
              <w:rPr>
                <w:sz w:val="13"/>
                <w:szCs w:val="13"/>
                <w:color w:val="auto"/>
              </w:rPr>
            </w:pPr>
          </w:p>
        </w:tc>
        <w:tc>
          <w:tcPr>
            <w:tcW w:w="900" w:type="dxa"/>
            <w:vAlign w:val="bottom"/>
            <w:tcBorders>
              <w:bottom w:val="single" w:sz="8" w:color="666666"/>
            </w:tcBorders>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160"/>
          </w:cols>
          <w:pgMar w:left="240" w:top="456" w:right="499" w:bottom="1440" w:gutter="0" w:footer="0" w:header="0"/>
        </w:sectPr>
      </w:pPr>
    </w:p>
    <w:p>
      <w:pPr>
        <w:spacing w:after="0" w:line="72" w:lineRule="exact"/>
        <w:rPr>
          <w:sz w:val="20"/>
          <w:szCs w:val="20"/>
          <w:color w:val="auto"/>
        </w:rPr>
      </w:pPr>
    </w:p>
    <w:p>
      <w:pPr>
        <w:ind w:left="620" w:hanging="353"/>
        <w:spacing w:after="0"/>
        <w:tabs>
          <w:tab w:leader="none" w:pos="620" w:val="left"/>
        </w:tabs>
        <w:numPr>
          <w:ilvl w:val="0"/>
          <w:numId w:val="73"/>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2018 Proxy Statement</w:t>
      </w:r>
    </w:p>
    <w:p>
      <w:pPr>
        <w:sectPr>
          <w:pgSz w:w="11900" w:h="16838" w:orient="portrait"/>
          <w:cols w:equalWidth="0" w:num="1">
            <w:col w:w="11160"/>
          </w:cols>
          <w:pgMar w:left="240" w:top="456" w:right="49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4" w:lineRule="exact"/>
        <w:rPr>
          <w:sz w:val="20"/>
          <w:szCs w:val="20"/>
          <w:color w:val="auto"/>
        </w:rPr>
      </w:pPr>
    </w:p>
    <w:p>
      <w:pPr>
        <w:ind w:left="480" w:right="120" w:hanging="213"/>
        <w:spacing w:after="0" w:line="246" w:lineRule="auto"/>
        <w:tabs>
          <w:tab w:leader="none" w:pos="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 April 2017, Mr. McCollum was granted a long-term equity incentive award of $6,000,000, consisting of 50% RSUs and 50% PSUs, each vesting in three equal annual installments. In April 2017, Mr. McCollum was also granted a one-time inducement award of $3,000,000 consisting entirely of RSUs, vesting 25% on the first and second anniversaries of the grant date and 50% on the third anniversary of the grant date. This inducement award was given in light of value forfeited at his previous employer.</w:t>
      </w:r>
    </w:p>
    <w:p>
      <w:pPr>
        <w:spacing w:after="0" w:line="25" w:lineRule="exact"/>
        <w:rPr>
          <w:rFonts w:ascii="Arial" w:cs="Arial" w:eastAsia="Arial" w:hAnsi="Arial"/>
          <w:sz w:val="14"/>
          <w:szCs w:val="14"/>
          <w:color w:val="auto"/>
        </w:rPr>
      </w:pPr>
    </w:p>
    <w:p>
      <w:pPr>
        <w:ind w:left="480" w:right="840" w:hanging="213"/>
        <w:spacing w:after="0" w:line="253" w:lineRule="auto"/>
        <w:tabs>
          <w:tab w:leader="none" w:pos="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 August 2017, Mr. Blanchard was granted an inducement award of $2,800,000 consisting of 75% RSUs and 25% PSUs, each vesting in three equal annual installments.</w:t>
      </w:r>
    </w:p>
    <w:p>
      <w:pPr>
        <w:spacing w:after="0" w:line="21" w:lineRule="exact"/>
        <w:rPr>
          <w:rFonts w:ascii="Arial" w:cs="Arial" w:eastAsia="Arial" w:hAnsi="Arial"/>
          <w:sz w:val="14"/>
          <w:szCs w:val="14"/>
          <w:color w:val="auto"/>
        </w:rPr>
      </w:pPr>
    </w:p>
    <w:p>
      <w:pPr>
        <w:ind w:left="480" w:right="120" w:hanging="213"/>
        <w:spacing w:after="0" w:line="242" w:lineRule="auto"/>
        <w:tabs>
          <w:tab w:leader="none" w:pos="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Due to our suspension of our Executive Deferred Compensation Stock Ownership Plan (“EDC”) in 2008, and in order to continue to encourage equity ownership as well as to compensate participants for the loss of this benefit, we previously granted participants in the EDC, including Mr. Mills, quarterly grants of shares in an amount to approximate the benefits participants would have received had we not suspended the plan. Mr. Mills had one final grant of 2,255 shares valued at $13,259 for fiscal year 2016 that was made for administrative convenience in January of 2017 and is reflected in the table entitled “Grants of Plan-Based Awards” in 2017 and in the 2017 Summary Compensation Table. No other grants were made in 2017.</w:t>
      </w:r>
    </w:p>
    <w:p>
      <w:pPr>
        <w:spacing w:after="0" w:line="29" w:lineRule="exact"/>
        <w:rPr>
          <w:rFonts w:ascii="Arial" w:cs="Arial" w:eastAsia="Arial" w:hAnsi="Arial"/>
          <w:sz w:val="14"/>
          <w:szCs w:val="14"/>
          <w:color w:val="auto"/>
        </w:rPr>
      </w:pPr>
    </w:p>
    <w:p>
      <w:pPr>
        <w:ind w:left="480" w:right="60" w:hanging="213"/>
        <w:spacing w:after="0" w:line="246" w:lineRule="auto"/>
        <w:tabs>
          <w:tab w:leader="none" w:pos="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These values were used to calculate a number of units awarded based on the closing share price on the date of grant and may not correlate to the value presented in our 2017 Summary Compensation Table. The values of PSUs reflected in the Summary Compensation Table are based on a statistical option-value pricing model known as “Monte Carlo Valuation,” which is used for accounting purposes. We encourage you to review the 2017 Summary Compensation Table and the subsequent tables.</w:t>
      </w:r>
    </w:p>
    <w:p>
      <w:pPr>
        <w:spacing w:after="0" w:line="141" w:lineRule="exact"/>
        <w:rPr>
          <w:sz w:val="20"/>
          <w:szCs w:val="20"/>
          <w:color w:val="auto"/>
        </w:rPr>
      </w:pPr>
    </w:p>
    <w:p>
      <w:pPr>
        <w:ind w:left="260" w:right="300"/>
        <w:spacing w:after="0" w:line="280" w:lineRule="auto"/>
        <w:rPr>
          <w:sz w:val="20"/>
          <w:szCs w:val="20"/>
          <w:color w:val="auto"/>
        </w:rPr>
      </w:pPr>
      <w:r>
        <w:rPr>
          <w:rFonts w:ascii="Arial" w:cs="Arial" w:eastAsia="Arial" w:hAnsi="Arial"/>
          <w:sz w:val="14"/>
          <w:szCs w:val="14"/>
          <w:b w:val="1"/>
          <w:bCs w:val="1"/>
          <w:color w:val="auto"/>
        </w:rPr>
        <w:t xml:space="preserve">Vesting. </w:t>
      </w:r>
      <w:r>
        <w:rPr>
          <w:rFonts w:ascii="Arial" w:cs="Arial" w:eastAsia="Arial" w:hAnsi="Arial"/>
          <w:sz w:val="14"/>
          <w:szCs w:val="14"/>
          <w:color w:val="auto"/>
        </w:rPr>
        <w:t>Other than as described in the notes above, the RSUs vest over three years, with 1/3 of the awarded RSUs vesting each year. The PSUs vest over three years,</w:t>
      </w:r>
      <w:r>
        <w:rPr>
          <w:rFonts w:ascii="Arial" w:cs="Arial" w:eastAsia="Arial" w:hAnsi="Arial"/>
          <w:sz w:val="14"/>
          <w:szCs w:val="14"/>
          <w:b w:val="1"/>
          <w:bCs w:val="1"/>
          <w:color w:val="auto"/>
        </w:rPr>
        <w:t xml:space="preserve"> </w:t>
      </w:r>
      <w:r>
        <w:rPr>
          <w:rFonts w:ascii="Arial" w:cs="Arial" w:eastAsia="Arial" w:hAnsi="Arial"/>
          <w:sz w:val="14"/>
          <w:szCs w:val="14"/>
          <w:color w:val="auto"/>
        </w:rPr>
        <w:t>with 1/3 of the awarded number of units vesting (or if the baseline performance goal is not met, being forfeited) each year.</w:t>
      </w:r>
    </w:p>
    <w:p>
      <w:pPr>
        <w:spacing w:after="0" w:line="136" w:lineRule="exact"/>
        <w:rPr>
          <w:sz w:val="20"/>
          <w:szCs w:val="20"/>
          <w:color w:val="auto"/>
        </w:rPr>
      </w:pPr>
    </w:p>
    <w:p>
      <w:pPr>
        <w:ind w:left="260" w:right="300"/>
        <w:spacing w:after="0" w:line="246" w:lineRule="auto"/>
        <w:rPr>
          <w:sz w:val="20"/>
          <w:szCs w:val="20"/>
          <w:color w:val="auto"/>
        </w:rPr>
      </w:pPr>
      <w:r>
        <w:rPr>
          <w:rFonts w:ascii="Arial" w:cs="Arial" w:eastAsia="Arial" w:hAnsi="Arial"/>
          <w:sz w:val="14"/>
          <w:szCs w:val="14"/>
          <w:color w:val="auto"/>
        </w:rPr>
        <w:t>With respect to the PSUs, the Committee believes that providing for vesting based on three one-year performance periods versus a three-year performance period best incentivizes executives over the long term, as only 1/3 of each grant vests in any given year. Additionally, each year’s vesting of PSUs is calculated independently so that under-performance in any one year is not offset by over-performance in any other year. In 2018, awards were changed to have a three-year cliff vesting.</w:t>
      </w:r>
    </w:p>
    <w:p>
      <w:pPr>
        <w:spacing w:after="0" w:line="172" w:lineRule="exact"/>
        <w:rPr>
          <w:sz w:val="20"/>
          <w:szCs w:val="20"/>
          <w:color w:val="auto"/>
        </w:rPr>
      </w:pPr>
    </w:p>
    <w:p>
      <w:pPr>
        <w:ind w:left="260" w:right="260"/>
        <w:spacing w:after="0" w:line="243" w:lineRule="auto"/>
        <w:rPr>
          <w:sz w:val="20"/>
          <w:szCs w:val="20"/>
          <w:color w:val="auto"/>
        </w:rPr>
      </w:pPr>
      <w:r>
        <w:rPr>
          <w:rFonts w:ascii="Arial" w:cs="Arial" w:eastAsia="Arial" w:hAnsi="Arial"/>
          <w:sz w:val="14"/>
          <w:szCs w:val="14"/>
          <w:color w:val="auto"/>
        </w:rPr>
        <w:t>The PSUs will be settled in ordinary shares issued under our 2010 Omnibus Incentive Plan, with the actual number of shares to be issued based on a multiple of each executive’s targeted number of PSUs. At each vesting date, the number of shares to be issued will be based on the average of the closing share prices as of each trading day in December of each calendar year 2017, 2018 and 2019. The following table shows how the level of vesting will be calculated. The baseline share price or “BSP” is $5.22, which was the average of the closing share prices as of each trading day in December 2016.</w:t>
      </w:r>
    </w:p>
    <w:p>
      <w:pPr>
        <w:spacing w:after="0" w:line="197"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7940" w:type="dxa"/>
            <w:vAlign w:val="bottom"/>
            <w:tcBorders>
              <w:bottom w:val="single" w:sz="8" w:color="auto"/>
            </w:tcBorders>
            <w:gridSpan w:val="4"/>
          </w:tcPr>
          <w:p>
            <w:pPr>
              <w:jc w:val="right"/>
              <w:ind w:right="569"/>
              <w:spacing w:after="0"/>
              <w:rPr>
                <w:sz w:val="20"/>
                <w:szCs w:val="20"/>
                <w:color w:val="auto"/>
              </w:rPr>
            </w:pPr>
            <w:r>
              <w:rPr>
                <w:rFonts w:ascii="Arial" w:cs="Arial" w:eastAsia="Arial" w:hAnsi="Arial"/>
                <w:sz w:val="14"/>
                <w:szCs w:val="14"/>
                <w:color w:val="auto"/>
              </w:rPr>
              <w:t>Average Company Share Price ($ per share) each trading day of December in the calendar year ending(b):</w:t>
            </w:r>
          </w:p>
        </w:tc>
      </w:tr>
      <w:tr>
        <w:trPr>
          <w:trHeight w:val="158"/>
        </w:trPr>
        <w:tc>
          <w:tcPr>
            <w:tcW w:w="29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jc w:val="right"/>
              <w:ind w:right="49"/>
              <w:spacing w:after="0" w:line="158" w:lineRule="exact"/>
              <w:rPr>
                <w:sz w:val="20"/>
                <w:szCs w:val="20"/>
                <w:color w:val="auto"/>
              </w:rPr>
            </w:pPr>
            <w:r>
              <w:rPr>
                <w:rFonts w:ascii="Arial" w:cs="Arial" w:eastAsia="Arial" w:hAnsi="Arial"/>
                <w:sz w:val="14"/>
                <w:szCs w:val="14"/>
                <w:color w:val="auto"/>
              </w:rPr>
              <w:t>Conversion</w:t>
            </w:r>
          </w:p>
        </w:tc>
        <w:tc>
          <w:tcPr>
            <w:tcW w:w="2240" w:type="dxa"/>
            <w:vAlign w:val="bottom"/>
            <w:tcBorders>
              <w:right w:val="single" w:sz="8" w:color="auto"/>
            </w:tcBorders>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r>
      <w:tr>
        <w:trPr>
          <w:trHeight w:val="155"/>
        </w:trPr>
        <w:tc>
          <w:tcPr>
            <w:tcW w:w="2960" w:type="dxa"/>
            <w:vAlign w:val="bottom"/>
            <w:tcBorders>
              <w:bottom w:val="single" w:sz="8" w:color="auto"/>
              <w:right w:val="single" w:sz="8" w:color="auto"/>
            </w:tcBorders>
          </w:tcPr>
          <w:p>
            <w:pPr>
              <w:ind w:left="60"/>
              <w:spacing w:after="0" w:line="155" w:lineRule="exact"/>
              <w:rPr>
                <w:sz w:val="20"/>
                <w:szCs w:val="20"/>
                <w:color w:val="auto"/>
              </w:rPr>
            </w:pPr>
            <w:r>
              <w:rPr>
                <w:rFonts w:ascii="Arial" w:cs="Arial" w:eastAsia="Arial" w:hAnsi="Arial"/>
                <w:sz w:val="14"/>
                <w:szCs w:val="14"/>
                <w:color w:val="auto"/>
              </w:rPr>
              <w:t>Performance Goal</w:t>
            </w:r>
          </w:p>
        </w:tc>
        <w:tc>
          <w:tcPr>
            <w:tcW w:w="1240" w:type="dxa"/>
            <w:vAlign w:val="bottom"/>
            <w:tcBorders>
              <w:bottom w:val="single" w:sz="8" w:color="auto"/>
              <w:right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Percentage(a)</w:t>
            </w:r>
          </w:p>
        </w:tc>
        <w:tc>
          <w:tcPr>
            <w:tcW w:w="2240" w:type="dxa"/>
            <w:vAlign w:val="bottom"/>
            <w:tcBorders>
              <w:bottom w:val="single" w:sz="8" w:color="auto"/>
              <w:right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2017</w:t>
            </w:r>
          </w:p>
        </w:tc>
        <w:tc>
          <w:tcPr>
            <w:tcW w:w="2260" w:type="dxa"/>
            <w:vAlign w:val="bottom"/>
            <w:tcBorders>
              <w:bottom w:val="single" w:sz="8" w:color="auto"/>
              <w:right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2018</w:t>
            </w:r>
          </w:p>
        </w:tc>
        <w:tc>
          <w:tcPr>
            <w:tcW w:w="2200" w:type="dxa"/>
            <w:vAlign w:val="bottom"/>
            <w:tcBorders>
              <w:bottom w:val="single" w:sz="8" w:color="auto"/>
              <w:right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2019</w:t>
            </w:r>
          </w:p>
        </w:tc>
      </w:tr>
      <w:tr>
        <w:trPr>
          <w:trHeight w:val="154"/>
        </w:trPr>
        <w:tc>
          <w:tcPr>
            <w:tcW w:w="2960" w:type="dxa"/>
            <w:vAlign w:val="bottom"/>
            <w:tcBorders>
              <w:bottom w:val="single" w:sz="8" w:color="666666"/>
              <w:right w:val="single" w:sz="8" w:color="auto"/>
            </w:tcBorders>
          </w:tcPr>
          <w:p>
            <w:pPr>
              <w:ind w:left="60"/>
              <w:spacing w:after="0" w:line="153" w:lineRule="exact"/>
              <w:rPr>
                <w:sz w:val="20"/>
                <w:szCs w:val="20"/>
                <w:color w:val="auto"/>
              </w:rPr>
            </w:pPr>
            <w:r>
              <w:rPr>
                <w:rFonts w:ascii="Arial" w:cs="Arial" w:eastAsia="Arial" w:hAnsi="Arial"/>
                <w:sz w:val="14"/>
                <w:szCs w:val="14"/>
                <w:color w:val="auto"/>
              </w:rPr>
              <w:t>Less than BSP ($5.22)</w:t>
            </w:r>
          </w:p>
        </w:tc>
        <w:tc>
          <w:tcPr>
            <w:tcW w:w="1240" w:type="dxa"/>
            <w:vAlign w:val="bottom"/>
            <w:tcBorders>
              <w:bottom w:val="single" w:sz="8" w:color="666666"/>
              <w:right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0%</w:t>
            </w:r>
          </w:p>
        </w:tc>
        <w:tc>
          <w:tcPr>
            <w:tcW w:w="2240" w:type="dxa"/>
            <w:vAlign w:val="bottom"/>
            <w:tcBorders>
              <w:bottom w:val="single" w:sz="8" w:color="666666"/>
              <w:right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&lt;BSP</w:t>
            </w:r>
          </w:p>
        </w:tc>
        <w:tc>
          <w:tcPr>
            <w:tcW w:w="2260" w:type="dxa"/>
            <w:vAlign w:val="bottom"/>
            <w:tcBorders>
              <w:bottom w:val="single" w:sz="8" w:color="666666"/>
              <w:right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&lt;BSP</w:t>
            </w:r>
          </w:p>
        </w:tc>
        <w:tc>
          <w:tcPr>
            <w:tcW w:w="2200" w:type="dxa"/>
            <w:vAlign w:val="bottom"/>
            <w:tcBorders>
              <w:bottom w:val="single" w:sz="8" w:color="666666"/>
              <w:right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&lt;BSP</w:t>
            </w:r>
          </w:p>
        </w:tc>
      </w:tr>
      <w:tr>
        <w:trPr>
          <w:trHeight w:val="154"/>
        </w:trPr>
        <w:tc>
          <w:tcPr>
            <w:tcW w:w="2960" w:type="dxa"/>
            <w:vAlign w:val="bottom"/>
            <w:tcBorders>
              <w:bottom w:val="single" w:sz="8" w:color="666666"/>
              <w:right w:val="single" w:sz="8" w:color="auto"/>
            </w:tcBorders>
          </w:tcPr>
          <w:p>
            <w:pPr>
              <w:ind w:left="60"/>
              <w:spacing w:after="0" w:line="153" w:lineRule="exact"/>
              <w:rPr>
                <w:sz w:val="20"/>
                <w:szCs w:val="20"/>
                <w:color w:val="auto"/>
              </w:rPr>
            </w:pPr>
            <w:r>
              <w:rPr>
                <w:rFonts w:ascii="Arial" w:cs="Arial" w:eastAsia="Arial" w:hAnsi="Arial"/>
                <w:sz w:val="14"/>
                <w:szCs w:val="14"/>
                <w:color w:val="auto"/>
              </w:rPr>
              <w:t>10% increase in Share Price</w:t>
            </w:r>
          </w:p>
        </w:tc>
        <w:tc>
          <w:tcPr>
            <w:tcW w:w="1240" w:type="dxa"/>
            <w:vAlign w:val="bottom"/>
            <w:tcBorders>
              <w:bottom w:val="single" w:sz="8" w:color="666666"/>
              <w:right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0% to 50%</w:t>
            </w:r>
          </w:p>
        </w:tc>
        <w:tc>
          <w:tcPr>
            <w:tcW w:w="2240" w:type="dxa"/>
            <w:vAlign w:val="bottom"/>
            <w:tcBorders>
              <w:bottom w:val="single" w:sz="8" w:color="666666"/>
              <w:right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³BSP and &lt;1.10 * BSP</w:t>
            </w:r>
          </w:p>
        </w:tc>
        <w:tc>
          <w:tcPr>
            <w:tcW w:w="2260" w:type="dxa"/>
            <w:vAlign w:val="bottom"/>
            <w:tcBorders>
              <w:bottom w:val="single" w:sz="8" w:color="666666"/>
              <w:right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³BSP and &lt;1.21 * BSP</w:t>
            </w:r>
          </w:p>
        </w:tc>
        <w:tc>
          <w:tcPr>
            <w:tcW w:w="2200" w:type="dxa"/>
            <w:vAlign w:val="bottom"/>
            <w:tcBorders>
              <w:bottom w:val="single" w:sz="8" w:color="666666"/>
              <w:right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³BSP and &lt;1.33 * BSP</w:t>
            </w:r>
          </w:p>
        </w:tc>
      </w:tr>
      <w:tr>
        <w:trPr>
          <w:trHeight w:val="154"/>
        </w:trPr>
        <w:tc>
          <w:tcPr>
            <w:tcW w:w="2960" w:type="dxa"/>
            <w:vAlign w:val="bottom"/>
            <w:tcBorders>
              <w:bottom w:val="single" w:sz="8" w:color="666666"/>
              <w:right w:val="single" w:sz="8" w:color="auto"/>
            </w:tcBorders>
          </w:tcPr>
          <w:p>
            <w:pPr>
              <w:ind w:left="60"/>
              <w:spacing w:after="0" w:line="153" w:lineRule="exact"/>
              <w:rPr>
                <w:sz w:val="20"/>
                <w:szCs w:val="20"/>
                <w:color w:val="auto"/>
              </w:rPr>
            </w:pPr>
            <w:r>
              <w:rPr>
                <w:rFonts w:ascii="Arial" w:cs="Arial" w:eastAsia="Arial" w:hAnsi="Arial"/>
                <w:sz w:val="14"/>
                <w:szCs w:val="14"/>
                <w:color w:val="auto"/>
              </w:rPr>
              <w:t>15% increase in Share Price</w:t>
            </w:r>
          </w:p>
        </w:tc>
        <w:tc>
          <w:tcPr>
            <w:tcW w:w="1240" w:type="dxa"/>
            <w:vAlign w:val="bottom"/>
            <w:tcBorders>
              <w:bottom w:val="single" w:sz="8" w:color="666666"/>
              <w:right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50% to 100%</w:t>
            </w:r>
          </w:p>
        </w:tc>
        <w:tc>
          <w:tcPr>
            <w:tcW w:w="2240" w:type="dxa"/>
            <w:vAlign w:val="bottom"/>
            <w:tcBorders>
              <w:bottom w:val="single" w:sz="8" w:color="666666"/>
              <w:right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³1.10 * BSP and &lt;1.15 * BSP</w:t>
            </w:r>
          </w:p>
        </w:tc>
        <w:tc>
          <w:tcPr>
            <w:tcW w:w="2260" w:type="dxa"/>
            <w:vAlign w:val="bottom"/>
            <w:tcBorders>
              <w:bottom w:val="single" w:sz="8" w:color="666666"/>
              <w:right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³1.21 * BSP and &lt;1.32 * BSP</w:t>
            </w:r>
          </w:p>
        </w:tc>
        <w:tc>
          <w:tcPr>
            <w:tcW w:w="2200" w:type="dxa"/>
            <w:vAlign w:val="bottom"/>
            <w:tcBorders>
              <w:bottom w:val="single" w:sz="8" w:color="666666"/>
              <w:right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³1.33 ³BSP and &lt;1.52 * BSP</w:t>
            </w:r>
          </w:p>
        </w:tc>
      </w:tr>
      <w:tr>
        <w:trPr>
          <w:trHeight w:val="154"/>
        </w:trPr>
        <w:tc>
          <w:tcPr>
            <w:tcW w:w="2960" w:type="dxa"/>
            <w:vAlign w:val="bottom"/>
            <w:tcBorders>
              <w:bottom w:val="single" w:sz="8" w:color="auto"/>
              <w:right w:val="single" w:sz="8" w:color="auto"/>
            </w:tcBorders>
          </w:tcPr>
          <w:p>
            <w:pPr>
              <w:ind w:left="60"/>
              <w:spacing w:after="0" w:line="153" w:lineRule="exact"/>
              <w:rPr>
                <w:sz w:val="20"/>
                <w:szCs w:val="20"/>
                <w:color w:val="auto"/>
              </w:rPr>
            </w:pPr>
            <w:r>
              <w:rPr>
                <w:rFonts w:ascii="Arial" w:cs="Arial" w:eastAsia="Arial" w:hAnsi="Arial"/>
                <w:sz w:val="14"/>
                <w:szCs w:val="14"/>
                <w:color w:val="auto"/>
              </w:rPr>
              <w:t>20% increase in Share Price</w:t>
            </w:r>
          </w:p>
        </w:tc>
        <w:tc>
          <w:tcPr>
            <w:tcW w:w="1240" w:type="dxa"/>
            <w:vAlign w:val="bottom"/>
            <w:tcBorders>
              <w:bottom w:val="single" w:sz="8" w:color="auto"/>
              <w:right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100% to 200%</w:t>
            </w:r>
          </w:p>
        </w:tc>
        <w:tc>
          <w:tcPr>
            <w:tcW w:w="2240" w:type="dxa"/>
            <w:vAlign w:val="bottom"/>
            <w:tcBorders>
              <w:bottom w:val="single" w:sz="8" w:color="auto"/>
              <w:right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³1.15 * BSP and &lt;1.20 * BSP</w:t>
            </w:r>
          </w:p>
        </w:tc>
        <w:tc>
          <w:tcPr>
            <w:tcW w:w="2260" w:type="dxa"/>
            <w:vAlign w:val="bottom"/>
            <w:tcBorders>
              <w:bottom w:val="single" w:sz="8" w:color="auto"/>
              <w:right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³1.32 * BSP and &lt;1.44 * BSP</w:t>
            </w:r>
          </w:p>
        </w:tc>
        <w:tc>
          <w:tcPr>
            <w:tcW w:w="2200" w:type="dxa"/>
            <w:vAlign w:val="bottom"/>
            <w:tcBorders>
              <w:bottom w:val="single" w:sz="8" w:color="auto"/>
              <w:right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³1.52 ³BSP and &lt;1.73 * BSP</w:t>
            </w:r>
          </w:p>
        </w:tc>
      </w:tr>
    </w:tbl>
    <w:p>
      <w:pPr>
        <w:spacing w:after="0" w:line="45" w:lineRule="exact"/>
        <w:rPr>
          <w:sz w:val="20"/>
          <w:szCs w:val="20"/>
          <w:color w:val="auto"/>
        </w:rPr>
      </w:pPr>
    </w:p>
    <w:p>
      <w:pPr>
        <w:ind w:left="480" w:hanging="213"/>
        <w:spacing w:after="0"/>
        <w:tabs>
          <w:tab w:leader="none" w:pos="4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Will be interpolated linearly for intermediate results within the share price range shown, up to a maximum of 200%.</w:t>
      </w:r>
    </w:p>
    <w:p>
      <w:pPr>
        <w:spacing w:after="0" w:line="39" w:lineRule="exact"/>
        <w:rPr>
          <w:rFonts w:ascii="Arial" w:cs="Arial" w:eastAsia="Arial" w:hAnsi="Arial"/>
          <w:sz w:val="14"/>
          <w:szCs w:val="14"/>
          <w:color w:val="auto"/>
        </w:rPr>
      </w:pPr>
    </w:p>
    <w:p>
      <w:pPr>
        <w:ind w:left="480" w:hanging="213"/>
        <w:spacing w:after="0"/>
        <w:tabs>
          <w:tab w:leader="none" w:pos="4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Multiplier shown to the nearest hundredth. The actual Company share price set forth in the award agreements will govern.</w:t>
      </w:r>
    </w:p>
    <w:p>
      <w:pPr>
        <w:spacing w:after="0" w:line="173" w:lineRule="exact"/>
        <w:rPr>
          <w:sz w:val="20"/>
          <w:szCs w:val="20"/>
          <w:color w:val="auto"/>
        </w:rPr>
      </w:pPr>
    </w:p>
    <w:p>
      <w:pPr>
        <w:ind w:left="260" w:right="140"/>
        <w:spacing w:after="0" w:line="253" w:lineRule="auto"/>
        <w:rPr>
          <w:sz w:val="20"/>
          <w:szCs w:val="20"/>
          <w:color w:val="auto"/>
        </w:rPr>
      </w:pPr>
      <w:r>
        <w:rPr>
          <w:rFonts w:ascii="Arial" w:cs="Arial" w:eastAsia="Arial" w:hAnsi="Arial"/>
          <w:sz w:val="14"/>
          <w:szCs w:val="14"/>
          <w:color w:val="auto"/>
        </w:rPr>
        <w:t>For the 2017 grants, if the Company’s closing share price during each trading day of December of each calendar year 2017, 2018 and 2019 does not average above $5.22, then the PSUs vest at zero and provide no value to the NEOs, a situation which occurred in 2014, 2015, 2016 and 2017.</w:t>
      </w:r>
    </w:p>
    <w:p>
      <w:pPr>
        <w:spacing w:after="0" w:line="155" w:lineRule="exact"/>
        <w:rPr>
          <w:sz w:val="20"/>
          <w:szCs w:val="20"/>
          <w:color w:val="auto"/>
        </w:rPr>
      </w:pPr>
    </w:p>
    <w:p>
      <w:pPr>
        <w:ind w:left="260" w:right="100"/>
        <w:spacing w:after="0" w:line="246" w:lineRule="auto"/>
        <w:rPr>
          <w:sz w:val="20"/>
          <w:szCs w:val="20"/>
          <w:color w:val="auto"/>
        </w:rPr>
      </w:pPr>
      <w:r>
        <w:rPr>
          <w:rFonts w:ascii="Arial" w:cs="Arial" w:eastAsia="Arial" w:hAnsi="Arial"/>
          <w:sz w:val="14"/>
          <w:szCs w:val="14"/>
          <w:color w:val="auto"/>
        </w:rPr>
        <w:t>When setting the applicable share prices used in the performance goals set forth above, the Committee considered the Company’s one-year price targets (as published by various third-party analysts), the cyclical nature of the oil and gas industry, current depressed stock prices in the industry, the volatility of the Company’s share price, and the expected timeline for improvement of the Company’s financial and operational performance.</w:t>
      </w:r>
    </w:p>
    <w:p>
      <w:pPr>
        <w:spacing w:after="0" w:line="172" w:lineRule="exact"/>
        <w:rPr>
          <w:sz w:val="20"/>
          <w:szCs w:val="20"/>
          <w:color w:val="auto"/>
        </w:rPr>
      </w:pPr>
    </w:p>
    <w:p>
      <w:pPr>
        <w:ind w:left="260" w:right="380"/>
        <w:spacing w:after="0" w:line="253" w:lineRule="auto"/>
        <w:rPr>
          <w:sz w:val="20"/>
          <w:szCs w:val="20"/>
          <w:color w:val="auto"/>
        </w:rPr>
      </w:pPr>
      <w:r>
        <w:rPr>
          <w:rFonts w:ascii="Arial" w:cs="Arial" w:eastAsia="Arial" w:hAnsi="Arial"/>
          <w:sz w:val="14"/>
          <w:szCs w:val="14"/>
          <w:color w:val="auto"/>
        </w:rPr>
        <w:t>The Committee continues to believe that linking the results of these long-term incentive awards to the Company’s share price is appropriate, as this approach aligns the financial interests of the NEOs with those of the Company’s shareholders.</w:t>
      </w:r>
    </w:p>
    <w:p>
      <w:pPr>
        <w:spacing w:after="0" w:line="350"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100"/>
        <w:spacing w:after="0" w:line="246" w:lineRule="auto"/>
        <w:rPr>
          <w:sz w:val="20"/>
          <w:szCs w:val="20"/>
          <w:color w:val="auto"/>
        </w:rPr>
      </w:pPr>
      <w:r>
        <w:rPr>
          <w:rFonts w:ascii="Arial" w:cs="Arial" w:eastAsia="Arial" w:hAnsi="Arial"/>
          <w:sz w:val="14"/>
          <w:szCs w:val="14"/>
          <w:color w:val="auto"/>
        </w:rPr>
        <w:t>We provide our NEOs with limited perquisites and other personal benefits that we believe are reasonable and consistent with the practices of our peer group. Perquisites made available to our NEOs include an annual car allowance or the use of a company car and the payment of club dues. The amounts of these perquisites are shown in the 2017 Summary Compensation Table and the related footnotes. In April 2018, we will discontinue the car allowance for all executive officers.</w:t>
      </w:r>
    </w:p>
    <w:p>
      <w:pPr>
        <w:spacing w:after="0" w:line="355"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EXPATRIATE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jc w:val="both"/>
        <w:ind w:left="260" w:right="160"/>
        <w:spacing w:after="0" w:line="246" w:lineRule="auto"/>
        <w:rPr>
          <w:sz w:val="20"/>
          <w:szCs w:val="20"/>
          <w:color w:val="auto"/>
        </w:rPr>
      </w:pPr>
      <w:r>
        <w:rPr>
          <w:rFonts w:ascii="Arial" w:cs="Arial" w:eastAsia="Arial" w:hAnsi="Arial"/>
          <w:sz w:val="14"/>
          <w:szCs w:val="14"/>
          <w:color w:val="auto"/>
        </w:rPr>
        <w:t>For our NEOs who are assigned to an international location outside of their home country or country of primary residence, we provide reasonable and customary expatriate benefits, including relocation expenses, housing allowance and educational expenses for dependent children. The types and values of perquisites for each NEO are shown in the 2017 Summary Compensation Table and notes to that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89535</wp:posOffset>
            </wp:positionV>
            <wp:extent cx="69176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388" w:lineRule="exact"/>
        <w:rPr>
          <w:sz w:val="20"/>
          <w:szCs w:val="20"/>
          <w:color w:val="auto"/>
        </w:rPr>
      </w:pPr>
    </w:p>
    <w:p>
      <w:pPr>
        <w:jc w:val="right"/>
        <w:ind w:right="20"/>
        <w:spacing w:after="0"/>
        <w:tabs>
          <w:tab w:leader="none" w:pos="160" w:val="left"/>
        </w:tabs>
        <w:rPr>
          <w:sz w:val="20"/>
          <w:szCs w:val="20"/>
          <w:color w:val="auto"/>
        </w:rPr>
      </w:pPr>
      <w:r>
        <w:rPr>
          <w:rFonts w:ascii="Arial" w:cs="Arial" w:eastAsia="Arial" w:hAnsi="Arial"/>
          <w:sz w:val="14"/>
          <w:szCs w:val="14"/>
          <w:color w:val="666666"/>
        </w:rPr>
        <w:t>Weatherford International plc — 2018 Proxy Statement</w:t>
      </w:r>
      <w:r>
        <w:rPr>
          <w:sz w:val="20"/>
          <w:szCs w:val="20"/>
          <w:color w:val="auto"/>
        </w:rPr>
        <w:tab/>
      </w:r>
      <w:r>
        <w:rPr>
          <w:rFonts w:ascii="Arial" w:cs="Arial" w:eastAsia="Arial" w:hAnsi="Arial"/>
          <w:sz w:val="14"/>
          <w:szCs w:val="14"/>
          <w:b w:val="1"/>
          <w:bCs w:val="1"/>
          <w:color w:val="666666"/>
        </w:rPr>
        <w:t>31</w:t>
      </w:r>
    </w:p>
    <w:p>
      <w:pPr>
        <w:sectPr>
          <w:pgSz w:w="11900" w:h="16838" w:orient="portrait"/>
          <w:cols w:equalWidth="0" w:num="1">
            <w:col w:w="11180"/>
          </w:cols>
          <w:pgMar w:left="240" w:top="455"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64" w:lineRule="exact"/>
        <w:rPr>
          <w:sz w:val="20"/>
          <w:szCs w:val="20"/>
          <w:color w:val="auto"/>
        </w:rPr>
      </w:pPr>
    </w:p>
    <w:p>
      <w:pPr>
        <w:ind w:left="260"/>
        <w:spacing w:after="0" w:line="243" w:lineRule="auto"/>
        <w:rPr>
          <w:sz w:val="20"/>
          <w:szCs w:val="20"/>
          <w:color w:val="auto"/>
        </w:rPr>
      </w:pPr>
      <w:r>
        <w:rPr>
          <w:rFonts w:ascii="Arial" w:cs="Arial" w:eastAsia="Arial" w:hAnsi="Arial"/>
          <w:sz w:val="14"/>
          <w:szCs w:val="14"/>
          <w:color w:val="auto"/>
        </w:rPr>
        <w:t>We also provide NEOs who are on international assignment a benefit designed to absorb the additional tax burden resulting from their assignment. We believe these benefits are standard in our industry and generally apply to non-management expatriate employees as well. We believe the level of tax benefit provided is reasonable and not excessive. Further, we believe the cost to the Company of providing this benefit is reasonable in light of the benefits we receive in having our officers assigned outside their home country.</w:t>
      </w:r>
    </w:p>
    <w:p>
      <w:pPr>
        <w:spacing w:after="0" w:line="162" w:lineRule="exact"/>
        <w:rPr>
          <w:sz w:val="20"/>
          <w:szCs w:val="20"/>
          <w:color w:val="auto"/>
        </w:rPr>
      </w:pPr>
    </w:p>
    <w:p>
      <w:pPr>
        <w:ind w:left="260" w:right="20"/>
        <w:spacing w:after="0" w:line="241" w:lineRule="auto"/>
        <w:rPr>
          <w:sz w:val="20"/>
          <w:szCs w:val="20"/>
          <w:color w:val="auto"/>
        </w:rPr>
      </w:pPr>
      <w:r>
        <w:rPr>
          <w:rFonts w:ascii="Arial" w:cs="Arial" w:eastAsia="Arial" w:hAnsi="Arial"/>
          <w:sz w:val="14"/>
          <w:szCs w:val="14"/>
          <w:color w:val="auto"/>
        </w:rPr>
        <w:t>The tax policy provided to NEOs assigned to Switzerland receiving expatriate benefits, i.e., only Mr. Bausch, follows a hypothetical tax model in which 30% of his base salary and 35% for all other incentive compensation is deducted from his salary, bonus and equity income, with no deductions and no exemptions. The fixed hypothetical tax withholding is intended to be commensurate with a typical executive’s effective home country tax rate and applies irrespective of whether the executives incur actual home country tax. Weatherford, in turn, pays income and social taxes on behalf of the executive to the extent required on company related income. NEOs are responsible for home country and Swiss tax on their personal income. Many companies use a “tax equalization” method, in which the expatriate’s taxes are calculated based on what they would be in his or her home country if he or she were not on an international assignment, and the Company reimburses the expatriate for all taxes above that amount. However, we believe the hypothetical tax approach reduces the administrative burden and costs associated with management and application of the policy.</w:t>
      </w:r>
    </w:p>
    <w:p>
      <w:pPr>
        <w:spacing w:after="0" w:line="359" w:lineRule="exact"/>
        <w:rPr>
          <w:sz w:val="20"/>
          <w:szCs w:val="20"/>
          <w:color w:val="auto"/>
        </w:rPr>
      </w:pPr>
    </w:p>
    <w:p>
      <w:pPr>
        <w:ind w:left="260"/>
        <w:spacing w:after="0"/>
        <w:rPr>
          <w:sz w:val="20"/>
          <w:szCs w:val="20"/>
          <w:color w:val="auto"/>
        </w:rPr>
      </w:pPr>
      <w:r>
        <w:rPr>
          <w:rFonts w:ascii="Arial" w:cs="Arial" w:eastAsia="Arial" w:hAnsi="Arial"/>
          <w:sz w:val="42"/>
          <w:szCs w:val="42"/>
          <w:b w:val="1"/>
          <w:bCs w:val="1"/>
          <w:color w:val="666666"/>
        </w:rPr>
        <w:t>SECTION 162(M) OF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-306070</wp:posOffset>
            </wp:positionV>
            <wp:extent cx="8223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63" w:lineRule="exact"/>
        <w:rPr>
          <w:sz w:val="20"/>
          <w:szCs w:val="20"/>
          <w:color w:val="auto"/>
        </w:rPr>
      </w:pPr>
    </w:p>
    <w:p>
      <w:pPr>
        <w:ind w:left="260" w:right="60"/>
        <w:spacing w:after="0" w:line="241" w:lineRule="auto"/>
        <w:rPr>
          <w:sz w:val="20"/>
          <w:szCs w:val="20"/>
          <w:color w:val="auto"/>
        </w:rPr>
      </w:pPr>
      <w:r>
        <w:rPr>
          <w:rFonts w:ascii="Arial" w:cs="Arial" w:eastAsia="Arial" w:hAnsi="Arial"/>
          <w:sz w:val="14"/>
          <w:szCs w:val="14"/>
          <w:color w:val="auto"/>
        </w:rPr>
        <w:t>The Committee considers the tax impact of our executive compensation programs. Section 162(m) of the Code, together with the regulations and official guidance promulgated thereunder, imposes a $1 million limitation on the deductibility of compensation paid to certain officers. As a multi-national Irish company (with Swiss tax residency), some of our executive compensation is not a U.S. tax expense, so the deduction limitation under Section 162(m) of the Code generally has a reduced impact on the Company. As part of the recent tax law changes, the exemption from Section 162(m)’s deduction limit for performance-based compensation has been repealed, effective for our 2018 year, such that where section 162(m) is applicable, compensation paid to the NEOs in excess of $1 million will not be deductible unless it qualifies for transition relief applicable to certain arrangements in place as of November 2, 2017. The Committee may take into account the potential application of Section 162(m) of the Code on compensation decisions, and it may approve compensation that may exceed the limitation in order to ensure competitive levels of compensation for our executive officers.</w:t>
      </w:r>
    </w:p>
    <w:p>
      <w:pPr>
        <w:spacing w:after="0" w:line="359" w:lineRule="exact"/>
        <w:rPr>
          <w:sz w:val="20"/>
          <w:szCs w:val="20"/>
          <w:color w:val="auto"/>
        </w:rPr>
      </w:pPr>
    </w:p>
    <w:p>
      <w:pPr>
        <w:ind w:left="260" w:right="900"/>
        <w:spacing w:after="0" w:line="275" w:lineRule="auto"/>
        <w:rPr>
          <w:sz w:val="20"/>
          <w:szCs w:val="20"/>
          <w:color w:val="auto"/>
        </w:rPr>
      </w:pPr>
      <w:r>
        <w:rPr>
          <w:rFonts w:ascii="Arial" w:cs="Arial" w:eastAsia="Arial" w:hAnsi="Arial"/>
          <w:sz w:val="43"/>
          <w:szCs w:val="43"/>
          <w:b w:val="1"/>
          <w:bCs w:val="1"/>
          <w:color w:val="666666"/>
        </w:rPr>
        <w:t>OTHER GENERALLY AVAILABLE BENEFITS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-718820</wp:posOffset>
            </wp:positionV>
            <wp:extent cx="8223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07" w:lineRule="exact"/>
        <w:rPr>
          <w:sz w:val="20"/>
          <w:szCs w:val="20"/>
          <w:color w:val="auto"/>
        </w:rPr>
      </w:pPr>
    </w:p>
    <w:p>
      <w:pPr>
        <w:jc w:val="both"/>
        <w:ind w:left="260"/>
        <w:spacing w:after="0" w:line="238" w:lineRule="auto"/>
        <w:rPr>
          <w:sz w:val="20"/>
          <w:szCs w:val="20"/>
          <w:color w:val="auto"/>
        </w:rPr>
      </w:pPr>
      <w:r>
        <w:rPr>
          <w:rFonts w:ascii="Arial" w:cs="Arial" w:eastAsia="Arial" w:hAnsi="Arial"/>
          <w:sz w:val="14"/>
          <w:szCs w:val="14"/>
          <w:color w:val="auto"/>
        </w:rPr>
        <w:t>Our NEOs are eligible for additional Company-wide benefits on the same basis as other full-time employees. These include a 401(k) plan or other pension plan depending on their jurisdiction (e.g., Switzerland), as well as health, medical and welfare programs. We also pay life insurance premiums on their behalf. Additionally, our NEOs are entitled to severance benefits under: (i) with respect to Mr. Mills, an Executive Employment Agreement; (ii) with respect to all other current NEOs, a Change in Control Agreement;</w:t>
      </w:r>
    </w:p>
    <w:p>
      <w:pPr>
        <w:spacing w:after="0" w:line="2" w:lineRule="exact"/>
        <w:rPr>
          <w:sz w:val="20"/>
          <w:szCs w:val="20"/>
          <w:color w:val="auto"/>
        </w:rPr>
      </w:pPr>
    </w:p>
    <w:p>
      <w:pPr>
        <w:ind w:left="260" w:right="140" w:firstLine="7"/>
        <w:spacing w:after="0" w:line="246" w:lineRule="auto"/>
        <w:tabs>
          <w:tab w:leader="none" w:pos="489" w:val="left"/>
        </w:tabs>
        <w:numPr>
          <w:ilvl w:val="0"/>
          <w:numId w:val="76"/>
        </w:numPr>
        <w:rPr>
          <w:rFonts w:ascii="Arial" w:cs="Arial" w:eastAsia="Arial" w:hAnsi="Arial"/>
          <w:sz w:val="14"/>
          <w:szCs w:val="14"/>
          <w:color w:val="auto"/>
        </w:rPr>
      </w:pPr>
      <w:r>
        <w:rPr>
          <w:rFonts w:ascii="Arial" w:cs="Arial" w:eastAsia="Arial" w:hAnsi="Arial"/>
          <w:sz w:val="14"/>
          <w:szCs w:val="14"/>
          <w:color w:val="auto"/>
        </w:rPr>
        <w:t>with respect to Mr. McCollum, an individually tailored inducement arrangement; and (iii) with respect to all executive officers, excluding Messrs. Mills and McCollum, our general severance guidelines. The Compensation Committee approved general severance guidelines in November 2017 for executive officers who do not have Executive Employment Agreements or other arrangements. These agreements and guidelines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225425</wp:posOffset>
            </wp:positionV>
            <wp:extent cx="8223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348" w:lineRule="exact"/>
        <w:rPr>
          <w:sz w:val="20"/>
          <w:szCs w:val="20"/>
          <w:color w:val="auto"/>
        </w:rPr>
      </w:pPr>
    </w:p>
    <w:p>
      <w:pPr>
        <w:ind w:left="260"/>
        <w:spacing w:after="0"/>
        <w:rPr>
          <w:sz w:val="20"/>
          <w:szCs w:val="20"/>
          <w:color w:val="auto"/>
        </w:rPr>
      </w:pPr>
      <w:r>
        <w:rPr>
          <w:rFonts w:ascii="Arial" w:cs="Arial" w:eastAsia="Arial" w:hAnsi="Arial"/>
          <w:sz w:val="28"/>
          <w:szCs w:val="28"/>
          <w:b w:val="1"/>
          <w:bCs w:val="1"/>
          <w:color w:val="C3002F"/>
        </w:rPr>
        <w:t>EXECUTIVE EMPLOYMENT AGREEMENTS</w:t>
      </w:r>
    </w:p>
    <w:p>
      <w:pPr>
        <w:spacing w:after="0" w:line="270" w:lineRule="exact"/>
        <w:rPr>
          <w:sz w:val="20"/>
          <w:szCs w:val="20"/>
          <w:color w:val="auto"/>
        </w:rPr>
      </w:pPr>
    </w:p>
    <w:p>
      <w:pPr>
        <w:ind w:left="260" w:right="20"/>
        <w:spacing w:after="0" w:line="243" w:lineRule="auto"/>
        <w:rPr>
          <w:sz w:val="20"/>
          <w:szCs w:val="20"/>
          <w:color w:val="auto"/>
        </w:rPr>
      </w:pPr>
      <w:r>
        <w:rPr>
          <w:rFonts w:ascii="Arial" w:cs="Arial" w:eastAsia="Arial" w:hAnsi="Arial"/>
          <w:sz w:val="14"/>
          <w:szCs w:val="14"/>
          <w:color w:val="auto"/>
        </w:rPr>
        <w:t>As we ceased entering into employment agreements in 2015, only one of our current NEOs, Mr. Mills, has an employment agreement. We gave notice of non-renewal of this agreement in January of 2018 and Mr. Mills exercised his right to terminate the agreement effective April 15, 2018. Under the terms of his employment agreement, if the Company terminates his employment for any reason other than cause, if he terminates his employment for good reason or if he is terminated as a result of death or disability, Mr. Mills is entitled to receive:</w:t>
      </w:r>
    </w:p>
    <w:p>
      <w:pPr>
        <w:spacing w:after="0" w:line="202" w:lineRule="exact"/>
        <w:rPr>
          <w:sz w:val="20"/>
          <w:szCs w:val="20"/>
          <w:color w:val="auto"/>
        </w:rPr>
      </w:pPr>
    </w:p>
    <w:p>
      <w:pPr>
        <w:ind w:left="480" w:right="20" w:hanging="213"/>
        <w:spacing w:after="0" w:line="246" w:lineRule="auto"/>
        <w:tabs>
          <w:tab w:leader="none" w:pos="480" w:val="left"/>
        </w:tabs>
        <w:numPr>
          <w:ilvl w:val="0"/>
          <w:numId w:val="77"/>
        </w:numPr>
        <w:rPr>
          <w:rFonts w:ascii="Arial" w:cs="Arial" w:eastAsia="Arial" w:hAnsi="Arial"/>
          <w:sz w:val="14"/>
          <w:szCs w:val="14"/>
          <w:color w:val="C3002F"/>
        </w:rPr>
      </w:pPr>
      <w:r>
        <w:rPr>
          <w:rFonts w:ascii="Arial" w:cs="Arial" w:eastAsia="Arial" w:hAnsi="Arial"/>
          <w:sz w:val="14"/>
          <w:szCs w:val="14"/>
          <w:color w:val="auto"/>
        </w:rPr>
        <w:t>a lump sum cash payment equal to two times (or one time upon death, disability or if Mr. Mills elects to terminate his employment following the Company’s non-renewal of the agreement in January 2018) the sum of the annual base salary received by Mr. Mills as of the date of termination plus the target level annual bonus that would be payable for the fiscal year in which termination occurs;</w:t>
      </w:r>
    </w:p>
    <w:p>
      <w:pPr>
        <w:spacing w:after="0" w:line="199" w:lineRule="exact"/>
        <w:rPr>
          <w:rFonts w:ascii="Arial" w:cs="Arial" w:eastAsia="Arial" w:hAnsi="Arial"/>
          <w:sz w:val="14"/>
          <w:szCs w:val="14"/>
          <w:color w:val="C3002F"/>
        </w:rPr>
      </w:pPr>
    </w:p>
    <w:p>
      <w:pPr>
        <w:ind w:left="480" w:hanging="213"/>
        <w:spacing w:after="0"/>
        <w:tabs>
          <w:tab w:leader="none" w:pos="480" w:val="left"/>
        </w:tabs>
        <w:numPr>
          <w:ilvl w:val="0"/>
          <w:numId w:val="77"/>
        </w:numPr>
        <w:rPr>
          <w:rFonts w:ascii="Arial" w:cs="Arial" w:eastAsia="Arial" w:hAnsi="Arial"/>
          <w:sz w:val="14"/>
          <w:szCs w:val="14"/>
          <w:color w:val="C3002F"/>
        </w:rPr>
      </w:pPr>
      <w:r>
        <w:rPr>
          <w:rFonts w:ascii="Arial" w:cs="Arial" w:eastAsia="Arial" w:hAnsi="Arial"/>
          <w:sz w:val="14"/>
          <w:szCs w:val="14"/>
          <w:color w:val="auto"/>
        </w:rPr>
        <w:t>any accrued salary, annual incentive cash compensation for the year of termination, subject to actual performance, and vacation pay, pro-rated to the date of termination;</w:t>
      </w:r>
    </w:p>
    <w:p>
      <w:pPr>
        <w:spacing w:after="0" w:line="212" w:lineRule="exact"/>
        <w:rPr>
          <w:rFonts w:ascii="Arial" w:cs="Arial" w:eastAsia="Arial" w:hAnsi="Arial"/>
          <w:sz w:val="14"/>
          <w:szCs w:val="14"/>
          <w:color w:val="C3002F"/>
        </w:rPr>
      </w:pPr>
    </w:p>
    <w:p>
      <w:pPr>
        <w:ind w:left="480" w:right="540" w:hanging="213"/>
        <w:spacing w:after="0" w:line="253" w:lineRule="auto"/>
        <w:tabs>
          <w:tab w:leader="none" w:pos="480" w:val="left"/>
        </w:tabs>
        <w:numPr>
          <w:ilvl w:val="0"/>
          <w:numId w:val="77"/>
        </w:numPr>
        <w:rPr>
          <w:rFonts w:ascii="Arial" w:cs="Arial" w:eastAsia="Arial" w:hAnsi="Arial"/>
          <w:sz w:val="14"/>
          <w:szCs w:val="14"/>
          <w:color w:val="C3002F"/>
        </w:rPr>
      </w:pPr>
      <w:r>
        <w:rPr>
          <w:rFonts w:ascii="Arial" w:cs="Arial" w:eastAsia="Arial" w:hAnsi="Arial"/>
          <w:sz w:val="14"/>
          <w:szCs w:val="14"/>
          <w:color w:val="auto"/>
        </w:rPr>
        <w:t>continuation for two years (or one year upon death, disability or the Company’s non-renewal of the agreement) of all dental and health benefits, provided Mr. Mills remains responsible for his monthly employee contribution; and</w:t>
      </w:r>
    </w:p>
    <w:p>
      <w:pPr>
        <w:spacing w:after="0" w:line="194" w:lineRule="exact"/>
        <w:rPr>
          <w:rFonts w:ascii="Arial" w:cs="Arial" w:eastAsia="Arial" w:hAnsi="Arial"/>
          <w:sz w:val="14"/>
          <w:szCs w:val="14"/>
          <w:color w:val="C3002F"/>
        </w:rPr>
      </w:pPr>
    </w:p>
    <w:p>
      <w:pPr>
        <w:ind w:left="480" w:hanging="213"/>
        <w:spacing w:after="0"/>
        <w:tabs>
          <w:tab w:leader="none" w:pos="480" w:val="left"/>
        </w:tabs>
        <w:numPr>
          <w:ilvl w:val="0"/>
          <w:numId w:val="77"/>
        </w:numPr>
        <w:rPr>
          <w:rFonts w:ascii="Arial" w:cs="Arial" w:eastAsia="Arial" w:hAnsi="Arial"/>
          <w:sz w:val="14"/>
          <w:szCs w:val="14"/>
          <w:color w:val="C3002F"/>
        </w:rPr>
      </w:pPr>
      <w:r>
        <w:rPr>
          <w:rFonts w:ascii="Arial" w:cs="Arial" w:eastAsia="Arial" w:hAnsi="Arial"/>
          <w:sz w:val="14"/>
          <w:szCs w:val="14"/>
          <w:color w:val="auto"/>
        </w:rPr>
        <w:t>reasonable outplacement services upon request for a period of up to six months beginning with the first full month after termination.</w:t>
      </w:r>
    </w:p>
    <w:p>
      <w:pPr>
        <w:spacing w:after="0" w:line="173" w:lineRule="exact"/>
        <w:rPr>
          <w:sz w:val="20"/>
          <w:szCs w:val="20"/>
          <w:color w:val="auto"/>
        </w:rPr>
      </w:pPr>
    </w:p>
    <w:p>
      <w:pPr>
        <w:ind w:left="260" w:right="240"/>
        <w:spacing w:after="0" w:line="246" w:lineRule="auto"/>
        <w:rPr>
          <w:sz w:val="20"/>
          <w:szCs w:val="20"/>
          <w:color w:val="auto"/>
        </w:rPr>
      </w:pPr>
      <w:r>
        <w:rPr>
          <w:rFonts w:ascii="Arial" w:cs="Arial" w:eastAsia="Arial" w:hAnsi="Arial"/>
          <w:sz w:val="14"/>
          <w:szCs w:val="14"/>
          <w:color w:val="auto"/>
        </w:rPr>
        <w:t>We agreed to pay legal fees and expenses reasonably incurred by Mr. Mills in any disputes regarding the Executive Employment Agreement, so long as he undertakes to reimburse the Company for those fees and expenses if the executive acts in bad faith in connection with the dispute. Benefits potentially payable to Mr. Mills under his employment agreement are further described under “Potential Payments upon Termination or Change of Control” beginning on page 42.</w:t>
      </w:r>
    </w:p>
    <w:p>
      <w:pPr>
        <w:spacing w:after="0" w:line="172" w:lineRule="exact"/>
        <w:rPr>
          <w:sz w:val="20"/>
          <w:szCs w:val="20"/>
          <w:color w:val="auto"/>
        </w:rPr>
      </w:pPr>
    </w:p>
    <w:p>
      <w:pPr>
        <w:ind w:left="260" w:right="100"/>
        <w:spacing w:after="0" w:line="253" w:lineRule="auto"/>
        <w:rPr>
          <w:sz w:val="20"/>
          <w:szCs w:val="20"/>
          <w:color w:val="auto"/>
        </w:rPr>
      </w:pPr>
      <w:r>
        <w:rPr>
          <w:rFonts w:ascii="Arial" w:cs="Arial" w:eastAsia="Arial" w:hAnsi="Arial"/>
          <w:sz w:val="14"/>
          <w:szCs w:val="14"/>
          <w:color w:val="auto"/>
        </w:rPr>
        <w:t>Mr. Shivram also had an employment agreement when he departed the Company. The material terms of his agreement were the same as the terms of Mr. Mills’ agreement, described above, however, his “applicable multiple” described in the first bullet above was three times versus two times for Mr.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86360</wp:posOffset>
            </wp:positionV>
            <wp:extent cx="69176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ectPr>
          <w:pgSz w:w="11900" w:h="16838" w:orient="portrait"/>
          <w:cols w:equalWidth="0" w:num="1">
            <w:col w:w="11160"/>
          </w:cols>
          <w:pgMar w:left="240" w:top="456" w:right="49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620" w:hanging="353"/>
        <w:spacing w:after="0"/>
        <w:tabs>
          <w:tab w:leader="none" w:pos="620" w:val="left"/>
        </w:tabs>
        <w:numPr>
          <w:ilvl w:val="0"/>
          <w:numId w:val="78"/>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2018 Proxy Statement</w:t>
      </w:r>
    </w:p>
    <w:p>
      <w:pPr>
        <w:sectPr>
          <w:pgSz w:w="11900" w:h="16838" w:orient="portrait"/>
          <w:cols w:equalWidth="0" w:num="1">
            <w:col w:w="11160"/>
          </w:cols>
          <w:pgMar w:left="240" w:top="456" w:right="49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338455</wp:posOffset>
            </wp:positionV>
            <wp:extent cx="8223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260"/>
        <w:spacing w:after="0"/>
        <w:rPr>
          <w:sz w:val="20"/>
          <w:szCs w:val="20"/>
          <w:color w:val="auto"/>
        </w:rPr>
      </w:pPr>
      <w:r>
        <w:rPr>
          <w:rFonts w:ascii="Arial" w:cs="Arial" w:eastAsia="Arial" w:hAnsi="Arial"/>
          <w:sz w:val="28"/>
          <w:szCs w:val="28"/>
          <w:b w:val="1"/>
          <w:bCs w:val="1"/>
          <w:color w:val="C3002F"/>
        </w:rPr>
        <w:t>CHANGE IN CONTROL AGREEMENT</w:t>
      </w:r>
    </w:p>
    <w:p>
      <w:pPr>
        <w:spacing w:after="0" w:line="270" w:lineRule="exact"/>
        <w:rPr>
          <w:sz w:val="20"/>
          <w:szCs w:val="20"/>
          <w:color w:val="auto"/>
        </w:rPr>
      </w:pPr>
    </w:p>
    <w:p>
      <w:pPr>
        <w:ind w:left="260" w:right="60"/>
        <w:spacing w:after="0" w:line="242" w:lineRule="auto"/>
        <w:rPr>
          <w:sz w:val="20"/>
          <w:szCs w:val="20"/>
          <w:color w:val="auto"/>
        </w:rPr>
      </w:pPr>
      <w:r>
        <w:rPr>
          <w:rFonts w:ascii="Arial" w:cs="Arial" w:eastAsia="Arial" w:hAnsi="Arial"/>
          <w:sz w:val="14"/>
          <w:szCs w:val="14"/>
          <w:color w:val="auto"/>
        </w:rPr>
        <w:t>Each of our other current NEOs, Mr. McCollum, Mr. Bausch, Mrs. Ibrahim and Mr. Blanchard, as used in this section, the “executives,” are party to a Change in Control Agreement (the “CIC Agreement”) with the Company. The benefits provided to the executives in the event of a change of control of the Company are designed to allow them to assess takeover bids objectively and focus solely on the best interests of shareholders. In general, a change of control will occur if (i) another person becomes owner of 30% or more of the combined voting power of our stock, (ii) there is a change in a majority of the members of the then- incumbent Board, or (iii) our shareholders approve a merger with another entity in which our shareholders fail to own more than 50% of the combine voting power of the surviving entity.</w:t>
      </w:r>
    </w:p>
    <w:p>
      <w:pPr>
        <w:spacing w:after="0" w:line="163" w:lineRule="exact"/>
        <w:rPr>
          <w:sz w:val="20"/>
          <w:szCs w:val="20"/>
          <w:color w:val="auto"/>
        </w:rPr>
      </w:pPr>
    </w:p>
    <w:p>
      <w:pPr>
        <w:ind w:left="260" w:right="120"/>
        <w:spacing w:after="0" w:line="243" w:lineRule="auto"/>
        <w:rPr>
          <w:sz w:val="20"/>
          <w:szCs w:val="20"/>
          <w:color w:val="auto"/>
        </w:rPr>
      </w:pPr>
      <w:r>
        <w:rPr>
          <w:rFonts w:ascii="Arial" w:cs="Arial" w:eastAsia="Arial" w:hAnsi="Arial"/>
          <w:sz w:val="14"/>
          <w:szCs w:val="14"/>
          <w:color w:val="auto"/>
        </w:rPr>
        <w:t>The CIC Agreement has a term of two years, subject to automatic renewal for successive two-year periods if a change of control has not occurred, unless the Company provides notice of its intent not to renew the CIC Agreement. Under the terms of the CIC Agreement, if, during the term of the CIC Agreement, employment is terminated by the Company or its successor within six months preceding or at any time following a change of control of the Company, other than for “cause,” or by the executive for “good reason,” as those terms are defined in the agreement, they are entitled to receive:</w:t>
      </w:r>
    </w:p>
    <w:p>
      <w:pPr>
        <w:spacing w:after="0" w:line="202" w:lineRule="exact"/>
        <w:rPr>
          <w:sz w:val="20"/>
          <w:szCs w:val="20"/>
          <w:color w:val="auto"/>
        </w:rPr>
      </w:pPr>
    </w:p>
    <w:p>
      <w:pPr>
        <w:ind w:left="480" w:right="300" w:hanging="213"/>
        <w:spacing w:after="0" w:line="253" w:lineRule="auto"/>
        <w:tabs>
          <w:tab w:leader="none" w:pos="480" w:val="left"/>
        </w:tabs>
        <w:numPr>
          <w:ilvl w:val="0"/>
          <w:numId w:val="79"/>
        </w:numPr>
        <w:rPr>
          <w:rFonts w:ascii="Arial" w:cs="Arial" w:eastAsia="Arial" w:hAnsi="Arial"/>
          <w:sz w:val="14"/>
          <w:szCs w:val="14"/>
          <w:color w:val="C3002F"/>
        </w:rPr>
      </w:pPr>
      <w:r>
        <w:rPr>
          <w:rFonts w:ascii="Arial" w:cs="Arial" w:eastAsia="Arial" w:hAnsi="Arial"/>
          <w:sz w:val="14"/>
          <w:szCs w:val="14"/>
          <w:color w:val="auto"/>
        </w:rPr>
        <w:t>a lump sum cash payment equal to three times the sum of the highest base salary received in the preceding three years and the annual incentive cash compensation averaged over the preceding three years;</w:t>
      </w:r>
    </w:p>
    <w:p>
      <w:pPr>
        <w:spacing w:after="0" w:line="194" w:lineRule="exact"/>
        <w:rPr>
          <w:rFonts w:ascii="Arial" w:cs="Arial" w:eastAsia="Arial" w:hAnsi="Arial"/>
          <w:sz w:val="14"/>
          <w:szCs w:val="14"/>
          <w:color w:val="C3002F"/>
        </w:rPr>
      </w:pPr>
    </w:p>
    <w:p>
      <w:pPr>
        <w:ind w:left="480" w:hanging="213"/>
        <w:spacing w:after="0"/>
        <w:tabs>
          <w:tab w:leader="none" w:pos="480" w:val="left"/>
        </w:tabs>
        <w:numPr>
          <w:ilvl w:val="0"/>
          <w:numId w:val="79"/>
        </w:numPr>
        <w:rPr>
          <w:rFonts w:ascii="Arial" w:cs="Arial" w:eastAsia="Arial" w:hAnsi="Arial"/>
          <w:sz w:val="14"/>
          <w:szCs w:val="14"/>
          <w:color w:val="C3002F"/>
        </w:rPr>
      </w:pPr>
      <w:r>
        <w:rPr>
          <w:rFonts w:ascii="Arial" w:cs="Arial" w:eastAsia="Arial" w:hAnsi="Arial"/>
          <w:sz w:val="14"/>
          <w:szCs w:val="14"/>
          <w:color w:val="auto"/>
        </w:rPr>
        <w:t>any accrued salary, target annual incentive cash compensation for the year of termination and vacation pay, pro-rated to the date of termination;</w:t>
      </w:r>
    </w:p>
    <w:p>
      <w:pPr>
        <w:spacing w:after="0" w:line="212" w:lineRule="exact"/>
        <w:rPr>
          <w:rFonts w:ascii="Arial" w:cs="Arial" w:eastAsia="Arial" w:hAnsi="Arial"/>
          <w:sz w:val="14"/>
          <w:szCs w:val="14"/>
          <w:color w:val="C3002F"/>
        </w:rPr>
      </w:pPr>
    </w:p>
    <w:p>
      <w:pPr>
        <w:ind w:left="480" w:hanging="213"/>
        <w:spacing w:after="0"/>
        <w:tabs>
          <w:tab w:leader="none" w:pos="480" w:val="left"/>
        </w:tabs>
        <w:numPr>
          <w:ilvl w:val="0"/>
          <w:numId w:val="79"/>
        </w:numPr>
        <w:rPr>
          <w:rFonts w:ascii="Arial" w:cs="Arial" w:eastAsia="Arial" w:hAnsi="Arial"/>
          <w:sz w:val="14"/>
          <w:szCs w:val="14"/>
          <w:color w:val="C3002F"/>
        </w:rPr>
      </w:pPr>
      <w:r>
        <w:rPr>
          <w:rFonts w:ascii="Arial" w:cs="Arial" w:eastAsia="Arial" w:hAnsi="Arial"/>
          <w:sz w:val="14"/>
          <w:szCs w:val="14"/>
          <w:color w:val="auto"/>
        </w:rPr>
        <w:t>continuation for three years of all dental and health benefits, provided they remain responsible for the monthly employee contribution; and</w:t>
      </w:r>
    </w:p>
    <w:p>
      <w:pPr>
        <w:spacing w:after="0" w:line="212" w:lineRule="exact"/>
        <w:rPr>
          <w:rFonts w:ascii="Arial" w:cs="Arial" w:eastAsia="Arial" w:hAnsi="Arial"/>
          <w:sz w:val="14"/>
          <w:szCs w:val="14"/>
          <w:color w:val="C3002F"/>
        </w:rPr>
      </w:pPr>
    </w:p>
    <w:p>
      <w:pPr>
        <w:ind w:left="480" w:hanging="213"/>
        <w:spacing w:after="0"/>
        <w:tabs>
          <w:tab w:leader="none" w:pos="480" w:val="left"/>
        </w:tabs>
        <w:numPr>
          <w:ilvl w:val="0"/>
          <w:numId w:val="79"/>
        </w:numPr>
        <w:rPr>
          <w:rFonts w:ascii="Arial" w:cs="Arial" w:eastAsia="Arial" w:hAnsi="Arial"/>
          <w:sz w:val="14"/>
          <w:szCs w:val="14"/>
          <w:color w:val="C3002F"/>
        </w:rPr>
      </w:pPr>
      <w:r>
        <w:rPr>
          <w:rFonts w:ascii="Arial" w:cs="Arial" w:eastAsia="Arial" w:hAnsi="Arial"/>
          <w:sz w:val="14"/>
          <w:szCs w:val="14"/>
          <w:color w:val="auto"/>
        </w:rPr>
        <w:t>reasonable outplacement services upon request for a period of up to six months beginning with the first full month after termination.</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Pursuant to the CIC Agreement, the executives are subject to a customary non-solicitation covenant that lasts during the period of employment and for one year thereafter.</w:t>
      </w:r>
    </w:p>
    <w:p>
      <w:pPr>
        <w:spacing w:after="0" w:line="186" w:lineRule="exact"/>
        <w:rPr>
          <w:sz w:val="20"/>
          <w:szCs w:val="20"/>
          <w:color w:val="auto"/>
        </w:rPr>
      </w:pPr>
    </w:p>
    <w:p>
      <w:pPr>
        <w:ind w:left="260" w:right="20"/>
        <w:spacing w:after="0" w:line="243" w:lineRule="auto"/>
        <w:rPr>
          <w:sz w:val="20"/>
          <w:szCs w:val="20"/>
          <w:color w:val="auto"/>
        </w:rPr>
      </w:pPr>
      <w:r>
        <w:rPr>
          <w:rFonts w:ascii="Arial" w:cs="Arial" w:eastAsia="Arial" w:hAnsi="Arial"/>
          <w:sz w:val="14"/>
          <w:szCs w:val="14"/>
          <w:color w:val="auto"/>
        </w:rPr>
        <w:t>Upon a change of control, the executive’s equity awards will vest, any applicable forfeiture restrictions will lapse and the multiplier for the PSUs granted after January 1, 2016 will be 2x. We have agreed to pay legal fees and expenses reasonably incurred by the executives in any disputes regarding the change of control, provided that they agree to reimburse for those fees and expenses if they act in bad faith in connection with any dispute. Benefits potentially payable to the executives under CIC Agreements are further described under “Potential Payments upon Termination or Change of Control” beginning on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227330</wp:posOffset>
            </wp:positionV>
            <wp:extent cx="822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351" w:lineRule="exact"/>
        <w:rPr>
          <w:sz w:val="20"/>
          <w:szCs w:val="20"/>
          <w:color w:val="auto"/>
        </w:rPr>
      </w:pPr>
    </w:p>
    <w:p>
      <w:pPr>
        <w:ind w:left="260"/>
        <w:spacing w:after="0"/>
        <w:rPr>
          <w:sz w:val="20"/>
          <w:szCs w:val="20"/>
          <w:color w:val="auto"/>
        </w:rPr>
      </w:pPr>
      <w:r>
        <w:rPr>
          <w:rFonts w:ascii="Arial" w:cs="Arial" w:eastAsia="Arial" w:hAnsi="Arial"/>
          <w:sz w:val="28"/>
          <w:szCs w:val="28"/>
          <w:b w:val="1"/>
          <w:bCs w:val="1"/>
          <w:color w:val="C3002F"/>
        </w:rPr>
        <w:t>EXECUTIVE SEVERANCE GUIDELINES</w:t>
      </w:r>
    </w:p>
    <w:p>
      <w:pPr>
        <w:spacing w:after="0" w:line="270" w:lineRule="exact"/>
        <w:rPr>
          <w:sz w:val="20"/>
          <w:szCs w:val="20"/>
          <w:color w:val="auto"/>
        </w:rPr>
      </w:pPr>
    </w:p>
    <w:p>
      <w:pPr>
        <w:ind w:left="260" w:right="140"/>
        <w:spacing w:after="0" w:line="246" w:lineRule="auto"/>
        <w:rPr>
          <w:sz w:val="20"/>
          <w:szCs w:val="20"/>
          <w:color w:val="auto"/>
        </w:rPr>
      </w:pPr>
      <w:r>
        <w:rPr>
          <w:rFonts w:ascii="Arial" w:cs="Arial" w:eastAsia="Arial" w:hAnsi="Arial"/>
          <w:sz w:val="14"/>
          <w:szCs w:val="14"/>
          <w:color w:val="auto"/>
        </w:rPr>
        <w:t>In November 2017, the Committee determined it was in the best interest of the Company to adopt a framework for severance arrangements for corporate officers, including executive officers without employment contracts or other arrangements. This framework, which we refer to as our executive severance guidelines, is designed to set consistent parameters for corporate officers who are terminated for reasons other than performance or cause and include payments as follows:</w:t>
      </w:r>
    </w:p>
    <w:p>
      <w:pPr>
        <w:spacing w:after="0" w:line="199" w:lineRule="exact"/>
        <w:rPr>
          <w:sz w:val="20"/>
          <w:szCs w:val="20"/>
          <w:color w:val="auto"/>
        </w:rPr>
      </w:pPr>
    </w:p>
    <w:p>
      <w:pPr>
        <w:ind w:left="480" w:hanging="213"/>
        <w:spacing w:after="0"/>
        <w:tabs>
          <w:tab w:leader="none" w:pos="480" w:val="left"/>
        </w:tabs>
        <w:numPr>
          <w:ilvl w:val="0"/>
          <w:numId w:val="80"/>
        </w:numPr>
        <w:rPr>
          <w:rFonts w:ascii="Arial" w:cs="Arial" w:eastAsia="Arial" w:hAnsi="Arial"/>
          <w:sz w:val="14"/>
          <w:szCs w:val="14"/>
          <w:color w:val="C3002F"/>
        </w:rPr>
      </w:pPr>
      <w:r>
        <w:rPr>
          <w:rFonts w:ascii="Arial" w:cs="Arial" w:eastAsia="Arial" w:hAnsi="Arial"/>
          <w:sz w:val="14"/>
          <w:szCs w:val="14"/>
          <w:color w:val="auto"/>
        </w:rPr>
        <w:t>Cash Amount (Salary Based): 12 to 18 months of base salary.</w:t>
      </w:r>
    </w:p>
    <w:p>
      <w:pPr>
        <w:spacing w:after="0" w:line="212" w:lineRule="exact"/>
        <w:rPr>
          <w:rFonts w:ascii="Arial" w:cs="Arial" w:eastAsia="Arial" w:hAnsi="Arial"/>
          <w:sz w:val="14"/>
          <w:szCs w:val="14"/>
          <w:color w:val="C3002F"/>
        </w:rPr>
      </w:pPr>
    </w:p>
    <w:p>
      <w:pPr>
        <w:ind w:left="480" w:right="140" w:hanging="213"/>
        <w:spacing w:after="0" w:line="253" w:lineRule="auto"/>
        <w:tabs>
          <w:tab w:leader="none" w:pos="480" w:val="left"/>
        </w:tabs>
        <w:numPr>
          <w:ilvl w:val="0"/>
          <w:numId w:val="80"/>
        </w:numPr>
        <w:rPr>
          <w:rFonts w:ascii="Arial" w:cs="Arial" w:eastAsia="Arial" w:hAnsi="Arial"/>
          <w:sz w:val="14"/>
          <w:szCs w:val="14"/>
          <w:color w:val="C3002F"/>
        </w:rPr>
      </w:pPr>
      <w:r>
        <w:rPr>
          <w:rFonts w:ascii="Arial" w:cs="Arial" w:eastAsia="Arial" w:hAnsi="Arial"/>
          <w:sz w:val="14"/>
          <w:szCs w:val="14"/>
          <w:color w:val="auto"/>
        </w:rPr>
        <w:t>Cash Amount (EICP/Bonus Based): If terminated in the first half of any fiscal year, none; if terminated in second half of any fiscal year, a pro-rata bonus based on actual achievement may be part of the severance package at the discretion of the CEO.</w:t>
      </w:r>
    </w:p>
    <w:p>
      <w:pPr>
        <w:spacing w:after="0" w:line="194" w:lineRule="exact"/>
        <w:rPr>
          <w:rFonts w:ascii="Arial" w:cs="Arial" w:eastAsia="Arial" w:hAnsi="Arial"/>
          <w:sz w:val="14"/>
          <w:szCs w:val="14"/>
          <w:color w:val="C3002F"/>
        </w:rPr>
      </w:pPr>
    </w:p>
    <w:p>
      <w:pPr>
        <w:ind w:left="480" w:hanging="213"/>
        <w:spacing w:after="0" w:line="253" w:lineRule="auto"/>
        <w:tabs>
          <w:tab w:leader="none" w:pos="480" w:val="left"/>
        </w:tabs>
        <w:numPr>
          <w:ilvl w:val="0"/>
          <w:numId w:val="80"/>
        </w:numPr>
        <w:rPr>
          <w:rFonts w:ascii="Arial" w:cs="Arial" w:eastAsia="Arial" w:hAnsi="Arial"/>
          <w:sz w:val="14"/>
          <w:szCs w:val="14"/>
          <w:color w:val="C3002F"/>
        </w:rPr>
      </w:pPr>
      <w:r>
        <w:rPr>
          <w:rFonts w:ascii="Arial" w:cs="Arial" w:eastAsia="Arial" w:hAnsi="Arial"/>
          <w:sz w:val="14"/>
          <w:szCs w:val="14"/>
          <w:color w:val="auto"/>
        </w:rPr>
        <w:t>Equity Amount: RSUs vesting in the 12 months following termination may be accelerated or cash in lieu may be provided, each at the discretion of the CEO. No action will be taken with respect to PSUs which will be forfeited.</w:t>
      </w:r>
    </w:p>
    <w:p>
      <w:pPr>
        <w:spacing w:after="0" w:line="350"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SEVERANCE AND TERMINATION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100"/>
        <w:spacing w:after="0" w:line="241" w:lineRule="auto"/>
        <w:rPr>
          <w:sz w:val="20"/>
          <w:szCs w:val="20"/>
          <w:color w:val="auto"/>
        </w:rPr>
      </w:pPr>
      <w:r>
        <w:rPr>
          <w:rFonts w:ascii="Arial" w:cs="Arial" w:eastAsia="Arial" w:hAnsi="Arial"/>
          <w:sz w:val="14"/>
          <w:szCs w:val="14"/>
          <w:color w:val="auto"/>
        </w:rPr>
        <w:t>In the past, the Committee determined that offering severance benefits (which may be payable in the event of a qualifying termination of employment prior to or following a change of control) is beneficial in recruiting and retaining executives and also encourages the retention of our officers during the pendency of a potential change of control transaction or other organizational changes within the Company. Our severance benefits and protections are, and were, intended to provide for payment to the NEOs in the event their employment with the Company is involuntarily terminated without cause (including in case of death or disability) or they resign for good reason and to encourage the NEOs to continue employment in the event of a potential “change of control.” The Committee believes that these benefits enhanced shareholder value and aligned our officers’ interests with those of our shareholders.</w:t>
      </w:r>
    </w:p>
    <w:p>
      <w:pPr>
        <w:spacing w:after="0" w:line="165" w:lineRule="exact"/>
        <w:rPr>
          <w:sz w:val="20"/>
          <w:szCs w:val="20"/>
          <w:color w:val="auto"/>
        </w:rPr>
      </w:pPr>
    </w:p>
    <w:p>
      <w:pPr>
        <w:jc w:val="both"/>
        <w:ind w:left="260" w:right="200"/>
        <w:spacing w:after="0" w:line="246" w:lineRule="auto"/>
        <w:rPr>
          <w:sz w:val="20"/>
          <w:szCs w:val="20"/>
          <w:color w:val="auto"/>
        </w:rPr>
      </w:pPr>
      <w:r>
        <w:rPr>
          <w:rFonts w:ascii="Arial" w:cs="Arial" w:eastAsia="Arial" w:hAnsi="Arial"/>
          <w:sz w:val="14"/>
          <w:szCs w:val="14"/>
          <w:color w:val="auto"/>
        </w:rPr>
        <w:t>In March 2015, the Board of Directors, on the recommendation of the Compensation Committee, determined that the Company will not enter into employment agreements with future executive officers; as such, only Mr. Mills has an employment agreement, and for which notice of non-renewal was given in January of 2018. In connection with the non-renewal, Mr. Mills has elected to terminate his employment effective April 15, 2018. As described above, each of our other NEOs are party to a CIC Agreement.</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Given our Company’s policy since 2015 of no new employment agreements, to recruit and retain executives, the Committee approved the following:</w:t>
      </w:r>
    </w:p>
    <w:p>
      <w:pPr>
        <w:spacing w:after="0" w:line="213" w:lineRule="exact"/>
        <w:rPr>
          <w:sz w:val="20"/>
          <w:szCs w:val="20"/>
          <w:color w:val="auto"/>
        </w:rPr>
      </w:pPr>
    </w:p>
    <w:p>
      <w:pPr>
        <w:ind w:left="480" w:right="120" w:hanging="213"/>
        <w:spacing w:after="0" w:line="253" w:lineRule="auto"/>
        <w:tabs>
          <w:tab w:leader="none" w:pos="480" w:val="left"/>
        </w:tabs>
        <w:numPr>
          <w:ilvl w:val="0"/>
          <w:numId w:val="81"/>
        </w:numPr>
        <w:rPr>
          <w:rFonts w:ascii="Arial" w:cs="Arial" w:eastAsia="Arial" w:hAnsi="Arial"/>
          <w:sz w:val="14"/>
          <w:szCs w:val="14"/>
          <w:color w:val="C3002F"/>
        </w:rPr>
      </w:pPr>
      <w:r>
        <w:rPr>
          <w:rFonts w:ascii="Arial" w:cs="Arial" w:eastAsia="Arial" w:hAnsi="Arial"/>
          <w:sz w:val="14"/>
          <w:szCs w:val="14"/>
          <w:color w:val="auto"/>
        </w:rPr>
        <w:t>for Mr. McCollum, in the event he is terminated by the Company without “cause” or he leaves for “good reason,” each as defined in the CIC Agreements (see above), he will receive cash in an amount equal to two times base salary and his $3 million RSU inducement award (consisting of 548,446 RSUs) will vest;</w:t>
      </w:r>
    </w:p>
    <w:p>
      <w:pPr>
        <w:spacing w:after="0" w:line="194" w:lineRule="exact"/>
        <w:rPr>
          <w:rFonts w:ascii="Arial" w:cs="Arial" w:eastAsia="Arial" w:hAnsi="Arial"/>
          <w:sz w:val="14"/>
          <w:szCs w:val="14"/>
          <w:color w:val="C3002F"/>
        </w:rPr>
      </w:pPr>
    </w:p>
    <w:p>
      <w:pPr>
        <w:ind w:left="480" w:hanging="213"/>
        <w:spacing w:after="0"/>
        <w:tabs>
          <w:tab w:leader="none" w:pos="480" w:val="left"/>
        </w:tabs>
        <w:numPr>
          <w:ilvl w:val="0"/>
          <w:numId w:val="81"/>
        </w:numPr>
        <w:rPr>
          <w:rFonts w:ascii="Arial" w:cs="Arial" w:eastAsia="Arial" w:hAnsi="Arial"/>
          <w:sz w:val="14"/>
          <w:szCs w:val="14"/>
          <w:color w:val="C3002F"/>
        </w:rPr>
      </w:pPr>
      <w:r>
        <w:rPr>
          <w:rFonts w:ascii="Arial" w:cs="Arial" w:eastAsia="Arial" w:hAnsi="Arial"/>
          <w:sz w:val="14"/>
          <w:szCs w:val="14"/>
          <w:color w:val="auto"/>
        </w:rPr>
        <w:t>for all other NEOs without an employment agreement, application of the severance guidelines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106680</wp:posOffset>
            </wp:positionV>
            <wp:extent cx="69176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ectPr>
          <w:pgSz w:w="11900" w:h="16838" w:orient="portrait"/>
          <w:cols w:equalWidth="0" w:num="1">
            <w:col w:w="11160"/>
          </w:cols>
          <w:pgMar w:left="240" w:top="455" w:right="49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7360"/>
        <w:spacing w:after="0"/>
        <w:tabs>
          <w:tab w:leader="none" w:pos="10980" w:val="left"/>
        </w:tabs>
        <w:rPr>
          <w:sz w:val="20"/>
          <w:szCs w:val="20"/>
          <w:color w:val="auto"/>
        </w:rPr>
      </w:pPr>
      <w:r>
        <w:rPr>
          <w:rFonts w:ascii="Arial" w:cs="Arial" w:eastAsia="Arial" w:hAnsi="Arial"/>
          <w:sz w:val="14"/>
          <w:szCs w:val="14"/>
          <w:color w:val="666666"/>
        </w:rPr>
        <w:t>Weatherford International plc — 2018 Proxy Statement</w:t>
      </w:r>
      <w:r>
        <w:rPr>
          <w:sz w:val="20"/>
          <w:szCs w:val="20"/>
          <w:color w:val="auto"/>
        </w:rPr>
        <w:tab/>
      </w:r>
      <w:r>
        <w:rPr>
          <w:rFonts w:ascii="Arial" w:cs="Arial" w:eastAsia="Arial" w:hAnsi="Arial"/>
          <w:sz w:val="14"/>
          <w:szCs w:val="14"/>
          <w:b w:val="1"/>
          <w:bCs w:val="1"/>
          <w:color w:val="666666"/>
        </w:rPr>
        <w:t>33</w:t>
      </w:r>
    </w:p>
    <w:p>
      <w:pPr>
        <w:sectPr>
          <w:pgSz w:w="11900" w:h="16838" w:orient="portrait"/>
          <w:cols w:equalWidth="0" w:num="1">
            <w:col w:w="11160"/>
          </w:cols>
          <w:pgMar w:left="240" w:top="455" w:right="49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64" w:lineRule="exact"/>
        <w:rPr>
          <w:sz w:val="20"/>
          <w:szCs w:val="20"/>
          <w:color w:val="auto"/>
        </w:rPr>
      </w:pPr>
    </w:p>
    <w:p>
      <w:pPr>
        <w:ind w:left="260" w:right="60"/>
        <w:spacing w:after="0" w:line="246" w:lineRule="auto"/>
        <w:rPr>
          <w:sz w:val="20"/>
          <w:szCs w:val="20"/>
          <w:color w:val="auto"/>
        </w:rPr>
      </w:pPr>
      <w:r>
        <w:rPr>
          <w:rFonts w:ascii="Arial" w:cs="Arial" w:eastAsia="Arial" w:hAnsi="Arial"/>
          <w:sz w:val="14"/>
          <w:szCs w:val="14"/>
          <w:color w:val="auto"/>
        </w:rPr>
        <w:t>The potential payments that each of our NEOs would have received if a termination of employment had occurred on December 31, 2017, under their respective agreements, arrangements and the executive severance guidelines are set forth under the section entitled “Potential Payments Upon Termination or Change of Control” beginning on page 42.</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 connection with the separation of Mr. Shivram, our former interim CEO and former CFO who left the Company March 6, 2017, and was party to a legacy employment agreement, the Company paid Mr. Shivram accrued vacation of $39,664, and an additional amount of $4,500,000 (representing three times the sum of base salary plus annual bonus calculated at a target level), plus interest at 3.5% per annum on amounts delayed from payment under 409A of the Code at $74,438. Mr. Shivram also received supplemental payments as described on page 26. Further, in settlement of long-term equity-based incentive awards, Mr. Shivram received a gross distribution of 731,971 shares of the Company’s stock. At the election of Mr. Shivram, shares were withheld to satisfy the minimum tax withholding requirements. The Company agreed to provide Mr. Shivram, upon request, with outplacement services, at a cost of up to $35,000. In addition, Mr. Shivram will receive continued medical and dental coverage for three years from his separation date, provided he makes his monthly employee contribution. All payments and benefits were paid, or will be paid, pursuant to the terms of Mr. Shivram’s employment and equity award agreements.</w:t>
      </w:r>
    </w:p>
    <w:p>
      <w:pPr>
        <w:spacing w:after="0" w:line="167" w:lineRule="exact"/>
        <w:rPr>
          <w:sz w:val="20"/>
          <w:szCs w:val="20"/>
          <w:color w:val="auto"/>
        </w:rPr>
      </w:pPr>
    </w:p>
    <w:p>
      <w:pPr>
        <w:ind w:left="260" w:right="100"/>
        <w:spacing w:after="0" w:line="246" w:lineRule="auto"/>
        <w:rPr>
          <w:sz w:val="20"/>
          <w:szCs w:val="20"/>
          <w:color w:val="auto"/>
        </w:rPr>
      </w:pPr>
      <w:r>
        <w:rPr>
          <w:rFonts w:ascii="Arial" w:cs="Arial" w:eastAsia="Arial" w:hAnsi="Arial"/>
          <w:sz w:val="14"/>
          <w:szCs w:val="14"/>
          <w:color w:val="auto"/>
        </w:rPr>
        <w:t>In connection with the separation of Mr. Mario Ruscev, our former Executive Vice President, President-Product Lines and Chief Technology Officer, who left the Company effective August 10, 2017, the Company paid Mr. Ruscev and an additional amount of $1,125,000 and accelerated and vested 179,600 outstanding RSUs. At the election of Mr. Ruscev, shares were withheld to satisfy the minimum tax withholding requirements.</w:t>
      </w:r>
    </w:p>
    <w:p>
      <w:pPr>
        <w:spacing w:after="0" w:line="355"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-304800</wp:posOffset>
            </wp:positionV>
            <wp:extent cx="8223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40"/>
        <w:spacing w:after="0" w:line="242" w:lineRule="auto"/>
        <w:rPr>
          <w:sz w:val="20"/>
          <w:szCs w:val="20"/>
          <w:color w:val="auto"/>
        </w:rPr>
      </w:pPr>
      <w:r>
        <w:rPr>
          <w:rFonts w:ascii="Arial" w:cs="Arial" w:eastAsia="Arial" w:hAnsi="Arial"/>
          <w:sz w:val="14"/>
          <w:szCs w:val="14"/>
          <w:color w:val="auto"/>
        </w:rPr>
        <w:t>Our Weatherford International Executive Compensation Clawback Policy sets out the terms under which we may seek to recover performance-based compensation from our officers. The purpose of the policy is to enable the Company to recoup performance-based compensation that is paid but it is subsequently determined not to have been earned had such compensation been calculated on the basis of restated financial results, including if the Committee determines that an officer has engaged in fraud, willful misconduct or gross negligence that has caused or contributed to the need for a material restatement of our financial statements. The Company may recoup all annual and long-term incentives with features based on the Company’s financial performance, whether paid in cash or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100330</wp:posOffset>
            </wp:positionV>
            <wp:extent cx="69176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620" w:hanging="353"/>
        <w:spacing w:after="0"/>
        <w:tabs>
          <w:tab w:leader="none" w:pos="620" w:val="left"/>
        </w:tabs>
        <w:numPr>
          <w:ilvl w:val="0"/>
          <w:numId w:val="82"/>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2018 Proxy Statement</w:t>
      </w:r>
    </w:p>
    <w:p>
      <w:pPr>
        <w:sectPr>
          <w:pgSz w:w="11900" w:h="16838" w:orient="portrait"/>
          <w:cols w:equalWidth="0" w:num="1">
            <w:col w:w="11160"/>
          </w:cols>
          <w:pgMar w:left="240" w:top="455"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0" w:lineRule="exact"/>
        <w:rPr>
          <w:sz w:val="20"/>
          <w:szCs w:val="20"/>
          <w:color w:val="auto"/>
        </w:rPr>
      </w:pPr>
    </w:p>
    <w:p>
      <w:pPr>
        <w:spacing w:after="0" w:line="333" w:lineRule="exact"/>
        <w:rPr>
          <w:sz w:val="20"/>
          <w:szCs w:val="20"/>
          <w:color w:val="auto"/>
        </w:rPr>
      </w:pPr>
    </w:p>
    <w:p>
      <w:pPr>
        <w:ind w:left="260" w:right="1900"/>
        <w:spacing w:after="0" w:line="275" w:lineRule="auto"/>
        <w:rPr>
          <w:sz w:val="20"/>
          <w:szCs w:val="20"/>
          <w:color w:val="auto"/>
        </w:rPr>
      </w:pPr>
      <w:r>
        <w:rPr>
          <w:rFonts w:ascii="Arial" w:cs="Arial" w:eastAsia="Arial" w:hAnsi="Arial"/>
          <w:sz w:val="43"/>
          <w:szCs w:val="43"/>
          <w:b w:val="1"/>
          <w:bCs w:val="1"/>
          <w:color w:val="auto"/>
        </w:rPr>
        <w:t>FURTHER CONSIDERATIONS FOR 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-718820</wp:posOffset>
            </wp:positionV>
            <wp:extent cx="8223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42" w:lineRule="exact"/>
        <w:rPr>
          <w:sz w:val="20"/>
          <w:szCs w:val="20"/>
          <w:color w:val="auto"/>
        </w:rPr>
      </w:pPr>
    </w:p>
    <w:p>
      <w:pPr>
        <w:ind w:left="260" w:right="480"/>
        <w:spacing w:after="0" w:line="275" w:lineRule="auto"/>
        <w:rPr>
          <w:sz w:val="20"/>
          <w:szCs w:val="20"/>
          <w:color w:val="auto"/>
        </w:rPr>
      </w:pPr>
      <w:r>
        <w:rPr>
          <w:rFonts w:ascii="Arial" w:cs="Arial" w:eastAsia="Arial" w:hAnsi="Arial"/>
          <w:sz w:val="43"/>
          <w:szCs w:val="43"/>
          <w:b w:val="1"/>
          <w:bCs w:val="1"/>
          <w:color w:val="666666"/>
        </w:rPr>
        <w:t>OVERSIGHT OF OUR EXECUTIVE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-718820</wp:posOffset>
            </wp:positionV>
            <wp:extent cx="8223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07" w:lineRule="exact"/>
        <w:rPr>
          <w:sz w:val="20"/>
          <w:szCs w:val="20"/>
          <w:color w:val="auto"/>
        </w:rPr>
      </w:pPr>
    </w:p>
    <w:p>
      <w:pPr>
        <w:ind w:left="260" w:right="20"/>
        <w:spacing w:after="0" w:line="242" w:lineRule="auto"/>
        <w:rPr>
          <w:sz w:val="20"/>
          <w:szCs w:val="20"/>
          <w:color w:val="auto"/>
        </w:rPr>
      </w:pPr>
      <w:r>
        <w:rPr>
          <w:rFonts w:ascii="Arial" w:cs="Arial" w:eastAsia="Arial" w:hAnsi="Arial"/>
          <w:sz w:val="14"/>
          <w:szCs w:val="14"/>
          <w:color w:val="auto"/>
        </w:rPr>
        <w:t>Our executive compensation program is administered by the Compensation Committee of the Board of Directors. The Committee currently consists of four directors: Mohamed A. Awad, Roxanne J. Decyk, John D. Gass (Chair) and Guillermo Ortiz. Currently, and at all times in 2017, all of the persons serving on the Committee were independent, as defined by the standards of the NYSE, and satisfied the qualification standards of section 162(m) of the Code and Section 16 of the Exchange Act. The members of the Committee draw upon a combination of their respective business experience, other board service and advice from our independent compensation consultant in order to keep themselves abreast of current trends and best practices in the area of executive compensation.</w:t>
      </w:r>
    </w:p>
    <w:p>
      <w:pPr>
        <w:spacing w:after="0" w:line="163" w:lineRule="exact"/>
        <w:rPr>
          <w:sz w:val="20"/>
          <w:szCs w:val="20"/>
          <w:color w:val="auto"/>
        </w:rPr>
      </w:pPr>
    </w:p>
    <w:p>
      <w:pPr>
        <w:ind w:left="260" w:right="480"/>
        <w:spacing w:after="0" w:line="253" w:lineRule="auto"/>
        <w:rPr>
          <w:sz w:val="20"/>
          <w:szCs w:val="20"/>
          <w:color w:val="auto"/>
        </w:rPr>
      </w:pPr>
      <w:r>
        <w:rPr>
          <w:rFonts w:ascii="Arial" w:cs="Arial" w:eastAsia="Arial" w:hAnsi="Arial"/>
          <w:sz w:val="14"/>
          <w:szCs w:val="14"/>
          <w:color w:val="auto"/>
        </w:rPr>
        <w:t>The Committee is responsible for, among other functions, reviewing and approving the total compensation for our NEOs consistent with the philosophy and objectives described above.</w:t>
      </w:r>
    </w:p>
    <w:p>
      <w:pPr>
        <w:spacing w:after="0" w:line="350" w:lineRule="exact"/>
        <w:rPr>
          <w:sz w:val="20"/>
          <w:szCs w:val="20"/>
          <w:color w:val="auto"/>
        </w:rPr>
      </w:pPr>
    </w:p>
    <w:p>
      <w:pPr>
        <w:ind w:left="260" w:right="3100"/>
        <w:spacing w:after="0" w:line="275" w:lineRule="auto"/>
        <w:rPr>
          <w:sz w:val="20"/>
          <w:szCs w:val="20"/>
          <w:color w:val="auto"/>
        </w:rPr>
      </w:pPr>
      <w:r>
        <w:rPr>
          <w:rFonts w:ascii="Arial" w:cs="Arial" w:eastAsia="Arial" w:hAnsi="Arial"/>
          <w:sz w:val="43"/>
          <w:szCs w:val="43"/>
          <w:b w:val="1"/>
          <w:bCs w:val="1"/>
          <w:color w:val="666666"/>
        </w:rPr>
        <w:t>COMPENSATION CONSULTANTS AND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-718820</wp:posOffset>
            </wp:positionV>
            <wp:extent cx="8223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07" w:lineRule="exact"/>
        <w:rPr>
          <w:sz w:val="20"/>
          <w:szCs w:val="20"/>
          <w:color w:val="auto"/>
        </w:rPr>
      </w:pPr>
    </w:p>
    <w:p>
      <w:pPr>
        <w:ind w:left="260" w:right="20"/>
        <w:spacing w:after="0" w:line="242" w:lineRule="auto"/>
        <w:rPr>
          <w:sz w:val="20"/>
          <w:szCs w:val="20"/>
          <w:color w:val="auto"/>
        </w:rPr>
      </w:pPr>
      <w:r>
        <w:rPr>
          <w:rFonts w:ascii="Arial" w:cs="Arial" w:eastAsia="Arial" w:hAnsi="Arial"/>
          <w:sz w:val="14"/>
          <w:szCs w:val="14"/>
          <w:color w:val="auto"/>
        </w:rPr>
        <w:t>As set forth in its charter, which can be found on our website (www.weatherford.com), the Committee has the authority to retain and terminate compensation consultants to provide advice to the Committee. The Committee has retained Meridian to provide information, analyses, and advice regarding executive compensation, as well as independent support and guidance for the Company’s compensation practices. The NYSE has adopted guidelines for compensation committees to consider when identifying Committee advisor independence. The Committee reviewed these guidelines and determined that Meridian is an independent consultant, and Meridian does not perform services for the Company other than those related to executive and non-employee director compensation.</w:t>
      </w:r>
    </w:p>
    <w:p>
      <w:pPr>
        <w:spacing w:after="0" w:line="163" w:lineRule="exact"/>
        <w:rPr>
          <w:sz w:val="20"/>
          <w:szCs w:val="20"/>
          <w:color w:val="auto"/>
        </w:rPr>
      </w:pPr>
    </w:p>
    <w:p>
      <w:pPr>
        <w:ind w:left="260" w:right="360"/>
        <w:spacing w:after="0" w:line="253" w:lineRule="auto"/>
        <w:rPr>
          <w:sz w:val="20"/>
          <w:szCs w:val="20"/>
          <w:color w:val="auto"/>
        </w:rPr>
      </w:pPr>
      <w:r>
        <w:rPr>
          <w:rFonts w:ascii="Arial" w:cs="Arial" w:eastAsia="Arial" w:hAnsi="Arial"/>
          <w:sz w:val="14"/>
          <w:szCs w:val="14"/>
          <w:color w:val="auto"/>
        </w:rPr>
        <w:t>Our management communicates with Meridian and provides data to Meridian regarding our executive officers, but does not direct Meridian’s activities. Meridian has not performed or provided compensation services in the past to our management.</w:t>
      </w:r>
    </w:p>
    <w:p>
      <w:pPr>
        <w:spacing w:after="0" w:line="350"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666666"/>
        </w:rPr>
        <w:t>MARKET ANALYSIS 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-304800</wp:posOffset>
            </wp:positionV>
            <wp:extent cx="8223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20"/>
        <w:spacing w:after="0" w:line="215" w:lineRule="auto"/>
        <w:rPr>
          <w:sz w:val="20"/>
          <w:szCs w:val="20"/>
          <w:color w:val="auto"/>
        </w:rPr>
      </w:pPr>
      <w:r>
        <w:rPr>
          <w:rFonts w:ascii="Arial" w:cs="Arial" w:eastAsia="Arial" w:hAnsi="Arial"/>
          <w:sz w:val="14"/>
          <w:szCs w:val="14"/>
          <w:color w:val="auto"/>
        </w:rPr>
        <w:t>When considering our compensation practices and levels, the Committee has historically reviewed the compensation practices and levels of a peer group of publicly-traded energy service and exploration and production companies to determine market levels. There are a limited number of companies and potential peers available for us to use in determining an appropriate peer group. Our 2017 peer group was set in 2016 and our revenues were near the 50th percentile of the peer group and our enterprise value was between the 25</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and 50</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percentile. Peers were selected from the following industries: (1) Equipment &amp; Services/Machinery; (2) Drilling; and (3) Exploration &amp; Production (“E&amp;P”). As in prior years, weight was given to peer companies’ (and proposed peer companies’) revenues, assets, net income, market capitalization, enterprise value, and total shareholder return for one-, three- and five- year periods.</w:t>
      </w:r>
    </w:p>
    <w:p>
      <w:pPr>
        <w:spacing w:after="0" w:line="180" w:lineRule="exact"/>
        <w:rPr>
          <w:sz w:val="20"/>
          <w:szCs w:val="20"/>
          <w:color w:val="auto"/>
        </w:rPr>
      </w:pPr>
    </w:p>
    <w:p>
      <w:pPr>
        <w:ind w:left="260" w:right="20"/>
        <w:spacing w:after="0" w:line="243" w:lineRule="auto"/>
        <w:rPr>
          <w:sz w:val="20"/>
          <w:szCs w:val="20"/>
          <w:color w:val="auto"/>
        </w:rPr>
      </w:pPr>
      <w:r>
        <w:rPr>
          <w:rFonts w:ascii="Arial" w:cs="Arial" w:eastAsia="Arial" w:hAnsi="Arial"/>
          <w:sz w:val="14"/>
          <w:szCs w:val="14"/>
          <w:color w:val="auto"/>
        </w:rPr>
        <w:t>This peer group was used to develop the market data and benchmarking materials provided to the Compensation Committee to assist with the 2017 compensation decision making process and is set forth below. In connection with the Committee’s periodic review of the composition of our peer group to ensure that the companies in the group are relevant for comparative purposes, the peer group was re-evaluated in September 2017 and, in November 2017, the Committee approved the changes to the Company’s peer group also as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125730</wp:posOffset>
            </wp:positionV>
            <wp:extent cx="6917690" cy="24415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17690" cy="2441575"/>
                    </a:xfrm>
                    <a:prstGeom prst="rect">
                      <a:avLst/>
                    </a:prstGeom>
                    <a:noFill/>
                  </pic:spPr>
                </pic:pic>
              </a:graphicData>
            </a:graphic>
          </wp:anchor>
        </w:drawing>
      </w:r>
    </w:p>
    <w:p>
      <w:pPr>
        <w:sectPr>
          <w:pgSz w:w="11900" w:h="16838" w:orient="portrait"/>
          <w:cols w:equalWidth="0" w:num="1">
            <w:col w:w="11160"/>
          </w:cols>
          <w:pgMar w:left="240" w:top="455" w:right="499" w:bottom="3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360"/>
        <w:spacing w:after="0"/>
        <w:tabs>
          <w:tab w:leader="none" w:pos="10980" w:val="left"/>
        </w:tabs>
        <w:rPr>
          <w:sz w:val="20"/>
          <w:szCs w:val="20"/>
          <w:color w:val="auto"/>
        </w:rPr>
      </w:pPr>
      <w:r>
        <w:rPr>
          <w:rFonts w:ascii="Arial" w:cs="Arial" w:eastAsia="Arial" w:hAnsi="Arial"/>
          <w:sz w:val="14"/>
          <w:szCs w:val="14"/>
          <w:color w:val="666666"/>
        </w:rPr>
        <w:t>Weatherford International plc — 2018 Proxy Statement</w:t>
      </w:r>
      <w:r>
        <w:rPr>
          <w:sz w:val="20"/>
          <w:szCs w:val="20"/>
          <w:color w:val="auto"/>
        </w:rPr>
        <w:tab/>
      </w:r>
      <w:r>
        <w:rPr>
          <w:rFonts w:ascii="Arial" w:cs="Arial" w:eastAsia="Arial" w:hAnsi="Arial"/>
          <w:sz w:val="14"/>
          <w:szCs w:val="14"/>
          <w:b w:val="1"/>
          <w:bCs w:val="1"/>
          <w:color w:val="666666"/>
        </w:rPr>
        <w:t>35</w:t>
      </w:r>
    </w:p>
    <w:p>
      <w:pPr>
        <w:sectPr>
          <w:pgSz w:w="11900" w:h="16838" w:orient="portrait"/>
          <w:cols w:equalWidth="0" w:num="1">
            <w:col w:w="11160"/>
          </w:cols>
          <w:pgMar w:left="240" w:top="455" w:right="499" w:bottom="30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64" w:lineRule="exact"/>
        <w:rPr>
          <w:sz w:val="20"/>
          <w:szCs w:val="20"/>
          <w:color w:val="auto"/>
        </w:rPr>
      </w:pPr>
    </w:p>
    <w:p>
      <w:pPr>
        <w:ind w:left="260" w:right="320"/>
        <w:spacing w:after="0" w:line="246" w:lineRule="auto"/>
        <w:rPr>
          <w:sz w:val="20"/>
          <w:szCs w:val="20"/>
          <w:color w:val="auto"/>
        </w:rPr>
      </w:pPr>
      <w:r>
        <w:rPr>
          <w:rFonts w:ascii="Arial" w:cs="Arial" w:eastAsia="Arial" w:hAnsi="Arial"/>
          <w:sz w:val="14"/>
          <w:szCs w:val="14"/>
          <w:color w:val="auto"/>
        </w:rPr>
        <w:t>Subsequent to 2017 compensation determinations, Baker Hughes was acquired by GE Oil &amp; Gas and FMC Technologies, Inc. merged with Technip plc. The resulting companies are reflected above. In December 2017, McDermott International, Inc. and Chicago Bridge &amp; Iron Company N.V. announced their intention to merge, with an expected closing in the second quarter of 2018.</w:t>
      </w:r>
    </w:p>
    <w:p>
      <w:pPr>
        <w:spacing w:after="0" w:line="159" w:lineRule="exact"/>
        <w:rPr>
          <w:sz w:val="20"/>
          <w:szCs w:val="20"/>
          <w:color w:val="auto"/>
        </w:rPr>
      </w:pPr>
    </w:p>
    <w:p>
      <w:pPr>
        <w:ind w:left="260" w:right="60"/>
        <w:spacing w:after="0" w:line="241" w:lineRule="auto"/>
        <w:rPr>
          <w:sz w:val="20"/>
          <w:szCs w:val="20"/>
          <w:color w:val="auto"/>
        </w:rPr>
      </w:pPr>
      <w:r>
        <w:rPr>
          <w:rFonts w:ascii="Arial" w:cs="Arial" w:eastAsia="Arial" w:hAnsi="Arial"/>
          <w:sz w:val="14"/>
          <w:szCs w:val="14"/>
          <w:color w:val="auto"/>
        </w:rPr>
        <w:t>The peer group set for 2018 compensation decisions and the changes above were determined to be appropriate, and an incremental improvement, as the Committee focused on choosing peers with less of an emphasis on exploration and production (E&amp;P) companies, particularly E&amp;P companies with larger market valuations and/or limited international operations and the removal of certain companies too large to be appropriate comparison points for the Company’s current size. Specifically: SLB was removed due to size, DVN, APC and EOG were removed due to size and/or E&amp;P industry considerations and TechnipFMC was removed due to the expected inability to gather future compensation data; CBI PNR, MDR and OII were added to focus on large industrial companies of a reasonable revenue size, with large employee populations and international operations.</w:t>
      </w:r>
    </w:p>
    <w:p>
      <w:pPr>
        <w:spacing w:after="0" w:line="165" w:lineRule="exact"/>
        <w:rPr>
          <w:sz w:val="20"/>
          <w:szCs w:val="20"/>
          <w:color w:val="auto"/>
        </w:rPr>
      </w:pPr>
    </w:p>
    <w:p>
      <w:pPr>
        <w:ind w:left="260" w:right="80"/>
        <w:spacing w:after="0" w:line="253" w:lineRule="auto"/>
        <w:rPr>
          <w:sz w:val="20"/>
          <w:szCs w:val="20"/>
          <w:color w:val="auto"/>
        </w:rPr>
      </w:pPr>
      <w:r>
        <w:rPr>
          <w:rFonts w:ascii="Arial" w:cs="Arial" w:eastAsia="Arial" w:hAnsi="Arial"/>
          <w:sz w:val="14"/>
          <w:szCs w:val="14"/>
          <w:color w:val="auto"/>
        </w:rPr>
        <w:t>While the Compensation Committee relies on the peer group analysis to provide market data and relevant trend information, it does not consider the peer group analysis as a substitute for its collective business judgment.</w:t>
      </w:r>
    </w:p>
    <w:p>
      <w:pPr>
        <w:spacing w:after="0" w:line="350" w:lineRule="exact"/>
        <w:rPr>
          <w:sz w:val="20"/>
          <w:szCs w:val="20"/>
          <w:color w:val="auto"/>
        </w:rPr>
      </w:pPr>
    </w:p>
    <w:p>
      <w:pPr>
        <w:ind w:left="260" w:right="2240"/>
        <w:spacing w:after="0" w:line="275" w:lineRule="auto"/>
        <w:rPr>
          <w:sz w:val="20"/>
          <w:szCs w:val="20"/>
          <w:color w:val="auto"/>
        </w:rPr>
      </w:pPr>
      <w:r>
        <w:rPr>
          <w:rFonts w:ascii="Arial" w:cs="Arial" w:eastAsia="Arial" w:hAnsi="Arial"/>
          <w:sz w:val="43"/>
          <w:szCs w:val="43"/>
          <w:b w:val="1"/>
          <w:bCs w:val="1"/>
          <w:color w:val="666666"/>
        </w:rPr>
        <w:t>RISK ANALYSIS OF OUR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-710565</wp:posOffset>
            </wp:positionV>
            <wp:extent cx="8223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80" w:lineRule="exact"/>
        <w:rPr>
          <w:sz w:val="20"/>
          <w:szCs w:val="20"/>
          <w:color w:val="auto"/>
        </w:rPr>
      </w:pPr>
    </w:p>
    <w:p>
      <w:pPr>
        <w:ind w:left="260"/>
        <w:spacing w:after="0" w:line="243" w:lineRule="auto"/>
        <w:rPr>
          <w:sz w:val="20"/>
          <w:szCs w:val="20"/>
          <w:color w:val="auto"/>
        </w:rPr>
      </w:pPr>
      <w:r>
        <w:rPr>
          <w:rFonts w:ascii="Arial" w:cs="Arial" w:eastAsia="Arial" w:hAnsi="Arial"/>
          <w:sz w:val="14"/>
          <w:szCs w:val="14"/>
          <w:color w:val="auto"/>
        </w:rPr>
        <w:t>The Committee reviews our compensation plans and policies to ensure that they do not encourage excessive risk-taking and instead encourage behaviors that support sustainable value creation. In 2017, the Committee, with the assistance of Meridian, reviewed the Company’s compensation policies and practices for executive officers, and believes that our compensation programs are not reasonably likely to have a material adverse effect on the Company. We believe the following factors reduce the likelihood of excessive risk-taking:</w:t>
      </w:r>
    </w:p>
    <w:p>
      <w:pPr>
        <w:spacing w:after="0" w:line="202" w:lineRule="exact"/>
        <w:rPr>
          <w:sz w:val="20"/>
          <w:szCs w:val="20"/>
          <w:color w:val="auto"/>
        </w:rPr>
      </w:pPr>
    </w:p>
    <w:p>
      <w:pPr>
        <w:ind w:left="480" w:hanging="213"/>
        <w:spacing w:after="0"/>
        <w:tabs>
          <w:tab w:leader="none" w:pos="480" w:val="left"/>
        </w:tabs>
        <w:numPr>
          <w:ilvl w:val="0"/>
          <w:numId w:val="83"/>
        </w:numPr>
        <w:rPr>
          <w:rFonts w:ascii="Arial" w:cs="Arial" w:eastAsia="Arial" w:hAnsi="Arial"/>
          <w:sz w:val="14"/>
          <w:szCs w:val="14"/>
          <w:color w:val="C3002F"/>
        </w:rPr>
      </w:pPr>
      <w:r>
        <w:rPr>
          <w:rFonts w:ascii="Arial" w:cs="Arial" w:eastAsia="Arial" w:hAnsi="Arial"/>
          <w:sz w:val="14"/>
          <w:szCs w:val="14"/>
          <w:color w:val="auto"/>
        </w:rPr>
        <w:t>the program design provides a balanced mix of cash and equity, annual and long-term incentives, fixed and variable pay, and performance metrics;</w:t>
      </w:r>
    </w:p>
    <w:p>
      <w:pPr>
        <w:spacing w:after="0" w:line="212" w:lineRule="exact"/>
        <w:rPr>
          <w:rFonts w:ascii="Arial" w:cs="Arial" w:eastAsia="Arial" w:hAnsi="Arial"/>
          <w:sz w:val="14"/>
          <w:szCs w:val="14"/>
          <w:color w:val="C3002F"/>
        </w:rPr>
      </w:pPr>
    </w:p>
    <w:p>
      <w:pPr>
        <w:ind w:left="480" w:hanging="213"/>
        <w:spacing w:after="0"/>
        <w:tabs>
          <w:tab w:leader="none" w:pos="480" w:val="left"/>
        </w:tabs>
        <w:numPr>
          <w:ilvl w:val="0"/>
          <w:numId w:val="83"/>
        </w:numPr>
        <w:rPr>
          <w:rFonts w:ascii="Arial" w:cs="Arial" w:eastAsia="Arial" w:hAnsi="Arial"/>
          <w:sz w:val="14"/>
          <w:szCs w:val="14"/>
          <w:color w:val="C3002F"/>
        </w:rPr>
      </w:pPr>
      <w:r>
        <w:rPr>
          <w:rFonts w:ascii="Arial" w:cs="Arial" w:eastAsia="Arial" w:hAnsi="Arial"/>
          <w:sz w:val="14"/>
          <w:szCs w:val="14"/>
          <w:color w:val="auto"/>
        </w:rPr>
        <w:t>maximum payout levels for annual cash incentives are capped;</w:t>
      </w:r>
    </w:p>
    <w:p>
      <w:pPr>
        <w:spacing w:after="0" w:line="212" w:lineRule="exact"/>
        <w:rPr>
          <w:rFonts w:ascii="Arial" w:cs="Arial" w:eastAsia="Arial" w:hAnsi="Arial"/>
          <w:sz w:val="14"/>
          <w:szCs w:val="14"/>
          <w:color w:val="C3002F"/>
        </w:rPr>
      </w:pPr>
    </w:p>
    <w:p>
      <w:pPr>
        <w:ind w:left="480" w:hanging="213"/>
        <w:spacing w:after="0"/>
        <w:tabs>
          <w:tab w:leader="none" w:pos="480" w:val="left"/>
        </w:tabs>
        <w:numPr>
          <w:ilvl w:val="0"/>
          <w:numId w:val="83"/>
        </w:numPr>
        <w:rPr>
          <w:rFonts w:ascii="Arial" w:cs="Arial" w:eastAsia="Arial" w:hAnsi="Arial"/>
          <w:sz w:val="14"/>
          <w:szCs w:val="14"/>
          <w:color w:val="C3002F"/>
        </w:rPr>
      </w:pPr>
      <w:r>
        <w:rPr>
          <w:rFonts w:ascii="Arial" w:cs="Arial" w:eastAsia="Arial" w:hAnsi="Arial"/>
          <w:sz w:val="14"/>
          <w:szCs w:val="14"/>
          <w:color w:val="auto"/>
        </w:rPr>
        <w:t>the Committee has downward discretion over incentive program payouts;</w:t>
      </w:r>
    </w:p>
    <w:p>
      <w:pPr>
        <w:spacing w:after="0" w:line="212" w:lineRule="exact"/>
        <w:rPr>
          <w:rFonts w:ascii="Arial" w:cs="Arial" w:eastAsia="Arial" w:hAnsi="Arial"/>
          <w:sz w:val="14"/>
          <w:szCs w:val="14"/>
          <w:color w:val="C3002F"/>
        </w:rPr>
      </w:pPr>
    </w:p>
    <w:p>
      <w:pPr>
        <w:ind w:left="480" w:hanging="213"/>
        <w:spacing w:after="0"/>
        <w:tabs>
          <w:tab w:leader="none" w:pos="480" w:val="left"/>
        </w:tabs>
        <w:numPr>
          <w:ilvl w:val="0"/>
          <w:numId w:val="83"/>
        </w:numPr>
        <w:rPr>
          <w:rFonts w:ascii="Arial" w:cs="Arial" w:eastAsia="Arial" w:hAnsi="Arial"/>
          <w:sz w:val="14"/>
          <w:szCs w:val="14"/>
          <w:color w:val="C3002F"/>
        </w:rPr>
      </w:pPr>
      <w:r>
        <w:rPr>
          <w:rFonts w:ascii="Arial" w:cs="Arial" w:eastAsia="Arial" w:hAnsi="Arial"/>
          <w:sz w:val="14"/>
          <w:szCs w:val="14"/>
          <w:color w:val="auto"/>
        </w:rPr>
        <w:t>executive officers are subject to share ownership guidelines;</w:t>
      </w:r>
    </w:p>
    <w:p>
      <w:pPr>
        <w:spacing w:after="0" w:line="212" w:lineRule="exact"/>
        <w:rPr>
          <w:rFonts w:ascii="Arial" w:cs="Arial" w:eastAsia="Arial" w:hAnsi="Arial"/>
          <w:sz w:val="14"/>
          <w:szCs w:val="14"/>
          <w:color w:val="C3002F"/>
        </w:rPr>
      </w:pPr>
    </w:p>
    <w:p>
      <w:pPr>
        <w:ind w:left="480" w:hanging="213"/>
        <w:spacing w:after="0"/>
        <w:tabs>
          <w:tab w:leader="none" w:pos="480" w:val="left"/>
        </w:tabs>
        <w:numPr>
          <w:ilvl w:val="0"/>
          <w:numId w:val="83"/>
        </w:numPr>
        <w:rPr>
          <w:rFonts w:ascii="Arial" w:cs="Arial" w:eastAsia="Arial" w:hAnsi="Arial"/>
          <w:sz w:val="14"/>
          <w:szCs w:val="14"/>
          <w:color w:val="C3002F"/>
        </w:rPr>
      </w:pPr>
      <w:r>
        <w:rPr>
          <w:rFonts w:ascii="Arial" w:cs="Arial" w:eastAsia="Arial" w:hAnsi="Arial"/>
          <w:sz w:val="14"/>
          <w:szCs w:val="14"/>
          <w:color w:val="auto"/>
        </w:rPr>
        <w:t>compliance and ethical behaviors are integral factors considered in all performance assessments; and</w:t>
      </w:r>
    </w:p>
    <w:p>
      <w:pPr>
        <w:spacing w:after="0" w:line="212" w:lineRule="exact"/>
        <w:rPr>
          <w:rFonts w:ascii="Arial" w:cs="Arial" w:eastAsia="Arial" w:hAnsi="Arial"/>
          <w:sz w:val="14"/>
          <w:szCs w:val="14"/>
          <w:color w:val="C3002F"/>
        </w:rPr>
      </w:pPr>
    </w:p>
    <w:p>
      <w:pPr>
        <w:ind w:left="480" w:hanging="213"/>
        <w:spacing w:after="0"/>
        <w:tabs>
          <w:tab w:leader="none" w:pos="480" w:val="left"/>
        </w:tabs>
        <w:numPr>
          <w:ilvl w:val="0"/>
          <w:numId w:val="83"/>
        </w:numPr>
        <w:rPr>
          <w:rFonts w:ascii="Arial" w:cs="Arial" w:eastAsia="Arial" w:hAnsi="Arial"/>
          <w:sz w:val="14"/>
          <w:szCs w:val="14"/>
          <w:color w:val="C3002F"/>
        </w:rPr>
      </w:pPr>
      <w:r>
        <w:rPr>
          <w:rFonts w:ascii="Arial" w:cs="Arial" w:eastAsia="Arial" w:hAnsi="Arial"/>
          <w:sz w:val="14"/>
          <w:szCs w:val="14"/>
          <w:color w:val="auto"/>
        </w:rPr>
        <w:t>the Company has a clawback policy that covers performance-based compensation, whether paid in cash or equity.</w:t>
      </w:r>
    </w:p>
    <w:p>
      <w:pPr>
        <w:spacing w:after="0" w:line="368" w:lineRule="exact"/>
        <w:rPr>
          <w:sz w:val="20"/>
          <w:szCs w:val="20"/>
          <w:color w:val="auto"/>
        </w:rPr>
      </w:pPr>
    </w:p>
    <w:p>
      <w:pPr>
        <w:ind w:left="260" w:right="780"/>
        <w:spacing w:after="0" w:line="275" w:lineRule="auto"/>
        <w:rPr>
          <w:sz w:val="20"/>
          <w:szCs w:val="20"/>
          <w:color w:val="auto"/>
        </w:rPr>
      </w:pPr>
      <w:r>
        <w:rPr>
          <w:rFonts w:ascii="Arial" w:cs="Arial" w:eastAsia="Arial" w:hAnsi="Arial"/>
          <w:sz w:val="43"/>
          <w:szCs w:val="43"/>
          <w:b w:val="1"/>
          <w:bCs w:val="1"/>
          <w:color w:val="666666"/>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-718820</wp:posOffset>
            </wp:positionV>
            <wp:extent cx="8223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07" w:lineRule="exact"/>
        <w:rPr>
          <w:sz w:val="20"/>
          <w:szCs w:val="20"/>
          <w:color w:val="auto"/>
        </w:rPr>
      </w:pPr>
    </w:p>
    <w:p>
      <w:pPr>
        <w:ind w:left="260" w:right="880"/>
        <w:spacing w:after="0" w:line="253" w:lineRule="auto"/>
        <w:rPr>
          <w:sz w:val="20"/>
          <w:szCs w:val="20"/>
          <w:color w:val="auto"/>
        </w:rPr>
      </w:pPr>
      <w:r>
        <w:rPr>
          <w:rFonts w:ascii="Arial" w:cs="Arial" w:eastAsia="Arial" w:hAnsi="Arial"/>
          <w:sz w:val="14"/>
          <w:szCs w:val="14"/>
          <w:color w:val="auto"/>
        </w:rPr>
        <w:t>As of the date hereof, the Compensation Committee’s current members are Mr. Awad, Ms. Decyk, Mr. Gass (Chair) and Dr. Ortiz, all of whom are independent, non-employee directors. None of the current Compensation Committee members has served as an officer or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86360</wp:posOffset>
            </wp:positionV>
            <wp:extent cx="69176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20" w:hanging="353"/>
        <w:spacing w:after="0"/>
        <w:tabs>
          <w:tab w:leader="none" w:pos="620" w:val="left"/>
        </w:tabs>
        <w:numPr>
          <w:ilvl w:val="0"/>
          <w:numId w:val="84"/>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2018 Proxy Statement</w:t>
      </w:r>
    </w:p>
    <w:p>
      <w:pPr>
        <w:sectPr>
          <w:pgSz w:w="11900" w:h="16838" w:orient="portrait"/>
          <w:cols w:equalWidth="0" w:num="1">
            <w:col w:w="11120"/>
          </w:cols>
          <w:pgMar w:left="240" w:top="455" w:right="5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0" w:right="1900"/>
        <w:spacing w:after="0" w:line="277" w:lineRule="auto"/>
        <w:rPr>
          <w:sz w:val="20"/>
          <w:szCs w:val="20"/>
          <w:color w:val="auto"/>
        </w:rPr>
      </w:pPr>
      <w:r>
        <w:rPr>
          <w:rFonts w:ascii="Arial" w:cs="Arial" w:eastAsia="Arial" w:hAnsi="Arial"/>
          <w:sz w:val="64"/>
          <w:szCs w:val="64"/>
          <w:b w:val="1"/>
          <w:bCs w:val="1"/>
          <w:color w:val="C3002F"/>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-1056005</wp:posOffset>
            </wp:positionV>
            <wp:extent cx="8223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auto"/>
        </w:rPr>
        <w:t>2017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-304800</wp:posOffset>
            </wp:positionV>
            <wp:extent cx="8223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This table shows the total compensation paid for the years ended December 31, 2017, 2016 and 2015 to our NEOs, including certain former executive officers.</w:t>
      </w:r>
    </w:p>
    <w:p>
      <w:pPr>
        <w:spacing w:after="0" w:line="212"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Non-Equity</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0" w:type="dxa"/>
            <w:vAlign w:val="bottom"/>
            <w:vMerge w:val="restart"/>
          </w:tcPr>
          <w:p>
            <w:pPr>
              <w:jc w:val="right"/>
              <w:ind w:right="89"/>
              <w:spacing w:after="0"/>
              <w:rPr>
                <w:sz w:val="20"/>
                <w:szCs w:val="20"/>
                <w:color w:val="auto"/>
              </w:rPr>
            </w:pPr>
            <w:r>
              <w:rPr>
                <w:rFonts w:ascii="Arial" w:cs="Arial" w:eastAsia="Arial" w:hAnsi="Arial"/>
                <w:sz w:val="14"/>
                <w:szCs w:val="14"/>
                <w:color w:val="auto"/>
              </w:rPr>
              <w:t>Salary</w:t>
            </w:r>
          </w:p>
        </w:tc>
        <w:tc>
          <w:tcPr>
            <w:tcW w:w="800" w:type="dxa"/>
            <w:vAlign w:val="bottom"/>
          </w:tcPr>
          <w:p>
            <w:pPr>
              <w:spacing w:after="0"/>
              <w:rPr>
                <w:sz w:val="13"/>
                <w:szCs w:val="1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Stock</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(Cash)</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Other</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4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tcPr>
          <w:p>
            <w:pPr>
              <w:jc w:val="right"/>
              <w:ind w:right="89"/>
              <w:spacing w:after="0" w:line="147" w:lineRule="exact"/>
              <w:rPr>
                <w:sz w:val="20"/>
                <w:szCs w:val="20"/>
                <w:color w:val="auto"/>
              </w:rPr>
            </w:pPr>
            <w:r>
              <w:rPr>
                <w:rFonts w:ascii="Arial" w:cs="Arial" w:eastAsia="Arial" w:hAnsi="Arial"/>
                <w:sz w:val="14"/>
                <w:szCs w:val="14"/>
                <w:color w:val="auto"/>
              </w:rPr>
              <w:t>Bonus</w:t>
            </w:r>
          </w:p>
        </w:tc>
        <w:tc>
          <w:tcPr>
            <w:tcW w:w="900" w:type="dxa"/>
            <w:vAlign w:val="bottom"/>
          </w:tcPr>
          <w:p>
            <w:pPr>
              <w:jc w:val="right"/>
              <w:ind w:right="49"/>
              <w:spacing w:after="0" w:line="147" w:lineRule="exact"/>
              <w:rPr>
                <w:sz w:val="20"/>
                <w:szCs w:val="20"/>
                <w:color w:val="auto"/>
              </w:rPr>
            </w:pPr>
            <w:r>
              <w:rPr>
                <w:rFonts w:ascii="Arial" w:cs="Arial" w:eastAsia="Arial" w:hAnsi="Arial"/>
                <w:sz w:val="14"/>
                <w:szCs w:val="14"/>
                <w:color w:val="auto"/>
              </w:rPr>
              <w:t>Awards</w:t>
            </w:r>
          </w:p>
        </w:tc>
        <w:tc>
          <w:tcPr>
            <w:tcW w:w="980" w:type="dxa"/>
            <w:vAlign w:val="bottom"/>
          </w:tcPr>
          <w:p>
            <w:pPr>
              <w:jc w:val="right"/>
              <w:ind w:right="49"/>
              <w:spacing w:after="0" w:line="147" w:lineRule="exact"/>
              <w:rPr>
                <w:sz w:val="20"/>
                <w:szCs w:val="20"/>
                <w:color w:val="auto"/>
              </w:rPr>
            </w:pPr>
            <w:r>
              <w:rPr>
                <w:rFonts w:ascii="Arial" w:cs="Arial" w:eastAsia="Arial" w:hAnsi="Arial"/>
                <w:sz w:val="14"/>
                <w:szCs w:val="14"/>
                <w:color w:val="auto"/>
              </w:rPr>
              <w:t>Incentive($)</w:t>
            </w:r>
          </w:p>
        </w:tc>
        <w:tc>
          <w:tcPr>
            <w:tcW w:w="1180" w:type="dxa"/>
            <w:vAlign w:val="bottom"/>
          </w:tcPr>
          <w:p>
            <w:pPr>
              <w:jc w:val="right"/>
              <w:ind w:right="69"/>
              <w:spacing w:after="0" w:line="147" w:lineRule="exact"/>
              <w:rPr>
                <w:sz w:val="20"/>
                <w:szCs w:val="20"/>
                <w:color w:val="auto"/>
              </w:rPr>
            </w:pPr>
            <w:r>
              <w:rPr>
                <w:rFonts w:ascii="Arial" w:cs="Arial" w:eastAsia="Arial" w:hAnsi="Arial"/>
                <w:sz w:val="14"/>
                <w:szCs w:val="14"/>
                <w:color w:val="auto"/>
              </w:rPr>
              <w:t>Compensation</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and Principal Position</w:t>
            </w:r>
          </w:p>
        </w:tc>
        <w:tc>
          <w:tcPr>
            <w:tcW w:w="13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Year</w:t>
            </w:r>
          </w:p>
        </w:tc>
        <w:tc>
          <w:tcPr>
            <w:tcW w:w="8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($)(e)(f)</w:t>
            </w: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($)(g)</w:t>
            </w: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(h)</w:t>
            </w: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($)(i)</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4020" w:type="dxa"/>
            <w:vAlign w:val="bottom"/>
          </w:tcPr>
          <w:p>
            <w:pPr>
              <w:spacing w:after="0" w:line="145" w:lineRule="exact"/>
              <w:rPr>
                <w:sz w:val="20"/>
                <w:szCs w:val="20"/>
                <w:color w:val="auto"/>
              </w:rPr>
            </w:pPr>
            <w:r>
              <w:rPr>
                <w:rFonts w:ascii="Arial" w:cs="Arial" w:eastAsia="Arial" w:hAnsi="Arial"/>
                <w:sz w:val="14"/>
                <w:szCs w:val="14"/>
                <w:color w:val="auto"/>
              </w:rPr>
              <w:t>Mark A. McCollum</w:t>
            </w:r>
          </w:p>
        </w:tc>
        <w:tc>
          <w:tcPr>
            <w:tcW w:w="1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20" w:type="dxa"/>
            <w:vAlign w:val="bottom"/>
          </w:tcPr>
          <w:p>
            <w:pPr>
              <w:ind w:left="140"/>
              <w:spacing w:after="0"/>
              <w:rPr>
                <w:sz w:val="20"/>
                <w:szCs w:val="20"/>
                <w:color w:val="auto"/>
              </w:rPr>
            </w:pPr>
            <w:r>
              <w:rPr>
                <w:rFonts w:ascii="Arial" w:cs="Arial" w:eastAsia="Arial" w:hAnsi="Arial"/>
                <w:sz w:val="14"/>
                <w:szCs w:val="14"/>
                <w:i w:val="1"/>
                <w:iCs w:val="1"/>
                <w:color w:val="auto"/>
              </w:rPr>
              <w:t>President and Chief Executive Officer(a)</w:t>
            </w:r>
          </w:p>
        </w:tc>
        <w:tc>
          <w:tcPr>
            <w:tcW w:w="1320" w:type="dxa"/>
            <w:vAlign w:val="bottom"/>
          </w:tcPr>
          <w:p>
            <w:pPr>
              <w:jc w:val="right"/>
              <w:ind w:right="89"/>
              <w:spacing w:after="0"/>
              <w:rPr>
                <w:sz w:val="20"/>
                <w:szCs w:val="20"/>
                <w:color w:val="auto"/>
              </w:rPr>
            </w:pPr>
            <w:r>
              <w:rPr>
                <w:rFonts w:ascii="Arial" w:cs="Arial" w:eastAsia="Arial" w:hAnsi="Arial"/>
                <w:sz w:val="14"/>
                <w:szCs w:val="14"/>
                <w:color w:val="auto"/>
              </w:rPr>
              <w:t>2017</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687,500</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9,460,693</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279,167</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31,027</w:t>
            </w:r>
          </w:p>
        </w:tc>
        <w:tc>
          <w:tcPr>
            <w:tcW w:w="900" w:type="dxa"/>
            <w:vAlign w:val="bottom"/>
          </w:tcPr>
          <w:p>
            <w:pPr>
              <w:jc w:val="right"/>
              <w:spacing w:after="0"/>
              <w:rPr>
                <w:sz w:val="20"/>
                <w:szCs w:val="20"/>
                <w:color w:val="auto"/>
              </w:rPr>
            </w:pPr>
            <w:r>
              <w:rPr>
                <w:rFonts w:ascii="Arial" w:cs="Arial" w:eastAsia="Arial" w:hAnsi="Arial"/>
                <w:sz w:val="14"/>
                <w:szCs w:val="14"/>
                <w:color w:val="auto"/>
              </w:rPr>
              <w:t>10,458,387</w:t>
            </w:r>
          </w:p>
        </w:tc>
        <w:tc>
          <w:tcPr>
            <w:tcW w:w="0" w:type="dxa"/>
            <w:vAlign w:val="bottom"/>
          </w:tcPr>
          <w:p>
            <w:pPr>
              <w:spacing w:after="0"/>
              <w:rPr>
                <w:sz w:val="1"/>
                <w:szCs w:val="1"/>
                <w:color w:val="auto"/>
              </w:rPr>
            </w:pPr>
          </w:p>
        </w:tc>
      </w:tr>
      <w:tr>
        <w:trPr>
          <w:trHeight w:val="242"/>
        </w:trPr>
        <w:tc>
          <w:tcPr>
            <w:tcW w:w="4020" w:type="dxa"/>
            <w:vAlign w:val="bottom"/>
          </w:tcPr>
          <w:p>
            <w:pPr>
              <w:spacing w:after="0"/>
              <w:rPr>
                <w:sz w:val="20"/>
                <w:szCs w:val="20"/>
                <w:color w:val="auto"/>
              </w:rPr>
            </w:pPr>
            <w:r>
              <w:rPr>
                <w:rFonts w:ascii="Arial" w:cs="Arial" w:eastAsia="Arial" w:hAnsi="Arial"/>
                <w:sz w:val="14"/>
                <w:szCs w:val="14"/>
                <w:color w:val="auto"/>
              </w:rPr>
              <w:t>Christoph Bausch</w:t>
            </w: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4020" w:type="dxa"/>
            <w:vAlign w:val="bottom"/>
          </w:tcPr>
          <w:p>
            <w:pPr>
              <w:ind w:left="140"/>
              <w:spacing w:after="0"/>
              <w:rPr>
                <w:sz w:val="20"/>
                <w:szCs w:val="20"/>
                <w:color w:val="auto"/>
              </w:rPr>
            </w:pPr>
            <w:r>
              <w:rPr>
                <w:rFonts w:ascii="Arial" w:cs="Arial" w:eastAsia="Arial" w:hAnsi="Arial"/>
                <w:sz w:val="14"/>
                <w:szCs w:val="14"/>
                <w:i w:val="1"/>
                <w:iCs w:val="1"/>
                <w:color w:val="auto"/>
              </w:rPr>
              <w:t>Executive Vice President and CFO</w:t>
            </w:r>
          </w:p>
        </w:tc>
        <w:tc>
          <w:tcPr>
            <w:tcW w:w="1320" w:type="dxa"/>
            <w:vAlign w:val="bottom"/>
          </w:tcPr>
          <w:p>
            <w:pPr>
              <w:jc w:val="right"/>
              <w:ind w:right="89"/>
              <w:spacing w:after="0"/>
              <w:rPr>
                <w:sz w:val="20"/>
                <w:szCs w:val="20"/>
                <w:color w:val="auto"/>
              </w:rPr>
            </w:pPr>
            <w:r>
              <w:rPr>
                <w:rFonts w:ascii="Arial" w:cs="Arial" w:eastAsia="Arial" w:hAnsi="Arial"/>
                <w:sz w:val="14"/>
                <w:szCs w:val="14"/>
                <w:color w:val="auto"/>
              </w:rPr>
              <w:t>2017</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634,844</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2,292,891</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253,125</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629,000</w:t>
            </w:r>
          </w:p>
        </w:tc>
        <w:tc>
          <w:tcPr>
            <w:tcW w:w="900" w:type="dxa"/>
            <w:vAlign w:val="bottom"/>
          </w:tcPr>
          <w:p>
            <w:pPr>
              <w:jc w:val="right"/>
              <w:spacing w:after="0"/>
              <w:rPr>
                <w:sz w:val="20"/>
                <w:szCs w:val="20"/>
                <w:color w:val="auto"/>
              </w:rPr>
            </w:pPr>
            <w:r>
              <w:rPr>
                <w:rFonts w:ascii="Arial" w:cs="Arial" w:eastAsia="Arial" w:hAnsi="Arial"/>
                <w:sz w:val="14"/>
                <w:szCs w:val="14"/>
                <w:color w:val="auto"/>
              </w:rPr>
              <w:t>3,809,860</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320" w:type="dxa"/>
            <w:vAlign w:val="bottom"/>
          </w:tcPr>
          <w:p>
            <w:pPr>
              <w:jc w:val="right"/>
              <w:ind w:right="89"/>
              <w:spacing w:after="0"/>
              <w:rPr>
                <w:sz w:val="20"/>
                <w:szCs w:val="20"/>
                <w:color w:val="auto"/>
              </w:rPr>
            </w:pPr>
            <w:r>
              <w:rPr>
                <w:rFonts w:ascii="Arial" w:cs="Arial" w:eastAsia="Arial" w:hAnsi="Arial"/>
                <w:sz w:val="14"/>
                <w:szCs w:val="14"/>
                <w:color w:val="auto"/>
              </w:rPr>
              <w:t>2016</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308,216</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859,700</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381,725</w:t>
            </w:r>
          </w:p>
        </w:tc>
        <w:tc>
          <w:tcPr>
            <w:tcW w:w="900" w:type="dxa"/>
            <w:vAlign w:val="bottom"/>
          </w:tcPr>
          <w:p>
            <w:pPr>
              <w:jc w:val="right"/>
              <w:spacing w:after="0"/>
              <w:rPr>
                <w:sz w:val="20"/>
                <w:szCs w:val="20"/>
                <w:color w:val="auto"/>
              </w:rPr>
            </w:pPr>
            <w:r>
              <w:rPr>
                <w:rFonts w:ascii="Arial" w:cs="Arial" w:eastAsia="Arial" w:hAnsi="Arial"/>
                <w:sz w:val="14"/>
                <w:szCs w:val="14"/>
                <w:color w:val="auto"/>
              </w:rPr>
              <w:t>1,549,641</w:t>
            </w:r>
          </w:p>
        </w:tc>
        <w:tc>
          <w:tcPr>
            <w:tcW w:w="0" w:type="dxa"/>
            <w:vAlign w:val="bottom"/>
          </w:tcPr>
          <w:p>
            <w:pPr>
              <w:spacing w:after="0"/>
              <w:rPr>
                <w:sz w:val="1"/>
                <w:szCs w:val="1"/>
                <w:color w:val="auto"/>
              </w:rPr>
            </w:pPr>
          </w:p>
        </w:tc>
      </w:tr>
      <w:tr>
        <w:trPr>
          <w:trHeight w:val="242"/>
        </w:trPr>
        <w:tc>
          <w:tcPr>
            <w:tcW w:w="4020" w:type="dxa"/>
            <w:vAlign w:val="bottom"/>
          </w:tcPr>
          <w:p>
            <w:pPr>
              <w:spacing w:after="0"/>
              <w:rPr>
                <w:sz w:val="20"/>
                <w:szCs w:val="20"/>
                <w:color w:val="auto"/>
              </w:rPr>
            </w:pPr>
            <w:r>
              <w:rPr>
                <w:rFonts w:ascii="Arial" w:cs="Arial" w:eastAsia="Arial" w:hAnsi="Arial"/>
                <w:sz w:val="14"/>
                <w:szCs w:val="14"/>
                <w:color w:val="auto"/>
              </w:rPr>
              <w:t>Christina M. Ibrahim</w:t>
            </w: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4020" w:type="dxa"/>
            <w:vAlign w:val="bottom"/>
          </w:tcPr>
          <w:p>
            <w:pPr>
              <w:ind w:left="140"/>
              <w:spacing w:after="0"/>
              <w:rPr>
                <w:sz w:val="20"/>
                <w:szCs w:val="20"/>
                <w:color w:val="auto"/>
              </w:rPr>
            </w:pPr>
            <w:r>
              <w:rPr>
                <w:rFonts w:ascii="Arial" w:cs="Arial" w:eastAsia="Arial" w:hAnsi="Arial"/>
                <w:sz w:val="14"/>
                <w:szCs w:val="14"/>
                <w:i w:val="1"/>
                <w:iCs w:val="1"/>
                <w:color w:val="auto"/>
              </w:rPr>
              <w:t>Executive Vice President,</w:t>
            </w:r>
          </w:p>
        </w:tc>
        <w:tc>
          <w:tcPr>
            <w:tcW w:w="1320" w:type="dxa"/>
            <w:vAlign w:val="bottom"/>
          </w:tcPr>
          <w:p>
            <w:pPr>
              <w:jc w:val="right"/>
              <w:ind w:right="89"/>
              <w:spacing w:after="0"/>
              <w:rPr>
                <w:sz w:val="20"/>
                <w:szCs w:val="20"/>
                <w:color w:val="auto"/>
              </w:rPr>
            </w:pPr>
            <w:r>
              <w:rPr>
                <w:rFonts w:ascii="Arial" w:cs="Arial" w:eastAsia="Arial" w:hAnsi="Arial"/>
                <w:sz w:val="14"/>
                <w:szCs w:val="14"/>
                <w:color w:val="auto"/>
              </w:rPr>
              <w:t>2017</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625,000</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2,183,701</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362,500</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64,028</w:t>
            </w:r>
          </w:p>
        </w:tc>
        <w:tc>
          <w:tcPr>
            <w:tcW w:w="900" w:type="dxa"/>
            <w:vAlign w:val="bottom"/>
          </w:tcPr>
          <w:p>
            <w:pPr>
              <w:jc w:val="right"/>
              <w:spacing w:after="0"/>
              <w:rPr>
                <w:sz w:val="20"/>
                <w:szCs w:val="20"/>
                <w:color w:val="auto"/>
              </w:rPr>
            </w:pPr>
            <w:r>
              <w:rPr>
                <w:rFonts w:ascii="Arial" w:cs="Arial" w:eastAsia="Arial" w:hAnsi="Arial"/>
                <w:sz w:val="14"/>
                <w:szCs w:val="14"/>
                <w:color w:val="auto"/>
              </w:rPr>
              <w:t>3,235,229</w:t>
            </w:r>
          </w:p>
        </w:tc>
        <w:tc>
          <w:tcPr>
            <w:tcW w:w="0" w:type="dxa"/>
            <w:vAlign w:val="bottom"/>
          </w:tcPr>
          <w:p>
            <w:pPr>
              <w:spacing w:after="0"/>
              <w:rPr>
                <w:sz w:val="1"/>
                <w:szCs w:val="1"/>
                <w:color w:val="auto"/>
              </w:rPr>
            </w:pPr>
          </w:p>
        </w:tc>
      </w:tr>
      <w:tr>
        <w:trPr>
          <w:trHeight w:val="160"/>
        </w:trPr>
        <w:tc>
          <w:tcPr>
            <w:tcW w:w="4020" w:type="dxa"/>
            <w:vAlign w:val="bottom"/>
          </w:tcPr>
          <w:p>
            <w:pPr>
              <w:ind w:left="140"/>
              <w:spacing w:after="0"/>
              <w:rPr>
                <w:sz w:val="20"/>
                <w:szCs w:val="20"/>
                <w:color w:val="auto"/>
              </w:rPr>
            </w:pPr>
            <w:r>
              <w:rPr>
                <w:rFonts w:ascii="Arial" w:cs="Arial" w:eastAsia="Arial" w:hAnsi="Arial"/>
                <w:sz w:val="14"/>
                <w:szCs w:val="14"/>
                <w:i w:val="1"/>
                <w:iCs w:val="1"/>
                <w:color w:val="auto"/>
              </w:rPr>
              <w:t>General Counsel, Chief</w:t>
            </w:r>
          </w:p>
        </w:tc>
        <w:tc>
          <w:tcPr>
            <w:tcW w:w="1320" w:type="dxa"/>
            <w:vAlign w:val="bottom"/>
          </w:tcPr>
          <w:p>
            <w:pPr>
              <w:jc w:val="right"/>
              <w:ind w:right="89"/>
              <w:spacing w:after="0"/>
              <w:rPr>
                <w:sz w:val="20"/>
                <w:szCs w:val="20"/>
                <w:color w:val="auto"/>
              </w:rPr>
            </w:pPr>
            <w:r>
              <w:rPr>
                <w:rFonts w:ascii="Arial" w:cs="Arial" w:eastAsia="Arial" w:hAnsi="Arial"/>
                <w:sz w:val="14"/>
                <w:szCs w:val="14"/>
                <w:color w:val="auto"/>
              </w:rPr>
              <w:t>2016</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578,125</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1,825,526</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23,801</w:t>
            </w:r>
          </w:p>
        </w:tc>
        <w:tc>
          <w:tcPr>
            <w:tcW w:w="900" w:type="dxa"/>
            <w:vAlign w:val="bottom"/>
          </w:tcPr>
          <w:p>
            <w:pPr>
              <w:jc w:val="right"/>
              <w:spacing w:after="0"/>
              <w:rPr>
                <w:sz w:val="20"/>
                <w:szCs w:val="20"/>
                <w:color w:val="auto"/>
              </w:rPr>
            </w:pPr>
            <w:r>
              <w:rPr>
                <w:rFonts w:ascii="Arial" w:cs="Arial" w:eastAsia="Arial" w:hAnsi="Arial"/>
                <w:sz w:val="14"/>
                <w:szCs w:val="14"/>
                <w:color w:val="auto"/>
              </w:rPr>
              <w:t>2,427,452</w:t>
            </w:r>
          </w:p>
        </w:tc>
        <w:tc>
          <w:tcPr>
            <w:tcW w:w="0" w:type="dxa"/>
            <w:vAlign w:val="bottom"/>
          </w:tcPr>
          <w:p>
            <w:pPr>
              <w:spacing w:after="0"/>
              <w:rPr>
                <w:sz w:val="1"/>
                <w:szCs w:val="1"/>
                <w:color w:val="auto"/>
              </w:rPr>
            </w:pPr>
          </w:p>
        </w:tc>
      </w:tr>
      <w:tr>
        <w:trPr>
          <w:trHeight w:val="160"/>
        </w:trPr>
        <w:tc>
          <w:tcPr>
            <w:tcW w:w="4020" w:type="dxa"/>
            <w:vAlign w:val="bottom"/>
          </w:tcPr>
          <w:p>
            <w:pPr>
              <w:ind w:left="140"/>
              <w:spacing w:after="0"/>
              <w:rPr>
                <w:sz w:val="20"/>
                <w:szCs w:val="20"/>
                <w:color w:val="auto"/>
              </w:rPr>
            </w:pPr>
            <w:r>
              <w:rPr>
                <w:rFonts w:ascii="Arial" w:cs="Arial" w:eastAsia="Arial" w:hAnsi="Arial"/>
                <w:sz w:val="14"/>
                <w:szCs w:val="14"/>
                <w:i w:val="1"/>
                <w:iCs w:val="1"/>
                <w:color w:val="auto"/>
              </w:rPr>
              <w:t>Compliance Officer and</w:t>
            </w:r>
          </w:p>
        </w:tc>
        <w:tc>
          <w:tcPr>
            <w:tcW w:w="1320" w:type="dxa"/>
            <w:vAlign w:val="bottom"/>
          </w:tcPr>
          <w:p>
            <w:pPr>
              <w:jc w:val="right"/>
              <w:ind w:right="89"/>
              <w:spacing w:after="0"/>
              <w:rPr>
                <w:sz w:val="20"/>
                <w:szCs w:val="20"/>
                <w:color w:val="auto"/>
              </w:rPr>
            </w:pPr>
            <w:r>
              <w:rPr>
                <w:rFonts w:ascii="Arial" w:cs="Arial" w:eastAsia="Arial" w:hAnsi="Arial"/>
                <w:sz w:val="14"/>
                <w:szCs w:val="14"/>
                <w:color w:val="auto"/>
              </w:rPr>
              <w:t>2015</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416,667</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150,000</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1,451,000</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534,889</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8,920</w:t>
            </w:r>
          </w:p>
        </w:tc>
        <w:tc>
          <w:tcPr>
            <w:tcW w:w="900" w:type="dxa"/>
            <w:vAlign w:val="bottom"/>
          </w:tcPr>
          <w:p>
            <w:pPr>
              <w:jc w:val="right"/>
              <w:spacing w:after="0"/>
              <w:rPr>
                <w:sz w:val="20"/>
                <w:szCs w:val="20"/>
                <w:color w:val="auto"/>
              </w:rPr>
            </w:pPr>
            <w:r>
              <w:rPr>
                <w:rFonts w:ascii="Arial" w:cs="Arial" w:eastAsia="Arial" w:hAnsi="Arial"/>
                <w:sz w:val="14"/>
                <w:szCs w:val="14"/>
                <w:color w:val="auto"/>
              </w:rPr>
              <w:t>2,561,476</w:t>
            </w:r>
          </w:p>
        </w:tc>
        <w:tc>
          <w:tcPr>
            <w:tcW w:w="0" w:type="dxa"/>
            <w:vAlign w:val="bottom"/>
          </w:tcPr>
          <w:p>
            <w:pPr>
              <w:spacing w:after="0"/>
              <w:rPr>
                <w:sz w:val="1"/>
                <w:szCs w:val="1"/>
                <w:color w:val="auto"/>
              </w:rPr>
            </w:pPr>
          </w:p>
        </w:tc>
      </w:tr>
      <w:tr>
        <w:trPr>
          <w:trHeight w:val="185"/>
        </w:trPr>
        <w:tc>
          <w:tcPr>
            <w:tcW w:w="4020" w:type="dxa"/>
            <w:vAlign w:val="bottom"/>
          </w:tcPr>
          <w:p>
            <w:pPr>
              <w:ind w:left="140"/>
              <w:spacing w:after="0"/>
              <w:rPr>
                <w:sz w:val="20"/>
                <w:szCs w:val="20"/>
                <w:color w:val="auto"/>
              </w:rPr>
            </w:pPr>
            <w:r>
              <w:rPr>
                <w:rFonts w:ascii="Arial" w:cs="Arial" w:eastAsia="Arial" w:hAnsi="Arial"/>
                <w:sz w:val="14"/>
                <w:szCs w:val="14"/>
                <w:i w:val="1"/>
                <w:iCs w:val="1"/>
                <w:color w:val="auto"/>
              </w:rPr>
              <w:t>Corporate Secretary</w:t>
            </w:r>
          </w:p>
        </w:tc>
        <w:tc>
          <w:tcPr>
            <w:tcW w:w="1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20" w:type="dxa"/>
            <w:vAlign w:val="bottom"/>
          </w:tcPr>
          <w:p>
            <w:pPr>
              <w:spacing w:after="0"/>
              <w:rPr>
                <w:sz w:val="20"/>
                <w:szCs w:val="20"/>
                <w:color w:val="auto"/>
              </w:rPr>
            </w:pPr>
            <w:r>
              <w:rPr>
                <w:rFonts w:ascii="Arial" w:cs="Arial" w:eastAsia="Arial" w:hAnsi="Arial"/>
                <w:sz w:val="14"/>
                <w:szCs w:val="14"/>
                <w:color w:val="auto"/>
              </w:rPr>
              <w:t>Karl Blanchard</w:t>
            </w:r>
          </w:p>
        </w:tc>
        <w:tc>
          <w:tcPr>
            <w:tcW w:w="1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4020" w:type="dxa"/>
            <w:vAlign w:val="bottom"/>
          </w:tcPr>
          <w:p>
            <w:pPr>
              <w:ind w:left="140"/>
              <w:spacing w:after="0"/>
              <w:rPr>
                <w:sz w:val="20"/>
                <w:szCs w:val="20"/>
                <w:color w:val="auto"/>
              </w:rPr>
            </w:pPr>
            <w:r>
              <w:rPr>
                <w:rFonts w:ascii="Arial" w:cs="Arial" w:eastAsia="Arial" w:hAnsi="Arial"/>
                <w:sz w:val="14"/>
                <w:szCs w:val="14"/>
                <w:i w:val="1"/>
                <w:iCs w:val="1"/>
                <w:color w:val="auto"/>
              </w:rPr>
              <w:t>Executive Vice President</w:t>
            </w:r>
          </w:p>
        </w:tc>
        <w:tc>
          <w:tcPr>
            <w:tcW w:w="1320" w:type="dxa"/>
            <w:vAlign w:val="bottom"/>
          </w:tcPr>
          <w:p>
            <w:pPr>
              <w:jc w:val="right"/>
              <w:ind w:right="89"/>
              <w:spacing w:after="0"/>
              <w:rPr>
                <w:sz w:val="20"/>
                <w:szCs w:val="20"/>
                <w:color w:val="auto"/>
              </w:rPr>
            </w:pPr>
            <w:r>
              <w:rPr>
                <w:rFonts w:ascii="Arial" w:cs="Arial" w:eastAsia="Arial" w:hAnsi="Arial"/>
                <w:sz w:val="14"/>
                <w:szCs w:val="14"/>
                <w:color w:val="auto"/>
              </w:rPr>
              <w:t>2017</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255,208</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2,545,810</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86,290</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7,414</w:t>
            </w:r>
          </w:p>
        </w:tc>
        <w:tc>
          <w:tcPr>
            <w:tcW w:w="900" w:type="dxa"/>
            <w:vAlign w:val="bottom"/>
          </w:tcPr>
          <w:p>
            <w:pPr>
              <w:jc w:val="right"/>
              <w:spacing w:after="0"/>
              <w:rPr>
                <w:sz w:val="20"/>
                <w:szCs w:val="20"/>
                <w:color w:val="auto"/>
              </w:rPr>
            </w:pPr>
            <w:r>
              <w:rPr>
                <w:rFonts w:ascii="Arial" w:cs="Arial" w:eastAsia="Arial" w:hAnsi="Arial"/>
                <w:sz w:val="14"/>
                <w:szCs w:val="14"/>
                <w:color w:val="auto"/>
              </w:rPr>
              <w:t>2,894,722</w:t>
            </w:r>
          </w:p>
        </w:tc>
        <w:tc>
          <w:tcPr>
            <w:tcW w:w="0" w:type="dxa"/>
            <w:vAlign w:val="bottom"/>
          </w:tcPr>
          <w:p>
            <w:pPr>
              <w:spacing w:after="0"/>
              <w:rPr>
                <w:sz w:val="1"/>
                <w:szCs w:val="1"/>
                <w:color w:val="auto"/>
              </w:rPr>
            </w:pPr>
          </w:p>
        </w:tc>
      </w:tr>
      <w:tr>
        <w:trPr>
          <w:trHeight w:val="185"/>
        </w:trPr>
        <w:tc>
          <w:tcPr>
            <w:tcW w:w="4020" w:type="dxa"/>
            <w:vAlign w:val="bottom"/>
          </w:tcPr>
          <w:p>
            <w:pPr>
              <w:ind w:left="140"/>
              <w:spacing w:after="0"/>
              <w:rPr>
                <w:sz w:val="20"/>
                <w:szCs w:val="20"/>
                <w:color w:val="auto"/>
              </w:rPr>
            </w:pPr>
            <w:r>
              <w:rPr>
                <w:rFonts w:ascii="Arial" w:cs="Arial" w:eastAsia="Arial" w:hAnsi="Arial"/>
                <w:sz w:val="14"/>
                <w:szCs w:val="14"/>
                <w:i w:val="1"/>
                <w:iCs w:val="1"/>
                <w:color w:val="auto"/>
              </w:rPr>
              <w:t>and Chief Operating Officer(a)</w:t>
            </w:r>
          </w:p>
        </w:tc>
        <w:tc>
          <w:tcPr>
            <w:tcW w:w="1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20" w:type="dxa"/>
            <w:vAlign w:val="bottom"/>
          </w:tcPr>
          <w:p>
            <w:pPr>
              <w:spacing w:after="0"/>
              <w:rPr>
                <w:sz w:val="20"/>
                <w:szCs w:val="20"/>
                <w:color w:val="auto"/>
              </w:rPr>
            </w:pPr>
            <w:r>
              <w:rPr>
                <w:rFonts w:ascii="Arial" w:cs="Arial" w:eastAsia="Arial" w:hAnsi="Arial"/>
                <w:sz w:val="14"/>
                <w:szCs w:val="14"/>
                <w:color w:val="auto"/>
              </w:rPr>
              <w:t>Douglas M. Mills</w:t>
            </w:r>
          </w:p>
        </w:tc>
        <w:tc>
          <w:tcPr>
            <w:tcW w:w="1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4020" w:type="dxa"/>
            <w:vAlign w:val="bottom"/>
          </w:tcPr>
          <w:p>
            <w:pPr>
              <w:ind w:left="140"/>
              <w:spacing w:after="0"/>
              <w:rPr>
                <w:sz w:val="20"/>
                <w:szCs w:val="20"/>
                <w:color w:val="auto"/>
              </w:rPr>
            </w:pPr>
            <w:r>
              <w:rPr>
                <w:rFonts w:ascii="Arial" w:cs="Arial" w:eastAsia="Arial" w:hAnsi="Arial"/>
                <w:sz w:val="14"/>
                <w:szCs w:val="14"/>
                <w:i w:val="1"/>
                <w:iCs w:val="1"/>
                <w:color w:val="auto"/>
              </w:rPr>
              <w:t>Vice President and Chief Accounting Officer(b)</w:t>
            </w:r>
          </w:p>
        </w:tc>
        <w:tc>
          <w:tcPr>
            <w:tcW w:w="1320" w:type="dxa"/>
            <w:vAlign w:val="bottom"/>
          </w:tcPr>
          <w:p>
            <w:pPr>
              <w:jc w:val="right"/>
              <w:ind w:right="89"/>
              <w:spacing w:after="0"/>
              <w:rPr>
                <w:sz w:val="20"/>
                <w:szCs w:val="20"/>
                <w:color w:val="auto"/>
              </w:rPr>
            </w:pPr>
            <w:r>
              <w:rPr>
                <w:rFonts w:ascii="Arial" w:cs="Arial" w:eastAsia="Arial" w:hAnsi="Arial"/>
                <w:sz w:val="14"/>
                <w:szCs w:val="14"/>
                <w:color w:val="auto"/>
              </w:rPr>
              <w:t>2017</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400,000</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1,541,849</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149,640</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38,659</w:t>
            </w:r>
          </w:p>
        </w:tc>
        <w:tc>
          <w:tcPr>
            <w:tcW w:w="900" w:type="dxa"/>
            <w:vAlign w:val="bottom"/>
          </w:tcPr>
          <w:p>
            <w:pPr>
              <w:jc w:val="right"/>
              <w:spacing w:after="0"/>
              <w:rPr>
                <w:sz w:val="20"/>
                <w:szCs w:val="20"/>
                <w:color w:val="auto"/>
              </w:rPr>
            </w:pPr>
            <w:r>
              <w:rPr>
                <w:rFonts w:ascii="Arial" w:cs="Arial" w:eastAsia="Arial" w:hAnsi="Arial"/>
                <w:sz w:val="14"/>
                <w:szCs w:val="14"/>
                <w:color w:val="auto"/>
              </w:rPr>
              <w:t>2,130,148</w:t>
            </w: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1320" w:type="dxa"/>
            <w:vAlign w:val="bottom"/>
          </w:tcPr>
          <w:p>
            <w:pPr>
              <w:jc w:val="right"/>
              <w:ind w:right="89"/>
              <w:spacing w:after="0"/>
              <w:rPr>
                <w:sz w:val="20"/>
                <w:szCs w:val="20"/>
                <w:color w:val="auto"/>
              </w:rPr>
            </w:pPr>
            <w:r>
              <w:rPr>
                <w:rFonts w:ascii="Arial" w:cs="Arial" w:eastAsia="Arial" w:hAnsi="Arial"/>
                <w:sz w:val="14"/>
                <w:szCs w:val="14"/>
                <w:color w:val="auto"/>
              </w:rPr>
              <w:t>2016</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323,750</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1,179,048</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28,026</w:t>
            </w:r>
          </w:p>
        </w:tc>
        <w:tc>
          <w:tcPr>
            <w:tcW w:w="900" w:type="dxa"/>
            <w:vAlign w:val="bottom"/>
          </w:tcPr>
          <w:p>
            <w:pPr>
              <w:jc w:val="right"/>
              <w:spacing w:after="0"/>
              <w:rPr>
                <w:sz w:val="20"/>
                <w:szCs w:val="20"/>
                <w:color w:val="auto"/>
              </w:rPr>
            </w:pPr>
            <w:r>
              <w:rPr>
                <w:rFonts w:ascii="Arial" w:cs="Arial" w:eastAsia="Arial" w:hAnsi="Arial"/>
                <w:sz w:val="14"/>
                <w:szCs w:val="14"/>
                <w:color w:val="auto"/>
              </w:rPr>
              <w:t>1,530,824</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320" w:type="dxa"/>
            <w:vAlign w:val="bottom"/>
          </w:tcPr>
          <w:p>
            <w:pPr>
              <w:jc w:val="right"/>
              <w:ind w:right="89"/>
              <w:spacing w:after="0"/>
              <w:rPr>
                <w:sz w:val="20"/>
                <w:szCs w:val="20"/>
                <w:color w:val="auto"/>
              </w:rPr>
            </w:pPr>
            <w:r>
              <w:rPr>
                <w:rFonts w:ascii="Arial" w:cs="Arial" w:eastAsia="Arial" w:hAnsi="Arial"/>
                <w:sz w:val="14"/>
                <w:szCs w:val="14"/>
                <w:color w:val="auto"/>
              </w:rPr>
              <w:t>2015</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350,000</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1,244,582</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255,938</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28,076</w:t>
            </w:r>
          </w:p>
        </w:tc>
        <w:tc>
          <w:tcPr>
            <w:tcW w:w="900" w:type="dxa"/>
            <w:vAlign w:val="bottom"/>
          </w:tcPr>
          <w:p>
            <w:pPr>
              <w:jc w:val="right"/>
              <w:spacing w:after="0"/>
              <w:rPr>
                <w:sz w:val="20"/>
                <w:szCs w:val="20"/>
                <w:color w:val="auto"/>
              </w:rPr>
            </w:pPr>
            <w:r>
              <w:rPr>
                <w:rFonts w:ascii="Arial" w:cs="Arial" w:eastAsia="Arial" w:hAnsi="Arial"/>
                <w:sz w:val="14"/>
                <w:szCs w:val="14"/>
                <w:color w:val="auto"/>
              </w:rPr>
              <w:t>1,878,596</w:t>
            </w:r>
          </w:p>
        </w:tc>
        <w:tc>
          <w:tcPr>
            <w:tcW w:w="0" w:type="dxa"/>
            <w:vAlign w:val="bottom"/>
          </w:tcPr>
          <w:p>
            <w:pPr>
              <w:spacing w:after="0"/>
              <w:rPr>
                <w:sz w:val="1"/>
                <w:szCs w:val="1"/>
                <w:color w:val="auto"/>
              </w:rPr>
            </w:pPr>
          </w:p>
        </w:tc>
      </w:tr>
      <w:tr>
        <w:trPr>
          <w:trHeight w:val="242"/>
        </w:trPr>
        <w:tc>
          <w:tcPr>
            <w:tcW w:w="4020" w:type="dxa"/>
            <w:vAlign w:val="bottom"/>
          </w:tcPr>
          <w:p>
            <w:pPr>
              <w:spacing w:after="0"/>
              <w:rPr>
                <w:sz w:val="20"/>
                <w:szCs w:val="20"/>
                <w:color w:val="auto"/>
              </w:rPr>
            </w:pPr>
            <w:r>
              <w:rPr>
                <w:rFonts w:ascii="Arial" w:cs="Arial" w:eastAsia="Arial" w:hAnsi="Arial"/>
                <w:sz w:val="14"/>
                <w:szCs w:val="14"/>
                <w:color w:val="auto"/>
              </w:rPr>
              <w:t>Krishna Shivram</w:t>
            </w: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4020" w:type="dxa"/>
            <w:vAlign w:val="bottom"/>
          </w:tcPr>
          <w:p>
            <w:pPr>
              <w:ind w:left="140"/>
              <w:spacing w:after="0"/>
              <w:rPr>
                <w:sz w:val="20"/>
                <w:szCs w:val="20"/>
                <w:color w:val="auto"/>
              </w:rPr>
            </w:pPr>
            <w:r>
              <w:rPr>
                <w:rFonts w:ascii="Arial" w:cs="Arial" w:eastAsia="Arial" w:hAnsi="Arial"/>
                <w:sz w:val="14"/>
                <w:szCs w:val="14"/>
                <w:i w:val="1"/>
                <w:iCs w:val="1"/>
                <w:color w:val="auto"/>
              </w:rPr>
              <w:t>Former President and Chief Executive Officer(c)</w:t>
            </w:r>
          </w:p>
        </w:tc>
        <w:tc>
          <w:tcPr>
            <w:tcW w:w="1320" w:type="dxa"/>
            <w:vAlign w:val="bottom"/>
          </w:tcPr>
          <w:p>
            <w:pPr>
              <w:jc w:val="right"/>
              <w:ind w:right="89"/>
              <w:spacing w:after="0"/>
              <w:rPr>
                <w:sz w:val="20"/>
                <w:szCs w:val="20"/>
                <w:color w:val="auto"/>
              </w:rPr>
            </w:pPr>
            <w:r>
              <w:rPr>
                <w:rFonts w:ascii="Arial" w:cs="Arial" w:eastAsia="Arial" w:hAnsi="Arial"/>
                <w:sz w:val="14"/>
                <w:szCs w:val="14"/>
                <w:color w:val="auto"/>
              </w:rPr>
              <w:t>2017</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137,329</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663,889</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3,985,264</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1,170,184</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5,459,542</w:t>
            </w:r>
          </w:p>
        </w:tc>
        <w:tc>
          <w:tcPr>
            <w:tcW w:w="900" w:type="dxa"/>
            <w:vAlign w:val="bottom"/>
          </w:tcPr>
          <w:p>
            <w:pPr>
              <w:jc w:val="right"/>
              <w:spacing w:after="0"/>
              <w:rPr>
                <w:sz w:val="20"/>
                <w:szCs w:val="20"/>
                <w:color w:val="auto"/>
              </w:rPr>
            </w:pPr>
            <w:r>
              <w:rPr>
                <w:rFonts w:ascii="Arial" w:cs="Arial" w:eastAsia="Arial" w:hAnsi="Arial"/>
                <w:sz w:val="14"/>
                <w:szCs w:val="14"/>
                <w:color w:val="auto"/>
              </w:rPr>
              <w:t>11,416,208</w:t>
            </w: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1320" w:type="dxa"/>
            <w:vAlign w:val="bottom"/>
          </w:tcPr>
          <w:p>
            <w:pPr>
              <w:jc w:val="right"/>
              <w:ind w:right="89"/>
              <w:spacing w:after="0"/>
              <w:rPr>
                <w:sz w:val="20"/>
                <w:szCs w:val="20"/>
                <w:color w:val="auto"/>
              </w:rPr>
            </w:pPr>
            <w:r>
              <w:rPr>
                <w:rFonts w:ascii="Arial" w:cs="Arial" w:eastAsia="Arial" w:hAnsi="Arial"/>
                <w:sz w:val="14"/>
                <w:szCs w:val="14"/>
                <w:color w:val="auto"/>
              </w:rPr>
              <w:t>2016</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693,750</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230,434</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3,331,579</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26,643</w:t>
            </w:r>
          </w:p>
        </w:tc>
        <w:tc>
          <w:tcPr>
            <w:tcW w:w="900" w:type="dxa"/>
            <w:vAlign w:val="bottom"/>
          </w:tcPr>
          <w:p>
            <w:pPr>
              <w:jc w:val="right"/>
              <w:spacing w:after="0"/>
              <w:rPr>
                <w:sz w:val="20"/>
                <w:szCs w:val="20"/>
                <w:color w:val="auto"/>
              </w:rPr>
            </w:pPr>
            <w:r>
              <w:rPr>
                <w:rFonts w:ascii="Arial" w:cs="Arial" w:eastAsia="Arial" w:hAnsi="Arial"/>
                <w:sz w:val="14"/>
                <w:szCs w:val="14"/>
                <w:color w:val="auto"/>
              </w:rPr>
              <w:t>4,282,406</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320" w:type="dxa"/>
            <w:vAlign w:val="bottom"/>
          </w:tcPr>
          <w:p>
            <w:pPr>
              <w:jc w:val="right"/>
              <w:ind w:right="89"/>
              <w:spacing w:after="0"/>
              <w:rPr>
                <w:sz w:val="20"/>
                <w:szCs w:val="20"/>
                <w:color w:val="auto"/>
              </w:rPr>
            </w:pPr>
            <w:r>
              <w:rPr>
                <w:rFonts w:ascii="Arial" w:cs="Arial" w:eastAsia="Arial" w:hAnsi="Arial"/>
                <w:sz w:val="14"/>
                <w:szCs w:val="14"/>
                <w:color w:val="auto"/>
              </w:rPr>
              <w:t>2015</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750,000</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3,504,236</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637,500</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26,838</w:t>
            </w:r>
          </w:p>
        </w:tc>
        <w:tc>
          <w:tcPr>
            <w:tcW w:w="900" w:type="dxa"/>
            <w:vAlign w:val="bottom"/>
          </w:tcPr>
          <w:p>
            <w:pPr>
              <w:jc w:val="right"/>
              <w:spacing w:after="0"/>
              <w:rPr>
                <w:sz w:val="20"/>
                <w:szCs w:val="20"/>
                <w:color w:val="auto"/>
              </w:rPr>
            </w:pPr>
            <w:r>
              <w:rPr>
                <w:rFonts w:ascii="Arial" w:cs="Arial" w:eastAsia="Arial" w:hAnsi="Arial"/>
                <w:sz w:val="14"/>
                <w:szCs w:val="14"/>
                <w:color w:val="auto"/>
              </w:rPr>
              <w:t>4,918,574</w:t>
            </w:r>
          </w:p>
        </w:tc>
        <w:tc>
          <w:tcPr>
            <w:tcW w:w="0" w:type="dxa"/>
            <w:vAlign w:val="bottom"/>
          </w:tcPr>
          <w:p>
            <w:pPr>
              <w:spacing w:after="0"/>
              <w:rPr>
                <w:sz w:val="1"/>
                <w:szCs w:val="1"/>
                <w:color w:val="auto"/>
              </w:rPr>
            </w:pPr>
          </w:p>
        </w:tc>
      </w:tr>
      <w:tr>
        <w:trPr>
          <w:trHeight w:val="242"/>
        </w:trPr>
        <w:tc>
          <w:tcPr>
            <w:tcW w:w="4020" w:type="dxa"/>
            <w:vAlign w:val="bottom"/>
          </w:tcPr>
          <w:p>
            <w:pPr>
              <w:spacing w:after="0"/>
              <w:rPr>
                <w:sz w:val="20"/>
                <w:szCs w:val="20"/>
                <w:color w:val="auto"/>
              </w:rPr>
            </w:pPr>
            <w:r>
              <w:rPr>
                <w:rFonts w:ascii="Arial" w:cs="Arial" w:eastAsia="Arial" w:hAnsi="Arial"/>
                <w:sz w:val="14"/>
                <w:szCs w:val="14"/>
                <w:color w:val="auto"/>
              </w:rPr>
              <w:t>Mario Ruscev</w:t>
            </w: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4020" w:type="dxa"/>
            <w:vAlign w:val="bottom"/>
          </w:tcPr>
          <w:p>
            <w:pPr>
              <w:ind w:left="140"/>
              <w:spacing w:after="0"/>
              <w:rPr>
                <w:sz w:val="20"/>
                <w:szCs w:val="20"/>
                <w:color w:val="auto"/>
              </w:rPr>
            </w:pPr>
            <w:r>
              <w:rPr>
                <w:rFonts w:ascii="Arial" w:cs="Arial" w:eastAsia="Arial" w:hAnsi="Arial"/>
                <w:sz w:val="14"/>
                <w:szCs w:val="14"/>
                <w:i w:val="1"/>
                <w:iCs w:val="1"/>
                <w:color w:val="auto"/>
              </w:rPr>
              <w:t>Former Executive Vice President,</w:t>
            </w:r>
          </w:p>
        </w:tc>
        <w:tc>
          <w:tcPr>
            <w:tcW w:w="1320" w:type="dxa"/>
            <w:vAlign w:val="bottom"/>
          </w:tcPr>
          <w:p>
            <w:pPr>
              <w:jc w:val="right"/>
              <w:ind w:right="89"/>
              <w:spacing w:after="0"/>
              <w:rPr>
                <w:sz w:val="20"/>
                <w:szCs w:val="20"/>
                <w:color w:val="auto"/>
              </w:rPr>
            </w:pPr>
            <w:r>
              <w:rPr>
                <w:rFonts w:ascii="Arial" w:cs="Arial" w:eastAsia="Arial" w:hAnsi="Arial"/>
                <w:sz w:val="14"/>
                <w:szCs w:val="14"/>
                <w:color w:val="auto"/>
              </w:rPr>
              <w:t>2017</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460,227</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3,930,681</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1,315,285</w:t>
            </w:r>
          </w:p>
        </w:tc>
        <w:tc>
          <w:tcPr>
            <w:tcW w:w="900" w:type="dxa"/>
            <w:vAlign w:val="bottom"/>
          </w:tcPr>
          <w:p>
            <w:pPr>
              <w:jc w:val="right"/>
              <w:spacing w:after="0"/>
              <w:rPr>
                <w:sz w:val="20"/>
                <w:szCs w:val="20"/>
                <w:color w:val="auto"/>
              </w:rPr>
            </w:pPr>
            <w:r>
              <w:rPr>
                <w:rFonts w:ascii="Arial" w:cs="Arial" w:eastAsia="Arial" w:hAnsi="Arial"/>
                <w:sz w:val="14"/>
                <w:szCs w:val="14"/>
                <w:color w:val="auto"/>
              </w:rPr>
              <w:t>5,706,193</w:t>
            </w:r>
          </w:p>
        </w:tc>
        <w:tc>
          <w:tcPr>
            <w:tcW w:w="0" w:type="dxa"/>
            <w:vAlign w:val="bottom"/>
          </w:tcPr>
          <w:p>
            <w:pPr>
              <w:spacing w:after="0"/>
              <w:rPr>
                <w:sz w:val="1"/>
                <w:szCs w:val="1"/>
                <w:color w:val="auto"/>
              </w:rPr>
            </w:pPr>
          </w:p>
        </w:tc>
      </w:tr>
      <w:tr>
        <w:trPr>
          <w:trHeight w:val="160"/>
        </w:trPr>
        <w:tc>
          <w:tcPr>
            <w:tcW w:w="4020" w:type="dxa"/>
            <w:vAlign w:val="bottom"/>
          </w:tcPr>
          <w:p>
            <w:pPr>
              <w:ind w:left="140"/>
              <w:spacing w:after="0"/>
              <w:rPr>
                <w:sz w:val="20"/>
                <w:szCs w:val="20"/>
                <w:color w:val="auto"/>
              </w:rPr>
            </w:pPr>
            <w:r>
              <w:rPr>
                <w:rFonts w:ascii="Arial" w:cs="Arial" w:eastAsia="Arial" w:hAnsi="Arial"/>
                <w:sz w:val="14"/>
                <w:szCs w:val="14"/>
                <w:i w:val="1"/>
                <w:iCs w:val="1"/>
                <w:color w:val="auto"/>
              </w:rPr>
              <w:t>President-Product Lines and</w:t>
            </w:r>
          </w:p>
        </w:tc>
        <w:tc>
          <w:tcPr>
            <w:tcW w:w="1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20" w:type="dxa"/>
            <w:vAlign w:val="bottom"/>
          </w:tcPr>
          <w:p>
            <w:pPr>
              <w:ind w:left="140"/>
              <w:spacing w:after="0"/>
              <w:rPr>
                <w:sz w:val="20"/>
                <w:szCs w:val="20"/>
                <w:color w:val="auto"/>
              </w:rPr>
            </w:pPr>
            <w:r>
              <w:rPr>
                <w:rFonts w:ascii="Arial" w:cs="Arial" w:eastAsia="Arial" w:hAnsi="Arial"/>
                <w:sz w:val="14"/>
                <w:szCs w:val="14"/>
                <w:i w:val="1"/>
                <w:iCs w:val="1"/>
                <w:color w:val="auto"/>
              </w:rPr>
              <w:t>Chief Technology Officer(d)</w:t>
            </w:r>
          </w:p>
        </w:tc>
        <w:tc>
          <w:tcPr>
            <w:tcW w:w="1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-635</wp:posOffset>
            </wp:positionV>
            <wp:extent cx="69176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ind w:left="480" w:hanging="213"/>
        <w:spacing w:after="0"/>
        <w:tabs>
          <w:tab w:leader="none" w:pos="4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Mr. McCollum joined the Company in April 2017; Mr. Blanchard joined the Company in August 2017.</w:t>
      </w:r>
    </w:p>
    <w:p>
      <w:pPr>
        <w:spacing w:after="0" w:line="39" w:lineRule="exact"/>
        <w:rPr>
          <w:rFonts w:ascii="Arial" w:cs="Arial" w:eastAsia="Arial" w:hAnsi="Arial"/>
          <w:sz w:val="14"/>
          <w:szCs w:val="14"/>
          <w:color w:val="auto"/>
        </w:rPr>
      </w:pPr>
    </w:p>
    <w:p>
      <w:pPr>
        <w:ind w:left="480" w:hanging="213"/>
        <w:spacing w:after="0"/>
        <w:tabs>
          <w:tab w:leader="none" w:pos="4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Mr. Mills was not an NEO in 2015; however, his compensation is shown for 2015. He will be departing the Company effective April 15, 2018.</w:t>
      </w:r>
    </w:p>
    <w:p>
      <w:pPr>
        <w:spacing w:after="0" w:line="39" w:lineRule="exact"/>
        <w:rPr>
          <w:rFonts w:ascii="Arial" w:cs="Arial" w:eastAsia="Arial" w:hAnsi="Arial"/>
          <w:sz w:val="14"/>
          <w:szCs w:val="14"/>
          <w:color w:val="auto"/>
        </w:rPr>
      </w:pPr>
    </w:p>
    <w:p>
      <w:pPr>
        <w:ind w:left="480" w:hanging="213"/>
        <w:spacing w:after="0"/>
        <w:tabs>
          <w:tab w:leader="none" w:pos="4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Mr. Shivram, our former President and Interim CEO, departed the Company in March 2017 upon the appointment of Mr. Mark A. McCollum as CEO.</w:t>
      </w:r>
    </w:p>
    <w:p>
      <w:pPr>
        <w:spacing w:after="0" w:line="39" w:lineRule="exact"/>
        <w:rPr>
          <w:rFonts w:ascii="Arial" w:cs="Arial" w:eastAsia="Arial" w:hAnsi="Arial"/>
          <w:sz w:val="14"/>
          <w:szCs w:val="14"/>
          <w:color w:val="auto"/>
        </w:rPr>
      </w:pPr>
    </w:p>
    <w:p>
      <w:pPr>
        <w:ind w:left="480" w:hanging="213"/>
        <w:spacing w:after="0"/>
        <w:tabs>
          <w:tab w:leader="none" w:pos="4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Mr. Ruscev, our former Executive Vice President, President-Product Lines and Chief Technology Officer, departed the Company in August 2017.</w:t>
      </w:r>
    </w:p>
    <w:p>
      <w:pPr>
        <w:spacing w:after="0" w:line="39" w:lineRule="exact"/>
        <w:rPr>
          <w:rFonts w:ascii="Arial" w:cs="Arial" w:eastAsia="Arial" w:hAnsi="Arial"/>
          <w:sz w:val="14"/>
          <w:szCs w:val="14"/>
          <w:color w:val="auto"/>
        </w:rPr>
      </w:pPr>
    </w:p>
    <w:p>
      <w:pPr>
        <w:ind w:left="480" w:right="380" w:hanging="213"/>
        <w:spacing w:after="0" w:line="253" w:lineRule="auto"/>
        <w:tabs>
          <w:tab w:leader="none" w:pos="4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Mrs. Ibrahim was given a one-time sign-on cash (make-whole) payment when she joined the Company in 2015 to replace the value of bonuses and unvested equity being forfeited at her previous employer.</w:t>
      </w:r>
    </w:p>
    <w:p>
      <w:pPr>
        <w:spacing w:after="0" w:line="21" w:lineRule="exact"/>
        <w:rPr>
          <w:rFonts w:ascii="Arial" w:cs="Arial" w:eastAsia="Arial" w:hAnsi="Arial"/>
          <w:sz w:val="14"/>
          <w:szCs w:val="14"/>
          <w:color w:val="auto"/>
        </w:rPr>
      </w:pPr>
    </w:p>
    <w:p>
      <w:pPr>
        <w:ind w:left="480" w:right="420" w:hanging="213"/>
        <w:spacing w:after="0" w:line="253" w:lineRule="auto"/>
        <w:tabs>
          <w:tab w:leader="none" w:pos="4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Mr. Shivram received a supplemental quarterly cash payment of $400,000 prorated from November 9, 2016 until his departure in March 2017 in connection with his actions as interim CEO. He was also awarded $375,000 for his significant contributions to the Company during his service as interim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95250</wp:posOffset>
            </wp:positionV>
            <wp:extent cx="69176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384" w:lineRule="exact"/>
        <w:rPr>
          <w:sz w:val="20"/>
          <w:szCs w:val="20"/>
          <w:color w:val="auto"/>
        </w:rPr>
      </w:pPr>
    </w:p>
    <w:p>
      <w:pPr>
        <w:ind w:left="7360"/>
        <w:spacing w:after="0"/>
        <w:tabs>
          <w:tab w:leader="none" w:pos="10980" w:val="left"/>
        </w:tabs>
        <w:rPr>
          <w:sz w:val="20"/>
          <w:szCs w:val="20"/>
          <w:color w:val="auto"/>
        </w:rPr>
      </w:pPr>
      <w:r>
        <w:rPr>
          <w:rFonts w:ascii="Arial" w:cs="Arial" w:eastAsia="Arial" w:hAnsi="Arial"/>
          <w:sz w:val="14"/>
          <w:szCs w:val="14"/>
          <w:color w:val="666666"/>
        </w:rPr>
        <w:t>Weatherford International plc — 2018 Proxy Statement</w:t>
      </w:r>
      <w:r>
        <w:rPr>
          <w:sz w:val="20"/>
          <w:szCs w:val="20"/>
          <w:color w:val="auto"/>
        </w:rPr>
        <w:tab/>
      </w:r>
      <w:r>
        <w:rPr>
          <w:rFonts w:ascii="Arial" w:cs="Arial" w:eastAsia="Arial" w:hAnsi="Arial"/>
          <w:sz w:val="14"/>
          <w:szCs w:val="14"/>
          <w:b w:val="1"/>
          <w:bCs w:val="1"/>
          <w:color w:val="666666"/>
        </w:rPr>
        <w:t>37</w:t>
      </w:r>
    </w:p>
    <w:p>
      <w:pPr>
        <w:sectPr>
          <w:pgSz w:w="11900" w:h="16838" w:orient="portrait"/>
          <w:cols w:equalWidth="0" w:num="1">
            <w:col w:w="11160"/>
          </w:cols>
          <w:pgMar w:left="240" w:top="456"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666666"/>
        </w:rPr>
        <w:t>EXECUTIVE COMPENSATION TABLES</w:t>
      </w:r>
    </w:p>
    <w:p>
      <w:pPr>
        <w:spacing w:after="0" w:line="204" w:lineRule="exact"/>
        <w:rPr>
          <w:sz w:val="20"/>
          <w:szCs w:val="20"/>
          <w:color w:val="auto"/>
        </w:rPr>
      </w:pPr>
    </w:p>
    <w:p>
      <w:pPr>
        <w:ind w:left="480" w:right="20" w:hanging="213"/>
        <w:spacing w:after="0" w:line="246" w:lineRule="auto"/>
        <w:tabs>
          <w:tab w:leader="none" w:pos="4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Assumptions used in the calculation of these amounts are included in Note 18 (Share-Based Compensation) to the audited financial statements included in our Annual Report on Form 10-K for the year ended December 31, 2017. For the PSUs granted during 2017, the value of the award at the grant date, assuming that the highest level of performance conditions will be achieved, are set forth below. For additional information regarding our 2017 grants, please see page 30 of this Proxy Statement.</w:t>
      </w:r>
    </w:p>
    <w:p>
      <w:pPr>
        <w:spacing w:after="0" w:line="194"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Executive</w:t>
            </w:r>
          </w:p>
        </w:tc>
        <w:tc>
          <w:tcPr>
            <w:tcW w:w="5680" w:type="dxa"/>
            <w:vAlign w:val="bottom"/>
            <w:tcBorders>
              <w:bottom w:val="single" w:sz="8" w:color="auto"/>
            </w:tcBorders>
            <w:gridSpan w:val="2"/>
          </w:tcPr>
          <w:p>
            <w:pPr>
              <w:ind w:left="4320"/>
              <w:spacing w:after="0"/>
              <w:rPr>
                <w:sz w:val="20"/>
                <w:szCs w:val="20"/>
                <w:color w:val="auto"/>
              </w:rPr>
            </w:pPr>
            <w:r>
              <w:rPr>
                <w:rFonts w:ascii="Arial" w:cs="Arial" w:eastAsia="Arial" w:hAnsi="Arial"/>
                <w:sz w:val="14"/>
                <w:szCs w:val="14"/>
                <w:color w:val="auto"/>
              </w:rPr>
              <w:t>Maximum Payout ($)</w:t>
            </w:r>
          </w:p>
        </w:tc>
      </w:tr>
      <w:tr>
        <w:trPr>
          <w:trHeight w:val="154"/>
        </w:trPr>
        <w:tc>
          <w:tcPr>
            <w:tcW w:w="498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McCollum</w:t>
            </w:r>
          </w:p>
        </w:tc>
        <w:tc>
          <w:tcPr>
            <w:tcW w:w="4700" w:type="dxa"/>
            <w:vAlign w:val="bottom"/>
            <w:tcBorders>
              <w:bottom w:val="single" w:sz="8" w:color="666666"/>
            </w:tcBorders>
          </w:tcPr>
          <w:p>
            <w:pPr>
              <w:ind w:left="4320"/>
              <w:spacing w:after="0" w:line="153"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6,000,000</w:t>
            </w:r>
          </w:p>
        </w:tc>
      </w:tr>
      <w:tr>
        <w:trPr>
          <w:trHeight w:val="154"/>
        </w:trPr>
        <w:tc>
          <w:tcPr>
            <w:tcW w:w="498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Bausch</w:t>
            </w:r>
          </w:p>
        </w:tc>
        <w:tc>
          <w:tcPr>
            <w:tcW w:w="4700" w:type="dxa"/>
            <w:vAlign w:val="bottom"/>
            <w:tcBorders>
              <w:bottom w:val="single" w:sz="8" w:color="666666"/>
            </w:tcBorders>
          </w:tcPr>
          <w:p>
            <w:pPr>
              <w:ind w:left="4320"/>
              <w:spacing w:after="0" w:line="153"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2,100,000</w:t>
            </w:r>
          </w:p>
        </w:tc>
      </w:tr>
      <w:tr>
        <w:trPr>
          <w:trHeight w:val="154"/>
        </w:trPr>
        <w:tc>
          <w:tcPr>
            <w:tcW w:w="498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Ibrahim</w:t>
            </w:r>
          </w:p>
        </w:tc>
        <w:tc>
          <w:tcPr>
            <w:tcW w:w="4700" w:type="dxa"/>
            <w:vAlign w:val="bottom"/>
            <w:tcBorders>
              <w:bottom w:val="single" w:sz="8" w:color="666666"/>
            </w:tcBorders>
          </w:tcPr>
          <w:p>
            <w:pPr>
              <w:ind w:left="4320"/>
              <w:spacing w:after="0" w:line="153"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2,000,000</w:t>
            </w:r>
          </w:p>
        </w:tc>
      </w:tr>
      <w:tr>
        <w:trPr>
          <w:trHeight w:val="154"/>
        </w:trPr>
        <w:tc>
          <w:tcPr>
            <w:tcW w:w="498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Blanchard</w:t>
            </w:r>
          </w:p>
        </w:tc>
        <w:tc>
          <w:tcPr>
            <w:tcW w:w="4700" w:type="dxa"/>
            <w:vAlign w:val="bottom"/>
            <w:tcBorders>
              <w:bottom w:val="single" w:sz="8" w:color="666666"/>
            </w:tcBorders>
          </w:tcPr>
          <w:p>
            <w:pPr>
              <w:ind w:left="4320"/>
              <w:spacing w:after="0" w:line="153"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1,400,000</w:t>
            </w:r>
          </w:p>
        </w:tc>
      </w:tr>
      <w:tr>
        <w:trPr>
          <w:trHeight w:val="154"/>
        </w:trPr>
        <w:tc>
          <w:tcPr>
            <w:tcW w:w="498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Mills</w:t>
            </w:r>
          </w:p>
        </w:tc>
        <w:tc>
          <w:tcPr>
            <w:tcW w:w="4700" w:type="dxa"/>
            <w:vAlign w:val="bottom"/>
            <w:tcBorders>
              <w:bottom w:val="single" w:sz="8" w:color="666666"/>
            </w:tcBorders>
          </w:tcPr>
          <w:p>
            <w:pPr>
              <w:ind w:left="4320"/>
              <w:spacing w:after="0" w:line="153"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1,400,000</w:t>
            </w:r>
          </w:p>
        </w:tc>
      </w:tr>
      <w:tr>
        <w:trPr>
          <w:trHeight w:val="154"/>
        </w:trPr>
        <w:tc>
          <w:tcPr>
            <w:tcW w:w="498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Shivram</w:t>
            </w:r>
          </w:p>
        </w:tc>
        <w:tc>
          <w:tcPr>
            <w:tcW w:w="4700" w:type="dxa"/>
            <w:vAlign w:val="bottom"/>
            <w:tcBorders>
              <w:bottom w:val="single" w:sz="8" w:color="666666"/>
            </w:tcBorders>
          </w:tcPr>
          <w:p>
            <w:pPr>
              <w:ind w:left="4320"/>
              <w:spacing w:after="0" w:line="153"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3,650,000</w:t>
            </w:r>
          </w:p>
        </w:tc>
      </w:tr>
      <w:tr>
        <w:trPr>
          <w:trHeight w:val="154"/>
        </w:trPr>
        <w:tc>
          <w:tcPr>
            <w:tcW w:w="498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Ruscev</w:t>
            </w:r>
          </w:p>
        </w:tc>
        <w:tc>
          <w:tcPr>
            <w:tcW w:w="4700" w:type="dxa"/>
            <w:vAlign w:val="bottom"/>
            <w:tcBorders>
              <w:bottom w:val="single" w:sz="8" w:color="auto"/>
            </w:tcBorders>
          </w:tcPr>
          <w:p>
            <w:pPr>
              <w:ind w:left="4320"/>
              <w:spacing w:after="0" w:line="153"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3,600,000</w:t>
            </w:r>
          </w:p>
        </w:tc>
      </w:tr>
    </w:tbl>
    <w:p>
      <w:pPr>
        <w:spacing w:after="0" w:line="45" w:lineRule="exact"/>
        <w:rPr>
          <w:sz w:val="20"/>
          <w:szCs w:val="20"/>
          <w:color w:val="auto"/>
        </w:rPr>
      </w:pPr>
    </w:p>
    <w:p>
      <w:pPr>
        <w:ind w:left="480" w:right="60" w:hanging="213"/>
        <w:spacing w:after="0" w:line="242" w:lineRule="auto"/>
        <w:tabs>
          <w:tab w:leader="none" w:pos="4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Each of our NEOs is eligible to participate in our EICP. Details of the payments under the EICP are provided earlier under “Annual Cash Incentive Compensation,” of the CD&amp;A section of this Proxy Statement and ranged from 34% to 58% of base salary. Mr. Shivram also received an additional performance bonus for his achievements during his service as interim CEO. In 2016, because the Company did not meet its minimum free cash flow objective, no payout was made to any NEO. Amounts paid for 2015 are described in our previous proxy statements and were paid in 2016, but were earned by each NEO for performance in 2015. Amounts for 2015 denominated in a currency other than USD were converted to USD using the appropriate foreign exchange rate as of the applicable payment dates.</w:t>
      </w:r>
    </w:p>
    <w:p>
      <w:pPr>
        <w:spacing w:after="0" w:line="29" w:lineRule="exact"/>
        <w:rPr>
          <w:rFonts w:ascii="Arial" w:cs="Arial" w:eastAsia="Arial" w:hAnsi="Arial"/>
          <w:sz w:val="14"/>
          <w:szCs w:val="14"/>
          <w:color w:val="auto"/>
        </w:rPr>
      </w:pPr>
    </w:p>
    <w:p>
      <w:pPr>
        <w:ind w:left="480" w:hanging="213"/>
        <w:spacing w:after="0"/>
        <w:tabs>
          <w:tab w:leader="none" w:pos="4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All Other Compensation for 2017 consists of the following:</w:t>
      </w:r>
    </w:p>
    <w:p>
      <w:pPr>
        <w:spacing w:after="0" w:line="21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Matching</w:t>
            </w:r>
          </w:p>
        </w:tc>
        <w:tc>
          <w:tcPr>
            <w:tcW w:w="1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Contributions</w:t>
            </w:r>
          </w:p>
        </w:tc>
        <w:tc>
          <w:tcPr>
            <w:tcW w:w="1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under 401(k) and</w:t>
            </w:r>
          </w:p>
        </w:tc>
        <w:tc>
          <w:tcPr>
            <w:tcW w:w="1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Club</w:t>
            </w: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Other</w:t>
            </w:r>
          </w:p>
        </w:tc>
        <w:tc>
          <w:tcPr>
            <w:tcW w:w="1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Housing,</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Gross-ups</w:t>
            </w:r>
          </w:p>
        </w:tc>
        <w:tc>
          <w:tcPr>
            <w:tcW w:w="11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Car/Car</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Membership</w:t>
            </w: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Contribution</w:t>
            </w:r>
          </w:p>
        </w:tc>
        <w:tc>
          <w:tcPr>
            <w:tcW w:w="1120" w:type="dxa"/>
            <w:vAlign w:val="bottom"/>
          </w:tcPr>
          <w:p>
            <w:pPr>
              <w:jc w:val="right"/>
              <w:ind w:right="49"/>
              <w:spacing w:after="0"/>
              <w:rPr>
                <w:sz w:val="20"/>
                <w:szCs w:val="20"/>
                <w:color w:val="auto"/>
              </w:rPr>
            </w:pPr>
            <w:r>
              <w:rPr>
                <w:rFonts w:ascii="Arial" w:cs="Arial" w:eastAsia="Arial" w:hAnsi="Arial"/>
                <w:sz w:val="14"/>
                <w:szCs w:val="14"/>
                <w:color w:val="auto"/>
              </w:rPr>
              <w:t>Life Insurance</w:t>
            </w:r>
          </w:p>
        </w:tc>
        <w:tc>
          <w:tcPr>
            <w:tcW w:w="1820" w:type="dxa"/>
            <w:vAlign w:val="bottom"/>
          </w:tcPr>
          <w:p>
            <w:pPr>
              <w:jc w:val="right"/>
              <w:ind w:right="49"/>
              <w:spacing w:after="0"/>
              <w:rPr>
                <w:sz w:val="20"/>
                <w:szCs w:val="20"/>
                <w:color w:val="auto"/>
              </w:rPr>
            </w:pPr>
            <w:r>
              <w:rPr>
                <w:rFonts w:ascii="Arial" w:cs="Arial" w:eastAsia="Arial" w:hAnsi="Arial"/>
                <w:sz w:val="14"/>
                <w:szCs w:val="14"/>
                <w:color w:val="auto"/>
              </w:rPr>
              <w:t>Relocation &amp; Geographic</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Schooling</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and Net</w:t>
            </w:r>
          </w:p>
        </w:tc>
        <w:tc>
          <w:tcPr>
            <w:tcW w:w="11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Allowance</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Dues</w:t>
            </w: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Plans</w:t>
            </w:r>
          </w:p>
        </w:tc>
        <w:tc>
          <w:tcPr>
            <w:tcW w:w="1120" w:type="dxa"/>
            <w:vAlign w:val="bottom"/>
          </w:tcPr>
          <w:p>
            <w:pPr>
              <w:jc w:val="right"/>
              <w:ind w:right="49"/>
              <w:spacing w:after="0"/>
              <w:rPr>
                <w:sz w:val="20"/>
                <w:szCs w:val="20"/>
                <w:color w:val="auto"/>
              </w:rPr>
            </w:pPr>
            <w:r>
              <w:rPr>
                <w:rFonts w:ascii="Arial" w:cs="Arial" w:eastAsia="Arial" w:hAnsi="Arial"/>
                <w:sz w:val="14"/>
                <w:szCs w:val="14"/>
                <w:color w:val="auto"/>
              </w:rPr>
              <w:t>Premiums</w:t>
            </w:r>
          </w:p>
        </w:tc>
        <w:tc>
          <w:tcPr>
            <w:tcW w:w="1820" w:type="dxa"/>
            <w:vAlign w:val="bottom"/>
          </w:tcPr>
          <w:p>
            <w:pPr>
              <w:jc w:val="right"/>
              <w:ind w:right="49"/>
              <w:spacing w:after="0"/>
              <w:rPr>
                <w:sz w:val="20"/>
                <w:szCs w:val="20"/>
                <w:color w:val="auto"/>
              </w:rPr>
            </w:pPr>
            <w:r>
              <w:rPr>
                <w:rFonts w:ascii="Arial" w:cs="Arial" w:eastAsia="Arial" w:hAnsi="Arial"/>
                <w:sz w:val="14"/>
                <w:szCs w:val="14"/>
                <w:color w:val="auto"/>
              </w:rPr>
              <w:t>Differential</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and Other</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Taxes Paid</w:t>
            </w:r>
          </w:p>
        </w:tc>
        <w:tc>
          <w:tcPr>
            <w:tcW w:w="1180" w:type="dxa"/>
            <w:vAlign w:val="bottom"/>
          </w:tcPr>
          <w:p>
            <w:pPr>
              <w:jc w:val="right"/>
              <w:spacing w:after="0"/>
              <w:rPr>
                <w:sz w:val="20"/>
                <w:szCs w:val="20"/>
                <w:color w:val="auto"/>
              </w:rPr>
            </w:pPr>
            <w:r>
              <w:rPr>
                <w:rFonts w:ascii="Arial" w:cs="Arial" w:eastAsia="Arial" w:hAnsi="Arial"/>
                <w:sz w:val="14"/>
                <w:szCs w:val="14"/>
                <w:color w:val="auto"/>
              </w:rPr>
              <w:t>Termination Pay</w:t>
            </w:r>
          </w:p>
        </w:tc>
      </w:tr>
      <w:tr>
        <w:trPr>
          <w:trHeight w:val="169"/>
        </w:trPr>
        <w:tc>
          <w:tcPr>
            <w:tcW w:w="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w:t>
            </w: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154"/>
        </w:trPr>
        <w:tc>
          <w:tcPr>
            <w:tcW w:w="1140" w:type="dxa"/>
            <w:vAlign w:val="bottom"/>
            <w:tcBorders>
              <w:bottom w:val="single" w:sz="8" w:color="666666"/>
            </w:tcBorders>
            <w:gridSpan w:val="2"/>
          </w:tcPr>
          <w:p>
            <w:pPr>
              <w:spacing w:after="0" w:line="153" w:lineRule="exact"/>
              <w:rPr>
                <w:sz w:val="20"/>
                <w:szCs w:val="20"/>
                <w:color w:val="auto"/>
              </w:rPr>
            </w:pPr>
            <w:r>
              <w:rPr>
                <w:rFonts w:ascii="Arial" w:cs="Arial" w:eastAsia="Arial" w:hAnsi="Arial"/>
                <w:sz w:val="14"/>
                <w:szCs w:val="14"/>
                <w:color w:val="auto"/>
              </w:rPr>
              <w:t>McCollum</w:t>
            </w:r>
          </w:p>
        </w:tc>
        <w:tc>
          <w:tcPr>
            <w:tcW w:w="1260" w:type="dxa"/>
            <w:vAlign w:val="bottom"/>
            <w:tcBorders>
              <w:bottom w:val="single" w:sz="8" w:color="666666"/>
            </w:tcBorders>
          </w:tcPr>
          <w:p>
            <w:pPr>
              <w:jc w:val="right"/>
              <w:ind w:right="29"/>
              <w:spacing w:after="0" w:line="153" w:lineRule="exact"/>
              <w:rPr>
                <w:sz w:val="20"/>
                <w:szCs w:val="20"/>
                <w:color w:val="auto"/>
              </w:rPr>
            </w:pPr>
            <w:r>
              <w:rPr>
                <w:rFonts w:ascii="Arial" w:cs="Arial" w:eastAsia="Arial" w:hAnsi="Arial"/>
                <w:sz w:val="14"/>
                <w:szCs w:val="14"/>
                <w:color w:val="auto"/>
              </w:rPr>
              <w:t>7,425</w:t>
            </w:r>
          </w:p>
        </w:tc>
        <w:tc>
          <w:tcPr>
            <w:tcW w:w="10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8,729</w:t>
            </w:r>
          </w:p>
        </w:tc>
        <w:tc>
          <w:tcPr>
            <w:tcW w:w="11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4,798</w:t>
            </w:r>
          </w:p>
        </w:tc>
        <w:tc>
          <w:tcPr>
            <w:tcW w:w="18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10,075</w:t>
            </w:r>
          </w:p>
        </w:tc>
        <w:tc>
          <w:tcPr>
            <w:tcW w:w="118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w:t>
            </w:r>
          </w:p>
        </w:tc>
      </w:tr>
      <w:tr>
        <w:trPr>
          <w:trHeight w:val="154"/>
        </w:trPr>
        <w:tc>
          <w:tcPr>
            <w:tcW w:w="1140" w:type="dxa"/>
            <w:vAlign w:val="bottom"/>
            <w:tcBorders>
              <w:bottom w:val="single" w:sz="8" w:color="666666"/>
            </w:tcBorders>
            <w:gridSpan w:val="2"/>
          </w:tcPr>
          <w:p>
            <w:pPr>
              <w:spacing w:after="0" w:line="153" w:lineRule="exact"/>
              <w:rPr>
                <w:sz w:val="20"/>
                <w:szCs w:val="20"/>
                <w:color w:val="auto"/>
              </w:rPr>
            </w:pPr>
            <w:r>
              <w:rPr>
                <w:rFonts w:ascii="Arial" w:cs="Arial" w:eastAsia="Arial" w:hAnsi="Arial"/>
                <w:sz w:val="14"/>
                <w:szCs w:val="14"/>
                <w:color w:val="auto"/>
              </w:rPr>
              <w:t>Bausch</w:t>
            </w:r>
          </w:p>
        </w:tc>
        <w:tc>
          <w:tcPr>
            <w:tcW w:w="1260" w:type="dxa"/>
            <w:vAlign w:val="bottom"/>
            <w:tcBorders>
              <w:bottom w:val="single" w:sz="8" w:color="666666"/>
            </w:tcBorders>
          </w:tcPr>
          <w:p>
            <w:pPr>
              <w:jc w:val="right"/>
              <w:ind w:right="29"/>
              <w:spacing w:after="0" w:line="153" w:lineRule="exact"/>
              <w:rPr>
                <w:sz w:val="20"/>
                <w:szCs w:val="20"/>
                <w:color w:val="auto"/>
              </w:rPr>
            </w:pPr>
            <w:r>
              <w:rPr>
                <w:rFonts w:ascii="Arial" w:cs="Arial" w:eastAsia="Arial" w:hAnsi="Arial"/>
                <w:sz w:val="14"/>
                <w:szCs w:val="14"/>
                <w:color w:val="auto"/>
              </w:rPr>
              <w:t>18,325</w:t>
            </w:r>
          </w:p>
        </w:tc>
        <w:tc>
          <w:tcPr>
            <w:tcW w:w="10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31,474</w:t>
            </w:r>
          </w:p>
        </w:tc>
        <w:tc>
          <w:tcPr>
            <w:tcW w:w="11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1,686</w:t>
            </w:r>
          </w:p>
        </w:tc>
        <w:tc>
          <w:tcPr>
            <w:tcW w:w="18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147,336</w:t>
            </w:r>
          </w:p>
        </w:tc>
        <w:tc>
          <w:tcPr>
            <w:tcW w:w="88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264,698</w:t>
            </w:r>
          </w:p>
        </w:tc>
        <w:tc>
          <w:tcPr>
            <w:tcW w:w="9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165,481</w:t>
            </w:r>
          </w:p>
        </w:tc>
        <w:tc>
          <w:tcPr>
            <w:tcW w:w="118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w:t>
            </w:r>
          </w:p>
        </w:tc>
      </w:tr>
      <w:tr>
        <w:trPr>
          <w:trHeight w:val="154"/>
        </w:trPr>
        <w:tc>
          <w:tcPr>
            <w:tcW w:w="1140" w:type="dxa"/>
            <w:vAlign w:val="bottom"/>
            <w:tcBorders>
              <w:bottom w:val="single" w:sz="8" w:color="666666"/>
            </w:tcBorders>
            <w:gridSpan w:val="2"/>
          </w:tcPr>
          <w:p>
            <w:pPr>
              <w:spacing w:after="0" w:line="153" w:lineRule="exact"/>
              <w:rPr>
                <w:sz w:val="20"/>
                <w:szCs w:val="20"/>
                <w:color w:val="auto"/>
              </w:rPr>
            </w:pPr>
            <w:r>
              <w:rPr>
                <w:rFonts w:ascii="Arial" w:cs="Arial" w:eastAsia="Arial" w:hAnsi="Arial"/>
                <w:sz w:val="14"/>
                <w:szCs w:val="14"/>
                <w:color w:val="auto"/>
              </w:rPr>
              <w:t>Ibrahim</w:t>
            </w:r>
          </w:p>
        </w:tc>
        <w:tc>
          <w:tcPr>
            <w:tcW w:w="1260" w:type="dxa"/>
            <w:vAlign w:val="bottom"/>
            <w:tcBorders>
              <w:bottom w:val="single" w:sz="8" w:color="666666"/>
            </w:tcBorders>
          </w:tcPr>
          <w:p>
            <w:pPr>
              <w:jc w:val="right"/>
              <w:ind w:right="29"/>
              <w:spacing w:after="0" w:line="153" w:lineRule="exact"/>
              <w:rPr>
                <w:sz w:val="20"/>
                <w:szCs w:val="20"/>
                <w:color w:val="auto"/>
              </w:rPr>
            </w:pPr>
            <w:r>
              <w:rPr>
                <w:rFonts w:ascii="Arial" w:cs="Arial" w:eastAsia="Arial" w:hAnsi="Arial"/>
                <w:sz w:val="14"/>
                <w:szCs w:val="14"/>
                <w:color w:val="auto"/>
              </w:rPr>
              <w:t>10,800</w:t>
            </w:r>
          </w:p>
        </w:tc>
        <w:tc>
          <w:tcPr>
            <w:tcW w:w="10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20,095</w:t>
            </w:r>
          </w:p>
        </w:tc>
        <w:tc>
          <w:tcPr>
            <w:tcW w:w="11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2,953</w:t>
            </w:r>
          </w:p>
        </w:tc>
        <w:tc>
          <w:tcPr>
            <w:tcW w:w="18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30,180</w:t>
            </w:r>
          </w:p>
        </w:tc>
        <w:tc>
          <w:tcPr>
            <w:tcW w:w="118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w:t>
            </w:r>
          </w:p>
        </w:tc>
      </w:tr>
      <w:tr>
        <w:trPr>
          <w:trHeight w:val="154"/>
        </w:trPr>
        <w:tc>
          <w:tcPr>
            <w:tcW w:w="1140" w:type="dxa"/>
            <w:vAlign w:val="bottom"/>
            <w:tcBorders>
              <w:bottom w:val="single" w:sz="8" w:color="666666"/>
            </w:tcBorders>
            <w:gridSpan w:val="2"/>
          </w:tcPr>
          <w:p>
            <w:pPr>
              <w:spacing w:after="0" w:line="153" w:lineRule="exact"/>
              <w:rPr>
                <w:sz w:val="20"/>
                <w:szCs w:val="20"/>
                <w:color w:val="auto"/>
              </w:rPr>
            </w:pPr>
            <w:r>
              <w:rPr>
                <w:rFonts w:ascii="Arial" w:cs="Arial" w:eastAsia="Arial" w:hAnsi="Arial"/>
                <w:sz w:val="14"/>
                <w:szCs w:val="14"/>
                <w:color w:val="auto"/>
              </w:rPr>
              <w:t>Blanchard</w:t>
            </w:r>
          </w:p>
        </w:tc>
        <w:tc>
          <w:tcPr>
            <w:tcW w:w="1260" w:type="dxa"/>
            <w:vAlign w:val="bottom"/>
            <w:tcBorders>
              <w:bottom w:val="single" w:sz="8" w:color="666666"/>
            </w:tcBorders>
          </w:tcPr>
          <w:p>
            <w:pPr>
              <w:jc w:val="right"/>
              <w:ind w:right="29"/>
              <w:spacing w:after="0" w:line="153" w:lineRule="exact"/>
              <w:rPr>
                <w:sz w:val="20"/>
                <w:szCs w:val="20"/>
                <w:color w:val="auto"/>
              </w:rPr>
            </w:pPr>
            <w:r>
              <w:rPr>
                <w:rFonts w:ascii="Arial" w:cs="Arial" w:eastAsia="Arial" w:hAnsi="Arial"/>
                <w:sz w:val="14"/>
                <w:szCs w:val="14"/>
                <w:color w:val="auto"/>
              </w:rPr>
              <w:t>338</w:t>
            </w:r>
          </w:p>
        </w:tc>
        <w:tc>
          <w:tcPr>
            <w:tcW w:w="10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5,250</w:t>
            </w:r>
          </w:p>
        </w:tc>
        <w:tc>
          <w:tcPr>
            <w:tcW w:w="11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1,826</w:t>
            </w:r>
          </w:p>
        </w:tc>
        <w:tc>
          <w:tcPr>
            <w:tcW w:w="18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666666"/>
            </w:tcBorders>
          </w:tcPr>
          <w:p>
            <w:pPr>
              <w:spacing w:after="0"/>
              <w:rPr>
                <w:sz w:val="13"/>
                <w:szCs w:val="13"/>
                <w:color w:val="auto"/>
              </w:rPr>
            </w:pPr>
          </w:p>
        </w:tc>
      </w:tr>
      <w:tr>
        <w:trPr>
          <w:trHeight w:val="154"/>
        </w:trPr>
        <w:tc>
          <w:tcPr>
            <w:tcW w:w="1140" w:type="dxa"/>
            <w:vAlign w:val="bottom"/>
            <w:tcBorders>
              <w:bottom w:val="single" w:sz="8" w:color="666666"/>
            </w:tcBorders>
            <w:gridSpan w:val="2"/>
          </w:tcPr>
          <w:p>
            <w:pPr>
              <w:spacing w:after="0" w:line="153" w:lineRule="exact"/>
              <w:rPr>
                <w:sz w:val="20"/>
                <w:szCs w:val="20"/>
                <w:color w:val="auto"/>
              </w:rPr>
            </w:pPr>
            <w:r>
              <w:rPr>
                <w:rFonts w:ascii="Arial" w:cs="Arial" w:eastAsia="Arial" w:hAnsi="Arial"/>
                <w:sz w:val="14"/>
                <w:szCs w:val="14"/>
                <w:color w:val="auto"/>
              </w:rPr>
              <w:t>Mills</w:t>
            </w:r>
          </w:p>
        </w:tc>
        <w:tc>
          <w:tcPr>
            <w:tcW w:w="1260" w:type="dxa"/>
            <w:vAlign w:val="bottom"/>
            <w:tcBorders>
              <w:bottom w:val="single" w:sz="8" w:color="666666"/>
            </w:tcBorders>
          </w:tcPr>
          <w:p>
            <w:pPr>
              <w:jc w:val="right"/>
              <w:ind w:right="29"/>
              <w:spacing w:after="0" w:line="153" w:lineRule="exact"/>
              <w:rPr>
                <w:sz w:val="20"/>
                <w:szCs w:val="20"/>
                <w:color w:val="auto"/>
              </w:rPr>
            </w:pPr>
            <w:r>
              <w:rPr>
                <w:rFonts w:ascii="Arial" w:cs="Arial" w:eastAsia="Arial" w:hAnsi="Arial"/>
                <w:sz w:val="14"/>
                <w:szCs w:val="14"/>
                <w:color w:val="auto"/>
              </w:rPr>
              <w:t>10,800</w:t>
            </w:r>
          </w:p>
        </w:tc>
        <w:tc>
          <w:tcPr>
            <w:tcW w:w="10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6,502</w:t>
            </w:r>
          </w:p>
        </w:tc>
        <w:tc>
          <w:tcPr>
            <w:tcW w:w="11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1,286</w:t>
            </w:r>
          </w:p>
        </w:tc>
        <w:tc>
          <w:tcPr>
            <w:tcW w:w="18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20,071</w:t>
            </w:r>
          </w:p>
        </w:tc>
        <w:tc>
          <w:tcPr>
            <w:tcW w:w="118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w:t>
            </w:r>
          </w:p>
        </w:tc>
      </w:tr>
      <w:tr>
        <w:trPr>
          <w:trHeight w:val="154"/>
        </w:trPr>
        <w:tc>
          <w:tcPr>
            <w:tcW w:w="1140" w:type="dxa"/>
            <w:vAlign w:val="bottom"/>
            <w:tcBorders>
              <w:bottom w:val="single" w:sz="8" w:color="666666"/>
            </w:tcBorders>
            <w:gridSpan w:val="2"/>
          </w:tcPr>
          <w:p>
            <w:pPr>
              <w:spacing w:after="0" w:line="153" w:lineRule="exact"/>
              <w:rPr>
                <w:sz w:val="20"/>
                <w:szCs w:val="20"/>
                <w:color w:val="auto"/>
              </w:rPr>
            </w:pPr>
            <w:r>
              <w:rPr>
                <w:rFonts w:ascii="Arial" w:cs="Arial" w:eastAsia="Arial" w:hAnsi="Arial"/>
                <w:sz w:val="14"/>
                <w:szCs w:val="14"/>
                <w:color w:val="auto"/>
              </w:rPr>
              <w:t>Shivram</w:t>
            </w:r>
          </w:p>
        </w:tc>
        <w:tc>
          <w:tcPr>
            <w:tcW w:w="1260" w:type="dxa"/>
            <w:vAlign w:val="bottom"/>
            <w:tcBorders>
              <w:bottom w:val="single" w:sz="8" w:color="666666"/>
            </w:tcBorders>
          </w:tcPr>
          <w:p>
            <w:pPr>
              <w:jc w:val="right"/>
              <w:ind w:right="29"/>
              <w:spacing w:after="0" w:line="153" w:lineRule="exact"/>
              <w:rPr>
                <w:sz w:val="20"/>
                <w:szCs w:val="20"/>
                <w:color w:val="auto"/>
              </w:rPr>
            </w:pPr>
            <w:r>
              <w:rPr>
                <w:rFonts w:ascii="Arial" w:cs="Arial" w:eastAsia="Arial" w:hAnsi="Arial"/>
                <w:sz w:val="14"/>
                <w:szCs w:val="14"/>
                <w:color w:val="auto"/>
              </w:rPr>
              <w:t>1,977</w:t>
            </w:r>
          </w:p>
        </w:tc>
        <w:tc>
          <w:tcPr>
            <w:tcW w:w="10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290</w:t>
            </w:r>
          </w:p>
        </w:tc>
        <w:tc>
          <w:tcPr>
            <w:tcW w:w="13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1,010</w:t>
            </w:r>
          </w:p>
        </w:tc>
        <w:tc>
          <w:tcPr>
            <w:tcW w:w="18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666666"/>
            </w:tcBorders>
          </w:tcPr>
          <w:p>
            <w:pPr>
              <w:jc w:val="right"/>
              <w:ind w:right="49"/>
              <w:spacing w:after="0" w:line="153" w:lineRule="exact"/>
              <w:rPr>
                <w:sz w:val="20"/>
                <w:szCs w:val="20"/>
                <w:color w:val="auto"/>
              </w:rPr>
            </w:pPr>
            <w:r>
              <w:rPr>
                <w:rFonts w:ascii="Arial" w:cs="Arial" w:eastAsia="Arial" w:hAnsi="Arial"/>
                <w:sz w:val="14"/>
                <w:szCs w:val="14"/>
                <w:color w:val="auto"/>
              </w:rPr>
              <w:t>842,163</w:t>
            </w:r>
          </w:p>
        </w:tc>
        <w:tc>
          <w:tcPr>
            <w:tcW w:w="118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4,614,102</w:t>
            </w:r>
          </w:p>
        </w:tc>
      </w:tr>
      <w:tr>
        <w:trPr>
          <w:trHeight w:val="154"/>
        </w:trPr>
        <w:tc>
          <w:tcPr>
            <w:tcW w:w="1140" w:type="dxa"/>
            <w:vAlign w:val="bottom"/>
            <w:tcBorders>
              <w:bottom w:val="single" w:sz="8" w:color="auto"/>
            </w:tcBorders>
            <w:gridSpan w:val="2"/>
          </w:tcPr>
          <w:p>
            <w:pPr>
              <w:spacing w:after="0" w:line="153" w:lineRule="exact"/>
              <w:rPr>
                <w:sz w:val="20"/>
                <w:szCs w:val="20"/>
                <w:color w:val="auto"/>
              </w:rPr>
            </w:pPr>
            <w:r>
              <w:rPr>
                <w:rFonts w:ascii="Arial" w:cs="Arial" w:eastAsia="Arial" w:hAnsi="Arial"/>
                <w:sz w:val="14"/>
                <w:szCs w:val="14"/>
                <w:color w:val="auto"/>
              </w:rPr>
              <w:t>Ruscev</w:t>
            </w:r>
          </w:p>
        </w:tc>
        <w:tc>
          <w:tcPr>
            <w:tcW w:w="1260" w:type="dxa"/>
            <w:vAlign w:val="bottom"/>
            <w:tcBorders>
              <w:bottom w:val="single" w:sz="8" w:color="auto"/>
            </w:tcBorders>
          </w:tcPr>
          <w:p>
            <w:pPr>
              <w:jc w:val="right"/>
              <w:ind w:right="29"/>
              <w:spacing w:after="0" w:line="153" w:lineRule="exact"/>
              <w:rPr>
                <w:sz w:val="20"/>
                <w:szCs w:val="20"/>
                <w:color w:val="auto"/>
              </w:rPr>
            </w:pPr>
            <w:r>
              <w:rPr>
                <w:rFonts w:ascii="Arial" w:cs="Arial" w:eastAsia="Arial" w:hAnsi="Arial"/>
                <w:sz w:val="14"/>
                <w:szCs w:val="14"/>
                <w:color w:val="auto"/>
              </w:rPr>
              <w:t>6,627</w:t>
            </w:r>
          </w:p>
        </w:tc>
        <w:tc>
          <w:tcPr>
            <w:tcW w:w="102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25,130</w:t>
            </w:r>
          </w:p>
        </w:tc>
        <w:tc>
          <w:tcPr>
            <w:tcW w:w="112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4,554</w:t>
            </w:r>
          </w:p>
        </w:tc>
        <w:tc>
          <w:tcPr>
            <w:tcW w:w="182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153,974</w:t>
            </w:r>
          </w:p>
        </w:tc>
        <w:tc>
          <w:tcPr>
            <w:tcW w:w="11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1,125,000</w:t>
            </w:r>
          </w:p>
        </w:tc>
      </w:tr>
    </w:tbl>
    <w:p>
      <w:pPr>
        <w:spacing w:after="0" w:line="45" w:lineRule="exact"/>
        <w:rPr>
          <w:sz w:val="20"/>
          <w:szCs w:val="20"/>
          <w:color w:val="auto"/>
        </w:rPr>
      </w:pPr>
    </w:p>
    <w:p>
      <w:pPr>
        <w:jc w:val="both"/>
        <w:ind w:left="800" w:right="160" w:hanging="212"/>
        <w:spacing w:after="0" w:line="246" w:lineRule="auto"/>
        <w:tabs>
          <w:tab w:leader="none" w:pos="800" w:val="left"/>
        </w:tabs>
        <w:numPr>
          <w:ilvl w:val="0"/>
          <w:numId w:val="88"/>
        </w:numPr>
        <w:rPr>
          <w:rFonts w:ascii="Arial" w:cs="Arial" w:eastAsia="Arial" w:hAnsi="Arial"/>
          <w:sz w:val="14"/>
          <w:szCs w:val="14"/>
          <w:color w:val="auto"/>
        </w:rPr>
      </w:pPr>
      <w:r>
        <w:rPr>
          <w:rFonts w:ascii="Arial" w:cs="Arial" w:eastAsia="Arial" w:hAnsi="Arial"/>
          <w:sz w:val="14"/>
          <w:szCs w:val="14"/>
          <w:color w:val="auto"/>
        </w:rPr>
        <w:t>Mr. Bausch is a participant in the Weatherford International Swiss Pension Plan. In addition, contributions were made to the Swiss Pension Plan for Mr. McCollum, Mrs. Ibrahim, Mr. Mills and Mr. Ruscev in conjunction with their time spent working in Switzerland. All individuals other than Mr. Bausch are participants in the U.S. 401(k) plan. Amounts shown represent Company contributions to these plans.</w:t>
      </w:r>
    </w:p>
    <w:p>
      <w:pPr>
        <w:spacing w:after="0" w:line="25" w:lineRule="exact"/>
        <w:rPr>
          <w:rFonts w:ascii="Arial" w:cs="Arial" w:eastAsia="Arial" w:hAnsi="Arial"/>
          <w:sz w:val="14"/>
          <w:szCs w:val="14"/>
          <w:color w:val="auto"/>
        </w:rPr>
      </w:pPr>
    </w:p>
    <w:p>
      <w:pPr>
        <w:ind w:left="800" w:right="380" w:hanging="212"/>
        <w:spacing w:after="0" w:line="253" w:lineRule="auto"/>
        <w:tabs>
          <w:tab w:leader="none" w:pos="800" w:val="left"/>
        </w:tabs>
        <w:numPr>
          <w:ilvl w:val="0"/>
          <w:numId w:val="88"/>
        </w:numPr>
        <w:rPr>
          <w:rFonts w:ascii="Arial" w:cs="Arial" w:eastAsia="Arial" w:hAnsi="Arial"/>
          <w:sz w:val="14"/>
          <w:szCs w:val="14"/>
          <w:color w:val="auto"/>
        </w:rPr>
      </w:pPr>
      <w:r>
        <w:rPr>
          <w:rFonts w:ascii="Arial" w:cs="Arial" w:eastAsia="Arial" w:hAnsi="Arial"/>
          <w:sz w:val="14"/>
          <w:szCs w:val="14"/>
          <w:color w:val="auto"/>
        </w:rPr>
        <w:t>Gross-ups and Net Taxes Paid represent the difference between amounts paid on behalf of the executive during the year for social contributions and taxes and amounts withheld from the executive’s compensation for hypothetical taxes, if applicable, during the year.</w:t>
      </w:r>
    </w:p>
    <w:p>
      <w:pPr>
        <w:spacing w:after="0" w:line="21" w:lineRule="exact"/>
        <w:rPr>
          <w:rFonts w:ascii="Arial" w:cs="Arial" w:eastAsia="Arial" w:hAnsi="Arial"/>
          <w:sz w:val="14"/>
          <w:szCs w:val="14"/>
          <w:color w:val="auto"/>
        </w:rPr>
      </w:pPr>
    </w:p>
    <w:p>
      <w:pPr>
        <w:ind w:left="800" w:hanging="212"/>
        <w:spacing w:after="0"/>
        <w:tabs>
          <w:tab w:leader="none" w:pos="800" w:val="left"/>
        </w:tabs>
        <w:numPr>
          <w:ilvl w:val="0"/>
          <w:numId w:val="88"/>
        </w:numPr>
        <w:rPr>
          <w:rFonts w:ascii="Arial" w:cs="Arial" w:eastAsia="Arial" w:hAnsi="Arial"/>
          <w:sz w:val="14"/>
          <w:szCs w:val="14"/>
          <w:color w:val="auto"/>
        </w:rPr>
      </w:pPr>
      <w:r>
        <w:rPr>
          <w:rFonts w:ascii="Arial" w:cs="Arial" w:eastAsia="Arial" w:hAnsi="Arial"/>
          <w:sz w:val="14"/>
          <w:szCs w:val="14"/>
          <w:color w:val="auto"/>
        </w:rPr>
        <w:t>For details of termination pay, see “Severance and Termination Benefits” on page 33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98425</wp:posOffset>
            </wp:positionV>
            <wp:extent cx="69176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20" w:hanging="353"/>
        <w:spacing w:after="0"/>
        <w:tabs>
          <w:tab w:leader="none" w:pos="620" w:val="left"/>
        </w:tabs>
        <w:numPr>
          <w:ilvl w:val="0"/>
          <w:numId w:val="89"/>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2018 Proxy Statement</w:t>
      </w:r>
    </w:p>
    <w:p>
      <w:pPr>
        <w:sectPr>
          <w:pgSz w:w="11900" w:h="16838" w:orient="portrait"/>
          <w:cols w:equalWidth="0" w:num="1">
            <w:col w:w="11160"/>
          </w:cols>
          <w:pgMar w:left="240" w:top="456"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666666"/>
        </w:rPr>
        <w:t>EXECUTIVE COMPENSATION TABLES</w:t>
      </w:r>
    </w:p>
    <w:p>
      <w:pPr>
        <w:spacing w:after="0" w:line="200" w:lineRule="exact"/>
        <w:rPr>
          <w:sz w:val="20"/>
          <w:szCs w:val="20"/>
          <w:color w:val="auto"/>
        </w:rPr>
      </w:pPr>
    </w:p>
    <w:p>
      <w:pPr>
        <w:spacing w:after="0" w:line="333"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auto"/>
        </w:rPr>
        <w:t>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provides information regarding plan-based awards granted in 2017 to the NEOs.</w:t>
      </w:r>
    </w:p>
    <w:p>
      <w:pPr>
        <w:spacing w:after="0" w:line="23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80" w:type="dxa"/>
            <w:vAlign w:val="bottom"/>
            <w:gridSpan w:val="4"/>
            <w:vMerge w:val="restart"/>
          </w:tcPr>
          <w:p>
            <w:pPr>
              <w:jc w:val="center"/>
              <w:ind w:right="200"/>
              <w:spacing w:after="0"/>
              <w:rPr>
                <w:sz w:val="20"/>
                <w:szCs w:val="20"/>
                <w:color w:val="auto"/>
              </w:rPr>
            </w:pPr>
            <w:r>
              <w:rPr>
                <w:rFonts w:ascii="Arial" w:cs="Arial" w:eastAsia="Arial" w:hAnsi="Arial"/>
                <w:sz w:val="14"/>
                <w:szCs w:val="14"/>
                <w:color w:val="auto"/>
              </w:rPr>
              <w:t>Estimated Future Payouts</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Grant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880" w:type="dxa"/>
            <w:vAlign w:val="bottom"/>
            <w:gridSpan w:val="4"/>
            <w:vMerge w:val="continue"/>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20" w:type="dxa"/>
            <w:vAlign w:val="bottom"/>
            <w:vMerge w:val="restart"/>
          </w:tcPr>
          <w:p>
            <w:pPr>
              <w:jc w:val="right"/>
              <w:ind w:right="49"/>
              <w:spacing w:after="0"/>
              <w:rPr>
                <w:sz w:val="20"/>
                <w:szCs w:val="20"/>
                <w:color w:val="auto"/>
              </w:rPr>
            </w:pPr>
            <w:r>
              <w:rPr>
                <w:rFonts w:ascii="Arial" w:cs="Arial" w:eastAsia="Arial" w:hAnsi="Arial"/>
                <w:sz w:val="14"/>
                <w:szCs w:val="14"/>
                <w:color w:val="auto"/>
              </w:rPr>
              <w:t>All Other</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Date Fair</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880" w:type="dxa"/>
            <w:vAlign w:val="bottom"/>
            <w:gridSpan w:val="4"/>
            <w:vMerge w:val="restart"/>
          </w:tcPr>
          <w:p>
            <w:pPr>
              <w:jc w:val="center"/>
              <w:ind w:right="220"/>
              <w:spacing w:after="0"/>
              <w:rPr>
                <w:sz w:val="20"/>
                <w:szCs w:val="20"/>
                <w:color w:val="auto"/>
              </w:rPr>
            </w:pPr>
            <w:r>
              <w:rPr>
                <w:rFonts w:ascii="Arial" w:cs="Arial" w:eastAsia="Arial" w:hAnsi="Arial"/>
                <w:sz w:val="14"/>
                <w:szCs w:val="14"/>
                <w:color w:val="auto"/>
              </w:rPr>
              <w:t>Under Non-Equity (Cash) Incentive Plan</w:t>
            </w:r>
          </w:p>
        </w:tc>
        <w:tc>
          <w:tcPr>
            <w:tcW w:w="2300" w:type="dxa"/>
            <w:vAlign w:val="bottom"/>
            <w:gridSpan w:val="3"/>
            <w:vMerge w:val="restart"/>
          </w:tcPr>
          <w:p>
            <w:pPr>
              <w:jc w:val="right"/>
              <w:ind w:right="49"/>
              <w:spacing w:after="0"/>
              <w:rPr>
                <w:sz w:val="20"/>
                <w:szCs w:val="20"/>
                <w:color w:val="auto"/>
              </w:rPr>
            </w:pPr>
            <w:r>
              <w:rPr>
                <w:rFonts w:ascii="Arial" w:cs="Arial" w:eastAsia="Arial" w:hAnsi="Arial"/>
                <w:sz w:val="14"/>
                <w:szCs w:val="14"/>
                <w:color w:val="auto"/>
              </w:rPr>
              <w:t>Estimated Future Payouts Under</w:t>
            </w:r>
          </w:p>
        </w:tc>
        <w:tc>
          <w:tcPr>
            <w:tcW w:w="13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880" w:type="dxa"/>
            <w:vAlign w:val="bottom"/>
            <w:gridSpan w:val="4"/>
            <w:vMerge w:val="continue"/>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20" w:type="dxa"/>
            <w:vAlign w:val="bottom"/>
            <w:vMerge w:val="restart"/>
          </w:tcPr>
          <w:p>
            <w:pPr>
              <w:jc w:val="right"/>
              <w:ind w:right="49"/>
              <w:spacing w:after="0"/>
              <w:rPr>
                <w:sz w:val="20"/>
                <w:szCs w:val="20"/>
                <w:color w:val="auto"/>
              </w:rPr>
            </w:pPr>
            <w:r>
              <w:rPr>
                <w:rFonts w:ascii="Arial" w:cs="Arial" w:eastAsia="Arial" w:hAnsi="Arial"/>
                <w:sz w:val="14"/>
                <w:szCs w:val="14"/>
                <w:color w:val="auto"/>
              </w:rPr>
              <w:t>Stock Awards:</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Value of</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80" w:type="dxa"/>
            <w:vAlign w:val="bottom"/>
            <w:vMerge w:val="restart"/>
          </w:tcPr>
          <w:p>
            <w:pPr>
              <w:jc w:val="center"/>
              <w:ind w:right="189"/>
              <w:spacing w:after="0" w:line="155" w:lineRule="exact"/>
              <w:rPr>
                <w:sz w:val="20"/>
                <w:szCs w:val="20"/>
                <w:color w:val="auto"/>
              </w:rPr>
            </w:pPr>
            <w:r>
              <w:rPr>
                <w:rFonts w:ascii="Arial" w:cs="Arial" w:eastAsia="Arial" w:hAnsi="Arial"/>
                <w:sz w:val="14"/>
                <w:szCs w:val="14"/>
                <w:color w:val="auto"/>
                <w:w w:val="98"/>
              </w:rPr>
              <w:t>Awards</w:t>
            </w: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300" w:type="dxa"/>
            <w:vAlign w:val="bottom"/>
            <w:gridSpan w:val="3"/>
            <w:vMerge w:val="restart"/>
          </w:tcPr>
          <w:p>
            <w:pPr>
              <w:jc w:val="right"/>
              <w:ind w:right="169"/>
              <w:spacing w:after="0" w:line="155" w:lineRule="exact"/>
              <w:rPr>
                <w:sz w:val="20"/>
                <w:szCs w:val="20"/>
                <w:color w:val="auto"/>
              </w:rPr>
            </w:pPr>
            <w:r>
              <w:rPr>
                <w:rFonts w:ascii="Arial" w:cs="Arial" w:eastAsia="Arial" w:hAnsi="Arial"/>
                <w:sz w:val="14"/>
                <w:szCs w:val="14"/>
                <w:color w:val="auto"/>
              </w:rPr>
              <w:t>Equity Incentive Plan Awards</w:t>
            </w:r>
          </w:p>
        </w:tc>
        <w:tc>
          <w:tcPr>
            <w:tcW w:w="13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300" w:type="dxa"/>
            <w:vAlign w:val="bottom"/>
            <w:tcBorders>
              <w:bottom w:val="single" w:sz="8" w:color="auto"/>
            </w:tcBorders>
            <w:gridSpan w:val="3"/>
            <w:vMerge w:val="continue"/>
          </w:tcPr>
          <w:p>
            <w:pPr>
              <w:spacing w:after="0"/>
              <w:rPr>
                <w:sz w:val="6"/>
                <w:szCs w:val="6"/>
                <w:color w:val="auto"/>
              </w:rPr>
            </w:pPr>
          </w:p>
        </w:tc>
        <w:tc>
          <w:tcPr>
            <w:tcW w:w="1320" w:type="dxa"/>
            <w:vAlign w:val="bottom"/>
            <w:vMerge w:val="restart"/>
          </w:tcPr>
          <w:p>
            <w:pPr>
              <w:jc w:val="right"/>
              <w:ind w:right="49"/>
              <w:spacing w:after="0"/>
              <w:rPr>
                <w:sz w:val="20"/>
                <w:szCs w:val="20"/>
                <w:color w:val="auto"/>
              </w:rPr>
            </w:pPr>
            <w:r>
              <w:rPr>
                <w:rFonts w:ascii="Arial" w:cs="Arial" w:eastAsia="Arial" w:hAnsi="Arial"/>
                <w:sz w:val="14"/>
                <w:szCs w:val="14"/>
                <w:color w:val="auto"/>
              </w:rPr>
              <w:t>Number of</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tcPr>
          <w:p>
            <w:pPr>
              <w:jc w:val="right"/>
              <w:ind w:right="469"/>
              <w:spacing w:after="0"/>
              <w:rPr>
                <w:sz w:val="20"/>
                <w:szCs w:val="20"/>
                <w:color w:val="auto"/>
              </w:rPr>
            </w:pPr>
            <w:r>
              <w:rPr>
                <w:rFonts w:ascii="Arial" w:cs="Arial" w:eastAsia="Arial" w:hAnsi="Arial"/>
                <w:sz w:val="14"/>
                <w:szCs w:val="14"/>
                <w:color w:val="auto"/>
              </w:rPr>
              <w:t>Grant</w:t>
            </w:r>
          </w:p>
        </w:tc>
        <w:tc>
          <w:tcPr>
            <w:tcW w:w="1020" w:type="dxa"/>
            <w:vAlign w:val="bottom"/>
          </w:tcPr>
          <w:p>
            <w:pPr>
              <w:jc w:val="right"/>
              <w:spacing w:after="0"/>
              <w:rPr>
                <w:sz w:val="20"/>
                <w:szCs w:val="20"/>
                <w:color w:val="auto"/>
              </w:rPr>
            </w:pPr>
            <w:r>
              <w:rPr>
                <w:rFonts w:ascii="Arial" w:cs="Arial" w:eastAsia="Arial" w:hAnsi="Arial"/>
                <w:sz w:val="14"/>
                <w:szCs w:val="14"/>
                <w:color w:val="auto"/>
              </w:rPr>
              <w:t>Threshold</w:t>
            </w: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Target</w:t>
            </w: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Maximum</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w w:val="99"/>
              </w:rPr>
              <w:t>Threshold</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Target</w:t>
            </w:r>
          </w:p>
        </w:tc>
        <w:tc>
          <w:tcPr>
            <w:tcW w:w="780" w:type="dxa"/>
            <w:vAlign w:val="bottom"/>
          </w:tcPr>
          <w:p>
            <w:pPr>
              <w:jc w:val="right"/>
              <w:spacing w:after="0"/>
              <w:rPr>
                <w:sz w:val="20"/>
                <w:szCs w:val="20"/>
                <w:color w:val="auto"/>
              </w:rPr>
            </w:pPr>
            <w:r>
              <w:rPr>
                <w:rFonts w:ascii="Arial" w:cs="Arial" w:eastAsia="Arial" w:hAnsi="Arial"/>
                <w:sz w:val="14"/>
                <w:szCs w:val="14"/>
                <w:color w:val="auto"/>
              </w:rPr>
              <w:t>Maximum</w:t>
            </w: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Shares of Stock</w:t>
            </w:r>
          </w:p>
        </w:tc>
        <w:tc>
          <w:tcPr>
            <w:tcW w:w="800" w:type="dxa"/>
            <w:vAlign w:val="bottom"/>
          </w:tcPr>
          <w:p>
            <w:pPr>
              <w:jc w:val="right"/>
              <w:spacing w:after="0"/>
              <w:rPr>
                <w:sz w:val="20"/>
                <w:szCs w:val="20"/>
                <w:color w:val="auto"/>
              </w:rPr>
            </w:pPr>
            <w:r>
              <w:rPr>
                <w:rFonts w:ascii="Arial" w:cs="Arial" w:eastAsia="Arial" w:hAnsi="Arial"/>
                <w:sz w:val="14"/>
                <w:szCs w:val="14"/>
                <w:color w:val="auto"/>
              </w:rPr>
              <w:t>Awards</w:t>
            </w:r>
          </w:p>
        </w:tc>
        <w:tc>
          <w:tcPr>
            <w:tcW w:w="0" w:type="dxa"/>
            <w:vAlign w:val="bottom"/>
          </w:tcPr>
          <w:p>
            <w:pPr>
              <w:spacing w:after="0"/>
              <w:rPr>
                <w:sz w:val="1"/>
                <w:szCs w:val="1"/>
                <w:color w:val="auto"/>
              </w:rPr>
            </w:pPr>
          </w:p>
        </w:tc>
      </w:tr>
      <w:tr>
        <w:trPr>
          <w:trHeight w:val="169"/>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Name</w:t>
            </w:r>
          </w:p>
        </w:tc>
        <w:tc>
          <w:tcPr>
            <w:tcW w:w="16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rPr>
              <w:t>Date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8"/>
        </w:trPr>
        <w:tc>
          <w:tcPr>
            <w:tcW w:w="1920" w:type="dxa"/>
            <w:vAlign w:val="bottom"/>
            <w:gridSpan w:val="2"/>
          </w:tcPr>
          <w:p>
            <w:pPr>
              <w:spacing w:after="0" w:line="158" w:lineRule="exact"/>
              <w:rPr>
                <w:sz w:val="20"/>
                <w:szCs w:val="20"/>
                <w:color w:val="auto"/>
              </w:rPr>
            </w:pPr>
            <w:r>
              <w:rPr>
                <w:rFonts w:ascii="Arial" w:cs="Arial" w:eastAsia="Arial" w:hAnsi="Arial"/>
                <w:sz w:val="14"/>
                <w:szCs w:val="14"/>
                <w:color w:val="auto"/>
              </w:rPr>
              <w:t>Mark A. McCollum</w:t>
            </w:r>
          </w:p>
        </w:tc>
        <w:tc>
          <w:tcPr>
            <w:tcW w:w="1680" w:type="dxa"/>
            <w:vAlign w:val="bottom"/>
          </w:tcPr>
          <w:p>
            <w:pPr>
              <w:ind w:left="640"/>
              <w:spacing w:after="0" w:line="158" w:lineRule="exact"/>
              <w:rPr>
                <w:sz w:val="20"/>
                <w:szCs w:val="20"/>
                <w:color w:val="auto"/>
              </w:rPr>
            </w:pPr>
            <w:r>
              <w:rPr>
                <w:rFonts w:ascii="Arial" w:cs="Arial" w:eastAsia="Arial" w:hAnsi="Arial"/>
                <w:sz w:val="14"/>
                <w:szCs w:val="14"/>
                <w:color w:val="auto"/>
              </w:rPr>
              <w:t>April 24(1)</w:t>
            </w:r>
          </w:p>
        </w:tc>
        <w:tc>
          <w:tcPr>
            <w:tcW w:w="1020" w:type="dxa"/>
            <w:vAlign w:val="bottom"/>
          </w:tcPr>
          <w:p>
            <w:pPr>
              <w:jc w:val="right"/>
              <w:spacing w:after="0" w:line="158" w:lineRule="exact"/>
              <w:rPr>
                <w:sz w:val="20"/>
                <w:szCs w:val="20"/>
                <w:color w:val="auto"/>
              </w:rPr>
            </w:pPr>
            <w:r>
              <w:rPr>
                <w:rFonts w:ascii="Arial" w:cs="Arial" w:eastAsia="Arial" w:hAnsi="Arial"/>
                <w:sz w:val="14"/>
                <w:szCs w:val="14"/>
                <w:color w:val="auto"/>
              </w:rPr>
              <w:t>414,247</w:t>
            </w:r>
          </w:p>
        </w:tc>
        <w:tc>
          <w:tcPr>
            <w:tcW w:w="880" w:type="dxa"/>
            <w:vAlign w:val="bottom"/>
          </w:tcPr>
          <w:p>
            <w:pPr>
              <w:jc w:val="right"/>
              <w:ind w:right="89"/>
              <w:spacing w:after="0" w:line="158" w:lineRule="exact"/>
              <w:rPr>
                <w:sz w:val="20"/>
                <w:szCs w:val="20"/>
                <w:color w:val="auto"/>
              </w:rPr>
            </w:pPr>
            <w:r>
              <w:rPr>
                <w:rFonts w:ascii="Arial" w:cs="Arial" w:eastAsia="Arial" w:hAnsi="Arial"/>
                <w:sz w:val="14"/>
                <w:szCs w:val="14"/>
                <w:color w:val="auto"/>
              </w:rPr>
              <w:t>828,493</w:t>
            </w:r>
          </w:p>
        </w:tc>
        <w:tc>
          <w:tcPr>
            <w:tcW w:w="780" w:type="dxa"/>
            <w:vAlign w:val="bottom"/>
          </w:tcPr>
          <w:p>
            <w:pPr>
              <w:jc w:val="right"/>
              <w:spacing w:after="0" w:line="158" w:lineRule="exact"/>
              <w:rPr>
                <w:sz w:val="20"/>
                <w:szCs w:val="20"/>
                <w:color w:val="auto"/>
              </w:rPr>
            </w:pPr>
            <w:r>
              <w:rPr>
                <w:rFonts w:ascii="Arial" w:cs="Arial" w:eastAsia="Arial" w:hAnsi="Arial"/>
                <w:sz w:val="14"/>
                <w:szCs w:val="14"/>
                <w:color w:val="auto"/>
              </w:rPr>
              <w:t>1,656,986</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tcPr>
          <w:p>
            <w:pPr>
              <w:ind w:left="640"/>
              <w:spacing w:after="0"/>
              <w:rPr>
                <w:sz w:val="20"/>
                <w:szCs w:val="20"/>
                <w:color w:val="auto"/>
              </w:rPr>
            </w:pPr>
            <w:r>
              <w:rPr>
                <w:rFonts w:ascii="Arial" w:cs="Arial" w:eastAsia="Arial" w:hAnsi="Arial"/>
                <w:sz w:val="14"/>
                <w:szCs w:val="14"/>
                <w:color w:val="auto"/>
              </w:rPr>
              <w:t>April 24(4)(5)</w:t>
            </w: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274,223</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548,446</w:t>
            </w:r>
          </w:p>
        </w:tc>
        <w:tc>
          <w:tcPr>
            <w:tcW w:w="780" w:type="dxa"/>
            <w:vAlign w:val="bottom"/>
          </w:tcPr>
          <w:p>
            <w:pPr>
              <w:jc w:val="right"/>
              <w:spacing w:after="0"/>
              <w:rPr>
                <w:sz w:val="20"/>
                <w:szCs w:val="20"/>
                <w:color w:val="auto"/>
              </w:rPr>
            </w:pPr>
            <w:r>
              <w:rPr>
                <w:rFonts w:ascii="Arial" w:cs="Arial" w:eastAsia="Arial" w:hAnsi="Arial"/>
                <w:sz w:val="14"/>
                <w:szCs w:val="14"/>
                <w:color w:val="auto"/>
              </w:rPr>
              <w:t>1,096,892</w:t>
            </w:r>
          </w:p>
        </w:tc>
        <w:tc>
          <w:tcPr>
            <w:tcW w:w="1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3,449,725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tcPr>
          <w:p>
            <w:pPr>
              <w:ind w:left="640"/>
              <w:spacing w:after="0"/>
              <w:rPr>
                <w:sz w:val="20"/>
                <w:szCs w:val="20"/>
                <w:color w:val="auto"/>
              </w:rPr>
            </w:pPr>
            <w:r>
              <w:rPr>
                <w:rFonts w:ascii="Arial" w:cs="Arial" w:eastAsia="Arial" w:hAnsi="Arial"/>
                <w:sz w:val="14"/>
                <w:szCs w:val="14"/>
                <w:color w:val="auto"/>
              </w:rPr>
              <w:t>April 24(5)</w:t>
            </w: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548,446</w:t>
            </w:r>
          </w:p>
        </w:tc>
        <w:tc>
          <w:tcPr>
            <w:tcW w:w="800" w:type="dxa"/>
            <w:vAlign w:val="bottom"/>
          </w:tcPr>
          <w:p>
            <w:pPr>
              <w:jc w:val="right"/>
              <w:spacing w:after="0"/>
              <w:rPr>
                <w:sz w:val="20"/>
                <w:szCs w:val="20"/>
                <w:color w:val="auto"/>
              </w:rPr>
            </w:pPr>
            <w:r>
              <w:rPr>
                <w:rFonts w:ascii="Arial" w:cs="Arial" w:eastAsia="Arial" w:hAnsi="Arial"/>
                <w:sz w:val="14"/>
                <w:szCs w:val="14"/>
                <w:color w:val="auto"/>
              </w:rPr>
              <w:t>3,005,484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tcPr>
          <w:p>
            <w:pPr>
              <w:ind w:left="640"/>
              <w:spacing w:after="0"/>
              <w:rPr>
                <w:sz w:val="20"/>
                <w:szCs w:val="20"/>
                <w:color w:val="auto"/>
              </w:rPr>
            </w:pPr>
            <w:r>
              <w:rPr>
                <w:rFonts w:ascii="Arial" w:cs="Arial" w:eastAsia="Arial" w:hAnsi="Arial"/>
                <w:sz w:val="14"/>
                <w:szCs w:val="14"/>
                <w:color w:val="auto"/>
              </w:rPr>
              <w:t>April 24(5)</w:t>
            </w: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548,446</w:t>
            </w:r>
          </w:p>
        </w:tc>
        <w:tc>
          <w:tcPr>
            <w:tcW w:w="800" w:type="dxa"/>
            <w:vAlign w:val="bottom"/>
          </w:tcPr>
          <w:p>
            <w:pPr>
              <w:jc w:val="right"/>
              <w:spacing w:after="0"/>
              <w:rPr>
                <w:sz w:val="20"/>
                <w:szCs w:val="20"/>
                <w:color w:val="auto"/>
              </w:rPr>
            </w:pPr>
            <w:r>
              <w:rPr>
                <w:rFonts w:ascii="Arial" w:cs="Arial" w:eastAsia="Arial" w:hAnsi="Arial"/>
                <w:sz w:val="14"/>
                <w:szCs w:val="14"/>
                <w:color w:val="auto"/>
              </w:rPr>
              <w:t>3,005,484</w:t>
            </w:r>
          </w:p>
        </w:tc>
        <w:tc>
          <w:tcPr>
            <w:tcW w:w="0" w:type="dxa"/>
            <w:vAlign w:val="bottom"/>
          </w:tcPr>
          <w:p>
            <w:pPr>
              <w:spacing w:after="0"/>
              <w:rPr>
                <w:sz w:val="1"/>
                <w:szCs w:val="1"/>
                <w:color w:val="auto"/>
              </w:rPr>
            </w:pPr>
          </w:p>
        </w:tc>
      </w:tr>
      <w:tr>
        <w:trPr>
          <w:trHeight w:val="160"/>
        </w:trPr>
        <w:tc>
          <w:tcPr>
            <w:tcW w:w="1920" w:type="dxa"/>
            <w:vAlign w:val="bottom"/>
            <w:gridSpan w:val="2"/>
          </w:tcPr>
          <w:p>
            <w:pPr>
              <w:spacing w:after="0"/>
              <w:rPr>
                <w:sz w:val="20"/>
                <w:szCs w:val="20"/>
                <w:color w:val="auto"/>
              </w:rPr>
            </w:pPr>
            <w:r>
              <w:rPr>
                <w:rFonts w:ascii="Arial" w:cs="Arial" w:eastAsia="Arial" w:hAnsi="Arial"/>
                <w:sz w:val="14"/>
                <w:szCs w:val="14"/>
                <w:color w:val="auto"/>
              </w:rPr>
              <w:t>Christoph Bausch</w:t>
            </w:r>
          </w:p>
        </w:tc>
        <w:tc>
          <w:tcPr>
            <w:tcW w:w="1680" w:type="dxa"/>
            <w:vAlign w:val="bottom"/>
          </w:tcPr>
          <w:p>
            <w:pPr>
              <w:ind w:left="660"/>
              <w:spacing w:after="0"/>
              <w:rPr>
                <w:sz w:val="20"/>
                <w:szCs w:val="20"/>
                <w:color w:val="auto"/>
              </w:rPr>
            </w:pPr>
            <w:r>
              <w:rPr>
                <w:rFonts w:ascii="Arial" w:cs="Arial" w:eastAsia="Arial" w:hAnsi="Arial"/>
                <w:sz w:val="14"/>
                <w:szCs w:val="14"/>
                <w:color w:val="auto"/>
              </w:rPr>
              <w:t>Jan. 24(1)</w:t>
            </w:r>
          </w:p>
        </w:tc>
        <w:tc>
          <w:tcPr>
            <w:tcW w:w="1020" w:type="dxa"/>
            <w:vAlign w:val="bottom"/>
          </w:tcPr>
          <w:p>
            <w:pPr>
              <w:jc w:val="right"/>
              <w:spacing w:after="0"/>
              <w:rPr>
                <w:sz w:val="20"/>
                <w:szCs w:val="20"/>
                <w:color w:val="auto"/>
              </w:rPr>
            </w:pPr>
            <w:r>
              <w:rPr>
                <w:rFonts w:ascii="Arial" w:cs="Arial" w:eastAsia="Arial" w:hAnsi="Arial"/>
                <w:sz w:val="14"/>
                <w:szCs w:val="14"/>
                <w:color w:val="auto"/>
              </w:rPr>
              <w:t>312,500</w:t>
            </w: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625,000</w:t>
            </w:r>
          </w:p>
        </w:tc>
        <w:tc>
          <w:tcPr>
            <w:tcW w:w="780" w:type="dxa"/>
            <w:vAlign w:val="bottom"/>
          </w:tcPr>
          <w:p>
            <w:pPr>
              <w:jc w:val="right"/>
              <w:spacing w:after="0"/>
              <w:rPr>
                <w:sz w:val="20"/>
                <w:szCs w:val="20"/>
                <w:color w:val="auto"/>
              </w:rPr>
            </w:pPr>
            <w:r>
              <w:rPr>
                <w:rFonts w:ascii="Arial" w:cs="Arial" w:eastAsia="Arial" w:hAnsi="Arial"/>
                <w:sz w:val="14"/>
                <w:szCs w:val="14"/>
                <w:color w:val="auto"/>
              </w:rPr>
              <w:t>1,250,000</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tcPr>
          <w:p>
            <w:pPr>
              <w:ind w:left="660"/>
              <w:spacing w:after="0"/>
              <w:rPr>
                <w:sz w:val="20"/>
                <w:szCs w:val="20"/>
                <w:color w:val="auto"/>
              </w:rPr>
            </w:pPr>
            <w:r>
              <w:rPr>
                <w:rFonts w:ascii="Arial" w:cs="Arial" w:eastAsia="Arial" w:hAnsi="Arial"/>
                <w:sz w:val="14"/>
                <w:szCs w:val="14"/>
                <w:color w:val="auto"/>
              </w:rPr>
              <w:t>Jan. 24(4)(7)</w:t>
            </w: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99,432</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198,863</w:t>
            </w:r>
          </w:p>
        </w:tc>
        <w:tc>
          <w:tcPr>
            <w:tcW w:w="780" w:type="dxa"/>
            <w:vAlign w:val="bottom"/>
          </w:tcPr>
          <w:p>
            <w:pPr>
              <w:jc w:val="right"/>
              <w:spacing w:after="0"/>
              <w:rPr>
                <w:sz w:val="20"/>
                <w:szCs w:val="20"/>
                <w:color w:val="auto"/>
              </w:rPr>
            </w:pPr>
            <w:r>
              <w:rPr>
                <w:rFonts w:ascii="Arial" w:cs="Arial" w:eastAsia="Arial" w:hAnsi="Arial"/>
                <w:sz w:val="14"/>
                <w:szCs w:val="14"/>
                <w:color w:val="auto"/>
              </w:rPr>
              <w:t>397,726</w:t>
            </w:r>
          </w:p>
        </w:tc>
        <w:tc>
          <w:tcPr>
            <w:tcW w:w="1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1,242,894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tcPr>
          <w:p>
            <w:pPr>
              <w:ind w:left="660"/>
              <w:spacing w:after="0"/>
              <w:rPr>
                <w:sz w:val="20"/>
                <w:szCs w:val="20"/>
                <w:color w:val="auto"/>
              </w:rPr>
            </w:pPr>
            <w:r>
              <w:rPr>
                <w:rFonts w:ascii="Arial" w:cs="Arial" w:eastAsia="Arial" w:hAnsi="Arial"/>
                <w:sz w:val="14"/>
                <w:szCs w:val="14"/>
                <w:color w:val="auto"/>
              </w:rPr>
              <w:t>Jan. 24(7)</w:t>
            </w: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198,863</w:t>
            </w:r>
          </w:p>
        </w:tc>
        <w:tc>
          <w:tcPr>
            <w:tcW w:w="800" w:type="dxa"/>
            <w:vAlign w:val="bottom"/>
          </w:tcPr>
          <w:p>
            <w:pPr>
              <w:jc w:val="right"/>
              <w:spacing w:after="0"/>
              <w:rPr>
                <w:sz w:val="20"/>
                <w:szCs w:val="20"/>
                <w:color w:val="auto"/>
              </w:rPr>
            </w:pPr>
            <w:r>
              <w:rPr>
                <w:rFonts w:ascii="Arial" w:cs="Arial" w:eastAsia="Arial" w:hAnsi="Arial"/>
                <w:sz w:val="14"/>
                <w:szCs w:val="14"/>
                <w:color w:val="auto"/>
              </w:rPr>
              <w:t>1,049,997</w:t>
            </w:r>
          </w:p>
        </w:tc>
        <w:tc>
          <w:tcPr>
            <w:tcW w:w="0" w:type="dxa"/>
            <w:vAlign w:val="bottom"/>
          </w:tcPr>
          <w:p>
            <w:pPr>
              <w:spacing w:after="0"/>
              <w:rPr>
                <w:sz w:val="1"/>
                <w:szCs w:val="1"/>
                <w:color w:val="auto"/>
              </w:rPr>
            </w:pPr>
          </w:p>
        </w:tc>
      </w:tr>
      <w:tr>
        <w:trPr>
          <w:trHeight w:val="160"/>
        </w:trPr>
        <w:tc>
          <w:tcPr>
            <w:tcW w:w="1920" w:type="dxa"/>
            <w:vAlign w:val="bottom"/>
            <w:gridSpan w:val="2"/>
          </w:tcPr>
          <w:p>
            <w:pPr>
              <w:spacing w:after="0"/>
              <w:rPr>
                <w:sz w:val="20"/>
                <w:szCs w:val="20"/>
                <w:color w:val="auto"/>
              </w:rPr>
            </w:pPr>
            <w:r>
              <w:rPr>
                <w:rFonts w:ascii="Arial" w:cs="Arial" w:eastAsia="Arial" w:hAnsi="Arial"/>
                <w:sz w:val="14"/>
                <w:szCs w:val="14"/>
                <w:color w:val="auto"/>
              </w:rPr>
              <w:t>Christina M. Ibrahim</w:t>
            </w:r>
          </w:p>
        </w:tc>
        <w:tc>
          <w:tcPr>
            <w:tcW w:w="1680" w:type="dxa"/>
            <w:vAlign w:val="bottom"/>
          </w:tcPr>
          <w:p>
            <w:pPr>
              <w:ind w:left="660"/>
              <w:spacing w:after="0"/>
              <w:rPr>
                <w:sz w:val="20"/>
                <w:szCs w:val="20"/>
                <w:color w:val="auto"/>
              </w:rPr>
            </w:pPr>
            <w:r>
              <w:rPr>
                <w:rFonts w:ascii="Arial" w:cs="Arial" w:eastAsia="Arial" w:hAnsi="Arial"/>
                <w:sz w:val="14"/>
                <w:szCs w:val="14"/>
                <w:color w:val="auto"/>
              </w:rPr>
              <w:t>Jan. 24(1)</w:t>
            </w:r>
          </w:p>
        </w:tc>
        <w:tc>
          <w:tcPr>
            <w:tcW w:w="1020" w:type="dxa"/>
            <w:vAlign w:val="bottom"/>
          </w:tcPr>
          <w:p>
            <w:pPr>
              <w:jc w:val="right"/>
              <w:spacing w:after="0"/>
              <w:rPr>
                <w:sz w:val="20"/>
                <w:szCs w:val="20"/>
                <w:color w:val="auto"/>
              </w:rPr>
            </w:pPr>
            <w:r>
              <w:rPr>
                <w:rFonts w:ascii="Arial" w:cs="Arial" w:eastAsia="Arial" w:hAnsi="Arial"/>
                <w:sz w:val="14"/>
                <w:szCs w:val="14"/>
                <w:color w:val="auto"/>
              </w:rPr>
              <w:t>312,500</w:t>
            </w: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625,000</w:t>
            </w:r>
          </w:p>
        </w:tc>
        <w:tc>
          <w:tcPr>
            <w:tcW w:w="780" w:type="dxa"/>
            <w:vAlign w:val="bottom"/>
          </w:tcPr>
          <w:p>
            <w:pPr>
              <w:jc w:val="right"/>
              <w:spacing w:after="0"/>
              <w:rPr>
                <w:sz w:val="20"/>
                <w:szCs w:val="20"/>
                <w:color w:val="auto"/>
              </w:rPr>
            </w:pPr>
            <w:r>
              <w:rPr>
                <w:rFonts w:ascii="Arial" w:cs="Arial" w:eastAsia="Arial" w:hAnsi="Arial"/>
                <w:sz w:val="14"/>
                <w:szCs w:val="14"/>
                <w:color w:val="auto"/>
              </w:rPr>
              <w:t>1,250,000</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tcPr>
          <w:p>
            <w:pPr>
              <w:ind w:left="660"/>
              <w:spacing w:after="0"/>
              <w:rPr>
                <w:sz w:val="20"/>
                <w:szCs w:val="20"/>
                <w:color w:val="auto"/>
              </w:rPr>
            </w:pPr>
            <w:r>
              <w:rPr>
                <w:rFonts w:ascii="Arial" w:cs="Arial" w:eastAsia="Arial" w:hAnsi="Arial"/>
                <w:sz w:val="14"/>
                <w:szCs w:val="14"/>
                <w:color w:val="auto"/>
              </w:rPr>
              <w:t>Jan. 24(4)(7)</w:t>
            </w: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94,697</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189,393</w:t>
            </w:r>
          </w:p>
        </w:tc>
        <w:tc>
          <w:tcPr>
            <w:tcW w:w="780" w:type="dxa"/>
            <w:vAlign w:val="bottom"/>
          </w:tcPr>
          <w:p>
            <w:pPr>
              <w:jc w:val="right"/>
              <w:spacing w:after="0"/>
              <w:rPr>
                <w:sz w:val="20"/>
                <w:szCs w:val="20"/>
                <w:color w:val="auto"/>
              </w:rPr>
            </w:pPr>
            <w:r>
              <w:rPr>
                <w:rFonts w:ascii="Arial" w:cs="Arial" w:eastAsia="Arial" w:hAnsi="Arial"/>
                <w:sz w:val="14"/>
                <w:szCs w:val="14"/>
                <w:color w:val="auto"/>
              </w:rPr>
              <w:t>378,786</w:t>
            </w:r>
          </w:p>
        </w:tc>
        <w:tc>
          <w:tcPr>
            <w:tcW w:w="1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1,183,706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tcPr>
          <w:p>
            <w:pPr>
              <w:ind w:left="660"/>
              <w:spacing w:after="0"/>
              <w:rPr>
                <w:sz w:val="20"/>
                <w:szCs w:val="20"/>
                <w:color w:val="auto"/>
              </w:rPr>
            </w:pPr>
            <w:r>
              <w:rPr>
                <w:rFonts w:ascii="Arial" w:cs="Arial" w:eastAsia="Arial" w:hAnsi="Arial"/>
                <w:sz w:val="14"/>
                <w:szCs w:val="14"/>
                <w:color w:val="auto"/>
              </w:rPr>
              <w:t>Jan. 24(7)</w:t>
            </w: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189,393</w:t>
            </w:r>
          </w:p>
        </w:tc>
        <w:tc>
          <w:tcPr>
            <w:tcW w:w="800" w:type="dxa"/>
            <w:vAlign w:val="bottom"/>
          </w:tcPr>
          <w:p>
            <w:pPr>
              <w:jc w:val="right"/>
              <w:spacing w:after="0"/>
              <w:rPr>
                <w:sz w:val="20"/>
                <w:szCs w:val="20"/>
                <w:color w:val="auto"/>
              </w:rPr>
            </w:pPr>
            <w:r>
              <w:rPr>
                <w:rFonts w:ascii="Arial" w:cs="Arial" w:eastAsia="Arial" w:hAnsi="Arial"/>
                <w:sz w:val="14"/>
                <w:szCs w:val="14"/>
                <w:color w:val="auto"/>
              </w:rPr>
              <w:t>999,995</w:t>
            </w:r>
          </w:p>
        </w:tc>
        <w:tc>
          <w:tcPr>
            <w:tcW w:w="0" w:type="dxa"/>
            <w:vAlign w:val="bottom"/>
          </w:tcPr>
          <w:p>
            <w:pPr>
              <w:spacing w:after="0"/>
              <w:rPr>
                <w:sz w:val="1"/>
                <w:szCs w:val="1"/>
                <w:color w:val="auto"/>
              </w:rPr>
            </w:pPr>
          </w:p>
        </w:tc>
      </w:tr>
      <w:tr>
        <w:trPr>
          <w:trHeight w:val="160"/>
        </w:trPr>
        <w:tc>
          <w:tcPr>
            <w:tcW w:w="1920" w:type="dxa"/>
            <w:vAlign w:val="bottom"/>
            <w:gridSpan w:val="2"/>
          </w:tcPr>
          <w:p>
            <w:pPr>
              <w:spacing w:after="0"/>
              <w:rPr>
                <w:sz w:val="20"/>
                <w:szCs w:val="20"/>
                <w:color w:val="auto"/>
              </w:rPr>
            </w:pPr>
            <w:r>
              <w:rPr>
                <w:rFonts w:ascii="Arial" w:cs="Arial" w:eastAsia="Arial" w:hAnsi="Arial"/>
                <w:sz w:val="14"/>
                <w:szCs w:val="14"/>
                <w:color w:val="auto"/>
              </w:rPr>
              <w:t>Karl Blanchard</w:t>
            </w:r>
          </w:p>
        </w:tc>
        <w:tc>
          <w:tcPr>
            <w:tcW w:w="1680" w:type="dxa"/>
            <w:vAlign w:val="bottom"/>
          </w:tcPr>
          <w:p>
            <w:pPr>
              <w:ind w:left="640"/>
              <w:spacing w:after="0"/>
              <w:rPr>
                <w:sz w:val="20"/>
                <w:szCs w:val="20"/>
                <w:color w:val="auto"/>
              </w:rPr>
            </w:pPr>
            <w:r>
              <w:rPr>
                <w:rFonts w:ascii="Arial" w:cs="Arial" w:eastAsia="Arial" w:hAnsi="Arial"/>
                <w:sz w:val="14"/>
                <w:szCs w:val="14"/>
                <w:color w:val="auto"/>
              </w:rPr>
              <w:t>Sep. 21(1)</w:t>
            </w:r>
          </w:p>
        </w:tc>
        <w:tc>
          <w:tcPr>
            <w:tcW w:w="1020" w:type="dxa"/>
            <w:vAlign w:val="bottom"/>
          </w:tcPr>
          <w:p>
            <w:pPr>
              <w:jc w:val="right"/>
              <w:spacing w:after="0"/>
              <w:rPr>
                <w:sz w:val="20"/>
                <w:szCs w:val="20"/>
                <w:color w:val="auto"/>
              </w:rPr>
            </w:pPr>
            <w:r>
              <w:rPr>
                <w:rFonts w:ascii="Arial" w:cs="Arial" w:eastAsia="Arial" w:hAnsi="Arial"/>
                <w:sz w:val="14"/>
                <w:szCs w:val="14"/>
                <w:color w:val="auto"/>
              </w:rPr>
              <w:t>127,534</w:t>
            </w: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255,068</w:t>
            </w:r>
          </w:p>
        </w:tc>
        <w:tc>
          <w:tcPr>
            <w:tcW w:w="780" w:type="dxa"/>
            <w:vAlign w:val="bottom"/>
          </w:tcPr>
          <w:p>
            <w:pPr>
              <w:jc w:val="right"/>
              <w:spacing w:after="0"/>
              <w:rPr>
                <w:sz w:val="20"/>
                <w:szCs w:val="20"/>
                <w:color w:val="auto"/>
              </w:rPr>
            </w:pPr>
            <w:r>
              <w:rPr>
                <w:rFonts w:ascii="Arial" w:cs="Arial" w:eastAsia="Arial" w:hAnsi="Arial"/>
                <w:sz w:val="14"/>
                <w:szCs w:val="14"/>
                <w:color w:val="auto"/>
              </w:rPr>
              <w:t>510,137</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tcPr>
          <w:p>
            <w:pPr>
              <w:ind w:left="640"/>
              <w:spacing w:after="0"/>
              <w:rPr>
                <w:sz w:val="20"/>
                <w:szCs w:val="20"/>
                <w:color w:val="auto"/>
              </w:rPr>
            </w:pPr>
            <w:r>
              <w:rPr>
                <w:rFonts w:ascii="Arial" w:cs="Arial" w:eastAsia="Arial" w:hAnsi="Arial"/>
                <w:sz w:val="14"/>
                <w:szCs w:val="14"/>
                <w:color w:val="auto"/>
              </w:rPr>
              <w:t>Sep. 21(4)(6)</w:t>
            </w: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84,541</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169,082</w:t>
            </w:r>
          </w:p>
        </w:tc>
        <w:tc>
          <w:tcPr>
            <w:tcW w:w="780" w:type="dxa"/>
            <w:vAlign w:val="bottom"/>
          </w:tcPr>
          <w:p>
            <w:pPr>
              <w:jc w:val="right"/>
              <w:spacing w:after="0"/>
              <w:rPr>
                <w:sz w:val="20"/>
                <w:szCs w:val="20"/>
                <w:color w:val="auto"/>
              </w:rPr>
            </w:pPr>
            <w:r>
              <w:rPr>
                <w:rFonts w:ascii="Arial" w:cs="Arial" w:eastAsia="Arial" w:hAnsi="Arial"/>
                <w:sz w:val="14"/>
                <w:szCs w:val="14"/>
                <w:color w:val="auto"/>
              </w:rPr>
              <w:t>338,164</w:t>
            </w:r>
          </w:p>
        </w:tc>
        <w:tc>
          <w:tcPr>
            <w:tcW w:w="1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445,812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tcPr>
          <w:p>
            <w:pPr>
              <w:ind w:left="640"/>
              <w:spacing w:after="0"/>
              <w:rPr>
                <w:sz w:val="20"/>
                <w:szCs w:val="20"/>
                <w:color w:val="auto"/>
              </w:rPr>
            </w:pPr>
            <w:r>
              <w:rPr>
                <w:rFonts w:ascii="Arial" w:cs="Arial" w:eastAsia="Arial" w:hAnsi="Arial"/>
                <w:sz w:val="14"/>
                <w:szCs w:val="14"/>
                <w:color w:val="auto"/>
              </w:rPr>
              <w:t>Sep. 21(6)</w:t>
            </w: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507,246</w:t>
            </w:r>
          </w:p>
        </w:tc>
        <w:tc>
          <w:tcPr>
            <w:tcW w:w="800" w:type="dxa"/>
            <w:vAlign w:val="bottom"/>
          </w:tcPr>
          <w:p>
            <w:pPr>
              <w:jc w:val="right"/>
              <w:spacing w:after="0"/>
              <w:rPr>
                <w:sz w:val="20"/>
                <w:szCs w:val="20"/>
                <w:color w:val="auto"/>
              </w:rPr>
            </w:pPr>
            <w:r>
              <w:rPr>
                <w:rFonts w:ascii="Arial" w:cs="Arial" w:eastAsia="Arial" w:hAnsi="Arial"/>
                <w:sz w:val="14"/>
                <w:szCs w:val="14"/>
                <w:color w:val="auto"/>
              </w:rPr>
              <w:t>2,099,998</w:t>
            </w:r>
          </w:p>
        </w:tc>
        <w:tc>
          <w:tcPr>
            <w:tcW w:w="0" w:type="dxa"/>
            <w:vAlign w:val="bottom"/>
          </w:tcPr>
          <w:p>
            <w:pPr>
              <w:spacing w:after="0"/>
              <w:rPr>
                <w:sz w:val="1"/>
                <w:szCs w:val="1"/>
                <w:color w:val="auto"/>
              </w:rPr>
            </w:pPr>
          </w:p>
        </w:tc>
      </w:tr>
      <w:tr>
        <w:trPr>
          <w:trHeight w:val="160"/>
        </w:trPr>
        <w:tc>
          <w:tcPr>
            <w:tcW w:w="1920" w:type="dxa"/>
            <w:vAlign w:val="bottom"/>
            <w:gridSpan w:val="2"/>
          </w:tcPr>
          <w:p>
            <w:pPr>
              <w:spacing w:after="0"/>
              <w:rPr>
                <w:sz w:val="20"/>
                <w:szCs w:val="20"/>
                <w:color w:val="auto"/>
              </w:rPr>
            </w:pPr>
            <w:r>
              <w:rPr>
                <w:rFonts w:ascii="Arial" w:cs="Arial" w:eastAsia="Arial" w:hAnsi="Arial"/>
                <w:sz w:val="14"/>
                <w:szCs w:val="14"/>
                <w:color w:val="auto"/>
              </w:rPr>
              <w:t>Douglas M. Mills</w:t>
            </w:r>
          </w:p>
        </w:tc>
        <w:tc>
          <w:tcPr>
            <w:tcW w:w="1680" w:type="dxa"/>
            <w:vAlign w:val="bottom"/>
          </w:tcPr>
          <w:p>
            <w:pPr>
              <w:ind w:left="740"/>
              <w:spacing w:after="0"/>
              <w:rPr>
                <w:sz w:val="20"/>
                <w:szCs w:val="20"/>
                <w:color w:val="auto"/>
              </w:rPr>
            </w:pPr>
            <w:r>
              <w:rPr>
                <w:rFonts w:ascii="Arial" w:cs="Arial" w:eastAsia="Arial" w:hAnsi="Arial"/>
                <w:sz w:val="14"/>
                <w:szCs w:val="14"/>
                <w:color w:val="auto"/>
              </w:rPr>
              <w:t>Jan. 9(3)</w:t>
            </w: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2,255</w:t>
            </w:r>
          </w:p>
        </w:tc>
        <w:tc>
          <w:tcPr>
            <w:tcW w:w="800" w:type="dxa"/>
            <w:vAlign w:val="bottom"/>
          </w:tcPr>
          <w:p>
            <w:pPr>
              <w:jc w:val="right"/>
              <w:spacing w:after="0"/>
              <w:rPr>
                <w:sz w:val="20"/>
                <w:szCs w:val="20"/>
                <w:color w:val="auto"/>
              </w:rPr>
            </w:pPr>
            <w:r>
              <w:rPr>
                <w:rFonts w:ascii="Arial" w:cs="Arial" w:eastAsia="Arial" w:hAnsi="Arial"/>
                <w:sz w:val="14"/>
                <w:szCs w:val="14"/>
                <w:color w:val="auto"/>
              </w:rPr>
              <w:t>13,259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tcPr>
          <w:p>
            <w:pPr>
              <w:ind w:left="660"/>
              <w:spacing w:after="0"/>
              <w:rPr>
                <w:sz w:val="20"/>
                <w:szCs w:val="20"/>
                <w:color w:val="auto"/>
              </w:rPr>
            </w:pPr>
            <w:r>
              <w:rPr>
                <w:rFonts w:ascii="Arial" w:cs="Arial" w:eastAsia="Arial" w:hAnsi="Arial"/>
                <w:sz w:val="14"/>
                <w:szCs w:val="14"/>
                <w:color w:val="auto"/>
              </w:rPr>
              <w:t>Jan. 24(1)</w:t>
            </w:r>
          </w:p>
        </w:tc>
        <w:tc>
          <w:tcPr>
            <w:tcW w:w="1020" w:type="dxa"/>
            <w:vAlign w:val="bottom"/>
          </w:tcPr>
          <w:p>
            <w:pPr>
              <w:jc w:val="right"/>
              <w:spacing w:after="0"/>
              <w:rPr>
                <w:sz w:val="20"/>
                <w:szCs w:val="20"/>
                <w:color w:val="auto"/>
              </w:rPr>
            </w:pPr>
            <w:r>
              <w:rPr>
                <w:rFonts w:ascii="Arial" w:cs="Arial" w:eastAsia="Arial" w:hAnsi="Arial"/>
                <w:sz w:val="14"/>
                <w:szCs w:val="14"/>
                <w:color w:val="auto"/>
              </w:rPr>
              <w:t>150,000</w:t>
            </w: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300,000</w:t>
            </w:r>
          </w:p>
        </w:tc>
        <w:tc>
          <w:tcPr>
            <w:tcW w:w="780" w:type="dxa"/>
            <w:vAlign w:val="bottom"/>
          </w:tcPr>
          <w:p>
            <w:pPr>
              <w:jc w:val="right"/>
              <w:spacing w:after="0"/>
              <w:rPr>
                <w:sz w:val="20"/>
                <w:szCs w:val="20"/>
                <w:color w:val="auto"/>
              </w:rPr>
            </w:pPr>
            <w:r>
              <w:rPr>
                <w:rFonts w:ascii="Arial" w:cs="Arial" w:eastAsia="Arial" w:hAnsi="Arial"/>
                <w:sz w:val="14"/>
                <w:szCs w:val="14"/>
                <w:color w:val="auto"/>
              </w:rPr>
              <w:t>600,000</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tcPr>
          <w:p>
            <w:pPr>
              <w:ind w:left="660"/>
              <w:spacing w:after="0"/>
              <w:rPr>
                <w:sz w:val="20"/>
                <w:szCs w:val="20"/>
                <w:color w:val="auto"/>
              </w:rPr>
            </w:pPr>
            <w:r>
              <w:rPr>
                <w:rFonts w:ascii="Arial" w:cs="Arial" w:eastAsia="Arial" w:hAnsi="Arial"/>
                <w:sz w:val="14"/>
                <w:szCs w:val="14"/>
                <w:color w:val="auto"/>
              </w:rPr>
              <w:t>Jan. 24(4)(7)</w:t>
            </w: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66,288</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132,575</w:t>
            </w:r>
          </w:p>
        </w:tc>
        <w:tc>
          <w:tcPr>
            <w:tcW w:w="780" w:type="dxa"/>
            <w:vAlign w:val="bottom"/>
          </w:tcPr>
          <w:p>
            <w:pPr>
              <w:jc w:val="right"/>
              <w:spacing w:after="0"/>
              <w:rPr>
                <w:sz w:val="20"/>
                <w:szCs w:val="20"/>
                <w:color w:val="auto"/>
              </w:rPr>
            </w:pPr>
            <w:r>
              <w:rPr>
                <w:rFonts w:ascii="Arial" w:cs="Arial" w:eastAsia="Arial" w:hAnsi="Arial"/>
                <w:sz w:val="14"/>
                <w:szCs w:val="14"/>
                <w:color w:val="auto"/>
              </w:rPr>
              <w:t>265,150</w:t>
            </w:r>
          </w:p>
        </w:tc>
        <w:tc>
          <w:tcPr>
            <w:tcW w:w="1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828,594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tcPr>
          <w:p>
            <w:pPr>
              <w:ind w:left="660"/>
              <w:spacing w:after="0"/>
              <w:rPr>
                <w:sz w:val="20"/>
                <w:szCs w:val="20"/>
                <w:color w:val="auto"/>
              </w:rPr>
            </w:pPr>
            <w:r>
              <w:rPr>
                <w:rFonts w:ascii="Arial" w:cs="Arial" w:eastAsia="Arial" w:hAnsi="Arial"/>
                <w:sz w:val="14"/>
                <w:szCs w:val="14"/>
                <w:color w:val="auto"/>
              </w:rPr>
              <w:t>Jan. 24(7)</w:t>
            </w: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132,575</w:t>
            </w:r>
          </w:p>
        </w:tc>
        <w:tc>
          <w:tcPr>
            <w:tcW w:w="800" w:type="dxa"/>
            <w:vAlign w:val="bottom"/>
          </w:tcPr>
          <w:p>
            <w:pPr>
              <w:jc w:val="right"/>
              <w:spacing w:after="0"/>
              <w:rPr>
                <w:sz w:val="20"/>
                <w:szCs w:val="20"/>
                <w:color w:val="auto"/>
              </w:rPr>
            </w:pPr>
            <w:r>
              <w:rPr>
                <w:rFonts w:ascii="Arial" w:cs="Arial" w:eastAsia="Arial" w:hAnsi="Arial"/>
                <w:sz w:val="14"/>
                <w:szCs w:val="14"/>
                <w:color w:val="auto"/>
              </w:rPr>
              <w:t>699,996</w:t>
            </w:r>
          </w:p>
        </w:tc>
        <w:tc>
          <w:tcPr>
            <w:tcW w:w="0" w:type="dxa"/>
            <w:vAlign w:val="bottom"/>
          </w:tcPr>
          <w:p>
            <w:pPr>
              <w:spacing w:after="0"/>
              <w:rPr>
                <w:sz w:val="1"/>
                <w:szCs w:val="1"/>
                <w:color w:val="auto"/>
              </w:rPr>
            </w:pPr>
          </w:p>
        </w:tc>
      </w:tr>
      <w:tr>
        <w:trPr>
          <w:trHeight w:val="160"/>
        </w:trPr>
        <w:tc>
          <w:tcPr>
            <w:tcW w:w="1920" w:type="dxa"/>
            <w:vAlign w:val="bottom"/>
            <w:gridSpan w:val="2"/>
          </w:tcPr>
          <w:p>
            <w:pPr>
              <w:spacing w:after="0"/>
              <w:rPr>
                <w:sz w:val="20"/>
                <w:szCs w:val="20"/>
                <w:color w:val="auto"/>
              </w:rPr>
            </w:pPr>
            <w:r>
              <w:rPr>
                <w:rFonts w:ascii="Arial" w:cs="Arial" w:eastAsia="Arial" w:hAnsi="Arial"/>
                <w:sz w:val="14"/>
                <w:szCs w:val="14"/>
                <w:color w:val="auto"/>
              </w:rPr>
              <w:t>Krishna Shivram</w:t>
            </w:r>
          </w:p>
        </w:tc>
        <w:tc>
          <w:tcPr>
            <w:tcW w:w="1680" w:type="dxa"/>
            <w:vAlign w:val="bottom"/>
          </w:tcPr>
          <w:p>
            <w:pPr>
              <w:ind w:left="660"/>
              <w:spacing w:after="0"/>
              <w:rPr>
                <w:sz w:val="20"/>
                <w:szCs w:val="20"/>
                <w:color w:val="auto"/>
              </w:rPr>
            </w:pPr>
            <w:r>
              <w:rPr>
                <w:rFonts w:ascii="Arial" w:cs="Arial" w:eastAsia="Arial" w:hAnsi="Arial"/>
                <w:sz w:val="14"/>
                <w:szCs w:val="14"/>
                <w:color w:val="auto"/>
              </w:rPr>
              <w:t>Jan. 24(1)</w:t>
            </w:r>
          </w:p>
        </w:tc>
        <w:tc>
          <w:tcPr>
            <w:tcW w:w="1020" w:type="dxa"/>
            <w:vAlign w:val="bottom"/>
          </w:tcPr>
          <w:p>
            <w:pPr>
              <w:jc w:val="right"/>
              <w:spacing w:after="0"/>
              <w:rPr>
                <w:sz w:val="20"/>
                <w:szCs w:val="20"/>
                <w:color w:val="auto"/>
              </w:rPr>
            </w:pPr>
            <w:r>
              <w:rPr>
                <w:rFonts w:ascii="Arial" w:cs="Arial" w:eastAsia="Arial" w:hAnsi="Arial"/>
                <w:sz w:val="14"/>
                <w:szCs w:val="14"/>
                <w:color w:val="auto"/>
              </w:rPr>
              <w:t>375,000</w:t>
            </w: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750,000</w:t>
            </w:r>
          </w:p>
        </w:tc>
        <w:tc>
          <w:tcPr>
            <w:tcW w:w="780" w:type="dxa"/>
            <w:vAlign w:val="bottom"/>
          </w:tcPr>
          <w:p>
            <w:pPr>
              <w:jc w:val="right"/>
              <w:spacing w:after="0"/>
              <w:rPr>
                <w:sz w:val="20"/>
                <w:szCs w:val="20"/>
                <w:color w:val="auto"/>
              </w:rPr>
            </w:pPr>
            <w:r>
              <w:rPr>
                <w:rFonts w:ascii="Arial" w:cs="Arial" w:eastAsia="Arial" w:hAnsi="Arial"/>
                <w:sz w:val="14"/>
                <w:szCs w:val="14"/>
                <w:color w:val="auto"/>
              </w:rPr>
              <w:t>1,500,000</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tcPr>
          <w:p>
            <w:pPr>
              <w:ind w:left="660"/>
              <w:spacing w:after="0"/>
              <w:rPr>
                <w:sz w:val="20"/>
                <w:szCs w:val="20"/>
                <w:color w:val="auto"/>
              </w:rPr>
            </w:pPr>
            <w:r>
              <w:rPr>
                <w:rFonts w:ascii="Arial" w:cs="Arial" w:eastAsia="Arial" w:hAnsi="Arial"/>
                <w:sz w:val="14"/>
                <w:szCs w:val="14"/>
                <w:color w:val="auto"/>
              </w:rPr>
              <w:t>Jan. 24(4)</w:t>
            </w: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172,822</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345,643</w:t>
            </w:r>
          </w:p>
        </w:tc>
        <w:tc>
          <w:tcPr>
            <w:tcW w:w="780" w:type="dxa"/>
            <w:vAlign w:val="bottom"/>
          </w:tcPr>
          <w:p>
            <w:pPr>
              <w:jc w:val="right"/>
              <w:spacing w:after="0"/>
              <w:rPr>
                <w:sz w:val="20"/>
                <w:szCs w:val="20"/>
                <w:color w:val="auto"/>
              </w:rPr>
            </w:pPr>
            <w:r>
              <w:rPr>
                <w:rFonts w:ascii="Arial" w:cs="Arial" w:eastAsia="Arial" w:hAnsi="Arial"/>
                <w:sz w:val="14"/>
                <w:szCs w:val="14"/>
                <w:color w:val="auto"/>
              </w:rPr>
              <w:t>691,286</w:t>
            </w:r>
          </w:p>
        </w:tc>
        <w:tc>
          <w:tcPr>
            <w:tcW w:w="1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2,160,269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tcPr>
          <w:p>
            <w:pPr>
              <w:ind w:left="660"/>
              <w:spacing w:after="0"/>
              <w:rPr>
                <w:sz w:val="20"/>
                <w:szCs w:val="20"/>
                <w:color w:val="auto"/>
              </w:rPr>
            </w:pPr>
            <w:r>
              <w:rPr>
                <w:rFonts w:ascii="Arial" w:cs="Arial" w:eastAsia="Arial" w:hAnsi="Arial"/>
                <w:sz w:val="14"/>
                <w:szCs w:val="14"/>
                <w:color w:val="auto"/>
              </w:rPr>
              <w:t>Jan. 24(7)</w:t>
            </w: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345,643</w:t>
            </w:r>
          </w:p>
        </w:tc>
        <w:tc>
          <w:tcPr>
            <w:tcW w:w="800" w:type="dxa"/>
            <w:vAlign w:val="bottom"/>
          </w:tcPr>
          <w:p>
            <w:pPr>
              <w:jc w:val="right"/>
              <w:spacing w:after="0"/>
              <w:rPr>
                <w:sz w:val="20"/>
                <w:szCs w:val="20"/>
                <w:color w:val="auto"/>
              </w:rPr>
            </w:pPr>
            <w:r>
              <w:rPr>
                <w:rFonts w:ascii="Arial" w:cs="Arial" w:eastAsia="Arial" w:hAnsi="Arial"/>
                <w:sz w:val="14"/>
                <w:szCs w:val="14"/>
                <w:color w:val="auto"/>
              </w:rPr>
              <w:t>1,824,995</w:t>
            </w:r>
          </w:p>
        </w:tc>
        <w:tc>
          <w:tcPr>
            <w:tcW w:w="0" w:type="dxa"/>
            <w:vAlign w:val="bottom"/>
          </w:tcPr>
          <w:p>
            <w:pPr>
              <w:spacing w:after="0"/>
              <w:rPr>
                <w:sz w:val="1"/>
                <w:szCs w:val="1"/>
                <w:color w:val="auto"/>
              </w:rPr>
            </w:pPr>
          </w:p>
        </w:tc>
      </w:tr>
      <w:tr>
        <w:trPr>
          <w:trHeight w:val="160"/>
        </w:trPr>
        <w:tc>
          <w:tcPr>
            <w:tcW w:w="1920" w:type="dxa"/>
            <w:vAlign w:val="bottom"/>
            <w:gridSpan w:val="2"/>
          </w:tcPr>
          <w:p>
            <w:pPr>
              <w:spacing w:after="0"/>
              <w:rPr>
                <w:sz w:val="20"/>
                <w:szCs w:val="20"/>
                <w:color w:val="auto"/>
              </w:rPr>
            </w:pPr>
            <w:r>
              <w:rPr>
                <w:rFonts w:ascii="Arial" w:cs="Arial" w:eastAsia="Arial" w:hAnsi="Arial"/>
                <w:sz w:val="14"/>
                <w:szCs w:val="14"/>
                <w:color w:val="auto"/>
              </w:rPr>
              <w:t>Mario Ruscev</w:t>
            </w:r>
          </w:p>
        </w:tc>
        <w:tc>
          <w:tcPr>
            <w:tcW w:w="1680" w:type="dxa"/>
            <w:vAlign w:val="bottom"/>
          </w:tcPr>
          <w:p>
            <w:pPr>
              <w:ind w:left="660"/>
              <w:spacing w:after="0"/>
              <w:rPr>
                <w:sz w:val="20"/>
                <w:szCs w:val="20"/>
                <w:color w:val="auto"/>
              </w:rPr>
            </w:pPr>
            <w:r>
              <w:rPr>
                <w:rFonts w:ascii="Arial" w:cs="Arial" w:eastAsia="Arial" w:hAnsi="Arial"/>
                <w:sz w:val="14"/>
                <w:szCs w:val="14"/>
                <w:color w:val="auto"/>
              </w:rPr>
              <w:t>Jan. 24(1)</w:t>
            </w:r>
          </w:p>
        </w:tc>
        <w:tc>
          <w:tcPr>
            <w:tcW w:w="1020" w:type="dxa"/>
            <w:vAlign w:val="bottom"/>
          </w:tcPr>
          <w:p>
            <w:pPr>
              <w:jc w:val="right"/>
              <w:spacing w:after="0"/>
              <w:rPr>
                <w:sz w:val="20"/>
                <w:szCs w:val="20"/>
                <w:color w:val="auto"/>
              </w:rPr>
            </w:pPr>
            <w:r>
              <w:rPr>
                <w:rFonts w:ascii="Arial" w:cs="Arial" w:eastAsia="Arial" w:hAnsi="Arial"/>
                <w:sz w:val="14"/>
                <w:szCs w:val="14"/>
                <w:color w:val="auto"/>
              </w:rPr>
              <w:t>375,000</w:t>
            </w: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750,000</w:t>
            </w:r>
          </w:p>
        </w:tc>
        <w:tc>
          <w:tcPr>
            <w:tcW w:w="780" w:type="dxa"/>
            <w:vAlign w:val="bottom"/>
          </w:tcPr>
          <w:p>
            <w:pPr>
              <w:jc w:val="right"/>
              <w:spacing w:after="0"/>
              <w:rPr>
                <w:sz w:val="20"/>
                <w:szCs w:val="20"/>
                <w:color w:val="auto"/>
              </w:rPr>
            </w:pPr>
            <w:r>
              <w:rPr>
                <w:rFonts w:ascii="Arial" w:cs="Arial" w:eastAsia="Arial" w:hAnsi="Arial"/>
                <w:sz w:val="14"/>
                <w:szCs w:val="14"/>
                <w:color w:val="auto"/>
              </w:rPr>
              <w:t>1,500,000</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tcPr>
          <w:p>
            <w:pPr>
              <w:ind w:left="660"/>
              <w:spacing w:after="0"/>
              <w:rPr>
                <w:sz w:val="20"/>
                <w:szCs w:val="20"/>
                <w:color w:val="auto"/>
              </w:rPr>
            </w:pPr>
            <w:r>
              <w:rPr>
                <w:rFonts w:ascii="Arial" w:cs="Arial" w:eastAsia="Arial" w:hAnsi="Arial"/>
                <w:sz w:val="14"/>
                <w:szCs w:val="14"/>
                <w:color w:val="auto"/>
              </w:rPr>
              <w:t>Jan. 24(4)(7)</w:t>
            </w: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170,455</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340,909</w:t>
            </w:r>
          </w:p>
        </w:tc>
        <w:tc>
          <w:tcPr>
            <w:tcW w:w="780" w:type="dxa"/>
            <w:vAlign w:val="bottom"/>
          </w:tcPr>
          <w:p>
            <w:pPr>
              <w:jc w:val="right"/>
              <w:spacing w:after="0"/>
              <w:rPr>
                <w:sz w:val="20"/>
                <w:szCs w:val="20"/>
                <w:color w:val="auto"/>
              </w:rPr>
            </w:pPr>
            <w:r>
              <w:rPr>
                <w:rFonts w:ascii="Arial" w:cs="Arial" w:eastAsia="Arial" w:hAnsi="Arial"/>
                <w:sz w:val="14"/>
                <w:szCs w:val="14"/>
                <w:color w:val="auto"/>
              </w:rPr>
              <w:t>681,818</w:t>
            </w:r>
          </w:p>
        </w:tc>
        <w:tc>
          <w:tcPr>
            <w:tcW w:w="1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2,130,681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ind w:left="660"/>
              <w:spacing w:after="0" w:line="155" w:lineRule="exact"/>
              <w:rPr>
                <w:sz w:val="20"/>
                <w:szCs w:val="20"/>
                <w:color w:val="auto"/>
              </w:rPr>
            </w:pPr>
            <w:r>
              <w:rPr>
                <w:rFonts w:ascii="Arial" w:cs="Arial" w:eastAsia="Arial" w:hAnsi="Arial"/>
                <w:sz w:val="14"/>
                <w:szCs w:val="14"/>
                <w:color w:val="auto"/>
              </w:rPr>
              <w:t>Jan. 24(7)</w:t>
            </w:r>
          </w:p>
        </w:tc>
        <w:tc>
          <w:tcPr>
            <w:tcW w:w="10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340,909</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1,800,000</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80" w:right="320" w:hanging="213"/>
        <w:spacing w:after="0" w:line="253" w:lineRule="auto"/>
        <w:tabs>
          <w:tab w:leader="none" w:pos="4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potential payments for the year ended December 31, 2017 under the terms of the EICP. See “Elements of Our Executive Compensation Program-Annual Cash Incentive Compensation” in the CD&amp;A section of this Proxy Statement for more information including specific payments for 2017.</w:t>
      </w:r>
    </w:p>
    <w:p>
      <w:pPr>
        <w:spacing w:after="0" w:line="21" w:lineRule="exact"/>
        <w:rPr>
          <w:rFonts w:ascii="Arial" w:cs="Arial" w:eastAsia="Arial" w:hAnsi="Arial"/>
          <w:sz w:val="14"/>
          <w:szCs w:val="14"/>
          <w:color w:val="auto"/>
        </w:rPr>
      </w:pPr>
    </w:p>
    <w:p>
      <w:pPr>
        <w:ind w:left="480" w:right="20" w:hanging="213"/>
        <w:spacing w:after="0" w:line="243" w:lineRule="auto"/>
        <w:tabs>
          <w:tab w:leader="none" w:pos="4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grant date fair value of each of the awards was based on the Company’s closing share price on the date of the grant for RSUs and, for PSUs, a fair value calculated using a Monte Carlo valuation model, in accordance with FASB ASC Topic 718. See Note 18 (Share-Based Compensation) to the audited financial statements included in our Annual Report on Form 10-K for the year ended December 31, 2017, for details as to the assumptions used to determine the fair value of equity awards. RSUs and PSUs were granted under the terms of the 2010 Omnibus Incentive Plan, as amended.</w:t>
      </w:r>
    </w:p>
    <w:p>
      <w:pPr>
        <w:spacing w:after="0" w:line="28" w:lineRule="exact"/>
        <w:rPr>
          <w:rFonts w:ascii="Arial" w:cs="Arial" w:eastAsia="Arial" w:hAnsi="Arial"/>
          <w:sz w:val="14"/>
          <w:szCs w:val="14"/>
          <w:color w:val="auto"/>
        </w:rPr>
      </w:pPr>
    </w:p>
    <w:p>
      <w:pPr>
        <w:ind w:left="480" w:right="160" w:hanging="213"/>
        <w:spacing w:after="0" w:line="242" w:lineRule="auto"/>
        <w:tabs>
          <w:tab w:leader="none" w:pos="4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Due to our suspension of the Executive Deferred Compensation Stock Ownership Plan (“EDC”) in 2008, and in order to continue to encourage equity ownership as well as to compensate participants for the loss of this benefit, we previously granted participants in the EDC, including Mr. Mills, quarterly grants of shares in an amount to approximate the benefits participants would have received had we not suspended the plan. We have discontinued further grants for fiscal year 2017, however, this represents a grant of ordinary shares approximating the benefit that would have been received under the EDC in 2016. It was made in January 2017 for administrative convenience.</w:t>
      </w:r>
    </w:p>
    <w:p>
      <w:pPr>
        <w:spacing w:after="0" w:line="29" w:lineRule="exact"/>
        <w:rPr>
          <w:rFonts w:ascii="Arial" w:cs="Arial" w:eastAsia="Arial" w:hAnsi="Arial"/>
          <w:sz w:val="14"/>
          <w:szCs w:val="14"/>
          <w:color w:val="auto"/>
        </w:rPr>
      </w:pPr>
    </w:p>
    <w:p>
      <w:pPr>
        <w:ind w:left="480" w:right="20" w:hanging="213"/>
        <w:spacing w:after="0" w:line="242" w:lineRule="auto"/>
        <w:tabs>
          <w:tab w:leader="none" w:pos="4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amounts shown represent the aggregate threshold, target, and maximum payment levels with respect to the grant of PSUs tied to share price increase over the performance period. The number of shares shown in the “Threshold” column reflects a payout of 50% of the number of PSUs granted. The number of shares shown in the “Target” column reflects a payout of 100% of the number of PSUs granted. The number of shares shown in the “Maximum” column reflects the highest possible payout of 200% of the number of PSUs granted. The number of shares earned will be determined by linear interpolation if the performance goal (i.e., an increase in share price) is higher or lower than threshold, target, or maximum, up to the maximum number of shares shown in the “Maximum” column.</w:t>
      </w:r>
    </w:p>
    <w:p>
      <w:pPr>
        <w:spacing w:after="0" w:line="29" w:lineRule="exact"/>
        <w:rPr>
          <w:rFonts w:ascii="Arial" w:cs="Arial" w:eastAsia="Arial" w:hAnsi="Arial"/>
          <w:sz w:val="14"/>
          <w:szCs w:val="14"/>
          <w:color w:val="auto"/>
        </w:rPr>
      </w:pPr>
    </w:p>
    <w:p>
      <w:pPr>
        <w:ind w:left="480" w:right="60" w:hanging="213"/>
        <w:spacing w:after="0" w:line="242" w:lineRule="auto"/>
        <w:tabs>
          <w:tab w:leader="none" w:pos="4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RSUs granted to Mr. McCollum on April 24, 2017, are comprised of two separate grants of 548,446 RSUs each. The RSUs in the first grant are scheduled to vest as follows: 182,816 RSUs vest on April 24, 2018, 182,815 RSUs vest on April 24, 2019 and 182,815 RSUs vest on April 24, 2020. The RSUs in the second grant vest as follows: 137,112 RSUs vest on each of April 24, 2018 and 2019 and the remaining 274,222 RSUs vest on April 24, 2020. The PSUs granted to Mr. McCollum on April 24, 2017 are scheduled to vest as follows: 182,816 PSUs vest on April 24, 2018, 182,815 PSUs vest on April 24, 2019, and 182,815 vest on April 24, 2020, subject to the attainment of applicable target payment level performance objectives.</w:t>
      </w:r>
    </w:p>
    <w:p>
      <w:pPr>
        <w:spacing w:after="0" w:line="28" w:lineRule="exact"/>
        <w:rPr>
          <w:rFonts w:ascii="Arial" w:cs="Arial" w:eastAsia="Arial" w:hAnsi="Arial"/>
          <w:sz w:val="14"/>
          <w:szCs w:val="14"/>
          <w:color w:val="auto"/>
        </w:rPr>
      </w:pPr>
    </w:p>
    <w:p>
      <w:pPr>
        <w:ind w:left="480" w:hanging="213"/>
        <w:spacing w:after="0"/>
        <w:tabs>
          <w:tab w:leader="none" w:pos="4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RSUs granted to Mr. Blanchard on September 21, 2017 vest as follows: 169,082 RSUs vest on September 21, 2018, 169,082 RSUs vest on September 21, 2019,</w:t>
      </w:r>
    </w:p>
    <w:p>
      <w:pPr>
        <w:ind w:left="480" w:right="160"/>
        <w:spacing w:after="0" w:line="246" w:lineRule="auto"/>
        <w:rPr>
          <w:rFonts w:ascii="Arial" w:cs="Arial" w:eastAsia="Arial" w:hAnsi="Arial"/>
          <w:sz w:val="14"/>
          <w:szCs w:val="14"/>
          <w:color w:val="auto"/>
        </w:rPr>
      </w:pPr>
      <w:r>
        <w:rPr>
          <w:rFonts w:ascii="Arial" w:cs="Arial" w:eastAsia="Arial" w:hAnsi="Arial"/>
          <w:sz w:val="14"/>
          <w:szCs w:val="14"/>
          <w:color w:val="auto"/>
        </w:rPr>
        <w:t>and169,082 RSUs vest on September 21, 2020. The PSUs granted to Mr. Blanchard on September 21, 2017 are scheduled to vest as follows: 56,361 PSUs vest on September 21, 2018, 56,360 PSUs vest on September 21, 2019, and 56,361 PSUs vest on September 21, 2020, subject to the attainment of applicable target payment level performance objectives.</w:t>
      </w:r>
    </w:p>
    <w:p>
      <w:pPr>
        <w:spacing w:after="0" w:line="25" w:lineRule="exact"/>
        <w:rPr>
          <w:rFonts w:ascii="Arial" w:cs="Arial" w:eastAsia="Arial" w:hAnsi="Arial"/>
          <w:sz w:val="14"/>
          <w:szCs w:val="14"/>
          <w:color w:val="auto"/>
        </w:rPr>
      </w:pPr>
    </w:p>
    <w:p>
      <w:pPr>
        <w:ind w:left="480" w:right="400" w:hanging="213"/>
        <w:spacing w:after="0" w:line="253" w:lineRule="auto"/>
        <w:tabs>
          <w:tab w:leader="none" w:pos="4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PSUs and RSUs granted on January 24, 2017, vest in equal annual installments over a period of three years. Vesting for PSUs remains subject to the attainment of applicable target payment level 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86360</wp:posOffset>
            </wp:positionV>
            <wp:extent cx="69176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384" w:lineRule="exact"/>
        <w:rPr>
          <w:sz w:val="20"/>
          <w:szCs w:val="20"/>
          <w:color w:val="auto"/>
        </w:rPr>
      </w:pPr>
    </w:p>
    <w:p>
      <w:pPr>
        <w:ind w:left="7360"/>
        <w:spacing w:after="0"/>
        <w:tabs>
          <w:tab w:leader="none" w:pos="10980" w:val="left"/>
        </w:tabs>
        <w:rPr>
          <w:sz w:val="20"/>
          <w:szCs w:val="20"/>
          <w:color w:val="auto"/>
        </w:rPr>
      </w:pPr>
      <w:r>
        <w:rPr>
          <w:rFonts w:ascii="Arial" w:cs="Arial" w:eastAsia="Arial" w:hAnsi="Arial"/>
          <w:sz w:val="14"/>
          <w:szCs w:val="14"/>
          <w:color w:val="666666"/>
        </w:rPr>
        <w:t>Weatherford International plc — 2018 Proxy Statement</w:t>
      </w:r>
      <w:r>
        <w:rPr>
          <w:sz w:val="20"/>
          <w:szCs w:val="20"/>
          <w:color w:val="auto"/>
        </w:rPr>
        <w:tab/>
      </w:r>
      <w:r>
        <w:rPr>
          <w:rFonts w:ascii="Arial" w:cs="Arial" w:eastAsia="Arial" w:hAnsi="Arial"/>
          <w:sz w:val="14"/>
          <w:szCs w:val="14"/>
          <w:b w:val="1"/>
          <w:bCs w:val="1"/>
          <w:color w:val="666666"/>
        </w:rPr>
        <w:t>39</w:t>
      </w:r>
    </w:p>
    <w:p>
      <w:pPr>
        <w:sectPr>
          <w:pgSz w:w="11900" w:h="16838" w:orient="portrait"/>
          <w:cols w:equalWidth="0" w:num="1">
            <w:col w:w="11160"/>
          </w:cols>
          <w:pgMar w:left="240" w:top="455"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666666"/>
        </w:rPr>
        <w:t>EXECUTIVE COMPENSATION TABLES</w:t>
      </w:r>
    </w:p>
    <w:p>
      <w:pPr>
        <w:spacing w:after="0" w:line="200" w:lineRule="exact"/>
        <w:rPr>
          <w:sz w:val="20"/>
          <w:szCs w:val="20"/>
          <w:color w:val="auto"/>
        </w:rPr>
      </w:pPr>
    </w:p>
    <w:p>
      <w:pPr>
        <w:spacing w:after="0" w:line="266" w:lineRule="exact"/>
        <w:rPr>
          <w:sz w:val="20"/>
          <w:szCs w:val="20"/>
          <w:color w:val="auto"/>
        </w:rPr>
      </w:pPr>
    </w:p>
    <w:p>
      <w:pPr>
        <w:ind w:left="260" w:right="180"/>
        <w:spacing w:after="0" w:line="275" w:lineRule="auto"/>
        <w:rPr>
          <w:sz w:val="20"/>
          <w:szCs w:val="20"/>
          <w:color w:val="auto"/>
        </w:rPr>
      </w:pPr>
      <w:r>
        <w:rPr>
          <w:rFonts w:ascii="Arial" w:cs="Arial" w:eastAsia="Arial" w:hAnsi="Arial"/>
          <w:sz w:val="43"/>
          <w:szCs w:val="43"/>
          <w:b w:val="1"/>
          <w:bCs w:val="1"/>
          <w:color w:val="auto"/>
        </w:rPr>
        <w:t>OUTSTANDING EQUITY AWARDS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-718820</wp:posOffset>
            </wp:positionV>
            <wp:extent cx="8223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provides information about the number of outstanding equity awards held by our NEOs at December 31, 2017.</w:t>
      </w:r>
    </w:p>
    <w:p>
      <w:pPr>
        <w:spacing w:after="0" w:line="234"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60" w:type="dxa"/>
            <w:vAlign w:val="bottom"/>
            <w:tcBorders>
              <w:bottom w:val="single" w:sz="8" w:color="666666"/>
            </w:tcBorders>
          </w:tcPr>
          <w:p>
            <w:pPr>
              <w:spacing w:after="0"/>
              <w:rPr>
                <w:sz w:val="14"/>
                <w:szCs w:val="14"/>
                <w:color w:val="auto"/>
              </w:rPr>
            </w:pPr>
          </w:p>
        </w:tc>
        <w:tc>
          <w:tcPr>
            <w:tcW w:w="1120" w:type="dxa"/>
            <w:vAlign w:val="bottom"/>
            <w:tcBorders>
              <w:bottom w:val="single" w:sz="8" w:color="666666"/>
            </w:tcBorders>
          </w:tcPr>
          <w:p>
            <w:pPr>
              <w:jc w:val="right"/>
              <w:ind w:right="89"/>
              <w:spacing w:after="0"/>
              <w:rPr>
                <w:sz w:val="20"/>
                <w:szCs w:val="20"/>
                <w:color w:val="auto"/>
              </w:rPr>
            </w:pPr>
            <w:r>
              <w:rPr>
                <w:rFonts w:ascii="Arial" w:cs="Arial" w:eastAsia="Arial" w:hAnsi="Arial"/>
                <w:sz w:val="14"/>
                <w:szCs w:val="14"/>
                <w:color w:val="auto"/>
              </w:rPr>
              <w:t>Option Awards</w:t>
            </w:r>
          </w:p>
        </w:tc>
        <w:tc>
          <w:tcPr>
            <w:tcW w:w="920" w:type="dxa"/>
            <w:vAlign w:val="bottom"/>
            <w:tcBorders>
              <w:bottom w:val="single" w:sz="8" w:color="666666"/>
            </w:tcBorders>
          </w:tcPr>
          <w:p>
            <w:pPr>
              <w:spacing w:after="0"/>
              <w:rPr>
                <w:sz w:val="14"/>
                <w:szCs w:val="14"/>
                <w:color w:val="auto"/>
              </w:rPr>
            </w:pPr>
          </w:p>
        </w:tc>
        <w:tc>
          <w:tcPr>
            <w:tcW w:w="1480" w:type="dxa"/>
            <w:vAlign w:val="bottom"/>
            <w:tcBorders>
              <w:bottom w:val="single" w:sz="8" w:color="666666"/>
            </w:tcBorders>
          </w:tcPr>
          <w:p>
            <w:pPr>
              <w:spacing w:after="0"/>
              <w:rPr>
                <w:sz w:val="14"/>
                <w:szCs w:val="14"/>
                <w:color w:val="auto"/>
              </w:rPr>
            </w:pPr>
          </w:p>
        </w:tc>
        <w:tc>
          <w:tcPr>
            <w:tcW w:w="900" w:type="dxa"/>
            <w:vAlign w:val="bottom"/>
            <w:tcBorders>
              <w:bottom w:val="single" w:sz="8" w:color="666666"/>
            </w:tcBorders>
          </w:tcPr>
          <w:p>
            <w:pPr>
              <w:spacing w:after="0"/>
              <w:rPr>
                <w:sz w:val="14"/>
                <w:szCs w:val="14"/>
                <w:color w:val="auto"/>
              </w:rPr>
            </w:pPr>
          </w:p>
        </w:tc>
        <w:tc>
          <w:tcPr>
            <w:tcW w:w="1800" w:type="dxa"/>
            <w:vAlign w:val="bottom"/>
            <w:tcBorders>
              <w:bottom w:val="single" w:sz="8" w:color="666666"/>
            </w:tcBorders>
          </w:tcPr>
          <w:p>
            <w:pPr>
              <w:jc w:val="right"/>
              <w:ind w:right="849"/>
              <w:spacing w:after="0"/>
              <w:rPr>
                <w:sz w:val="20"/>
                <w:szCs w:val="20"/>
                <w:color w:val="auto"/>
              </w:rPr>
            </w:pPr>
            <w:r>
              <w:rPr>
                <w:rFonts w:ascii="Arial" w:cs="Arial" w:eastAsia="Arial" w:hAnsi="Arial"/>
                <w:sz w:val="14"/>
                <w:szCs w:val="14"/>
                <w:color w:val="auto"/>
              </w:rPr>
              <w:t>Stock Awards</w:t>
            </w:r>
          </w:p>
        </w:tc>
        <w:tc>
          <w:tcPr>
            <w:tcW w:w="1400" w:type="dxa"/>
            <w:vAlign w:val="bottom"/>
            <w:tcBorders>
              <w:bottom w:val="single" w:sz="8" w:color="666666"/>
            </w:tcBorders>
          </w:tcPr>
          <w:p>
            <w:pPr>
              <w:spacing w:after="0"/>
              <w:rPr>
                <w:sz w:val="14"/>
                <w:szCs w:val="14"/>
                <w:color w:val="auto"/>
              </w:rPr>
            </w:pPr>
          </w:p>
        </w:tc>
      </w:tr>
      <w:tr>
        <w:trPr>
          <w:trHeight w:val="158"/>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0" w:type="dxa"/>
            <w:vAlign w:val="bottom"/>
          </w:tcPr>
          <w:p>
            <w:pPr>
              <w:jc w:val="right"/>
              <w:ind w:right="369"/>
              <w:spacing w:after="0" w:line="158" w:lineRule="exact"/>
              <w:rPr>
                <w:sz w:val="20"/>
                <w:szCs w:val="20"/>
                <w:color w:val="auto"/>
              </w:rPr>
            </w:pPr>
            <w:r>
              <w:rPr>
                <w:rFonts w:ascii="Arial" w:cs="Arial" w:eastAsia="Arial" w:hAnsi="Arial"/>
                <w:sz w:val="14"/>
                <w:szCs w:val="14"/>
                <w:color w:val="auto"/>
              </w:rPr>
              <w:t>Equity Incentive</w:t>
            </w:r>
          </w:p>
        </w:tc>
        <w:tc>
          <w:tcPr>
            <w:tcW w:w="1400" w:type="dxa"/>
            <w:vAlign w:val="bottom"/>
          </w:tcPr>
          <w:p>
            <w:pPr>
              <w:jc w:val="right"/>
              <w:spacing w:after="0" w:line="158" w:lineRule="exact"/>
              <w:rPr>
                <w:sz w:val="20"/>
                <w:szCs w:val="20"/>
                <w:color w:val="auto"/>
              </w:rPr>
            </w:pPr>
            <w:r>
              <w:rPr>
                <w:rFonts w:ascii="Arial" w:cs="Arial" w:eastAsia="Arial" w:hAnsi="Arial"/>
                <w:sz w:val="14"/>
                <w:szCs w:val="14"/>
                <w:color w:val="auto"/>
              </w:rPr>
              <w:t>Equity Incentive</w:t>
            </w:r>
          </w:p>
        </w:tc>
      </w:t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Market</w:t>
            </w:r>
          </w:p>
        </w:tc>
        <w:tc>
          <w:tcPr>
            <w:tcW w:w="1800" w:type="dxa"/>
            <w:vAlign w:val="bottom"/>
          </w:tcPr>
          <w:p>
            <w:pPr>
              <w:jc w:val="right"/>
              <w:ind w:right="369"/>
              <w:spacing w:after="0"/>
              <w:rPr>
                <w:sz w:val="20"/>
                <w:szCs w:val="20"/>
                <w:color w:val="auto"/>
              </w:rPr>
            </w:pPr>
            <w:r>
              <w:rPr>
                <w:rFonts w:ascii="Arial" w:cs="Arial" w:eastAsia="Arial" w:hAnsi="Arial"/>
                <w:sz w:val="14"/>
                <w:szCs w:val="14"/>
                <w:color w:val="auto"/>
              </w:rPr>
              <w:t>Plan Awards:</w:t>
            </w:r>
          </w:p>
        </w:tc>
        <w:tc>
          <w:tcPr>
            <w:tcW w:w="1400" w:type="dxa"/>
            <w:vAlign w:val="bottom"/>
          </w:tcPr>
          <w:p>
            <w:pPr>
              <w:jc w:val="right"/>
              <w:spacing w:after="0"/>
              <w:rPr>
                <w:sz w:val="20"/>
                <w:szCs w:val="20"/>
                <w:color w:val="auto"/>
              </w:rPr>
            </w:pPr>
            <w:r>
              <w:rPr>
                <w:rFonts w:ascii="Arial" w:cs="Arial" w:eastAsia="Arial" w:hAnsi="Arial"/>
                <w:sz w:val="14"/>
                <w:szCs w:val="14"/>
                <w:color w:val="auto"/>
              </w:rPr>
              <w:t>Plan Awards</w:t>
            </w:r>
          </w:p>
        </w:tc>
      </w:t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Number of</w:t>
            </w:r>
          </w:p>
        </w:tc>
        <w:tc>
          <w:tcPr>
            <w:tcW w:w="1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Value</w:t>
            </w:r>
          </w:p>
        </w:tc>
        <w:tc>
          <w:tcPr>
            <w:tcW w:w="1800" w:type="dxa"/>
            <w:vAlign w:val="bottom"/>
          </w:tcPr>
          <w:p>
            <w:pPr>
              <w:jc w:val="right"/>
              <w:ind w:right="369"/>
              <w:spacing w:after="0"/>
              <w:rPr>
                <w:sz w:val="20"/>
                <w:szCs w:val="20"/>
                <w:color w:val="auto"/>
              </w:rPr>
            </w:pPr>
            <w:r>
              <w:rPr>
                <w:rFonts w:ascii="Arial" w:cs="Arial" w:eastAsia="Arial" w:hAnsi="Arial"/>
                <w:sz w:val="14"/>
                <w:szCs w:val="14"/>
                <w:color w:val="auto"/>
              </w:rPr>
              <w:t>Number of</w:t>
            </w:r>
          </w:p>
        </w:tc>
        <w:tc>
          <w:tcPr>
            <w:tcW w:w="1400" w:type="dxa"/>
            <w:vAlign w:val="bottom"/>
          </w:tcPr>
          <w:p>
            <w:pPr>
              <w:jc w:val="right"/>
              <w:spacing w:after="0"/>
              <w:rPr>
                <w:sz w:val="20"/>
                <w:szCs w:val="20"/>
                <w:color w:val="auto"/>
              </w:rPr>
            </w:pPr>
            <w:r>
              <w:rPr>
                <w:rFonts w:ascii="Arial" w:cs="Arial" w:eastAsia="Arial" w:hAnsi="Arial"/>
                <w:sz w:val="14"/>
                <w:szCs w:val="14"/>
                <w:color w:val="auto"/>
              </w:rPr>
              <w:t>Market or Payout</w:t>
            </w:r>
          </w:p>
        </w:tc>
      </w:t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Securities</w:t>
            </w:r>
          </w:p>
        </w:tc>
        <w:tc>
          <w:tcPr>
            <w:tcW w:w="1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80" w:type="dxa"/>
            <w:vAlign w:val="bottom"/>
          </w:tcPr>
          <w:p>
            <w:pPr>
              <w:jc w:val="right"/>
              <w:ind w:right="389"/>
              <w:spacing w:after="0"/>
              <w:rPr>
                <w:sz w:val="20"/>
                <w:szCs w:val="20"/>
                <w:color w:val="auto"/>
              </w:rPr>
            </w:pPr>
            <w:r>
              <w:rPr>
                <w:rFonts w:ascii="Arial" w:cs="Arial" w:eastAsia="Arial" w:hAnsi="Arial"/>
                <w:sz w:val="14"/>
                <w:szCs w:val="14"/>
                <w:color w:val="auto"/>
              </w:rPr>
              <w:t>Number</w:t>
            </w:r>
          </w:p>
        </w:tc>
        <w:tc>
          <w:tcPr>
            <w:tcW w:w="900" w:type="dxa"/>
            <w:vAlign w:val="bottom"/>
          </w:tcPr>
          <w:p>
            <w:pPr>
              <w:jc w:val="right"/>
              <w:spacing w:after="0"/>
              <w:rPr>
                <w:sz w:val="20"/>
                <w:szCs w:val="20"/>
                <w:color w:val="auto"/>
              </w:rPr>
            </w:pPr>
            <w:r>
              <w:rPr>
                <w:rFonts w:ascii="Arial" w:cs="Arial" w:eastAsia="Arial" w:hAnsi="Arial"/>
                <w:sz w:val="14"/>
                <w:szCs w:val="14"/>
                <w:color w:val="auto"/>
              </w:rPr>
              <w:t>of Shares</w:t>
            </w:r>
          </w:p>
        </w:tc>
        <w:tc>
          <w:tcPr>
            <w:tcW w:w="1800" w:type="dxa"/>
            <w:vAlign w:val="bottom"/>
          </w:tcPr>
          <w:p>
            <w:pPr>
              <w:jc w:val="right"/>
              <w:ind w:right="369"/>
              <w:spacing w:after="0"/>
              <w:rPr>
                <w:sz w:val="20"/>
                <w:szCs w:val="20"/>
                <w:color w:val="auto"/>
              </w:rPr>
            </w:pPr>
            <w:r>
              <w:rPr>
                <w:rFonts w:ascii="Arial" w:cs="Arial" w:eastAsia="Arial" w:hAnsi="Arial"/>
                <w:sz w:val="14"/>
                <w:szCs w:val="14"/>
                <w:color w:val="auto"/>
              </w:rPr>
              <w:t>Unearned</w:t>
            </w:r>
          </w:p>
        </w:tc>
        <w:tc>
          <w:tcPr>
            <w:tcW w:w="1400" w:type="dxa"/>
            <w:vAlign w:val="bottom"/>
          </w:tcPr>
          <w:p>
            <w:pPr>
              <w:jc w:val="right"/>
              <w:spacing w:after="0"/>
              <w:rPr>
                <w:sz w:val="20"/>
                <w:szCs w:val="20"/>
                <w:color w:val="auto"/>
              </w:rPr>
            </w:pPr>
            <w:r>
              <w:rPr>
                <w:rFonts w:ascii="Arial" w:cs="Arial" w:eastAsia="Arial" w:hAnsi="Arial"/>
                <w:sz w:val="14"/>
                <w:szCs w:val="14"/>
                <w:color w:val="auto"/>
              </w:rPr>
              <w:t>Value of Unearned</w:t>
            </w:r>
          </w:p>
        </w:tc>
      </w:t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Underlying</w:t>
            </w:r>
          </w:p>
        </w:tc>
        <w:tc>
          <w:tcPr>
            <w:tcW w:w="1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80" w:type="dxa"/>
            <w:vAlign w:val="bottom"/>
          </w:tcPr>
          <w:p>
            <w:pPr>
              <w:jc w:val="right"/>
              <w:ind w:right="389"/>
              <w:spacing w:after="0"/>
              <w:rPr>
                <w:sz w:val="20"/>
                <w:szCs w:val="20"/>
                <w:color w:val="auto"/>
              </w:rPr>
            </w:pPr>
            <w:r>
              <w:rPr>
                <w:rFonts w:ascii="Arial" w:cs="Arial" w:eastAsia="Arial" w:hAnsi="Arial"/>
                <w:sz w:val="14"/>
                <w:szCs w:val="14"/>
                <w:color w:val="auto"/>
              </w:rPr>
              <w:t>of Shares</w:t>
            </w:r>
          </w:p>
        </w:tc>
        <w:tc>
          <w:tcPr>
            <w:tcW w:w="900" w:type="dxa"/>
            <w:vAlign w:val="bottom"/>
          </w:tcPr>
          <w:p>
            <w:pPr>
              <w:jc w:val="right"/>
              <w:spacing w:after="0"/>
              <w:rPr>
                <w:sz w:val="20"/>
                <w:szCs w:val="20"/>
                <w:color w:val="auto"/>
              </w:rPr>
            </w:pPr>
            <w:r>
              <w:rPr>
                <w:rFonts w:ascii="Arial" w:cs="Arial" w:eastAsia="Arial" w:hAnsi="Arial"/>
                <w:sz w:val="14"/>
                <w:szCs w:val="14"/>
                <w:color w:val="auto"/>
              </w:rPr>
              <w:t>or Units</w:t>
            </w:r>
          </w:p>
        </w:tc>
        <w:tc>
          <w:tcPr>
            <w:tcW w:w="1800" w:type="dxa"/>
            <w:vAlign w:val="bottom"/>
          </w:tcPr>
          <w:p>
            <w:pPr>
              <w:jc w:val="right"/>
              <w:ind w:right="369"/>
              <w:spacing w:after="0"/>
              <w:rPr>
                <w:sz w:val="20"/>
                <w:szCs w:val="20"/>
                <w:color w:val="auto"/>
              </w:rPr>
            </w:pPr>
            <w:r>
              <w:rPr>
                <w:rFonts w:ascii="Arial" w:cs="Arial" w:eastAsia="Arial" w:hAnsi="Arial"/>
                <w:sz w:val="14"/>
                <w:szCs w:val="14"/>
                <w:color w:val="auto"/>
              </w:rPr>
              <w:t>Shares, Units</w:t>
            </w:r>
          </w:p>
        </w:tc>
        <w:tc>
          <w:tcPr>
            <w:tcW w:w="1400" w:type="dxa"/>
            <w:vAlign w:val="bottom"/>
          </w:tcPr>
          <w:p>
            <w:pPr>
              <w:jc w:val="right"/>
              <w:spacing w:after="0"/>
              <w:rPr>
                <w:sz w:val="20"/>
                <w:szCs w:val="20"/>
                <w:color w:val="auto"/>
              </w:rPr>
            </w:pPr>
            <w:r>
              <w:rPr>
                <w:rFonts w:ascii="Arial" w:cs="Arial" w:eastAsia="Arial" w:hAnsi="Arial"/>
                <w:sz w:val="14"/>
                <w:szCs w:val="14"/>
                <w:color w:val="auto"/>
              </w:rPr>
              <w:t>Shares, Units</w:t>
            </w:r>
          </w:p>
        </w:tc>
      </w:t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Unexercised</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Option</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Option</w:t>
            </w:r>
          </w:p>
        </w:tc>
        <w:tc>
          <w:tcPr>
            <w:tcW w:w="1480" w:type="dxa"/>
            <w:vAlign w:val="bottom"/>
          </w:tcPr>
          <w:p>
            <w:pPr>
              <w:jc w:val="right"/>
              <w:ind w:right="389"/>
              <w:spacing w:after="0"/>
              <w:rPr>
                <w:sz w:val="20"/>
                <w:szCs w:val="20"/>
                <w:color w:val="auto"/>
              </w:rPr>
            </w:pPr>
            <w:r>
              <w:rPr>
                <w:rFonts w:ascii="Arial" w:cs="Arial" w:eastAsia="Arial" w:hAnsi="Arial"/>
                <w:sz w:val="14"/>
                <w:szCs w:val="14"/>
                <w:color w:val="auto"/>
              </w:rPr>
              <w:t>or Units</w:t>
            </w:r>
          </w:p>
        </w:tc>
        <w:tc>
          <w:tcPr>
            <w:tcW w:w="900" w:type="dxa"/>
            <w:vAlign w:val="bottom"/>
          </w:tcPr>
          <w:p>
            <w:pPr>
              <w:jc w:val="right"/>
              <w:spacing w:after="0"/>
              <w:rPr>
                <w:sz w:val="20"/>
                <w:szCs w:val="20"/>
                <w:color w:val="auto"/>
              </w:rPr>
            </w:pPr>
            <w:r>
              <w:rPr>
                <w:rFonts w:ascii="Arial" w:cs="Arial" w:eastAsia="Arial" w:hAnsi="Arial"/>
                <w:sz w:val="14"/>
                <w:szCs w:val="14"/>
                <w:color w:val="auto"/>
              </w:rPr>
              <w:t>That Have</w:t>
            </w:r>
          </w:p>
        </w:tc>
        <w:tc>
          <w:tcPr>
            <w:tcW w:w="1800" w:type="dxa"/>
            <w:vAlign w:val="bottom"/>
          </w:tcPr>
          <w:p>
            <w:pPr>
              <w:jc w:val="right"/>
              <w:ind w:right="369"/>
              <w:spacing w:after="0"/>
              <w:rPr>
                <w:sz w:val="20"/>
                <w:szCs w:val="20"/>
                <w:color w:val="auto"/>
              </w:rPr>
            </w:pPr>
            <w:r>
              <w:rPr>
                <w:rFonts w:ascii="Arial" w:cs="Arial" w:eastAsia="Arial" w:hAnsi="Arial"/>
                <w:sz w:val="14"/>
                <w:szCs w:val="14"/>
                <w:color w:val="auto"/>
              </w:rPr>
              <w:t>or Other Rights</w:t>
            </w:r>
          </w:p>
        </w:tc>
        <w:tc>
          <w:tcPr>
            <w:tcW w:w="1400" w:type="dxa"/>
            <w:vAlign w:val="bottom"/>
          </w:tcPr>
          <w:p>
            <w:pPr>
              <w:jc w:val="right"/>
              <w:spacing w:after="0"/>
              <w:rPr>
                <w:sz w:val="20"/>
                <w:szCs w:val="20"/>
                <w:color w:val="auto"/>
              </w:rPr>
            </w:pPr>
            <w:r>
              <w:rPr>
                <w:rFonts w:ascii="Arial" w:cs="Arial" w:eastAsia="Arial" w:hAnsi="Arial"/>
                <w:sz w:val="14"/>
                <w:szCs w:val="14"/>
                <w:color w:val="auto"/>
              </w:rPr>
              <w:t>or Other Rights</w:t>
            </w:r>
          </w:p>
        </w:tc>
      </w:t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Options</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Exercise</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Expiration</w:t>
            </w:r>
          </w:p>
        </w:tc>
        <w:tc>
          <w:tcPr>
            <w:tcW w:w="1480" w:type="dxa"/>
            <w:vAlign w:val="bottom"/>
          </w:tcPr>
          <w:p>
            <w:pPr>
              <w:jc w:val="right"/>
              <w:ind w:right="389"/>
              <w:spacing w:after="0"/>
              <w:rPr>
                <w:sz w:val="20"/>
                <w:szCs w:val="20"/>
                <w:color w:val="auto"/>
              </w:rPr>
            </w:pPr>
            <w:r>
              <w:rPr>
                <w:rFonts w:ascii="Arial" w:cs="Arial" w:eastAsia="Arial" w:hAnsi="Arial"/>
                <w:sz w:val="14"/>
                <w:szCs w:val="14"/>
                <w:color w:val="auto"/>
              </w:rPr>
              <w:t>That Have</w:t>
            </w:r>
          </w:p>
        </w:tc>
        <w:tc>
          <w:tcPr>
            <w:tcW w:w="900" w:type="dxa"/>
            <w:vAlign w:val="bottom"/>
          </w:tcPr>
          <w:p>
            <w:pPr>
              <w:jc w:val="right"/>
              <w:spacing w:after="0"/>
              <w:rPr>
                <w:sz w:val="20"/>
                <w:szCs w:val="20"/>
                <w:color w:val="auto"/>
              </w:rPr>
            </w:pPr>
            <w:r>
              <w:rPr>
                <w:rFonts w:ascii="Arial" w:cs="Arial" w:eastAsia="Arial" w:hAnsi="Arial"/>
                <w:sz w:val="14"/>
                <w:szCs w:val="14"/>
                <w:color w:val="auto"/>
              </w:rPr>
              <w:t>Not</w:t>
            </w:r>
          </w:p>
        </w:tc>
        <w:tc>
          <w:tcPr>
            <w:tcW w:w="1800" w:type="dxa"/>
            <w:vAlign w:val="bottom"/>
          </w:tcPr>
          <w:p>
            <w:pPr>
              <w:jc w:val="right"/>
              <w:ind w:right="369"/>
              <w:spacing w:after="0"/>
              <w:rPr>
                <w:sz w:val="20"/>
                <w:szCs w:val="20"/>
                <w:color w:val="auto"/>
              </w:rPr>
            </w:pPr>
            <w:r>
              <w:rPr>
                <w:rFonts w:ascii="Arial" w:cs="Arial" w:eastAsia="Arial" w:hAnsi="Arial"/>
                <w:sz w:val="14"/>
                <w:szCs w:val="14"/>
                <w:color w:val="auto"/>
              </w:rPr>
              <w:t>That Have not</w:t>
            </w:r>
          </w:p>
        </w:tc>
        <w:tc>
          <w:tcPr>
            <w:tcW w:w="1400" w:type="dxa"/>
            <w:vAlign w:val="bottom"/>
          </w:tcPr>
          <w:p>
            <w:pPr>
              <w:jc w:val="right"/>
              <w:spacing w:after="0"/>
              <w:rPr>
                <w:sz w:val="20"/>
                <w:szCs w:val="20"/>
                <w:color w:val="auto"/>
              </w:rPr>
            </w:pPr>
            <w:r>
              <w:rPr>
                <w:rFonts w:ascii="Arial" w:cs="Arial" w:eastAsia="Arial" w:hAnsi="Arial"/>
                <w:sz w:val="14"/>
                <w:szCs w:val="14"/>
                <w:color w:val="auto"/>
              </w:rPr>
              <w:t>That Have Not</w:t>
            </w:r>
          </w:p>
        </w:tc>
      </w:tr>
      <w:tr>
        <w:trPr>
          <w:trHeight w:val="169"/>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Name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Exercisable(#)</w:t>
            </w:r>
          </w:p>
        </w:tc>
        <w:tc>
          <w:tcPr>
            <w:tcW w:w="11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Price ($)</w:t>
            </w: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Date</w:t>
            </w:r>
          </w:p>
        </w:tc>
        <w:tc>
          <w:tcPr>
            <w:tcW w:w="14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Not Vested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Vested($)</w:t>
            </w:r>
          </w:p>
        </w:tc>
        <w:tc>
          <w:tcPr>
            <w:tcW w:w="18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Vested (#)(1)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Vested($)(1)</w:t>
            </w:r>
          </w:p>
        </w:tc>
      </w:tr>
      <w:tr>
        <w:trPr>
          <w:trHeight w:val="158"/>
        </w:trPr>
        <w:tc>
          <w:tcPr>
            <w:tcW w:w="2020" w:type="dxa"/>
            <w:vAlign w:val="bottom"/>
            <w:gridSpan w:val="2"/>
          </w:tcPr>
          <w:p>
            <w:pPr>
              <w:spacing w:after="0" w:line="158" w:lineRule="exact"/>
              <w:rPr>
                <w:sz w:val="20"/>
                <w:szCs w:val="20"/>
                <w:color w:val="auto"/>
              </w:rPr>
            </w:pPr>
            <w:r>
              <w:rPr>
                <w:rFonts w:ascii="Arial" w:cs="Arial" w:eastAsia="Arial" w:hAnsi="Arial"/>
                <w:sz w:val="14"/>
                <w:szCs w:val="14"/>
                <w:color w:val="auto"/>
              </w:rPr>
              <w:t>Mark A. McCollum</w:t>
            </w:r>
          </w:p>
        </w:tc>
        <w:tc>
          <w:tcPr>
            <w:tcW w:w="126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49"/>
              <w:spacing w:after="0" w:line="158"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line="158"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209"/>
              <w:spacing w:after="0" w:line="158" w:lineRule="exact"/>
              <w:rPr>
                <w:sz w:val="20"/>
                <w:szCs w:val="20"/>
                <w:color w:val="auto"/>
              </w:rPr>
            </w:pPr>
            <w:r>
              <w:rPr>
                <w:rFonts w:ascii="Arial" w:cs="Arial" w:eastAsia="Arial" w:hAnsi="Arial"/>
                <w:sz w:val="14"/>
                <w:szCs w:val="14"/>
                <w:color w:val="auto"/>
              </w:rPr>
              <w:t>548,446(2)</w:t>
            </w:r>
          </w:p>
        </w:tc>
        <w:tc>
          <w:tcPr>
            <w:tcW w:w="900" w:type="dxa"/>
            <w:vAlign w:val="bottom"/>
          </w:tcPr>
          <w:p>
            <w:pPr>
              <w:jc w:val="right"/>
              <w:spacing w:after="0" w:line="158" w:lineRule="exact"/>
              <w:rPr>
                <w:sz w:val="20"/>
                <w:szCs w:val="20"/>
                <w:color w:val="auto"/>
              </w:rPr>
            </w:pPr>
            <w:r>
              <w:rPr>
                <w:rFonts w:ascii="Arial" w:cs="Arial" w:eastAsia="Arial" w:hAnsi="Arial"/>
                <w:sz w:val="14"/>
                <w:szCs w:val="14"/>
                <w:color w:val="auto"/>
              </w:rPr>
              <w:t>2,287,020</w:t>
            </w:r>
          </w:p>
        </w:tc>
        <w:tc>
          <w:tcPr>
            <w:tcW w:w="18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09"/>
              <w:spacing w:after="0"/>
              <w:rPr>
                <w:sz w:val="20"/>
                <w:szCs w:val="20"/>
                <w:color w:val="auto"/>
              </w:rPr>
            </w:pPr>
            <w:r>
              <w:rPr>
                <w:rFonts w:ascii="Arial" w:cs="Arial" w:eastAsia="Arial" w:hAnsi="Arial"/>
                <w:sz w:val="14"/>
                <w:szCs w:val="14"/>
                <w:color w:val="auto"/>
              </w:rPr>
              <w:t>548,446(3)</w:t>
            </w:r>
          </w:p>
        </w:tc>
        <w:tc>
          <w:tcPr>
            <w:tcW w:w="900" w:type="dxa"/>
            <w:vAlign w:val="bottom"/>
          </w:tcPr>
          <w:p>
            <w:pPr>
              <w:jc w:val="right"/>
              <w:spacing w:after="0"/>
              <w:rPr>
                <w:sz w:val="20"/>
                <w:szCs w:val="20"/>
                <w:color w:val="auto"/>
              </w:rPr>
            </w:pPr>
            <w:r>
              <w:rPr>
                <w:rFonts w:ascii="Arial" w:cs="Arial" w:eastAsia="Arial" w:hAnsi="Arial"/>
                <w:sz w:val="14"/>
                <w:szCs w:val="14"/>
                <w:color w:val="auto"/>
              </w:rPr>
              <w:t>2,287,020</w:t>
            </w:r>
          </w:p>
        </w:tc>
        <w:tc>
          <w:tcPr>
            <w:tcW w:w="18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0" w:type="dxa"/>
            <w:vAlign w:val="bottom"/>
          </w:tcPr>
          <w:p>
            <w:pPr>
              <w:jc w:val="right"/>
              <w:ind w:right="189"/>
              <w:spacing w:after="0"/>
              <w:rPr>
                <w:sz w:val="20"/>
                <w:szCs w:val="20"/>
                <w:color w:val="auto"/>
              </w:rPr>
            </w:pPr>
            <w:r>
              <w:rPr>
                <w:rFonts w:ascii="Arial" w:cs="Arial" w:eastAsia="Arial" w:hAnsi="Arial"/>
                <w:sz w:val="14"/>
                <w:szCs w:val="14"/>
                <w:color w:val="auto"/>
              </w:rPr>
              <w:t>274,223(4)</w:t>
            </w:r>
          </w:p>
        </w:tc>
        <w:tc>
          <w:tcPr>
            <w:tcW w:w="1400" w:type="dxa"/>
            <w:vAlign w:val="bottom"/>
          </w:tcPr>
          <w:p>
            <w:pPr>
              <w:jc w:val="right"/>
              <w:spacing w:after="0"/>
              <w:rPr>
                <w:sz w:val="20"/>
                <w:szCs w:val="20"/>
                <w:color w:val="auto"/>
              </w:rPr>
            </w:pPr>
            <w:r>
              <w:rPr>
                <w:rFonts w:ascii="Arial" w:cs="Arial" w:eastAsia="Arial" w:hAnsi="Arial"/>
                <w:sz w:val="14"/>
                <w:szCs w:val="14"/>
                <w:color w:val="auto"/>
              </w:rPr>
              <w:t>1,143,510</w:t>
            </w:r>
          </w:p>
        </w:tc>
      </w:tr>
      <w:tr>
        <w:trPr>
          <w:trHeight w:val="160"/>
        </w:trPr>
        <w:tc>
          <w:tcPr>
            <w:tcW w:w="2020" w:type="dxa"/>
            <w:vAlign w:val="bottom"/>
            <w:gridSpan w:val="2"/>
          </w:tcPr>
          <w:p>
            <w:pPr>
              <w:spacing w:after="0"/>
              <w:rPr>
                <w:sz w:val="20"/>
                <w:szCs w:val="20"/>
                <w:color w:val="auto"/>
              </w:rPr>
            </w:pPr>
            <w:r>
              <w:rPr>
                <w:rFonts w:ascii="Arial" w:cs="Arial" w:eastAsia="Arial" w:hAnsi="Arial"/>
                <w:sz w:val="14"/>
                <w:szCs w:val="14"/>
                <w:color w:val="auto"/>
              </w:rPr>
              <w:t>Christoph Bausch</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09"/>
              <w:spacing w:after="0"/>
              <w:rPr>
                <w:sz w:val="20"/>
                <w:szCs w:val="20"/>
                <w:color w:val="auto"/>
              </w:rPr>
            </w:pPr>
            <w:r>
              <w:rPr>
                <w:rFonts w:ascii="Arial" w:cs="Arial" w:eastAsia="Arial" w:hAnsi="Arial"/>
                <w:sz w:val="14"/>
                <w:szCs w:val="14"/>
                <w:color w:val="auto"/>
              </w:rPr>
              <w:t>66,666(5)</w:t>
            </w:r>
          </w:p>
        </w:tc>
        <w:tc>
          <w:tcPr>
            <w:tcW w:w="900" w:type="dxa"/>
            <w:vAlign w:val="bottom"/>
          </w:tcPr>
          <w:p>
            <w:pPr>
              <w:jc w:val="right"/>
              <w:spacing w:after="0"/>
              <w:rPr>
                <w:sz w:val="20"/>
                <w:szCs w:val="20"/>
                <w:color w:val="auto"/>
              </w:rPr>
            </w:pPr>
            <w:r>
              <w:rPr>
                <w:rFonts w:ascii="Arial" w:cs="Arial" w:eastAsia="Arial" w:hAnsi="Arial"/>
                <w:sz w:val="14"/>
                <w:szCs w:val="14"/>
                <w:color w:val="auto"/>
              </w:rPr>
              <w:t>277,997</w:t>
            </w:r>
          </w:p>
        </w:tc>
        <w:tc>
          <w:tcPr>
            <w:tcW w:w="18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09"/>
              <w:spacing w:after="0"/>
              <w:rPr>
                <w:sz w:val="20"/>
                <w:szCs w:val="20"/>
                <w:color w:val="auto"/>
              </w:rPr>
            </w:pPr>
            <w:r>
              <w:rPr>
                <w:rFonts w:ascii="Arial" w:cs="Arial" w:eastAsia="Arial" w:hAnsi="Arial"/>
                <w:sz w:val="14"/>
                <w:szCs w:val="14"/>
                <w:color w:val="auto"/>
              </w:rPr>
              <w:t>20,000(6)</w:t>
            </w:r>
          </w:p>
        </w:tc>
        <w:tc>
          <w:tcPr>
            <w:tcW w:w="900" w:type="dxa"/>
            <w:vAlign w:val="bottom"/>
          </w:tcPr>
          <w:p>
            <w:pPr>
              <w:jc w:val="right"/>
              <w:spacing w:after="0"/>
              <w:rPr>
                <w:sz w:val="20"/>
                <w:szCs w:val="20"/>
                <w:color w:val="auto"/>
              </w:rPr>
            </w:pPr>
            <w:r>
              <w:rPr>
                <w:rFonts w:ascii="Arial" w:cs="Arial" w:eastAsia="Arial" w:hAnsi="Arial"/>
                <w:sz w:val="14"/>
                <w:szCs w:val="14"/>
                <w:color w:val="auto"/>
              </w:rPr>
              <w:t>83,400</w:t>
            </w:r>
          </w:p>
        </w:tc>
        <w:tc>
          <w:tcPr>
            <w:tcW w:w="18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09"/>
              <w:spacing w:after="0"/>
              <w:rPr>
                <w:sz w:val="20"/>
                <w:szCs w:val="20"/>
                <w:color w:val="auto"/>
              </w:rPr>
            </w:pPr>
            <w:r>
              <w:rPr>
                <w:rFonts w:ascii="Arial" w:cs="Arial" w:eastAsia="Arial" w:hAnsi="Arial"/>
                <w:sz w:val="14"/>
                <w:szCs w:val="14"/>
                <w:color w:val="auto"/>
              </w:rPr>
              <w:t>198,863(7)</w:t>
            </w:r>
          </w:p>
        </w:tc>
        <w:tc>
          <w:tcPr>
            <w:tcW w:w="900" w:type="dxa"/>
            <w:vAlign w:val="bottom"/>
          </w:tcPr>
          <w:p>
            <w:pPr>
              <w:jc w:val="right"/>
              <w:spacing w:after="0"/>
              <w:rPr>
                <w:sz w:val="20"/>
                <w:szCs w:val="20"/>
                <w:color w:val="auto"/>
              </w:rPr>
            </w:pPr>
            <w:r>
              <w:rPr>
                <w:rFonts w:ascii="Arial" w:cs="Arial" w:eastAsia="Arial" w:hAnsi="Arial"/>
                <w:sz w:val="14"/>
                <w:szCs w:val="14"/>
                <w:color w:val="auto"/>
              </w:rPr>
              <w:t>829,259</w:t>
            </w:r>
          </w:p>
        </w:tc>
        <w:tc>
          <w:tcPr>
            <w:tcW w:w="1800" w:type="dxa"/>
            <w:vAlign w:val="bottom"/>
          </w:tcPr>
          <w:p>
            <w:pPr>
              <w:jc w:val="right"/>
              <w:ind w:right="189"/>
              <w:spacing w:after="0"/>
              <w:rPr>
                <w:sz w:val="20"/>
                <w:szCs w:val="20"/>
                <w:color w:val="auto"/>
              </w:rPr>
            </w:pPr>
            <w:r>
              <w:rPr>
                <w:rFonts w:ascii="Arial" w:cs="Arial" w:eastAsia="Arial" w:hAnsi="Arial"/>
                <w:sz w:val="14"/>
                <w:szCs w:val="14"/>
                <w:color w:val="auto"/>
              </w:rPr>
              <w:t>99,432(8)</w:t>
            </w:r>
          </w:p>
        </w:tc>
        <w:tc>
          <w:tcPr>
            <w:tcW w:w="1400" w:type="dxa"/>
            <w:vAlign w:val="bottom"/>
          </w:tcPr>
          <w:p>
            <w:pPr>
              <w:jc w:val="right"/>
              <w:spacing w:after="0"/>
              <w:rPr>
                <w:sz w:val="20"/>
                <w:szCs w:val="20"/>
                <w:color w:val="auto"/>
              </w:rPr>
            </w:pPr>
            <w:r>
              <w:rPr>
                <w:rFonts w:ascii="Arial" w:cs="Arial" w:eastAsia="Arial" w:hAnsi="Arial"/>
                <w:sz w:val="14"/>
                <w:szCs w:val="14"/>
                <w:color w:val="auto"/>
              </w:rPr>
              <w:t>414,631</w:t>
            </w:r>
          </w:p>
        </w:tc>
      </w:tr>
      <w:tr>
        <w:trPr>
          <w:trHeight w:val="160"/>
        </w:trPr>
        <w:tc>
          <w:tcPr>
            <w:tcW w:w="2020" w:type="dxa"/>
            <w:vAlign w:val="bottom"/>
            <w:gridSpan w:val="2"/>
          </w:tcPr>
          <w:p>
            <w:pPr>
              <w:spacing w:after="0"/>
              <w:rPr>
                <w:sz w:val="20"/>
                <w:szCs w:val="20"/>
                <w:color w:val="auto"/>
              </w:rPr>
            </w:pPr>
            <w:r>
              <w:rPr>
                <w:rFonts w:ascii="Arial" w:cs="Arial" w:eastAsia="Arial" w:hAnsi="Arial"/>
                <w:sz w:val="14"/>
                <w:szCs w:val="14"/>
                <w:color w:val="auto"/>
              </w:rPr>
              <w:t>Christina M. Ibrahim</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09"/>
              <w:spacing w:after="0"/>
              <w:rPr>
                <w:sz w:val="20"/>
                <w:szCs w:val="20"/>
                <w:color w:val="auto"/>
              </w:rPr>
            </w:pPr>
            <w:r>
              <w:rPr>
                <w:rFonts w:ascii="Arial" w:cs="Arial" w:eastAsia="Arial" w:hAnsi="Arial"/>
                <w:sz w:val="14"/>
                <w:szCs w:val="14"/>
                <w:color w:val="auto"/>
              </w:rPr>
              <w:t>33,333(9)</w:t>
            </w:r>
          </w:p>
        </w:tc>
        <w:tc>
          <w:tcPr>
            <w:tcW w:w="900" w:type="dxa"/>
            <w:vAlign w:val="bottom"/>
          </w:tcPr>
          <w:p>
            <w:pPr>
              <w:jc w:val="right"/>
              <w:spacing w:after="0"/>
              <w:rPr>
                <w:sz w:val="20"/>
                <w:szCs w:val="20"/>
                <w:color w:val="auto"/>
              </w:rPr>
            </w:pPr>
            <w:r>
              <w:rPr>
                <w:rFonts w:ascii="Arial" w:cs="Arial" w:eastAsia="Arial" w:hAnsi="Arial"/>
                <w:sz w:val="14"/>
                <w:szCs w:val="14"/>
                <w:color w:val="auto"/>
              </w:rPr>
              <w:t>138,999</w:t>
            </w:r>
          </w:p>
        </w:tc>
        <w:tc>
          <w:tcPr>
            <w:tcW w:w="18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107,700(10)</w:t>
            </w:r>
          </w:p>
        </w:tc>
        <w:tc>
          <w:tcPr>
            <w:tcW w:w="900" w:type="dxa"/>
            <w:vAlign w:val="bottom"/>
          </w:tcPr>
          <w:p>
            <w:pPr>
              <w:jc w:val="right"/>
              <w:spacing w:after="0"/>
              <w:rPr>
                <w:sz w:val="20"/>
                <w:szCs w:val="20"/>
                <w:color w:val="auto"/>
              </w:rPr>
            </w:pPr>
            <w:r>
              <w:rPr>
                <w:rFonts w:ascii="Arial" w:cs="Arial" w:eastAsia="Arial" w:hAnsi="Arial"/>
                <w:sz w:val="14"/>
                <w:szCs w:val="14"/>
                <w:color w:val="auto"/>
              </w:rPr>
              <w:t>449,109</w:t>
            </w:r>
          </w:p>
        </w:tc>
        <w:tc>
          <w:tcPr>
            <w:tcW w:w="18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09"/>
              <w:spacing w:after="0"/>
              <w:rPr>
                <w:sz w:val="20"/>
                <w:szCs w:val="20"/>
                <w:color w:val="auto"/>
              </w:rPr>
            </w:pPr>
            <w:r>
              <w:rPr>
                <w:rFonts w:ascii="Arial" w:cs="Arial" w:eastAsia="Arial" w:hAnsi="Arial"/>
                <w:sz w:val="14"/>
                <w:szCs w:val="14"/>
                <w:color w:val="auto"/>
              </w:rPr>
              <w:t>189,393(7)</w:t>
            </w:r>
          </w:p>
        </w:tc>
        <w:tc>
          <w:tcPr>
            <w:tcW w:w="900" w:type="dxa"/>
            <w:vAlign w:val="bottom"/>
          </w:tcPr>
          <w:p>
            <w:pPr>
              <w:jc w:val="right"/>
              <w:spacing w:after="0"/>
              <w:rPr>
                <w:sz w:val="20"/>
                <w:szCs w:val="20"/>
                <w:color w:val="auto"/>
              </w:rPr>
            </w:pPr>
            <w:r>
              <w:rPr>
                <w:rFonts w:ascii="Arial" w:cs="Arial" w:eastAsia="Arial" w:hAnsi="Arial"/>
                <w:sz w:val="14"/>
                <w:szCs w:val="14"/>
                <w:color w:val="auto"/>
              </w:rPr>
              <w:t>789,769</w:t>
            </w:r>
          </w:p>
        </w:tc>
        <w:tc>
          <w:tcPr>
            <w:tcW w:w="18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0" w:type="dxa"/>
            <w:vAlign w:val="bottom"/>
          </w:tcPr>
          <w:p>
            <w:pPr>
              <w:jc w:val="right"/>
              <w:ind w:right="109"/>
              <w:spacing w:after="0"/>
              <w:rPr>
                <w:sz w:val="20"/>
                <w:szCs w:val="20"/>
                <w:color w:val="auto"/>
              </w:rPr>
            </w:pPr>
            <w:r>
              <w:rPr>
                <w:rFonts w:ascii="Arial" w:cs="Arial" w:eastAsia="Arial" w:hAnsi="Arial"/>
                <w:sz w:val="14"/>
                <w:szCs w:val="14"/>
                <w:color w:val="auto"/>
              </w:rPr>
              <w:t>53,850(11)</w:t>
            </w:r>
          </w:p>
        </w:tc>
        <w:tc>
          <w:tcPr>
            <w:tcW w:w="1400" w:type="dxa"/>
            <w:vAlign w:val="bottom"/>
          </w:tcPr>
          <w:p>
            <w:pPr>
              <w:jc w:val="right"/>
              <w:spacing w:after="0"/>
              <w:rPr>
                <w:sz w:val="20"/>
                <w:szCs w:val="20"/>
                <w:color w:val="auto"/>
              </w:rPr>
            </w:pPr>
            <w:r>
              <w:rPr>
                <w:rFonts w:ascii="Arial" w:cs="Arial" w:eastAsia="Arial" w:hAnsi="Arial"/>
                <w:sz w:val="14"/>
                <w:szCs w:val="14"/>
                <w:color w:val="auto"/>
              </w:rPr>
              <w:t>224,555</w:t>
            </w:r>
          </w:p>
        </w:tc>
      </w:t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0" w:type="dxa"/>
            <w:vAlign w:val="bottom"/>
          </w:tcPr>
          <w:p>
            <w:pPr>
              <w:jc w:val="right"/>
              <w:ind w:right="189"/>
              <w:spacing w:after="0"/>
              <w:rPr>
                <w:sz w:val="20"/>
                <w:szCs w:val="20"/>
                <w:color w:val="auto"/>
              </w:rPr>
            </w:pPr>
            <w:r>
              <w:rPr>
                <w:rFonts w:ascii="Arial" w:cs="Arial" w:eastAsia="Arial" w:hAnsi="Arial"/>
                <w:sz w:val="14"/>
                <w:szCs w:val="14"/>
                <w:color w:val="auto"/>
              </w:rPr>
              <w:t>94,697(8)</w:t>
            </w:r>
          </w:p>
        </w:tc>
        <w:tc>
          <w:tcPr>
            <w:tcW w:w="1400" w:type="dxa"/>
            <w:vAlign w:val="bottom"/>
          </w:tcPr>
          <w:p>
            <w:pPr>
              <w:jc w:val="right"/>
              <w:spacing w:after="0"/>
              <w:rPr>
                <w:sz w:val="20"/>
                <w:szCs w:val="20"/>
                <w:color w:val="auto"/>
              </w:rPr>
            </w:pPr>
            <w:r>
              <w:rPr>
                <w:rFonts w:ascii="Arial" w:cs="Arial" w:eastAsia="Arial" w:hAnsi="Arial"/>
                <w:sz w:val="14"/>
                <w:szCs w:val="14"/>
                <w:color w:val="auto"/>
              </w:rPr>
              <w:t>394,886</w:t>
            </w:r>
          </w:p>
        </w:tc>
      </w:tr>
      <w:tr>
        <w:trPr>
          <w:trHeight w:val="160"/>
        </w:trPr>
        <w:tc>
          <w:tcPr>
            <w:tcW w:w="2020" w:type="dxa"/>
            <w:vAlign w:val="bottom"/>
            <w:gridSpan w:val="2"/>
          </w:tcPr>
          <w:p>
            <w:pPr>
              <w:spacing w:after="0"/>
              <w:rPr>
                <w:sz w:val="20"/>
                <w:szCs w:val="20"/>
                <w:color w:val="auto"/>
              </w:rPr>
            </w:pPr>
            <w:r>
              <w:rPr>
                <w:rFonts w:ascii="Arial" w:cs="Arial" w:eastAsia="Arial" w:hAnsi="Arial"/>
                <w:sz w:val="14"/>
                <w:szCs w:val="14"/>
                <w:color w:val="auto"/>
              </w:rPr>
              <w:t>Karl Blanchard</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507,246(12)</w:t>
            </w:r>
          </w:p>
        </w:tc>
        <w:tc>
          <w:tcPr>
            <w:tcW w:w="900" w:type="dxa"/>
            <w:vAlign w:val="bottom"/>
          </w:tcPr>
          <w:p>
            <w:pPr>
              <w:jc w:val="right"/>
              <w:spacing w:after="0"/>
              <w:rPr>
                <w:sz w:val="20"/>
                <w:szCs w:val="20"/>
                <w:color w:val="auto"/>
              </w:rPr>
            </w:pPr>
            <w:r>
              <w:rPr>
                <w:rFonts w:ascii="Arial" w:cs="Arial" w:eastAsia="Arial" w:hAnsi="Arial"/>
                <w:sz w:val="14"/>
                <w:szCs w:val="14"/>
                <w:color w:val="auto"/>
              </w:rPr>
              <w:t>2,115,216</w:t>
            </w:r>
          </w:p>
        </w:tc>
        <w:tc>
          <w:tcPr>
            <w:tcW w:w="18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0" w:type="dxa"/>
            <w:vAlign w:val="bottom"/>
          </w:tcPr>
          <w:p>
            <w:pPr>
              <w:jc w:val="right"/>
              <w:ind w:right="109"/>
              <w:spacing w:after="0"/>
              <w:rPr>
                <w:sz w:val="20"/>
                <w:szCs w:val="20"/>
                <w:color w:val="auto"/>
              </w:rPr>
            </w:pPr>
            <w:r>
              <w:rPr>
                <w:rFonts w:ascii="Arial" w:cs="Arial" w:eastAsia="Arial" w:hAnsi="Arial"/>
                <w:sz w:val="14"/>
                <w:szCs w:val="14"/>
                <w:color w:val="auto"/>
              </w:rPr>
              <w:t>84,541(13)</w:t>
            </w:r>
          </w:p>
        </w:tc>
        <w:tc>
          <w:tcPr>
            <w:tcW w:w="1400" w:type="dxa"/>
            <w:vAlign w:val="bottom"/>
          </w:tcPr>
          <w:p>
            <w:pPr>
              <w:jc w:val="right"/>
              <w:spacing w:after="0"/>
              <w:rPr>
                <w:sz w:val="20"/>
                <w:szCs w:val="20"/>
                <w:color w:val="auto"/>
              </w:rPr>
            </w:pPr>
            <w:r>
              <w:rPr>
                <w:rFonts w:ascii="Arial" w:cs="Arial" w:eastAsia="Arial" w:hAnsi="Arial"/>
                <w:sz w:val="14"/>
                <w:szCs w:val="14"/>
                <w:color w:val="auto"/>
              </w:rPr>
              <w:t>352,536</w:t>
            </w:r>
          </w:p>
        </w:tc>
      </w:tr>
      <w:tr>
        <w:trPr>
          <w:trHeight w:val="160"/>
        </w:trPr>
        <w:tc>
          <w:tcPr>
            <w:tcW w:w="2020" w:type="dxa"/>
            <w:vAlign w:val="bottom"/>
            <w:gridSpan w:val="2"/>
          </w:tcPr>
          <w:p>
            <w:pPr>
              <w:spacing w:after="0"/>
              <w:rPr>
                <w:sz w:val="20"/>
                <w:szCs w:val="20"/>
                <w:color w:val="auto"/>
              </w:rPr>
            </w:pPr>
            <w:r>
              <w:rPr>
                <w:rFonts w:ascii="Arial" w:cs="Arial" w:eastAsia="Arial" w:hAnsi="Arial"/>
                <w:sz w:val="14"/>
                <w:szCs w:val="14"/>
                <w:color w:val="auto"/>
              </w:rPr>
              <w:t>Douglas M. Mills</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14,868(14)</w:t>
            </w:r>
          </w:p>
        </w:tc>
        <w:tc>
          <w:tcPr>
            <w:tcW w:w="900" w:type="dxa"/>
            <w:vAlign w:val="bottom"/>
          </w:tcPr>
          <w:p>
            <w:pPr>
              <w:jc w:val="right"/>
              <w:spacing w:after="0"/>
              <w:rPr>
                <w:sz w:val="20"/>
                <w:szCs w:val="20"/>
                <w:color w:val="auto"/>
              </w:rPr>
            </w:pPr>
            <w:r>
              <w:rPr>
                <w:rFonts w:ascii="Arial" w:cs="Arial" w:eastAsia="Arial" w:hAnsi="Arial"/>
                <w:sz w:val="14"/>
                <w:szCs w:val="14"/>
                <w:color w:val="auto"/>
              </w:rPr>
              <w:t>62,000</w:t>
            </w:r>
          </w:p>
        </w:tc>
        <w:tc>
          <w:tcPr>
            <w:tcW w:w="18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64,620(10)</w:t>
            </w:r>
          </w:p>
        </w:tc>
        <w:tc>
          <w:tcPr>
            <w:tcW w:w="900" w:type="dxa"/>
            <w:vAlign w:val="bottom"/>
          </w:tcPr>
          <w:p>
            <w:pPr>
              <w:jc w:val="right"/>
              <w:spacing w:after="0"/>
              <w:rPr>
                <w:sz w:val="20"/>
                <w:szCs w:val="20"/>
                <w:color w:val="auto"/>
              </w:rPr>
            </w:pPr>
            <w:r>
              <w:rPr>
                <w:rFonts w:ascii="Arial" w:cs="Arial" w:eastAsia="Arial" w:hAnsi="Arial"/>
                <w:sz w:val="14"/>
                <w:szCs w:val="14"/>
                <w:color w:val="auto"/>
              </w:rPr>
              <w:t>269,465</w:t>
            </w:r>
          </w:p>
        </w:tc>
        <w:tc>
          <w:tcPr>
            <w:tcW w:w="18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09"/>
              <w:spacing w:after="0"/>
              <w:rPr>
                <w:sz w:val="20"/>
                <w:szCs w:val="20"/>
                <w:color w:val="auto"/>
              </w:rPr>
            </w:pPr>
            <w:r>
              <w:rPr>
                <w:rFonts w:ascii="Arial" w:cs="Arial" w:eastAsia="Arial" w:hAnsi="Arial"/>
                <w:sz w:val="14"/>
                <w:szCs w:val="14"/>
                <w:color w:val="auto"/>
              </w:rPr>
              <w:t>132,575(7)</w:t>
            </w:r>
          </w:p>
        </w:tc>
        <w:tc>
          <w:tcPr>
            <w:tcW w:w="900" w:type="dxa"/>
            <w:vAlign w:val="bottom"/>
          </w:tcPr>
          <w:p>
            <w:pPr>
              <w:jc w:val="right"/>
              <w:spacing w:after="0"/>
              <w:rPr>
                <w:sz w:val="20"/>
                <w:szCs w:val="20"/>
                <w:color w:val="auto"/>
              </w:rPr>
            </w:pPr>
            <w:r>
              <w:rPr>
                <w:rFonts w:ascii="Arial" w:cs="Arial" w:eastAsia="Arial" w:hAnsi="Arial"/>
                <w:sz w:val="14"/>
                <w:szCs w:val="14"/>
                <w:color w:val="auto"/>
              </w:rPr>
              <w:t>552,838</w:t>
            </w:r>
          </w:p>
        </w:tc>
        <w:tc>
          <w:tcPr>
            <w:tcW w:w="18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0" w:type="dxa"/>
            <w:vAlign w:val="bottom"/>
          </w:tcPr>
          <w:p>
            <w:pPr>
              <w:jc w:val="right"/>
              <w:ind w:right="109"/>
              <w:spacing w:after="0"/>
              <w:rPr>
                <w:sz w:val="20"/>
                <w:szCs w:val="20"/>
                <w:color w:val="auto"/>
              </w:rPr>
            </w:pPr>
            <w:r>
              <w:rPr>
                <w:rFonts w:ascii="Arial" w:cs="Arial" w:eastAsia="Arial" w:hAnsi="Arial"/>
                <w:sz w:val="14"/>
                <w:szCs w:val="14"/>
                <w:color w:val="auto"/>
              </w:rPr>
              <w:t>10,408(15)</w:t>
            </w:r>
          </w:p>
        </w:tc>
        <w:tc>
          <w:tcPr>
            <w:tcW w:w="1400" w:type="dxa"/>
            <w:vAlign w:val="bottom"/>
          </w:tcPr>
          <w:p>
            <w:pPr>
              <w:jc w:val="right"/>
              <w:spacing w:after="0"/>
              <w:rPr>
                <w:sz w:val="20"/>
                <w:szCs w:val="20"/>
                <w:color w:val="auto"/>
              </w:rPr>
            </w:pPr>
            <w:r>
              <w:rPr>
                <w:rFonts w:ascii="Arial" w:cs="Arial" w:eastAsia="Arial" w:hAnsi="Arial"/>
                <w:sz w:val="14"/>
                <w:szCs w:val="14"/>
                <w:color w:val="auto"/>
              </w:rPr>
              <w:t>43,401</w:t>
            </w:r>
          </w:p>
        </w:tc>
      </w:t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0" w:type="dxa"/>
            <w:vAlign w:val="bottom"/>
          </w:tcPr>
          <w:p>
            <w:pPr>
              <w:jc w:val="right"/>
              <w:ind w:right="109"/>
              <w:spacing w:after="0"/>
              <w:rPr>
                <w:sz w:val="20"/>
                <w:szCs w:val="20"/>
                <w:color w:val="auto"/>
              </w:rPr>
            </w:pPr>
            <w:r>
              <w:rPr>
                <w:rFonts w:ascii="Arial" w:cs="Arial" w:eastAsia="Arial" w:hAnsi="Arial"/>
                <w:sz w:val="14"/>
                <w:szCs w:val="14"/>
                <w:color w:val="auto"/>
              </w:rPr>
              <w:t>32,310(11)</w:t>
            </w:r>
          </w:p>
        </w:tc>
        <w:tc>
          <w:tcPr>
            <w:tcW w:w="1400" w:type="dxa"/>
            <w:vAlign w:val="bottom"/>
          </w:tcPr>
          <w:p>
            <w:pPr>
              <w:jc w:val="right"/>
              <w:spacing w:after="0"/>
              <w:rPr>
                <w:sz w:val="20"/>
                <w:szCs w:val="20"/>
                <w:color w:val="auto"/>
              </w:rPr>
            </w:pPr>
            <w:r>
              <w:rPr>
                <w:rFonts w:ascii="Arial" w:cs="Arial" w:eastAsia="Arial" w:hAnsi="Arial"/>
                <w:sz w:val="14"/>
                <w:szCs w:val="14"/>
                <w:color w:val="auto"/>
              </w:rPr>
              <w:t>134,733</w:t>
            </w:r>
          </w:p>
        </w:tc>
      </w:tr>
      <w:tr>
        <w:trPr>
          <w:trHeight w:val="155"/>
        </w:trPr>
        <w:tc>
          <w:tcPr>
            <w:tcW w:w="20" w:type="dxa"/>
            <w:vAlign w:val="bottom"/>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189"/>
              <w:spacing w:after="0" w:line="155" w:lineRule="exact"/>
              <w:rPr>
                <w:sz w:val="20"/>
                <w:szCs w:val="20"/>
                <w:color w:val="auto"/>
              </w:rPr>
            </w:pPr>
            <w:r>
              <w:rPr>
                <w:rFonts w:ascii="Arial" w:cs="Arial" w:eastAsia="Arial" w:hAnsi="Arial"/>
                <w:sz w:val="14"/>
                <w:szCs w:val="14"/>
                <w:color w:val="auto"/>
              </w:rPr>
              <w:t>66,288(8)</w:t>
            </w: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276,421</w:t>
            </w:r>
          </w:p>
        </w:tc>
      </w:tr>
    </w:tbl>
    <w:p>
      <w:pPr>
        <w:spacing w:after="0" w:line="45" w:lineRule="exact"/>
        <w:rPr>
          <w:sz w:val="20"/>
          <w:szCs w:val="20"/>
          <w:color w:val="auto"/>
        </w:rPr>
      </w:pPr>
    </w:p>
    <w:p>
      <w:pPr>
        <w:ind w:left="580" w:right="280" w:hanging="313"/>
        <w:spacing w:after="0" w:line="253" w:lineRule="auto"/>
        <w:tabs>
          <w:tab w:leader="none" w:pos="5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For PSUs, the number of shares or units reported and the payout value reported are based on achieving the threshold performance level, which is 50% of the PSUs granted.</w:t>
      </w:r>
    </w:p>
    <w:p>
      <w:pPr>
        <w:spacing w:after="0" w:line="21" w:lineRule="exact"/>
        <w:rPr>
          <w:rFonts w:ascii="Arial" w:cs="Arial" w:eastAsia="Arial" w:hAnsi="Arial"/>
          <w:sz w:val="14"/>
          <w:szCs w:val="14"/>
          <w:color w:val="auto"/>
        </w:rPr>
      </w:pPr>
    </w:p>
    <w:p>
      <w:pPr>
        <w:ind w:left="580" w:hanging="313"/>
        <w:spacing w:after="0"/>
        <w:tabs>
          <w:tab w:leader="none" w:pos="5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RSUs vest in equal increments on each of April 24, 2018, 2019 and 2020.</w:t>
      </w:r>
    </w:p>
    <w:p>
      <w:pPr>
        <w:spacing w:after="0" w:line="39" w:lineRule="exact"/>
        <w:rPr>
          <w:rFonts w:ascii="Arial" w:cs="Arial" w:eastAsia="Arial" w:hAnsi="Arial"/>
          <w:sz w:val="14"/>
          <w:szCs w:val="14"/>
          <w:color w:val="auto"/>
        </w:rPr>
      </w:pPr>
    </w:p>
    <w:p>
      <w:pPr>
        <w:ind w:left="580" w:hanging="313"/>
        <w:spacing w:after="0"/>
        <w:tabs>
          <w:tab w:leader="none" w:pos="5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RSUs vest as follows: 25 percent vest on each of April 24, 2018 and 2019 and the remaining 50 percent vest on April 24, 2020.</w:t>
      </w:r>
    </w:p>
    <w:p>
      <w:pPr>
        <w:spacing w:after="0" w:line="39" w:lineRule="exact"/>
        <w:rPr>
          <w:rFonts w:ascii="Arial" w:cs="Arial" w:eastAsia="Arial" w:hAnsi="Arial"/>
          <w:sz w:val="14"/>
          <w:szCs w:val="14"/>
          <w:color w:val="auto"/>
        </w:rPr>
      </w:pPr>
    </w:p>
    <w:p>
      <w:pPr>
        <w:ind w:left="580" w:right="40" w:hanging="313"/>
        <w:spacing w:after="0" w:line="253" w:lineRule="auto"/>
        <w:tabs>
          <w:tab w:leader="none" w:pos="5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PSUs are eligible to vest in equal increments on each of April 24, 2018, 2019 and 2020, subject to the attainment of applicable performance objectives. Units vesting on April 24, 2018 did not meet performance objectives and will not vest.</w:t>
      </w:r>
    </w:p>
    <w:p>
      <w:pPr>
        <w:spacing w:after="0" w:line="21" w:lineRule="exact"/>
        <w:rPr>
          <w:rFonts w:ascii="Arial" w:cs="Arial" w:eastAsia="Arial" w:hAnsi="Arial"/>
          <w:sz w:val="14"/>
          <w:szCs w:val="14"/>
          <w:color w:val="auto"/>
        </w:rPr>
      </w:pPr>
    </w:p>
    <w:p>
      <w:pPr>
        <w:ind w:left="580" w:hanging="313"/>
        <w:spacing w:after="0"/>
        <w:tabs>
          <w:tab w:leader="none" w:pos="5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RSUs vest in equal increments on each of June 7, 2018 and 2019.</w:t>
      </w:r>
    </w:p>
    <w:p>
      <w:pPr>
        <w:spacing w:after="0" w:line="39" w:lineRule="exact"/>
        <w:rPr>
          <w:rFonts w:ascii="Arial" w:cs="Arial" w:eastAsia="Arial" w:hAnsi="Arial"/>
          <w:sz w:val="14"/>
          <w:szCs w:val="14"/>
          <w:color w:val="auto"/>
        </w:rPr>
      </w:pPr>
    </w:p>
    <w:p>
      <w:pPr>
        <w:ind w:left="580" w:hanging="313"/>
        <w:spacing w:after="0"/>
        <w:tabs>
          <w:tab w:leader="none" w:pos="5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RSUs vest in equal increments on each of September 8, 2018 and 2019.</w:t>
      </w:r>
    </w:p>
    <w:p>
      <w:pPr>
        <w:spacing w:after="0" w:line="39" w:lineRule="exact"/>
        <w:rPr>
          <w:rFonts w:ascii="Arial" w:cs="Arial" w:eastAsia="Arial" w:hAnsi="Arial"/>
          <w:sz w:val="14"/>
          <w:szCs w:val="14"/>
          <w:color w:val="auto"/>
        </w:rPr>
      </w:pPr>
    </w:p>
    <w:p>
      <w:pPr>
        <w:ind w:left="580" w:hanging="313"/>
        <w:spacing w:after="0"/>
        <w:tabs>
          <w:tab w:leader="none" w:pos="5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RSUs vested/vest in equal increments on each of January 24, 2018, 2019 and 2020.</w:t>
      </w:r>
    </w:p>
    <w:p>
      <w:pPr>
        <w:spacing w:after="0" w:line="39" w:lineRule="exact"/>
        <w:rPr>
          <w:rFonts w:ascii="Arial" w:cs="Arial" w:eastAsia="Arial" w:hAnsi="Arial"/>
          <w:sz w:val="14"/>
          <w:szCs w:val="14"/>
          <w:color w:val="auto"/>
        </w:rPr>
      </w:pPr>
    </w:p>
    <w:p>
      <w:pPr>
        <w:ind w:left="580" w:right="660" w:hanging="313"/>
        <w:spacing w:after="0" w:line="253" w:lineRule="auto"/>
        <w:tabs>
          <w:tab w:leader="none" w:pos="5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PSUs were/are eligible to vest in equal increments on each of January 24, 2018, 2019 and 2020. No PSUs vested on January 24, 2018 because performance objectives were not met.</w:t>
      </w:r>
    </w:p>
    <w:p>
      <w:pPr>
        <w:spacing w:after="0" w:line="21" w:lineRule="exact"/>
        <w:rPr>
          <w:rFonts w:ascii="Arial" w:cs="Arial" w:eastAsia="Arial" w:hAnsi="Arial"/>
          <w:sz w:val="14"/>
          <w:szCs w:val="14"/>
          <w:color w:val="auto"/>
        </w:rPr>
      </w:pPr>
    </w:p>
    <w:p>
      <w:pPr>
        <w:ind w:left="580" w:hanging="313"/>
        <w:spacing w:after="0"/>
        <w:tabs>
          <w:tab w:leader="none" w:pos="5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RSUs vest on May 4, 2018.</w:t>
      </w:r>
    </w:p>
    <w:p>
      <w:pPr>
        <w:spacing w:after="0" w:line="39" w:lineRule="exact"/>
        <w:rPr>
          <w:rFonts w:ascii="Arial" w:cs="Arial" w:eastAsia="Arial" w:hAnsi="Arial"/>
          <w:sz w:val="14"/>
          <w:szCs w:val="14"/>
          <w:color w:val="auto"/>
        </w:rPr>
      </w:pPr>
    </w:p>
    <w:p>
      <w:pPr>
        <w:ind w:left="580" w:hanging="313"/>
        <w:spacing w:after="0"/>
        <w:tabs>
          <w:tab w:leader="none" w:pos="5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RSUs vested/vest in equal increments on each of January 18, 2018 and 2019.</w:t>
      </w:r>
    </w:p>
    <w:p>
      <w:pPr>
        <w:spacing w:after="0" w:line="39" w:lineRule="exact"/>
        <w:rPr>
          <w:rFonts w:ascii="Arial" w:cs="Arial" w:eastAsia="Arial" w:hAnsi="Arial"/>
          <w:sz w:val="14"/>
          <w:szCs w:val="14"/>
          <w:color w:val="auto"/>
        </w:rPr>
      </w:pPr>
    </w:p>
    <w:p>
      <w:pPr>
        <w:ind w:left="580" w:right="280" w:hanging="313"/>
        <w:spacing w:after="0" w:line="253" w:lineRule="auto"/>
        <w:tabs>
          <w:tab w:leader="none" w:pos="5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PSUs were/are eligible to vest in equal increments on each of January 18, 2018 and 2019, subject to the attainment of applicable performance objectives. No PSUs vested on January 18, 2018 because performance objectives were not met.</w:t>
      </w:r>
    </w:p>
    <w:p>
      <w:pPr>
        <w:spacing w:after="0" w:line="21" w:lineRule="exact"/>
        <w:rPr>
          <w:rFonts w:ascii="Arial" w:cs="Arial" w:eastAsia="Arial" w:hAnsi="Arial"/>
          <w:sz w:val="14"/>
          <w:szCs w:val="14"/>
          <w:color w:val="auto"/>
        </w:rPr>
      </w:pPr>
    </w:p>
    <w:p>
      <w:pPr>
        <w:ind w:left="580" w:hanging="313"/>
        <w:spacing w:after="0"/>
        <w:tabs>
          <w:tab w:leader="none" w:pos="5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RSUs vest in equal increments on each of September 21, 2018, 2019 and 2020.</w:t>
      </w:r>
    </w:p>
    <w:p>
      <w:pPr>
        <w:spacing w:after="0" w:line="39" w:lineRule="exact"/>
        <w:rPr>
          <w:rFonts w:ascii="Arial" w:cs="Arial" w:eastAsia="Arial" w:hAnsi="Arial"/>
          <w:sz w:val="14"/>
          <w:szCs w:val="14"/>
          <w:color w:val="auto"/>
        </w:rPr>
      </w:pPr>
    </w:p>
    <w:p>
      <w:pPr>
        <w:ind w:left="580" w:right="300" w:hanging="313"/>
        <w:spacing w:after="0" w:line="253" w:lineRule="auto"/>
        <w:tabs>
          <w:tab w:leader="none" w:pos="5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PSUs are eligible to vest in equal increments on each of September 21, 2018, 2019 and 2020, subject to the attainment of applicable performance objectives. Units vesting on September 21, 2018 did not meet performance objectives and will not vest.</w:t>
      </w:r>
    </w:p>
    <w:p>
      <w:pPr>
        <w:spacing w:after="0" w:line="21" w:lineRule="exact"/>
        <w:rPr>
          <w:rFonts w:ascii="Arial" w:cs="Arial" w:eastAsia="Arial" w:hAnsi="Arial"/>
          <w:sz w:val="14"/>
          <w:szCs w:val="14"/>
          <w:color w:val="auto"/>
        </w:rPr>
      </w:pPr>
    </w:p>
    <w:p>
      <w:pPr>
        <w:ind w:left="580" w:hanging="313"/>
        <w:spacing w:after="0"/>
        <w:tabs>
          <w:tab w:leader="none" w:pos="5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RSUs vested on January 27, 2018.</w:t>
      </w:r>
    </w:p>
    <w:p>
      <w:pPr>
        <w:spacing w:after="0" w:line="39" w:lineRule="exact"/>
        <w:rPr>
          <w:rFonts w:ascii="Arial" w:cs="Arial" w:eastAsia="Arial" w:hAnsi="Arial"/>
          <w:sz w:val="14"/>
          <w:szCs w:val="14"/>
          <w:color w:val="auto"/>
        </w:rPr>
      </w:pPr>
    </w:p>
    <w:p>
      <w:pPr>
        <w:ind w:left="580" w:hanging="313"/>
        <w:spacing w:after="0"/>
        <w:tabs>
          <w:tab w:leader="none" w:pos="5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PSUs were eligible to vest on January 27, 2018. No PSUs vested on January 27, 2018 because performance objectives were not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98425</wp:posOffset>
            </wp:positionV>
            <wp:extent cx="69176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20" w:hanging="353"/>
        <w:spacing w:after="0"/>
        <w:tabs>
          <w:tab w:leader="none" w:pos="620" w:val="left"/>
        </w:tabs>
        <w:numPr>
          <w:ilvl w:val="0"/>
          <w:numId w:val="92"/>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2018 Proxy Statement</w:t>
      </w:r>
    </w:p>
    <w:p>
      <w:pPr>
        <w:sectPr>
          <w:pgSz w:w="11900" w:h="16838" w:orient="portrait"/>
          <w:cols w:equalWidth="0" w:num="1">
            <w:col w:w="11160"/>
          </w:cols>
          <w:pgMar w:left="240" w:top="455"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EXECUTIVE COMPENSATION TABLES</w:t>
      </w:r>
    </w:p>
    <w:p>
      <w:pPr>
        <w:spacing w:after="0" w:line="200" w:lineRule="exact"/>
        <w:rPr>
          <w:sz w:val="20"/>
          <w:szCs w:val="20"/>
          <w:color w:val="auto"/>
        </w:rPr>
      </w:pPr>
    </w:p>
    <w:p>
      <w:pPr>
        <w:spacing w:after="0" w:line="333"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auto"/>
        </w:rPr>
        <w:t>OPTION EXERCISES AND SHARES VESTED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provides information about option awards and stock awards that vested, and the value realized on exercise and vesting by our NEOs during 2017.</w:t>
      </w:r>
    </w:p>
    <w:p>
      <w:pPr>
        <w:spacing w:after="0" w:line="234"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400" w:type="dxa"/>
            <w:vAlign w:val="bottom"/>
            <w:tcBorders>
              <w:bottom w:val="single" w:sz="8" w:color="666666"/>
            </w:tcBorders>
            <w:gridSpan w:val="2"/>
          </w:tcPr>
          <w:p>
            <w:pPr>
              <w:jc w:val="right"/>
              <w:ind w:right="1149"/>
              <w:spacing w:after="0"/>
              <w:rPr>
                <w:sz w:val="20"/>
                <w:szCs w:val="20"/>
                <w:color w:val="auto"/>
              </w:rPr>
            </w:pPr>
            <w:r>
              <w:rPr>
                <w:rFonts w:ascii="Arial" w:cs="Arial" w:eastAsia="Arial" w:hAnsi="Arial"/>
                <w:sz w:val="14"/>
                <w:szCs w:val="14"/>
                <w:color w:val="auto"/>
              </w:rPr>
              <w:t>Option Awards</w:t>
            </w:r>
          </w:p>
        </w:tc>
        <w:tc>
          <w:tcPr>
            <w:tcW w:w="3440" w:type="dxa"/>
            <w:vAlign w:val="bottom"/>
            <w:tcBorders>
              <w:bottom w:val="single" w:sz="8" w:color="666666"/>
            </w:tcBorders>
            <w:gridSpan w:val="2"/>
          </w:tcPr>
          <w:p>
            <w:pPr>
              <w:jc w:val="right"/>
              <w:ind w:right="1189"/>
              <w:spacing w:after="0"/>
              <w:rPr>
                <w:sz w:val="20"/>
                <w:szCs w:val="20"/>
                <w:color w:val="auto"/>
              </w:rPr>
            </w:pPr>
            <w:r>
              <w:rPr>
                <w:rFonts w:ascii="Arial" w:cs="Arial" w:eastAsia="Arial" w:hAnsi="Arial"/>
                <w:sz w:val="14"/>
                <w:szCs w:val="14"/>
                <w:color w:val="auto"/>
              </w:rPr>
              <w:t>Share Awards</w:t>
            </w:r>
          </w:p>
        </w:tc>
      </w:tr>
      <w:tr>
        <w:trPr>
          <w:trHeight w:val="158"/>
        </w:trPr>
        <w:tc>
          <w:tcPr>
            <w:tcW w:w="4060" w:type="dxa"/>
            <w:vAlign w:val="bottom"/>
          </w:tcPr>
          <w:p>
            <w:pPr>
              <w:spacing w:after="0"/>
              <w:rPr>
                <w:sz w:val="13"/>
                <w:szCs w:val="13"/>
                <w:color w:val="auto"/>
              </w:rPr>
            </w:pPr>
          </w:p>
        </w:tc>
        <w:tc>
          <w:tcPr>
            <w:tcW w:w="1500" w:type="dxa"/>
            <w:vAlign w:val="bottom"/>
          </w:tcPr>
          <w:p>
            <w:pPr>
              <w:jc w:val="right"/>
              <w:spacing w:after="0" w:line="158" w:lineRule="exact"/>
              <w:rPr>
                <w:sz w:val="20"/>
                <w:szCs w:val="20"/>
                <w:color w:val="auto"/>
              </w:rPr>
            </w:pPr>
            <w:r>
              <w:rPr>
                <w:rFonts w:ascii="Arial" w:cs="Arial" w:eastAsia="Arial" w:hAnsi="Arial"/>
                <w:sz w:val="14"/>
                <w:szCs w:val="14"/>
                <w:color w:val="auto"/>
              </w:rPr>
              <w:t>Number of Shares</w:t>
            </w:r>
          </w:p>
        </w:tc>
        <w:tc>
          <w:tcPr>
            <w:tcW w:w="1900" w:type="dxa"/>
            <w:vAlign w:val="bottom"/>
          </w:tcPr>
          <w:p>
            <w:pPr>
              <w:spacing w:after="0"/>
              <w:rPr>
                <w:sz w:val="13"/>
                <w:szCs w:val="13"/>
                <w:color w:val="auto"/>
              </w:rPr>
            </w:pPr>
          </w:p>
        </w:tc>
        <w:tc>
          <w:tcPr>
            <w:tcW w:w="1660" w:type="dxa"/>
            <w:vAlign w:val="bottom"/>
          </w:tcPr>
          <w:p>
            <w:pPr>
              <w:jc w:val="right"/>
              <w:ind w:right="9"/>
              <w:spacing w:after="0" w:line="158" w:lineRule="exact"/>
              <w:rPr>
                <w:sz w:val="20"/>
                <w:szCs w:val="20"/>
                <w:color w:val="auto"/>
              </w:rPr>
            </w:pPr>
            <w:r>
              <w:rPr>
                <w:rFonts w:ascii="Arial" w:cs="Arial" w:eastAsia="Arial" w:hAnsi="Arial"/>
                <w:sz w:val="14"/>
                <w:szCs w:val="14"/>
                <w:color w:val="auto"/>
              </w:rPr>
              <w:t>Number of Shares/Units</w:t>
            </w:r>
          </w:p>
        </w:tc>
        <w:tc>
          <w:tcPr>
            <w:tcW w:w="1780" w:type="dxa"/>
            <w:vAlign w:val="bottom"/>
          </w:tcPr>
          <w:p>
            <w:pPr>
              <w:spacing w:after="0"/>
              <w:rPr>
                <w:sz w:val="13"/>
                <w:szCs w:val="13"/>
                <w:color w:val="auto"/>
              </w:rPr>
            </w:pPr>
          </w:p>
        </w:tc>
      </w:tr>
      <w:tr>
        <w:trPr>
          <w:trHeight w:val="160"/>
        </w:trPr>
        <w:tc>
          <w:tcPr>
            <w:tcW w:w="40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Acquired on Exercise</w:t>
            </w:r>
          </w:p>
        </w:tc>
        <w:tc>
          <w:tcPr>
            <w:tcW w:w="1900" w:type="dxa"/>
            <w:vAlign w:val="bottom"/>
          </w:tcPr>
          <w:p>
            <w:pPr>
              <w:jc w:val="right"/>
              <w:spacing w:after="0"/>
              <w:rPr>
                <w:sz w:val="20"/>
                <w:szCs w:val="20"/>
                <w:color w:val="auto"/>
              </w:rPr>
            </w:pPr>
            <w:r>
              <w:rPr>
                <w:rFonts w:ascii="Arial" w:cs="Arial" w:eastAsia="Arial" w:hAnsi="Arial"/>
                <w:sz w:val="14"/>
                <w:szCs w:val="14"/>
                <w:color w:val="auto"/>
              </w:rPr>
              <w:t>Value Realized On Exercise</w:t>
            </w:r>
          </w:p>
        </w:tc>
        <w:tc>
          <w:tcPr>
            <w:tcW w:w="1660" w:type="dxa"/>
            <w:vAlign w:val="bottom"/>
          </w:tcPr>
          <w:p>
            <w:pPr>
              <w:jc w:val="right"/>
              <w:ind w:right="9"/>
              <w:spacing w:after="0"/>
              <w:rPr>
                <w:sz w:val="20"/>
                <w:szCs w:val="20"/>
                <w:color w:val="auto"/>
              </w:rPr>
            </w:pPr>
            <w:r>
              <w:rPr>
                <w:rFonts w:ascii="Arial" w:cs="Arial" w:eastAsia="Arial" w:hAnsi="Arial"/>
                <w:sz w:val="14"/>
                <w:szCs w:val="14"/>
                <w:color w:val="auto"/>
              </w:rPr>
              <w:t>Acquired on Vesting</w:t>
            </w:r>
          </w:p>
        </w:tc>
        <w:tc>
          <w:tcPr>
            <w:tcW w:w="1780" w:type="dxa"/>
            <w:vAlign w:val="bottom"/>
          </w:tcPr>
          <w:p>
            <w:pPr>
              <w:jc w:val="right"/>
              <w:spacing w:after="0"/>
              <w:rPr>
                <w:sz w:val="20"/>
                <w:szCs w:val="20"/>
                <w:color w:val="auto"/>
              </w:rPr>
            </w:pPr>
            <w:r>
              <w:rPr>
                <w:rFonts w:ascii="Arial" w:cs="Arial" w:eastAsia="Arial" w:hAnsi="Arial"/>
                <w:sz w:val="14"/>
                <w:szCs w:val="14"/>
                <w:color w:val="auto"/>
              </w:rPr>
              <w:t>Value Realized On Vesting</w:t>
            </w:r>
          </w:p>
        </w:tc>
      </w:tr>
      <w:tr>
        <w:trPr>
          <w:trHeight w:val="169"/>
        </w:trPr>
        <w:tc>
          <w:tcPr>
            <w:tcW w:w="4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w:t>
            </w:r>
          </w:p>
        </w:tc>
      </w:tr>
      <w:tr>
        <w:trPr>
          <w:trHeight w:val="154"/>
        </w:trPr>
        <w:tc>
          <w:tcPr>
            <w:tcW w:w="406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Mark A. McCollum</w:t>
            </w:r>
          </w:p>
        </w:tc>
        <w:tc>
          <w:tcPr>
            <w:tcW w:w="150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w:t>
            </w:r>
          </w:p>
        </w:tc>
        <w:tc>
          <w:tcPr>
            <w:tcW w:w="1900" w:type="dxa"/>
            <w:vAlign w:val="bottom"/>
            <w:tcBorders>
              <w:bottom w:val="single" w:sz="8" w:color="666666"/>
            </w:tcBorders>
          </w:tcPr>
          <w:p>
            <w:pPr>
              <w:jc w:val="right"/>
              <w:ind w:right="9"/>
              <w:spacing w:after="0" w:line="153"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666666"/>
            </w:tcBorders>
          </w:tcPr>
          <w:p>
            <w:pPr>
              <w:jc w:val="right"/>
              <w:ind w:right="9"/>
              <w:spacing w:after="0" w:line="153" w:lineRule="exact"/>
              <w:rPr>
                <w:sz w:val="20"/>
                <w:szCs w:val="20"/>
                <w:color w:val="auto"/>
              </w:rPr>
            </w:pPr>
            <w:r>
              <w:rPr>
                <w:rFonts w:ascii="Arial" w:cs="Arial" w:eastAsia="Arial" w:hAnsi="Arial"/>
                <w:sz w:val="14"/>
                <w:szCs w:val="14"/>
                <w:color w:val="auto"/>
              </w:rPr>
              <w:t>–</w:t>
            </w:r>
          </w:p>
        </w:tc>
        <w:tc>
          <w:tcPr>
            <w:tcW w:w="178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w:t>
            </w:r>
          </w:p>
        </w:tc>
      </w:tr>
      <w:tr>
        <w:trPr>
          <w:trHeight w:val="154"/>
        </w:trPr>
        <w:tc>
          <w:tcPr>
            <w:tcW w:w="406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Christoph Bausch</w:t>
            </w:r>
          </w:p>
        </w:tc>
        <w:tc>
          <w:tcPr>
            <w:tcW w:w="150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w:t>
            </w:r>
          </w:p>
        </w:tc>
        <w:tc>
          <w:tcPr>
            <w:tcW w:w="1900" w:type="dxa"/>
            <w:vAlign w:val="bottom"/>
            <w:tcBorders>
              <w:bottom w:val="single" w:sz="8" w:color="666666"/>
            </w:tcBorders>
          </w:tcPr>
          <w:p>
            <w:pPr>
              <w:jc w:val="right"/>
              <w:ind w:right="9"/>
              <w:spacing w:after="0" w:line="153"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666666"/>
            </w:tcBorders>
          </w:tcPr>
          <w:p>
            <w:pPr>
              <w:jc w:val="right"/>
              <w:ind w:right="9"/>
              <w:spacing w:after="0" w:line="153" w:lineRule="exact"/>
              <w:rPr>
                <w:sz w:val="20"/>
                <w:szCs w:val="20"/>
                <w:color w:val="auto"/>
              </w:rPr>
            </w:pPr>
            <w:r>
              <w:rPr>
                <w:rFonts w:ascii="Arial" w:cs="Arial" w:eastAsia="Arial" w:hAnsi="Arial"/>
                <w:sz w:val="14"/>
                <w:szCs w:val="14"/>
                <w:color w:val="auto"/>
              </w:rPr>
              <w:t>43,334</w:t>
            </w:r>
          </w:p>
        </w:tc>
        <w:tc>
          <w:tcPr>
            <w:tcW w:w="178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185,136</w:t>
            </w:r>
          </w:p>
        </w:tc>
      </w:tr>
      <w:tr>
        <w:trPr>
          <w:trHeight w:val="154"/>
        </w:trPr>
        <w:tc>
          <w:tcPr>
            <w:tcW w:w="406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Christina M. Ibrahim</w:t>
            </w:r>
          </w:p>
        </w:tc>
        <w:tc>
          <w:tcPr>
            <w:tcW w:w="150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w:t>
            </w:r>
          </w:p>
        </w:tc>
        <w:tc>
          <w:tcPr>
            <w:tcW w:w="1900" w:type="dxa"/>
            <w:vAlign w:val="bottom"/>
            <w:tcBorders>
              <w:bottom w:val="single" w:sz="8" w:color="666666"/>
            </w:tcBorders>
          </w:tcPr>
          <w:p>
            <w:pPr>
              <w:jc w:val="right"/>
              <w:ind w:right="9"/>
              <w:spacing w:after="0" w:line="153"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666666"/>
            </w:tcBorders>
          </w:tcPr>
          <w:p>
            <w:pPr>
              <w:jc w:val="right"/>
              <w:ind w:right="9"/>
              <w:spacing w:after="0" w:line="153" w:lineRule="exact"/>
              <w:rPr>
                <w:sz w:val="20"/>
                <w:szCs w:val="20"/>
                <w:color w:val="auto"/>
              </w:rPr>
            </w:pPr>
            <w:r>
              <w:rPr>
                <w:rFonts w:ascii="Arial" w:cs="Arial" w:eastAsia="Arial" w:hAnsi="Arial"/>
                <w:sz w:val="14"/>
                <w:szCs w:val="14"/>
                <w:color w:val="auto"/>
              </w:rPr>
              <w:t>87,184</w:t>
            </w:r>
          </w:p>
        </w:tc>
        <w:tc>
          <w:tcPr>
            <w:tcW w:w="178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454,691</w:t>
            </w:r>
          </w:p>
        </w:tc>
      </w:tr>
      <w:tr>
        <w:trPr>
          <w:trHeight w:val="154"/>
        </w:trPr>
        <w:tc>
          <w:tcPr>
            <w:tcW w:w="406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Karl Blanchard</w:t>
            </w:r>
          </w:p>
        </w:tc>
        <w:tc>
          <w:tcPr>
            <w:tcW w:w="150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w:t>
            </w:r>
          </w:p>
        </w:tc>
        <w:tc>
          <w:tcPr>
            <w:tcW w:w="1900" w:type="dxa"/>
            <w:vAlign w:val="bottom"/>
            <w:tcBorders>
              <w:bottom w:val="single" w:sz="8" w:color="666666"/>
            </w:tcBorders>
          </w:tcPr>
          <w:p>
            <w:pPr>
              <w:jc w:val="right"/>
              <w:ind w:right="9"/>
              <w:spacing w:after="0" w:line="153"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666666"/>
            </w:tcBorders>
          </w:tcPr>
          <w:p>
            <w:pPr>
              <w:jc w:val="right"/>
              <w:ind w:right="9"/>
              <w:spacing w:after="0" w:line="153" w:lineRule="exact"/>
              <w:rPr>
                <w:sz w:val="20"/>
                <w:szCs w:val="20"/>
                <w:color w:val="auto"/>
              </w:rPr>
            </w:pPr>
            <w:r>
              <w:rPr>
                <w:rFonts w:ascii="Arial" w:cs="Arial" w:eastAsia="Arial" w:hAnsi="Arial"/>
                <w:sz w:val="14"/>
                <w:szCs w:val="14"/>
                <w:color w:val="auto"/>
              </w:rPr>
              <w:t>–</w:t>
            </w:r>
          </w:p>
        </w:tc>
        <w:tc>
          <w:tcPr>
            <w:tcW w:w="178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w:t>
            </w:r>
          </w:p>
        </w:tc>
      </w:tr>
      <w:tr>
        <w:trPr>
          <w:trHeight w:val="154"/>
        </w:trPr>
        <w:tc>
          <w:tcPr>
            <w:tcW w:w="406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Douglas M. Mills</w:t>
            </w:r>
          </w:p>
        </w:tc>
        <w:tc>
          <w:tcPr>
            <w:tcW w:w="150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w:t>
            </w:r>
          </w:p>
        </w:tc>
        <w:tc>
          <w:tcPr>
            <w:tcW w:w="1900" w:type="dxa"/>
            <w:vAlign w:val="bottom"/>
            <w:tcBorders>
              <w:bottom w:val="single" w:sz="8" w:color="666666"/>
            </w:tcBorders>
          </w:tcPr>
          <w:p>
            <w:pPr>
              <w:jc w:val="right"/>
              <w:ind w:right="9"/>
              <w:spacing w:after="0" w:line="153"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666666"/>
            </w:tcBorders>
          </w:tcPr>
          <w:p>
            <w:pPr>
              <w:jc w:val="right"/>
              <w:ind w:right="9"/>
              <w:spacing w:after="0" w:line="153" w:lineRule="exact"/>
              <w:rPr>
                <w:sz w:val="20"/>
                <w:szCs w:val="20"/>
                <w:color w:val="auto"/>
              </w:rPr>
            </w:pPr>
            <w:r>
              <w:rPr>
                <w:rFonts w:ascii="Arial" w:cs="Arial" w:eastAsia="Arial" w:hAnsi="Arial"/>
                <w:sz w:val="14"/>
                <w:szCs w:val="14"/>
                <w:color w:val="auto"/>
              </w:rPr>
              <w:t>59,688</w:t>
            </w:r>
          </w:p>
        </w:tc>
        <w:tc>
          <w:tcPr>
            <w:tcW w:w="178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322,848</w:t>
            </w:r>
          </w:p>
        </w:tc>
      </w:tr>
      <w:tr>
        <w:trPr>
          <w:trHeight w:val="154"/>
        </w:trPr>
        <w:tc>
          <w:tcPr>
            <w:tcW w:w="4060" w:type="dxa"/>
            <w:vAlign w:val="bottom"/>
            <w:tcBorders>
              <w:bottom w:val="single" w:sz="8" w:color="666666"/>
            </w:tcBorders>
          </w:tcPr>
          <w:p>
            <w:pPr>
              <w:spacing w:after="0" w:line="153" w:lineRule="exact"/>
              <w:rPr>
                <w:sz w:val="20"/>
                <w:szCs w:val="20"/>
                <w:color w:val="auto"/>
              </w:rPr>
            </w:pPr>
            <w:r>
              <w:rPr>
                <w:rFonts w:ascii="Arial" w:cs="Arial" w:eastAsia="Arial" w:hAnsi="Arial"/>
                <w:sz w:val="14"/>
                <w:szCs w:val="14"/>
                <w:color w:val="auto"/>
              </w:rPr>
              <w:t>Krishna Shivram(b)</w:t>
            </w:r>
          </w:p>
        </w:tc>
        <w:tc>
          <w:tcPr>
            <w:tcW w:w="150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w:t>
            </w:r>
          </w:p>
        </w:tc>
        <w:tc>
          <w:tcPr>
            <w:tcW w:w="1900" w:type="dxa"/>
            <w:vAlign w:val="bottom"/>
            <w:tcBorders>
              <w:bottom w:val="single" w:sz="8" w:color="666666"/>
            </w:tcBorders>
          </w:tcPr>
          <w:p>
            <w:pPr>
              <w:jc w:val="right"/>
              <w:ind w:right="9"/>
              <w:spacing w:after="0" w:line="153"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666666"/>
            </w:tcBorders>
          </w:tcPr>
          <w:p>
            <w:pPr>
              <w:jc w:val="right"/>
              <w:ind w:right="9"/>
              <w:spacing w:after="0" w:line="153" w:lineRule="exact"/>
              <w:rPr>
                <w:sz w:val="20"/>
                <w:szCs w:val="20"/>
                <w:color w:val="auto"/>
              </w:rPr>
            </w:pPr>
            <w:r>
              <w:rPr>
                <w:rFonts w:ascii="Arial" w:cs="Arial" w:eastAsia="Arial" w:hAnsi="Arial"/>
                <w:sz w:val="14"/>
                <w:szCs w:val="14"/>
                <w:color w:val="auto"/>
              </w:rPr>
              <w:t>905,564</w:t>
            </w:r>
          </w:p>
        </w:tc>
        <w:tc>
          <w:tcPr>
            <w:tcW w:w="1780" w:type="dxa"/>
            <w:vAlign w:val="bottom"/>
            <w:tcBorders>
              <w:bottom w:val="single" w:sz="8" w:color="666666"/>
            </w:tcBorders>
          </w:tcPr>
          <w:p>
            <w:pPr>
              <w:jc w:val="right"/>
              <w:spacing w:after="0" w:line="153" w:lineRule="exact"/>
              <w:rPr>
                <w:sz w:val="20"/>
                <w:szCs w:val="20"/>
                <w:color w:val="auto"/>
              </w:rPr>
            </w:pPr>
            <w:r>
              <w:rPr>
                <w:rFonts w:ascii="Arial" w:cs="Arial" w:eastAsia="Arial" w:hAnsi="Arial"/>
                <w:sz w:val="14"/>
                <w:szCs w:val="14"/>
                <w:color w:val="auto"/>
              </w:rPr>
              <w:t>5,246,951</w:t>
            </w:r>
          </w:p>
        </w:tc>
      </w:tr>
      <w:tr>
        <w:trPr>
          <w:trHeight w:val="154"/>
        </w:trPr>
        <w:tc>
          <w:tcPr>
            <w:tcW w:w="406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Mario Ruscev(c)</w:t>
            </w:r>
          </w:p>
        </w:tc>
        <w:tc>
          <w:tcPr>
            <w:tcW w:w="15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ind w:right="9"/>
              <w:spacing w:after="0" w:line="153"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9"/>
              <w:spacing w:after="0" w:line="153" w:lineRule="exact"/>
              <w:rPr>
                <w:sz w:val="20"/>
                <w:szCs w:val="20"/>
                <w:color w:val="auto"/>
              </w:rPr>
            </w:pPr>
            <w:r>
              <w:rPr>
                <w:rFonts w:ascii="Arial" w:cs="Arial" w:eastAsia="Arial" w:hAnsi="Arial"/>
                <w:sz w:val="14"/>
                <w:szCs w:val="14"/>
                <w:color w:val="auto"/>
              </w:rPr>
              <w:t>179,600</w:t>
            </w:r>
          </w:p>
        </w:tc>
        <w:tc>
          <w:tcPr>
            <w:tcW w:w="17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795,628</w:t>
            </w:r>
          </w:p>
        </w:tc>
      </w:tr>
    </w:tbl>
    <w:p>
      <w:pPr>
        <w:spacing w:after="0" w:line="45" w:lineRule="exact"/>
        <w:rPr>
          <w:sz w:val="20"/>
          <w:szCs w:val="20"/>
          <w:color w:val="auto"/>
        </w:rPr>
      </w:pPr>
    </w:p>
    <w:p>
      <w:pPr>
        <w:ind w:left="480" w:hanging="213"/>
        <w:spacing w:after="0"/>
        <w:tabs>
          <w:tab w:leader="none" w:pos="4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Calculated by multiplying the number of ordinary shares by the market value of the underlying shares on the date of vesting.</w:t>
      </w:r>
    </w:p>
    <w:p>
      <w:pPr>
        <w:spacing w:after="0" w:line="39" w:lineRule="exact"/>
        <w:rPr>
          <w:rFonts w:ascii="Arial" w:cs="Arial" w:eastAsia="Arial" w:hAnsi="Arial"/>
          <w:sz w:val="14"/>
          <w:szCs w:val="14"/>
          <w:color w:val="auto"/>
        </w:rPr>
      </w:pPr>
    </w:p>
    <w:p>
      <w:pPr>
        <w:ind w:left="480" w:right="440" w:hanging="213"/>
        <w:spacing w:after="0" w:line="253" w:lineRule="auto"/>
        <w:tabs>
          <w:tab w:leader="none" w:pos="4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Mr. Shivram left the Company in March 2017. In connection with the termination of his employment with the Company and pursuant to the terms of his employment agreement and award agreements, he received a gross distribution of 731,971 ordinary shares of the Company with respect to RSUs and PSUs.</w:t>
      </w:r>
    </w:p>
    <w:p>
      <w:pPr>
        <w:spacing w:after="0" w:line="21" w:lineRule="exact"/>
        <w:rPr>
          <w:rFonts w:ascii="Arial" w:cs="Arial" w:eastAsia="Arial" w:hAnsi="Arial"/>
          <w:sz w:val="14"/>
          <w:szCs w:val="14"/>
          <w:color w:val="auto"/>
        </w:rPr>
      </w:pPr>
    </w:p>
    <w:p>
      <w:pPr>
        <w:ind w:left="480" w:right="20" w:hanging="213"/>
        <w:spacing w:after="0" w:line="253" w:lineRule="auto"/>
        <w:tabs>
          <w:tab w:leader="none" w:pos="4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Mr. Ruscev left the Company in August 2017. In connection with the termination of his employment with the Company he received a gross distribution of 179,600 ordinary shares of the Company with respect to RSUs.</w:t>
      </w:r>
    </w:p>
    <w:p>
      <w:pPr>
        <w:spacing w:after="0" w:line="350"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auto"/>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20"/>
        <w:spacing w:after="0" w:line="242" w:lineRule="auto"/>
        <w:rPr>
          <w:sz w:val="20"/>
          <w:szCs w:val="20"/>
          <w:color w:val="auto"/>
        </w:rPr>
      </w:pPr>
      <w:r>
        <w:rPr>
          <w:rFonts w:ascii="Arial" w:cs="Arial" w:eastAsia="Arial" w:hAnsi="Arial"/>
          <w:sz w:val="14"/>
          <w:szCs w:val="14"/>
          <w:color w:val="auto"/>
        </w:rPr>
        <w:t>We suspended our Executive Deferred Compensation Stock Ownership Plan (“EDC”) in 2008 because of uncertainties concerning the application of Code Section 457, and no further benefits have accrued to participants since that time. Following the suspension, in May of 2012 we terminated the EDC. As a result of the termination, participants who had accrued benefits under the EDC prior to December 31, 2004, including Mr. Mills, received a partial distribution of shares in May 2012 in respect of their accrued benefits. All remaining amounts in the EDC were paid in cash to participants still employed with the Company on January 3, 2017, including $37,650 paid to Mr. Mills. Prior to payment, all participants in the EDC were fully vested in their plan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92075</wp:posOffset>
            </wp:positionV>
            <wp:extent cx="69176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39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2018 Proxy Statement</w:t>
      </w:r>
      <w:r>
        <w:rPr>
          <w:sz w:val="20"/>
          <w:szCs w:val="20"/>
          <w:color w:val="auto"/>
        </w:rPr>
        <w:tab/>
      </w:r>
      <w:r>
        <w:rPr>
          <w:rFonts w:ascii="Arial" w:cs="Arial" w:eastAsia="Arial" w:hAnsi="Arial"/>
          <w:sz w:val="14"/>
          <w:szCs w:val="14"/>
          <w:b w:val="1"/>
          <w:bCs w:val="1"/>
          <w:color w:val="666666"/>
        </w:rPr>
        <w:t>41</w:t>
      </w:r>
    </w:p>
    <w:p>
      <w:pPr>
        <w:sectPr>
          <w:pgSz w:w="11900" w:h="16838" w:orient="portrait"/>
          <w:cols w:equalWidth="0" w:num="1">
            <w:col w:w="11160"/>
          </w:cols>
          <w:pgMar w:left="240" w:top="455"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666666"/>
        </w:rPr>
        <w:t>EXECUTIVE COMPENSATION TABLES</w:t>
      </w:r>
    </w:p>
    <w:p>
      <w:pPr>
        <w:spacing w:after="0" w:line="200" w:lineRule="exact"/>
        <w:rPr>
          <w:sz w:val="20"/>
          <w:szCs w:val="20"/>
          <w:color w:val="auto"/>
        </w:rPr>
      </w:pPr>
    </w:p>
    <w:p>
      <w:pPr>
        <w:spacing w:after="0" w:line="333" w:lineRule="exact"/>
        <w:rPr>
          <w:sz w:val="20"/>
          <w:szCs w:val="20"/>
          <w:color w:val="auto"/>
        </w:rPr>
      </w:pPr>
    </w:p>
    <w:p>
      <w:pPr>
        <w:ind w:left="260" w:right="880"/>
        <w:spacing w:after="0" w:line="275" w:lineRule="auto"/>
        <w:rPr>
          <w:sz w:val="20"/>
          <w:szCs w:val="20"/>
          <w:color w:val="auto"/>
        </w:rPr>
      </w:pPr>
      <w:r>
        <w:rPr>
          <w:rFonts w:ascii="Arial" w:cs="Arial" w:eastAsia="Arial" w:hAnsi="Arial"/>
          <w:sz w:val="43"/>
          <w:szCs w:val="43"/>
          <w:b w:val="1"/>
          <w:bCs w:val="1"/>
          <w:color w:val="auto"/>
        </w:rPr>
        <w:t>POTENTIAL PAYMENTS UPON TERMINATION OR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-718820</wp:posOffset>
            </wp:positionV>
            <wp:extent cx="8223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07" w:lineRule="exact"/>
        <w:rPr>
          <w:sz w:val="20"/>
          <w:szCs w:val="20"/>
          <w:color w:val="auto"/>
        </w:rPr>
      </w:pPr>
    </w:p>
    <w:p>
      <w:pPr>
        <w:ind w:left="260" w:right="240"/>
        <w:spacing w:after="0" w:line="246" w:lineRule="auto"/>
        <w:rPr>
          <w:sz w:val="20"/>
          <w:szCs w:val="20"/>
          <w:color w:val="auto"/>
        </w:rPr>
      </w:pPr>
      <w:r>
        <w:rPr>
          <w:rFonts w:ascii="Arial" w:cs="Arial" w:eastAsia="Arial" w:hAnsi="Arial"/>
          <w:sz w:val="14"/>
          <w:szCs w:val="14"/>
          <w:color w:val="auto"/>
        </w:rPr>
        <w:t>The following table lists the compensation and benefits that Weatherford would provide to our current NEOs in various scenarios involving a termination of employment or upon a change of control. Compensation and benefits generally available to salaried employees are not included in the below. As described previously in this Proxy Statement:</w:t>
      </w:r>
    </w:p>
    <w:p>
      <w:pPr>
        <w:spacing w:after="0" w:line="199" w:lineRule="exact"/>
        <w:rPr>
          <w:sz w:val="20"/>
          <w:szCs w:val="20"/>
          <w:color w:val="auto"/>
        </w:rPr>
      </w:pPr>
    </w:p>
    <w:p>
      <w:pPr>
        <w:ind w:left="480" w:hanging="213"/>
        <w:spacing w:after="0"/>
        <w:tabs>
          <w:tab w:leader="none" w:pos="480" w:val="left"/>
        </w:tabs>
        <w:numPr>
          <w:ilvl w:val="0"/>
          <w:numId w:val="94"/>
        </w:numPr>
        <w:rPr>
          <w:rFonts w:ascii="Arial" w:cs="Arial" w:eastAsia="Arial" w:hAnsi="Arial"/>
          <w:sz w:val="14"/>
          <w:szCs w:val="14"/>
          <w:color w:val="C3002F"/>
        </w:rPr>
      </w:pPr>
      <w:r>
        <w:rPr>
          <w:rFonts w:ascii="Arial" w:cs="Arial" w:eastAsia="Arial" w:hAnsi="Arial"/>
          <w:sz w:val="14"/>
          <w:szCs w:val="14"/>
          <w:color w:val="auto"/>
        </w:rPr>
        <w:t>Mr. McCollum has certain severance arrangements and a CIC Agreement;</w:t>
      </w:r>
    </w:p>
    <w:p>
      <w:pPr>
        <w:spacing w:after="0" w:line="212" w:lineRule="exact"/>
        <w:rPr>
          <w:rFonts w:ascii="Arial" w:cs="Arial" w:eastAsia="Arial" w:hAnsi="Arial"/>
          <w:sz w:val="14"/>
          <w:szCs w:val="14"/>
          <w:color w:val="C3002F"/>
        </w:rPr>
      </w:pPr>
    </w:p>
    <w:p>
      <w:pPr>
        <w:ind w:left="480" w:hanging="213"/>
        <w:spacing w:after="0"/>
        <w:tabs>
          <w:tab w:leader="none" w:pos="480" w:val="left"/>
        </w:tabs>
        <w:numPr>
          <w:ilvl w:val="0"/>
          <w:numId w:val="94"/>
        </w:numPr>
        <w:rPr>
          <w:rFonts w:ascii="Arial" w:cs="Arial" w:eastAsia="Arial" w:hAnsi="Arial"/>
          <w:sz w:val="14"/>
          <w:szCs w:val="14"/>
          <w:color w:val="C3002F"/>
        </w:rPr>
      </w:pPr>
      <w:r>
        <w:rPr>
          <w:rFonts w:ascii="Arial" w:cs="Arial" w:eastAsia="Arial" w:hAnsi="Arial"/>
          <w:sz w:val="14"/>
          <w:szCs w:val="14"/>
          <w:color w:val="auto"/>
        </w:rPr>
        <w:t>Mr. Bausch, Mrs. Ibrahim and Mr. Blanchard have CIC Agreements and would generally be subject to our executive severance guidelines;</w:t>
      </w:r>
    </w:p>
    <w:p>
      <w:pPr>
        <w:spacing w:after="0" w:line="212" w:lineRule="exact"/>
        <w:rPr>
          <w:rFonts w:ascii="Arial" w:cs="Arial" w:eastAsia="Arial" w:hAnsi="Arial"/>
          <w:sz w:val="14"/>
          <w:szCs w:val="14"/>
          <w:color w:val="C3002F"/>
        </w:rPr>
      </w:pPr>
    </w:p>
    <w:p>
      <w:pPr>
        <w:ind w:left="480" w:right="20" w:hanging="213"/>
        <w:spacing w:after="0" w:line="253" w:lineRule="auto"/>
        <w:tabs>
          <w:tab w:leader="none" w:pos="480" w:val="left"/>
        </w:tabs>
        <w:numPr>
          <w:ilvl w:val="0"/>
          <w:numId w:val="94"/>
        </w:numPr>
        <w:rPr>
          <w:rFonts w:ascii="Arial" w:cs="Arial" w:eastAsia="Arial" w:hAnsi="Arial"/>
          <w:sz w:val="14"/>
          <w:szCs w:val="14"/>
          <w:color w:val="C3002F"/>
        </w:rPr>
      </w:pPr>
      <w:r>
        <w:rPr>
          <w:rFonts w:ascii="Arial" w:cs="Arial" w:eastAsia="Arial" w:hAnsi="Arial"/>
          <w:sz w:val="14"/>
          <w:szCs w:val="14"/>
          <w:color w:val="auto"/>
        </w:rPr>
        <w:t>Mr. Mills has an executive employment agreement which expires on June 20, 2018. The Company gave notice of non-renewal in January 2018 and in connection with the non-renewal, Mr. Mills has elected to terminate his employment effective April 15, 2018; and</w:t>
      </w:r>
    </w:p>
    <w:p>
      <w:pPr>
        <w:spacing w:after="0" w:line="194" w:lineRule="exact"/>
        <w:rPr>
          <w:rFonts w:ascii="Arial" w:cs="Arial" w:eastAsia="Arial" w:hAnsi="Arial"/>
          <w:sz w:val="14"/>
          <w:szCs w:val="14"/>
          <w:color w:val="C3002F"/>
        </w:rPr>
      </w:pPr>
    </w:p>
    <w:p>
      <w:pPr>
        <w:ind w:left="480" w:right="120" w:hanging="213"/>
        <w:spacing w:after="0" w:line="253" w:lineRule="auto"/>
        <w:tabs>
          <w:tab w:leader="none" w:pos="480" w:val="left"/>
        </w:tabs>
        <w:numPr>
          <w:ilvl w:val="0"/>
          <w:numId w:val="94"/>
        </w:numPr>
        <w:rPr>
          <w:rFonts w:ascii="Arial" w:cs="Arial" w:eastAsia="Arial" w:hAnsi="Arial"/>
          <w:sz w:val="14"/>
          <w:szCs w:val="14"/>
          <w:color w:val="C3002F"/>
        </w:rPr>
      </w:pPr>
      <w:r>
        <w:rPr>
          <w:rFonts w:ascii="Arial" w:cs="Arial" w:eastAsia="Arial" w:hAnsi="Arial"/>
          <w:sz w:val="14"/>
          <w:szCs w:val="14"/>
          <w:color w:val="auto"/>
        </w:rPr>
        <w:t>Mr. Shivram departed the Company in March 2017 and was paid the amounts due and described below under “Termination without Cause or with Good Reason” and as described under “Other Supplemental Payments” described on page 26.</w:t>
      </w:r>
    </w:p>
    <w:p>
      <w:pPr>
        <w:spacing w:after="0" w:line="211" w:lineRule="exact"/>
        <w:rPr>
          <w:sz w:val="20"/>
          <w:szCs w:val="20"/>
          <w:color w:val="auto"/>
        </w:rPr>
      </w:pPr>
    </w:p>
    <w:tbl>
      <w:tblPr>
        <w:tblLayout w:type="fixed"/>
        <w:tblInd w:w="280" w:type="dxa"/>
        <w:tblCellMar>
          <w:top w:w="0" w:type="dxa"/>
          <w:left w:w="0" w:type="dxa"/>
          <w:bottom w:w="0" w:type="dxa"/>
          <w:right w:w="0" w:type="dxa"/>
        </w:tblCellMar>
      </w:tblPr>
      <w:tr>
        <w:trPr>
          <w:trHeight w:val="139"/>
        </w:trPr>
        <w:tc>
          <w:tcPr>
            <w:tcW w:w="2860" w:type="dxa"/>
            <w:vAlign w:val="bottom"/>
            <w:tcBorders>
              <w:bottom w:val="single" w:sz="8" w:color="F2F2F2"/>
            </w:tcBorders>
            <w:shd w:val="clear" w:color="auto" w:fill="F2F2F2"/>
          </w:tcPr>
          <w:p>
            <w:pPr>
              <w:spacing w:after="0"/>
              <w:rPr>
                <w:sz w:val="12"/>
                <w:szCs w:val="12"/>
                <w:color w:val="auto"/>
              </w:rPr>
            </w:pPr>
          </w:p>
        </w:tc>
        <w:tc>
          <w:tcPr>
            <w:tcW w:w="1000" w:type="dxa"/>
            <w:vAlign w:val="bottom"/>
            <w:tcBorders>
              <w:bottom w:val="single" w:sz="8" w:color="666666"/>
            </w:tcBorders>
            <w:shd w:val="clear" w:color="auto" w:fill="F2F2F2"/>
          </w:tcPr>
          <w:p>
            <w:pPr>
              <w:spacing w:after="0"/>
              <w:rPr>
                <w:sz w:val="12"/>
                <w:szCs w:val="12"/>
                <w:color w:val="auto"/>
              </w:rPr>
            </w:pPr>
          </w:p>
        </w:tc>
        <w:tc>
          <w:tcPr>
            <w:tcW w:w="920" w:type="dxa"/>
            <w:vAlign w:val="bottom"/>
            <w:tcBorders>
              <w:bottom w:val="single" w:sz="8" w:color="666666"/>
            </w:tcBorders>
            <w:shd w:val="clear" w:color="auto" w:fill="F2F2F2"/>
          </w:tcPr>
          <w:p>
            <w:pPr>
              <w:spacing w:after="0"/>
              <w:rPr>
                <w:sz w:val="12"/>
                <w:szCs w:val="12"/>
                <w:color w:val="auto"/>
              </w:rPr>
            </w:pPr>
          </w:p>
        </w:tc>
        <w:tc>
          <w:tcPr>
            <w:tcW w:w="3720" w:type="dxa"/>
            <w:vAlign w:val="bottom"/>
            <w:tcBorders>
              <w:bottom w:val="single" w:sz="8" w:color="666666"/>
            </w:tcBorders>
            <w:gridSpan w:val="4"/>
            <w:shd w:val="clear" w:color="auto" w:fill="F2F2F2"/>
          </w:tcPr>
          <w:p>
            <w:pPr>
              <w:ind w:left="880"/>
              <w:spacing w:after="0"/>
              <w:rPr>
                <w:sz w:val="20"/>
                <w:szCs w:val="20"/>
                <w:color w:val="auto"/>
              </w:rPr>
            </w:pPr>
            <w:r>
              <w:rPr>
                <w:rFonts w:ascii="Arial" w:cs="Arial" w:eastAsia="Arial" w:hAnsi="Arial"/>
                <w:sz w:val="12"/>
                <w:szCs w:val="12"/>
                <w:b w:val="1"/>
                <w:bCs w:val="1"/>
                <w:color w:val="auto"/>
              </w:rPr>
              <w:t>Termination / Change of Control Scenarios</w:t>
            </w:r>
          </w:p>
        </w:tc>
        <w:tc>
          <w:tcPr>
            <w:tcW w:w="1040" w:type="dxa"/>
            <w:vAlign w:val="bottom"/>
            <w:tcBorders>
              <w:bottom w:val="single" w:sz="8" w:color="666666"/>
            </w:tcBorders>
            <w:shd w:val="clear" w:color="auto" w:fill="F2F2F2"/>
          </w:tcPr>
          <w:p>
            <w:pPr>
              <w:spacing w:after="0"/>
              <w:rPr>
                <w:sz w:val="12"/>
                <w:szCs w:val="12"/>
                <w:color w:val="auto"/>
              </w:rPr>
            </w:pPr>
          </w:p>
        </w:tc>
        <w:tc>
          <w:tcPr>
            <w:tcW w:w="1340" w:type="dxa"/>
            <w:vAlign w:val="bottom"/>
            <w:tcBorders>
              <w:bottom w:val="single" w:sz="8" w:color="666666"/>
            </w:tcBorders>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860" w:type="dxa"/>
            <w:vAlign w:val="bottom"/>
            <w:shd w:val="clear" w:color="auto" w:fill="F2F2F2"/>
          </w:tcPr>
          <w:p>
            <w:pPr>
              <w:spacing w:after="0"/>
              <w:rPr>
                <w:sz w:val="9"/>
                <w:szCs w:val="9"/>
                <w:color w:val="auto"/>
              </w:rPr>
            </w:pPr>
          </w:p>
        </w:tc>
        <w:tc>
          <w:tcPr>
            <w:tcW w:w="1000" w:type="dxa"/>
            <w:vAlign w:val="bottom"/>
            <w:shd w:val="clear" w:color="auto" w:fill="F2F2F2"/>
          </w:tcPr>
          <w:p>
            <w:pPr>
              <w:spacing w:after="0"/>
              <w:rPr>
                <w:sz w:val="9"/>
                <w:szCs w:val="9"/>
                <w:color w:val="auto"/>
              </w:rPr>
            </w:pPr>
          </w:p>
        </w:tc>
        <w:tc>
          <w:tcPr>
            <w:tcW w:w="920" w:type="dxa"/>
            <w:vAlign w:val="bottom"/>
            <w:shd w:val="clear" w:color="auto" w:fill="F2F2F2"/>
          </w:tcPr>
          <w:p>
            <w:pPr>
              <w:spacing w:after="0"/>
              <w:rPr>
                <w:sz w:val="9"/>
                <w:szCs w:val="9"/>
                <w:color w:val="auto"/>
              </w:rPr>
            </w:pPr>
          </w:p>
        </w:tc>
        <w:tc>
          <w:tcPr>
            <w:tcW w:w="1040" w:type="dxa"/>
            <w:vAlign w:val="bottom"/>
            <w:shd w:val="clear" w:color="auto" w:fill="F2F2F2"/>
          </w:tcPr>
          <w:p>
            <w:pPr>
              <w:spacing w:after="0"/>
              <w:rPr>
                <w:sz w:val="9"/>
                <w:szCs w:val="9"/>
                <w:color w:val="auto"/>
              </w:rPr>
            </w:pPr>
          </w:p>
        </w:tc>
        <w:tc>
          <w:tcPr>
            <w:tcW w:w="880" w:type="dxa"/>
            <w:vAlign w:val="bottom"/>
            <w:shd w:val="clear" w:color="auto" w:fill="F2F2F2"/>
          </w:tcPr>
          <w:p>
            <w:pPr>
              <w:spacing w:after="0"/>
              <w:rPr>
                <w:sz w:val="9"/>
                <w:szCs w:val="9"/>
                <w:color w:val="auto"/>
              </w:rPr>
            </w:pPr>
          </w:p>
        </w:tc>
        <w:tc>
          <w:tcPr>
            <w:tcW w:w="980" w:type="dxa"/>
            <w:vAlign w:val="bottom"/>
            <w:shd w:val="clear" w:color="auto" w:fill="F2F2F2"/>
          </w:tcPr>
          <w:p>
            <w:pPr>
              <w:spacing w:after="0"/>
              <w:rPr>
                <w:sz w:val="9"/>
                <w:szCs w:val="9"/>
                <w:color w:val="auto"/>
              </w:rPr>
            </w:pPr>
          </w:p>
        </w:tc>
        <w:tc>
          <w:tcPr>
            <w:tcW w:w="820" w:type="dxa"/>
            <w:vAlign w:val="bottom"/>
            <w:shd w:val="clear" w:color="auto" w:fill="F2F2F2"/>
          </w:tcPr>
          <w:p>
            <w:pPr>
              <w:spacing w:after="0"/>
              <w:rPr>
                <w:sz w:val="9"/>
                <w:szCs w:val="9"/>
                <w:color w:val="auto"/>
              </w:rPr>
            </w:pPr>
          </w:p>
        </w:tc>
        <w:tc>
          <w:tcPr>
            <w:tcW w:w="1040" w:type="dxa"/>
            <w:vAlign w:val="bottom"/>
            <w:shd w:val="clear" w:color="auto" w:fill="F2F2F2"/>
          </w:tcPr>
          <w:p>
            <w:pPr>
              <w:spacing w:after="0"/>
              <w:rPr>
                <w:sz w:val="9"/>
                <w:szCs w:val="9"/>
                <w:color w:val="auto"/>
              </w:rPr>
            </w:pPr>
          </w:p>
        </w:tc>
        <w:tc>
          <w:tcPr>
            <w:tcW w:w="1340" w:type="dxa"/>
            <w:vAlign w:val="bottom"/>
            <w:shd w:val="clear" w:color="auto" w:fill="F2F2F2"/>
          </w:tcPr>
          <w:p>
            <w:pPr>
              <w:jc w:val="center"/>
              <w:spacing w:after="0" w:line="107" w:lineRule="exact"/>
              <w:rPr>
                <w:sz w:val="20"/>
                <w:szCs w:val="20"/>
                <w:color w:val="auto"/>
              </w:rPr>
            </w:pPr>
            <w:r>
              <w:rPr>
                <w:rFonts w:ascii="Arial" w:cs="Arial" w:eastAsia="Arial" w:hAnsi="Arial"/>
                <w:sz w:val="12"/>
                <w:szCs w:val="12"/>
                <w:b w:val="1"/>
                <w:bCs w:val="1"/>
                <w:color w:val="auto"/>
              </w:rPr>
              <w:t>Change of Control</w:t>
            </w:r>
          </w:p>
        </w:tc>
        <w:tc>
          <w:tcPr>
            <w:tcW w:w="0" w:type="dxa"/>
            <w:vAlign w:val="bottom"/>
          </w:tcPr>
          <w:p>
            <w:pPr>
              <w:spacing w:after="0"/>
              <w:rPr>
                <w:sz w:val="1"/>
                <w:szCs w:val="1"/>
                <w:color w:val="auto"/>
              </w:rPr>
            </w:pPr>
          </w:p>
        </w:tc>
      </w:tr>
      <w:tr>
        <w:trPr>
          <w:trHeight w:val="140"/>
        </w:trPr>
        <w:tc>
          <w:tcPr>
            <w:tcW w:w="2860" w:type="dxa"/>
            <w:vAlign w:val="bottom"/>
            <w:shd w:val="clear" w:color="auto" w:fill="F2F2F2"/>
          </w:tcPr>
          <w:p>
            <w:pPr>
              <w:spacing w:after="0"/>
              <w:rPr>
                <w:sz w:val="12"/>
                <w:szCs w:val="12"/>
                <w:color w:val="auto"/>
              </w:rPr>
            </w:pPr>
          </w:p>
        </w:tc>
        <w:tc>
          <w:tcPr>
            <w:tcW w:w="1000" w:type="dxa"/>
            <w:vAlign w:val="bottom"/>
            <w:shd w:val="clear" w:color="auto" w:fill="F2F2F2"/>
          </w:tcPr>
          <w:p>
            <w:pPr>
              <w:jc w:val="center"/>
              <w:spacing w:after="0"/>
              <w:rPr>
                <w:sz w:val="20"/>
                <w:szCs w:val="20"/>
                <w:color w:val="auto"/>
              </w:rPr>
            </w:pPr>
            <w:r>
              <w:rPr>
                <w:rFonts w:ascii="Arial" w:cs="Arial" w:eastAsia="Arial" w:hAnsi="Arial"/>
                <w:sz w:val="12"/>
                <w:szCs w:val="12"/>
                <w:b w:val="1"/>
                <w:bCs w:val="1"/>
                <w:color w:val="auto"/>
              </w:rPr>
              <w:t>Retirement,</w:t>
            </w:r>
          </w:p>
        </w:tc>
        <w:tc>
          <w:tcPr>
            <w:tcW w:w="920" w:type="dxa"/>
            <w:vAlign w:val="bottom"/>
            <w:shd w:val="clear" w:color="auto" w:fill="F2F2F2"/>
          </w:tcPr>
          <w:p>
            <w:pPr>
              <w:spacing w:after="0"/>
              <w:rPr>
                <w:sz w:val="12"/>
                <w:szCs w:val="12"/>
                <w:color w:val="auto"/>
              </w:rPr>
            </w:pPr>
          </w:p>
        </w:tc>
        <w:tc>
          <w:tcPr>
            <w:tcW w:w="1040" w:type="dxa"/>
            <w:vAlign w:val="bottom"/>
            <w:shd w:val="clear" w:color="auto" w:fill="F2F2F2"/>
          </w:tcPr>
          <w:p>
            <w:pPr>
              <w:spacing w:after="0"/>
              <w:rPr>
                <w:sz w:val="12"/>
                <w:szCs w:val="12"/>
                <w:color w:val="auto"/>
              </w:rPr>
            </w:pPr>
          </w:p>
        </w:tc>
        <w:tc>
          <w:tcPr>
            <w:tcW w:w="880" w:type="dxa"/>
            <w:vAlign w:val="bottom"/>
            <w:shd w:val="clear" w:color="auto" w:fill="F2F2F2"/>
          </w:tcPr>
          <w:p>
            <w:pPr>
              <w:spacing w:after="0"/>
              <w:rPr>
                <w:sz w:val="12"/>
                <w:szCs w:val="12"/>
                <w:color w:val="auto"/>
              </w:rPr>
            </w:pPr>
          </w:p>
        </w:tc>
        <w:tc>
          <w:tcPr>
            <w:tcW w:w="980" w:type="dxa"/>
            <w:vAlign w:val="bottom"/>
            <w:shd w:val="clear" w:color="auto" w:fill="F2F2F2"/>
          </w:tcPr>
          <w:p>
            <w:pPr>
              <w:spacing w:after="0"/>
              <w:rPr>
                <w:sz w:val="12"/>
                <w:szCs w:val="12"/>
                <w:color w:val="auto"/>
              </w:rPr>
            </w:pPr>
          </w:p>
        </w:tc>
        <w:tc>
          <w:tcPr>
            <w:tcW w:w="820" w:type="dxa"/>
            <w:vAlign w:val="bottom"/>
            <w:shd w:val="clear" w:color="auto" w:fill="F2F2F2"/>
          </w:tcPr>
          <w:p>
            <w:pPr>
              <w:spacing w:after="0"/>
              <w:rPr>
                <w:sz w:val="12"/>
                <w:szCs w:val="12"/>
                <w:color w:val="auto"/>
              </w:rPr>
            </w:pPr>
          </w:p>
        </w:tc>
        <w:tc>
          <w:tcPr>
            <w:tcW w:w="1040" w:type="dxa"/>
            <w:vAlign w:val="bottom"/>
            <w:shd w:val="clear" w:color="auto" w:fill="F2F2F2"/>
          </w:tcPr>
          <w:p>
            <w:pPr>
              <w:jc w:val="center"/>
              <w:spacing w:after="0"/>
              <w:rPr>
                <w:sz w:val="20"/>
                <w:szCs w:val="20"/>
                <w:color w:val="auto"/>
              </w:rPr>
            </w:pPr>
            <w:r>
              <w:rPr>
                <w:rFonts w:ascii="Arial" w:cs="Arial" w:eastAsia="Arial" w:hAnsi="Arial"/>
                <w:sz w:val="12"/>
                <w:szCs w:val="12"/>
                <w:b w:val="1"/>
                <w:bCs w:val="1"/>
                <w:color w:val="auto"/>
              </w:rPr>
              <w:t>Change of</w:t>
            </w:r>
          </w:p>
        </w:tc>
        <w:tc>
          <w:tcPr>
            <w:tcW w:w="1340" w:type="dxa"/>
            <w:vAlign w:val="bottom"/>
            <w:shd w:val="clear" w:color="auto" w:fill="F2F2F2"/>
          </w:tcPr>
          <w:p>
            <w:pPr>
              <w:jc w:val="center"/>
              <w:spacing w:after="0"/>
              <w:rPr>
                <w:sz w:val="20"/>
                <w:szCs w:val="20"/>
                <w:color w:val="auto"/>
              </w:rPr>
            </w:pPr>
            <w:r>
              <w:rPr>
                <w:rFonts w:ascii="Arial" w:cs="Arial" w:eastAsia="Arial" w:hAnsi="Arial"/>
                <w:sz w:val="12"/>
                <w:szCs w:val="12"/>
                <w:b w:val="1"/>
                <w:bCs w:val="1"/>
                <w:color w:val="auto"/>
              </w:rPr>
              <w:t>with Termination of</w:t>
            </w:r>
          </w:p>
        </w:tc>
        <w:tc>
          <w:tcPr>
            <w:tcW w:w="0" w:type="dxa"/>
            <w:vAlign w:val="bottom"/>
          </w:tcPr>
          <w:p>
            <w:pPr>
              <w:spacing w:after="0"/>
              <w:rPr>
                <w:sz w:val="1"/>
                <w:szCs w:val="1"/>
                <w:color w:val="auto"/>
              </w:rPr>
            </w:pPr>
          </w:p>
        </w:tc>
      </w:tr>
      <w:tr>
        <w:trPr>
          <w:trHeight w:val="134"/>
        </w:trPr>
        <w:tc>
          <w:tcPr>
            <w:tcW w:w="2860" w:type="dxa"/>
            <w:vAlign w:val="bottom"/>
            <w:shd w:val="clear" w:color="auto" w:fill="F2F2F2"/>
          </w:tcPr>
          <w:p>
            <w:pPr>
              <w:spacing w:after="0"/>
              <w:rPr>
                <w:sz w:val="11"/>
                <w:szCs w:val="11"/>
                <w:color w:val="auto"/>
              </w:rPr>
            </w:pPr>
          </w:p>
        </w:tc>
        <w:tc>
          <w:tcPr>
            <w:tcW w:w="1000" w:type="dxa"/>
            <w:vAlign w:val="bottom"/>
            <w:shd w:val="clear" w:color="auto" w:fill="F2F2F2"/>
          </w:tcPr>
          <w:p>
            <w:pPr>
              <w:jc w:val="center"/>
              <w:spacing w:after="0" w:line="134" w:lineRule="exact"/>
              <w:rPr>
                <w:sz w:val="20"/>
                <w:szCs w:val="20"/>
                <w:color w:val="auto"/>
              </w:rPr>
            </w:pPr>
            <w:r>
              <w:rPr>
                <w:rFonts w:ascii="Arial" w:cs="Arial" w:eastAsia="Arial" w:hAnsi="Arial"/>
                <w:sz w:val="12"/>
                <w:szCs w:val="12"/>
                <w:b w:val="1"/>
                <w:bCs w:val="1"/>
                <w:color w:val="auto"/>
              </w:rPr>
              <w:t>Resignation,</w:t>
            </w:r>
          </w:p>
        </w:tc>
        <w:tc>
          <w:tcPr>
            <w:tcW w:w="920" w:type="dxa"/>
            <w:vAlign w:val="bottom"/>
            <w:shd w:val="clear" w:color="auto" w:fill="F2F2F2"/>
          </w:tcPr>
          <w:p>
            <w:pPr>
              <w:spacing w:after="0"/>
              <w:rPr>
                <w:sz w:val="11"/>
                <w:szCs w:val="11"/>
                <w:color w:val="auto"/>
              </w:rPr>
            </w:pPr>
          </w:p>
        </w:tc>
        <w:tc>
          <w:tcPr>
            <w:tcW w:w="1040" w:type="dxa"/>
            <w:vAlign w:val="bottom"/>
            <w:shd w:val="clear" w:color="auto" w:fill="F2F2F2"/>
          </w:tcPr>
          <w:p>
            <w:pPr>
              <w:spacing w:after="0"/>
              <w:rPr>
                <w:sz w:val="11"/>
                <w:szCs w:val="11"/>
                <w:color w:val="auto"/>
              </w:rPr>
            </w:pPr>
          </w:p>
        </w:tc>
        <w:tc>
          <w:tcPr>
            <w:tcW w:w="880" w:type="dxa"/>
            <w:vAlign w:val="bottom"/>
            <w:shd w:val="clear" w:color="auto" w:fill="F2F2F2"/>
          </w:tcPr>
          <w:p>
            <w:pPr>
              <w:spacing w:after="0"/>
              <w:rPr>
                <w:sz w:val="11"/>
                <w:szCs w:val="11"/>
                <w:color w:val="auto"/>
              </w:rPr>
            </w:pPr>
          </w:p>
        </w:tc>
        <w:tc>
          <w:tcPr>
            <w:tcW w:w="980" w:type="dxa"/>
            <w:vAlign w:val="bottom"/>
            <w:shd w:val="clear" w:color="auto" w:fill="F2F2F2"/>
          </w:tcPr>
          <w:p>
            <w:pPr>
              <w:ind w:left="120"/>
              <w:spacing w:after="0" w:line="134" w:lineRule="exact"/>
              <w:rPr>
                <w:sz w:val="20"/>
                <w:szCs w:val="20"/>
                <w:color w:val="auto"/>
              </w:rPr>
            </w:pPr>
            <w:r>
              <w:rPr>
                <w:rFonts w:ascii="Arial" w:cs="Arial" w:eastAsia="Arial" w:hAnsi="Arial"/>
                <w:sz w:val="12"/>
                <w:szCs w:val="12"/>
                <w:b w:val="1"/>
                <w:bCs w:val="1"/>
                <w:color w:val="auto"/>
              </w:rPr>
              <w:t>Termination</w:t>
            </w:r>
          </w:p>
        </w:tc>
        <w:tc>
          <w:tcPr>
            <w:tcW w:w="820" w:type="dxa"/>
            <w:vAlign w:val="bottom"/>
            <w:shd w:val="clear" w:color="auto" w:fill="F2F2F2"/>
          </w:tcPr>
          <w:p>
            <w:pPr>
              <w:spacing w:after="0"/>
              <w:rPr>
                <w:sz w:val="11"/>
                <w:szCs w:val="11"/>
                <w:color w:val="auto"/>
              </w:rPr>
            </w:pPr>
          </w:p>
        </w:tc>
        <w:tc>
          <w:tcPr>
            <w:tcW w:w="1040" w:type="dxa"/>
            <w:vAlign w:val="bottom"/>
            <w:shd w:val="clear" w:color="auto" w:fill="F2F2F2"/>
          </w:tcPr>
          <w:p>
            <w:pPr>
              <w:ind w:left="60"/>
              <w:spacing w:after="0" w:line="134" w:lineRule="exact"/>
              <w:rPr>
                <w:sz w:val="20"/>
                <w:szCs w:val="20"/>
                <w:color w:val="auto"/>
              </w:rPr>
            </w:pPr>
            <w:r>
              <w:rPr>
                <w:rFonts w:ascii="Arial" w:cs="Arial" w:eastAsia="Arial" w:hAnsi="Arial"/>
                <w:sz w:val="12"/>
                <w:szCs w:val="12"/>
                <w:b w:val="1"/>
                <w:bCs w:val="1"/>
                <w:color w:val="auto"/>
              </w:rPr>
              <w:t>Control without</w:t>
            </w:r>
          </w:p>
        </w:tc>
        <w:tc>
          <w:tcPr>
            <w:tcW w:w="1340" w:type="dxa"/>
            <w:vAlign w:val="bottom"/>
            <w:shd w:val="clear" w:color="auto" w:fill="F2F2F2"/>
          </w:tcPr>
          <w:p>
            <w:pPr>
              <w:jc w:val="center"/>
              <w:spacing w:after="0" w:line="134" w:lineRule="exact"/>
              <w:rPr>
                <w:sz w:val="20"/>
                <w:szCs w:val="20"/>
                <w:color w:val="auto"/>
              </w:rPr>
            </w:pPr>
            <w:r>
              <w:rPr>
                <w:rFonts w:ascii="Arial" w:cs="Arial" w:eastAsia="Arial" w:hAnsi="Arial"/>
                <w:sz w:val="12"/>
                <w:szCs w:val="12"/>
                <w:b w:val="1"/>
                <w:bCs w:val="1"/>
                <w:color w:val="auto"/>
              </w:rPr>
              <w:t>Employment without</w:t>
            </w:r>
          </w:p>
        </w:tc>
        <w:tc>
          <w:tcPr>
            <w:tcW w:w="0" w:type="dxa"/>
            <w:vAlign w:val="bottom"/>
          </w:tcPr>
          <w:p>
            <w:pPr>
              <w:spacing w:after="0"/>
              <w:rPr>
                <w:sz w:val="1"/>
                <w:szCs w:val="1"/>
                <w:color w:val="auto"/>
              </w:rPr>
            </w:pPr>
          </w:p>
        </w:tc>
      </w:tr>
      <w:tr>
        <w:trPr>
          <w:trHeight w:val="134"/>
        </w:trPr>
        <w:tc>
          <w:tcPr>
            <w:tcW w:w="2860" w:type="dxa"/>
            <w:vAlign w:val="bottom"/>
            <w:shd w:val="clear" w:color="auto" w:fill="F2F2F2"/>
          </w:tcPr>
          <w:p>
            <w:pPr>
              <w:spacing w:after="0"/>
              <w:rPr>
                <w:sz w:val="11"/>
                <w:szCs w:val="11"/>
                <w:color w:val="auto"/>
              </w:rPr>
            </w:pPr>
          </w:p>
        </w:tc>
        <w:tc>
          <w:tcPr>
            <w:tcW w:w="1000" w:type="dxa"/>
            <w:vAlign w:val="bottom"/>
            <w:shd w:val="clear" w:color="auto" w:fill="F2F2F2"/>
          </w:tcPr>
          <w:p>
            <w:pPr>
              <w:ind w:left="100"/>
              <w:spacing w:after="0" w:line="134" w:lineRule="exact"/>
              <w:rPr>
                <w:sz w:val="20"/>
                <w:szCs w:val="20"/>
                <w:color w:val="auto"/>
              </w:rPr>
            </w:pPr>
            <w:r>
              <w:rPr>
                <w:rFonts w:ascii="Arial" w:cs="Arial" w:eastAsia="Arial" w:hAnsi="Arial"/>
                <w:sz w:val="12"/>
                <w:szCs w:val="12"/>
                <w:b w:val="1"/>
                <w:bCs w:val="1"/>
                <w:color w:val="auto"/>
              </w:rPr>
              <w:t>or Termination</w:t>
            </w:r>
          </w:p>
        </w:tc>
        <w:tc>
          <w:tcPr>
            <w:tcW w:w="920" w:type="dxa"/>
            <w:vAlign w:val="bottom"/>
            <w:shd w:val="clear" w:color="auto" w:fill="F2F2F2"/>
          </w:tcPr>
          <w:p>
            <w:pPr>
              <w:spacing w:after="0"/>
              <w:rPr>
                <w:sz w:val="11"/>
                <w:szCs w:val="11"/>
                <w:color w:val="auto"/>
              </w:rPr>
            </w:pPr>
          </w:p>
        </w:tc>
        <w:tc>
          <w:tcPr>
            <w:tcW w:w="1040" w:type="dxa"/>
            <w:vAlign w:val="bottom"/>
            <w:shd w:val="clear" w:color="auto" w:fill="F2F2F2"/>
          </w:tcPr>
          <w:p>
            <w:pPr>
              <w:spacing w:after="0"/>
              <w:rPr>
                <w:sz w:val="11"/>
                <w:szCs w:val="11"/>
                <w:color w:val="auto"/>
              </w:rPr>
            </w:pPr>
          </w:p>
        </w:tc>
        <w:tc>
          <w:tcPr>
            <w:tcW w:w="2680" w:type="dxa"/>
            <w:vAlign w:val="bottom"/>
            <w:gridSpan w:val="3"/>
            <w:shd w:val="clear" w:color="auto" w:fill="F2F2F2"/>
          </w:tcPr>
          <w:p>
            <w:pPr>
              <w:ind w:left="700"/>
              <w:spacing w:after="0" w:line="134" w:lineRule="exact"/>
              <w:rPr>
                <w:sz w:val="20"/>
                <w:szCs w:val="20"/>
                <w:color w:val="auto"/>
              </w:rPr>
            </w:pPr>
            <w:r>
              <w:rPr>
                <w:rFonts w:ascii="Arial" w:cs="Arial" w:eastAsia="Arial" w:hAnsi="Arial"/>
                <w:sz w:val="12"/>
                <w:szCs w:val="12"/>
                <w:b w:val="1"/>
                <w:bCs w:val="1"/>
                <w:color w:val="auto"/>
              </w:rPr>
              <w:t>without Cause or with</w:t>
            </w:r>
          </w:p>
        </w:tc>
        <w:tc>
          <w:tcPr>
            <w:tcW w:w="1040" w:type="dxa"/>
            <w:vAlign w:val="bottom"/>
            <w:shd w:val="clear" w:color="auto" w:fill="F2F2F2"/>
          </w:tcPr>
          <w:p>
            <w:pPr>
              <w:jc w:val="center"/>
              <w:spacing w:after="0" w:line="134" w:lineRule="exact"/>
              <w:rPr>
                <w:sz w:val="20"/>
                <w:szCs w:val="20"/>
                <w:color w:val="auto"/>
              </w:rPr>
            </w:pPr>
            <w:r>
              <w:rPr>
                <w:rFonts w:ascii="Arial" w:cs="Arial" w:eastAsia="Arial" w:hAnsi="Arial"/>
                <w:sz w:val="12"/>
                <w:szCs w:val="12"/>
                <w:b w:val="1"/>
                <w:bCs w:val="1"/>
                <w:color w:val="auto"/>
              </w:rPr>
              <w:t>Termination of</w:t>
            </w:r>
          </w:p>
        </w:tc>
        <w:tc>
          <w:tcPr>
            <w:tcW w:w="1340" w:type="dxa"/>
            <w:vAlign w:val="bottom"/>
            <w:shd w:val="clear" w:color="auto" w:fill="F2F2F2"/>
          </w:tcPr>
          <w:p>
            <w:pPr>
              <w:jc w:val="center"/>
              <w:spacing w:after="0" w:line="134" w:lineRule="exact"/>
              <w:rPr>
                <w:sz w:val="20"/>
                <w:szCs w:val="20"/>
                <w:color w:val="auto"/>
              </w:rPr>
            </w:pPr>
            <w:r>
              <w:rPr>
                <w:rFonts w:ascii="Arial" w:cs="Arial" w:eastAsia="Arial" w:hAnsi="Arial"/>
                <w:sz w:val="12"/>
                <w:szCs w:val="12"/>
                <w:b w:val="1"/>
                <w:bCs w:val="1"/>
                <w:color w:val="auto"/>
              </w:rPr>
              <w:t>Cause or with Good</w:t>
            </w:r>
          </w:p>
        </w:tc>
        <w:tc>
          <w:tcPr>
            <w:tcW w:w="0" w:type="dxa"/>
            <w:vAlign w:val="bottom"/>
          </w:tcPr>
          <w:p>
            <w:pPr>
              <w:spacing w:after="0"/>
              <w:rPr>
                <w:sz w:val="1"/>
                <w:szCs w:val="1"/>
                <w:color w:val="auto"/>
              </w:rPr>
            </w:pPr>
          </w:p>
        </w:tc>
      </w:tr>
      <w:tr>
        <w:trPr>
          <w:trHeight w:val="160"/>
        </w:trPr>
        <w:tc>
          <w:tcPr>
            <w:tcW w:w="2860" w:type="dxa"/>
            <w:vAlign w:val="bottom"/>
            <w:tcBorders>
              <w:bottom w:val="single" w:sz="8" w:color="F2F2F2"/>
            </w:tcBorders>
            <w:shd w:val="clear" w:color="auto" w:fill="F2F2F2"/>
          </w:tcPr>
          <w:p>
            <w:pPr>
              <w:spacing w:after="0"/>
              <w:rPr>
                <w:sz w:val="13"/>
                <w:szCs w:val="13"/>
                <w:color w:val="auto"/>
              </w:rPr>
            </w:pPr>
          </w:p>
        </w:tc>
        <w:tc>
          <w:tcPr>
            <w:tcW w:w="1000" w:type="dxa"/>
            <w:vAlign w:val="bottom"/>
            <w:tcBorders>
              <w:bottom w:val="single" w:sz="8" w:color="666666"/>
            </w:tcBorders>
            <w:shd w:val="clear" w:color="auto" w:fill="F2F2F2"/>
          </w:tcPr>
          <w:p>
            <w:pPr>
              <w:jc w:val="center"/>
              <w:spacing w:after="0"/>
              <w:rPr>
                <w:sz w:val="20"/>
                <w:szCs w:val="20"/>
                <w:color w:val="auto"/>
              </w:rPr>
            </w:pPr>
            <w:r>
              <w:rPr>
                <w:rFonts w:ascii="Arial" w:cs="Arial" w:eastAsia="Arial" w:hAnsi="Arial"/>
                <w:sz w:val="12"/>
                <w:szCs w:val="12"/>
                <w:b w:val="1"/>
                <w:bCs w:val="1"/>
                <w:color w:val="auto"/>
              </w:rPr>
              <w:t>with Cause(1)</w:t>
            </w:r>
          </w:p>
        </w:tc>
        <w:tc>
          <w:tcPr>
            <w:tcW w:w="1960" w:type="dxa"/>
            <w:vAlign w:val="bottom"/>
            <w:tcBorders>
              <w:bottom w:val="single" w:sz="8" w:color="666666"/>
            </w:tcBorders>
            <w:gridSpan w:val="2"/>
            <w:shd w:val="clear" w:color="auto" w:fill="F2F2F2"/>
          </w:tcPr>
          <w:p>
            <w:pPr>
              <w:ind w:left="360"/>
              <w:spacing w:after="0"/>
              <w:rPr>
                <w:sz w:val="20"/>
                <w:szCs w:val="20"/>
                <w:color w:val="auto"/>
              </w:rPr>
            </w:pPr>
            <w:r>
              <w:rPr>
                <w:rFonts w:ascii="Arial" w:cs="Arial" w:eastAsia="Arial" w:hAnsi="Arial"/>
                <w:sz w:val="12"/>
                <w:szCs w:val="12"/>
                <w:b w:val="1"/>
                <w:bCs w:val="1"/>
                <w:color w:val="auto"/>
              </w:rPr>
              <w:t>Death or Disability(2)</w:t>
            </w:r>
          </w:p>
        </w:tc>
        <w:tc>
          <w:tcPr>
            <w:tcW w:w="880" w:type="dxa"/>
            <w:vAlign w:val="bottom"/>
            <w:tcBorders>
              <w:bottom w:val="single" w:sz="8" w:color="666666"/>
            </w:tcBorders>
            <w:shd w:val="clear" w:color="auto" w:fill="F2F2F2"/>
          </w:tcPr>
          <w:p>
            <w:pPr>
              <w:spacing w:after="0"/>
              <w:rPr>
                <w:sz w:val="13"/>
                <w:szCs w:val="13"/>
                <w:color w:val="auto"/>
              </w:rPr>
            </w:pPr>
          </w:p>
        </w:tc>
        <w:tc>
          <w:tcPr>
            <w:tcW w:w="980" w:type="dxa"/>
            <w:vAlign w:val="bottom"/>
            <w:tcBorders>
              <w:bottom w:val="single" w:sz="8" w:color="666666"/>
            </w:tcBorders>
            <w:shd w:val="clear" w:color="auto" w:fill="F2F2F2"/>
          </w:tcPr>
          <w:p>
            <w:pPr>
              <w:ind w:left="60"/>
              <w:spacing w:after="0"/>
              <w:rPr>
                <w:sz w:val="20"/>
                <w:szCs w:val="20"/>
                <w:color w:val="auto"/>
              </w:rPr>
            </w:pPr>
            <w:r>
              <w:rPr>
                <w:rFonts w:ascii="Arial" w:cs="Arial" w:eastAsia="Arial" w:hAnsi="Arial"/>
                <w:sz w:val="12"/>
                <w:szCs w:val="12"/>
                <w:b w:val="1"/>
                <w:bCs w:val="1"/>
                <w:color w:val="auto"/>
              </w:rPr>
              <w:t>Good Reason</w:t>
            </w:r>
          </w:p>
        </w:tc>
        <w:tc>
          <w:tcPr>
            <w:tcW w:w="820" w:type="dxa"/>
            <w:vAlign w:val="bottom"/>
            <w:tcBorders>
              <w:bottom w:val="single" w:sz="8" w:color="666666"/>
            </w:tcBorders>
            <w:shd w:val="clear" w:color="auto" w:fill="F2F2F2"/>
          </w:tcPr>
          <w:p>
            <w:pPr>
              <w:spacing w:after="0"/>
              <w:rPr>
                <w:sz w:val="13"/>
                <w:szCs w:val="13"/>
                <w:color w:val="auto"/>
              </w:rPr>
            </w:pPr>
          </w:p>
        </w:tc>
        <w:tc>
          <w:tcPr>
            <w:tcW w:w="1040" w:type="dxa"/>
            <w:vAlign w:val="bottom"/>
            <w:tcBorders>
              <w:bottom w:val="single" w:sz="8" w:color="666666"/>
            </w:tcBorders>
            <w:shd w:val="clear" w:color="auto" w:fill="F2F2F2"/>
          </w:tcPr>
          <w:p>
            <w:pPr>
              <w:ind w:left="60"/>
              <w:spacing w:after="0"/>
              <w:rPr>
                <w:sz w:val="20"/>
                <w:szCs w:val="20"/>
                <w:color w:val="auto"/>
              </w:rPr>
            </w:pPr>
            <w:r>
              <w:rPr>
                <w:rFonts w:ascii="Arial" w:cs="Arial" w:eastAsia="Arial" w:hAnsi="Arial"/>
                <w:sz w:val="12"/>
                <w:szCs w:val="12"/>
                <w:b w:val="1"/>
                <w:bCs w:val="1"/>
                <w:color w:val="auto"/>
              </w:rPr>
              <w:t>Employment(4)</w:t>
            </w:r>
          </w:p>
        </w:tc>
        <w:tc>
          <w:tcPr>
            <w:tcW w:w="1340" w:type="dxa"/>
            <w:vAlign w:val="bottom"/>
            <w:tcBorders>
              <w:bottom w:val="single" w:sz="8" w:color="666666"/>
            </w:tcBorders>
            <w:shd w:val="clear" w:color="auto" w:fill="F2F2F2"/>
          </w:tcPr>
          <w:p>
            <w:pPr>
              <w:jc w:val="center"/>
              <w:spacing w:after="0"/>
              <w:rPr>
                <w:sz w:val="20"/>
                <w:szCs w:val="20"/>
                <w:color w:val="auto"/>
              </w:rPr>
            </w:pPr>
            <w:r>
              <w:rPr>
                <w:rFonts w:ascii="Arial" w:cs="Arial" w:eastAsia="Arial" w:hAnsi="Arial"/>
                <w:sz w:val="12"/>
                <w:szCs w:val="12"/>
                <w:b w:val="1"/>
                <w:bCs w:val="1"/>
                <w:color w:val="auto"/>
              </w:rPr>
              <w:t>Reason(4)</w:t>
            </w:r>
          </w:p>
        </w:tc>
        <w:tc>
          <w:tcPr>
            <w:tcW w:w="0" w:type="dxa"/>
            <w:vAlign w:val="bottom"/>
          </w:tcPr>
          <w:p>
            <w:pPr>
              <w:spacing w:after="0"/>
              <w:rPr>
                <w:sz w:val="1"/>
                <w:szCs w:val="1"/>
                <w:color w:val="auto"/>
              </w:rPr>
            </w:pPr>
          </w:p>
        </w:tc>
      </w:tr>
      <w:tr>
        <w:trPr>
          <w:trHeight w:val="121"/>
        </w:trPr>
        <w:tc>
          <w:tcPr>
            <w:tcW w:w="2860" w:type="dxa"/>
            <w:vAlign w:val="bottom"/>
            <w:shd w:val="clear" w:color="auto" w:fill="F2F2F2"/>
          </w:tcPr>
          <w:p>
            <w:pPr>
              <w:spacing w:after="0"/>
              <w:rPr>
                <w:sz w:val="10"/>
                <w:szCs w:val="10"/>
                <w:color w:val="auto"/>
              </w:rPr>
            </w:pPr>
          </w:p>
        </w:tc>
        <w:tc>
          <w:tcPr>
            <w:tcW w:w="1000" w:type="dxa"/>
            <w:vAlign w:val="bottom"/>
            <w:shd w:val="clear" w:color="auto" w:fill="D8D8D8"/>
          </w:tcPr>
          <w:p>
            <w:pPr>
              <w:spacing w:after="0"/>
              <w:rPr>
                <w:sz w:val="10"/>
                <w:szCs w:val="10"/>
                <w:color w:val="auto"/>
              </w:rPr>
            </w:pPr>
          </w:p>
        </w:tc>
        <w:tc>
          <w:tcPr>
            <w:tcW w:w="920" w:type="dxa"/>
            <w:vAlign w:val="bottom"/>
            <w:shd w:val="clear" w:color="auto" w:fill="D8D8D8"/>
          </w:tcPr>
          <w:p>
            <w:pPr>
              <w:spacing w:after="0"/>
              <w:rPr>
                <w:sz w:val="10"/>
                <w:szCs w:val="10"/>
                <w:color w:val="auto"/>
              </w:rPr>
            </w:pPr>
          </w:p>
        </w:tc>
        <w:tc>
          <w:tcPr>
            <w:tcW w:w="1040" w:type="dxa"/>
            <w:vAlign w:val="bottom"/>
            <w:shd w:val="clear" w:color="auto" w:fill="D8D8D8"/>
          </w:tcPr>
          <w:p>
            <w:pPr>
              <w:spacing w:after="0"/>
              <w:rPr>
                <w:sz w:val="10"/>
                <w:szCs w:val="10"/>
                <w:color w:val="auto"/>
              </w:rPr>
            </w:pPr>
          </w:p>
        </w:tc>
        <w:tc>
          <w:tcPr>
            <w:tcW w:w="880" w:type="dxa"/>
            <w:vAlign w:val="bottom"/>
            <w:shd w:val="clear" w:color="auto" w:fill="D8D8D8"/>
          </w:tcPr>
          <w:p>
            <w:pPr>
              <w:spacing w:after="0"/>
              <w:rPr>
                <w:sz w:val="10"/>
                <w:szCs w:val="10"/>
                <w:color w:val="auto"/>
              </w:rPr>
            </w:pPr>
          </w:p>
        </w:tc>
        <w:tc>
          <w:tcPr>
            <w:tcW w:w="980" w:type="dxa"/>
            <w:vAlign w:val="bottom"/>
            <w:shd w:val="clear" w:color="auto" w:fill="D8D8D8"/>
          </w:tcPr>
          <w:p>
            <w:pPr>
              <w:spacing w:after="0"/>
              <w:rPr>
                <w:sz w:val="10"/>
                <w:szCs w:val="10"/>
                <w:color w:val="auto"/>
              </w:rPr>
            </w:pPr>
          </w:p>
        </w:tc>
        <w:tc>
          <w:tcPr>
            <w:tcW w:w="820" w:type="dxa"/>
            <w:vAlign w:val="bottom"/>
            <w:shd w:val="clear" w:color="auto" w:fill="D8D8D8"/>
          </w:tcPr>
          <w:p>
            <w:pPr>
              <w:jc w:val="center"/>
              <w:spacing w:after="0" w:line="121" w:lineRule="exact"/>
              <w:rPr>
                <w:sz w:val="20"/>
                <w:szCs w:val="20"/>
                <w:color w:val="auto"/>
              </w:rPr>
            </w:pPr>
            <w:r>
              <w:rPr>
                <w:rFonts w:ascii="Arial" w:cs="Arial" w:eastAsia="Arial" w:hAnsi="Arial"/>
                <w:sz w:val="12"/>
                <w:szCs w:val="12"/>
                <w:color w:val="auto"/>
              </w:rPr>
              <w:t>All NEOs</w:t>
            </w:r>
          </w:p>
        </w:tc>
        <w:tc>
          <w:tcPr>
            <w:tcW w:w="1040" w:type="dxa"/>
            <w:vAlign w:val="bottom"/>
            <w:shd w:val="clear" w:color="auto" w:fill="D8D8D8"/>
          </w:tcPr>
          <w:p>
            <w:pPr>
              <w:spacing w:after="0"/>
              <w:rPr>
                <w:sz w:val="10"/>
                <w:szCs w:val="10"/>
                <w:color w:val="auto"/>
              </w:rPr>
            </w:pPr>
          </w:p>
        </w:tc>
        <w:tc>
          <w:tcPr>
            <w:tcW w:w="134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860" w:type="dxa"/>
            <w:vAlign w:val="bottom"/>
            <w:vMerge w:val="restart"/>
            <w:shd w:val="clear" w:color="auto" w:fill="F2F2F2"/>
          </w:tcPr>
          <w:p>
            <w:pPr>
              <w:ind w:left="980"/>
              <w:spacing w:after="0"/>
              <w:rPr>
                <w:sz w:val="20"/>
                <w:szCs w:val="20"/>
                <w:color w:val="auto"/>
              </w:rPr>
            </w:pPr>
            <w:r>
              <w:rPr>
                <w:rFonts w:ascii="Arial" w:cs="Arial" w:eastAsia="Arial" w:hAnsi="Arial"/>
                <w:sz w:val="12"/>
                <w:szCs w:val="12"/>
                <w:b w:val="1"/>
                <w:bCs w:val="1"/>
                <w:color w:val="auto"/>
              </w:rPr>
              <w:t>Compensation</w:t>
            </w:r>
          </w:p>
        </w:tc>
        <w:tc>
          <w:tcPr>
            <w:tcW w:w="1000" w:type="dxa"/>
            <w:vAlign w:val="bottom"/>
            <w:shd w:val="clear" w:color="auto" w:fill="D8D8D8"/>
          </w:tcPr>
          <w:p>
            <w:pPr>
              <w:spacing w:after="0"/>
              <w:rPr>
                <w:sz w:val="11"/>
                <w:szCs w:val="11"/>
                <w:color w:val="auto"/>
              </w:rPr>
            </w:pPr>
          </w:p>
        </w:tc>
        <w:tc>
          <w:tcPr>
            <w:tcW w:w="920" w:type="dxa"/>
            <w:vAlign w:val="bottom"/>
            <w:shd w:val="clear" w:color="auto" w:fill="D8D8D8"/>
          </w:tcPr>
          <w:p>
            <w:pPr>
              <w:jc w:val="center"/>
              <w:spacing w:after="0" w:line="134" w:lineRule="exact"/>
              <w:rPr>
                <w:sz w:val="20"/>
                <w:szCs w:val="20"/>
                <w:color w:val="auto"/>
              </w:rPr>
            </w:pPr>
            <w:r>
              <w:rPr>
                <w:rFonts w:ascii="Arial" w:cs="Arial" w:eastAsia="Arial" w:hAnsi="Arial"/>
                <w:sz w:val="12"/>
                <w:szCs w:val="12"/>
                <w:color w:val="auto"/>
              </w:rPr>
              <w:t>All NEOs</w:t>
            </w:r>
          </w:p>
        </w:tc>
        <w:tc>
          <w:tcPr>
            <w:tcW w:w="1040" w:type="dxa"/>
            <w:vAlign w:val="bottom"/>
            <w:shd w:val="clear" w:color="auto" w:fill="D8D8D8"/>
          </w:tcPr>
          <w:p>
            <w:pPr>
              <w:spacing w:after="0"/>
              <w:rPr>
                <w:sz w:val="11"/>
                <w:szCs w:val="11"/>
                <w:color w:val="auto"/>
              </w:rPr>
            </w:pPr>
          </w:p>
        </w:tc>
        <w:tc>
          <w:tcPr>
            <w:tcW w:w="880" w:type="dxa"/>
            <w:vAlign w:val="bottom"/>
            <w:shd w:val="clear" w:color="auto" w:fill="D8D8D8"/>
          </w:tcPr>
          <w:p>
            <w:pPr>
              <w:spacing w:after="0"/>
              <w:rPr>
                <w:sz w:val="11"/>
                <w:szCs w:val="11"/>
                <w:color w:val="auto"/>
              </w:rPr>
            </w:pPr>
          </w:p>
        </w:tc>
        <w:tc>
          <w:tcPr>
            <w:tcW w:w="980" w:type="dxa"/>
            <w:vAlign w:val="bottom"/>
            <w:shd w:val="clear" w:color="auto" w:fill="D8D8D8"/>
          </w:tcPr>
          <w:p>
            <w:pPr>
              <w:spacing w:after="0"/>
              <w:rPr>
                <w:sz w:val="11"/>
                <w:szCs w:val="11"/>
                <w:color w:val="auto"/>
              </w:rPr>
            </w:pPr>
          </w:p>
        </w:tc>
        <w:tc>
          <w:tcPr>
            <w:tcW w:w="820" w:type="dxa"/>
            <w:vAlign w:val="bottom"/>
            <w:shd w:val="clear" w:color="auto" w:fill="D8D8D8"/>
          </w:tcPr>
          <w:p>
            <w:pPr>
              <w:jc w:val="center"/>
              <w:spacing w:after="0" w:line="134" w:lineRule="exact"/>
              <w:rPr>
                <w:sz w:val="20"/>
                <w:szCs w:val="20"/>
                <w:color w:val="auto"/>
              </w:rPr>
            </w:pPr>
            <w:r>
              <w:rPr>
                <w:rFonts w:ascii="Arial" w:cs="Arial" w:eastAsia="Arial" w:hAnsi="Arial"/>
                <w:sz w:val="12"/>
                <w:szCs w:val="12"/>
                <w:color w:val="auto"/>
              </w:rPr>
              <w:t>excluding</w:t>
            </w:r>
          </w:p>
        </w:tc>
        <w:tc>
          <w:tcPr>
            <w:tcW w:w="1040" w:type="dxa"/>
            <w:vAlign w:val="bottom"/>
            <w:shd w:val="clear" w:color="auto" w:fill="D8D8D8"/>
          </w:tcPr>
          <w:p>
            <w:pPr>
              <w:spacing w:after="0"/>
              <w:rPr>
                <w:sz w:val="11"/>
                <w:szCs w:val="11"/>
                <w:color w:val="auto"/>
              </w:rPr>
            </w:pPr>
          </w:p>
        </w:tc>
        <w:tc>
          <w:tcPr>
            <w:tcW w:w="134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860" w:type="dxa"/>
            <w:vAlign w:val="bottom"/>
            <w:vMerge w:val="continue"/>
            <w:shd w:val="clear" w:color="auto" w:fill="F2F2F2"/>
          </w:tcPr>
          <w:p>
            <w:pPr>
              <w:spacing w:after="0"/>
              <w:rPr>
                <w:sz w:val="10"/>
                <w:szCs w:val="10"/>
                <w:color w:val="auto"/>
              </w:rPr>
            </w:pPr>
          </w:p>
        </w:tc>
        <w:tc>
          <w:tcPr>
            <w:tcW w:w="1000" w:type="dxa"/>
            <w:vAlign w:val="bottom"/>
            <w:shd w:val="clear" w:color="auto" w:fill="D8D8D8"/>
          </w:tcPr>
          <w:p>
            <w:pPr>
              <w:spacing w:after="0"/>
              <w:rPr>
                <w:sz w:val="10"/>
                <w:szCs w:val="10"/>
                <w:color w:val="auto"/>
              </w:rPr>
            </w:pPr>
          </w:p>
        </w:tc>
        <w:tc>
          <w:tcPr>
            <w:tcW w:w="920" w:type="dxa"/>
            <w:vAlign w:val="bottom"/>
            <w:shd w:val="clear" w:color="auto" w:fill="D8D8D8"/>
          </w:tcPr>
          <w:p>
            <w:pPr>
              <w:jc w:val="center"/>
              <w:spacing w:after="0" w:line="120" w:lineRule="exact"/>
              <w:rPr>
                <w:sz w:val="20"/>
                <w:szCs w:val="20"/>
                <w:color w:val="auto"/>
              </w:rPr>
            </w:pPr>
            <w:r>
              <w:rPr>
                <w:rFonts w:ascii="Arial" w:cs="Arial" w:eastAsia="Arial" w:hAnsi="Arial"/>
                <w:sz w:val="12"/>
                <w:szCs w:val="12"/>
                <w:color w:val="auto"/>
              </w:rPr>
              <w:t>other than</w:t>
            </w:r>
          </w:p>
        </w:tc>
        <w:tc>
          <w:tcPr>
            <w:tcW w:w="1040" w:type="dxa"/>
            <w:vAlign w:val="bottom"/>
            <w:shd w:val="clear" w:color="auto" w:fill="D8D8D8"/>
          </w:tcPr>
          <w:p>
            <w:pPr>
              <w:spacing w:after="0"/>
              <w:rPr>
                <w:sz w:val="10"/>
                <w:szCs w:val="10"/>
                <w:color w:val="auto"/>
              </w:rPr>
            </w:pPr>
          </w:p>
        </w:tc>
        <w:tc>
          <w:tcPr>
            <w:tcW w:w="880" w:type="dxa"/>
            <w:vAlign w:val="bottom"/>
            <w:shd w:val="clear" w:color="auto" w:fill="D8D8D8"/>
          </w:tcPr>
          <w:p>
            <w:pPr>
              <w:spacing w:after="0"/>
              <w:rPr>
                <w:sz w:val="10"/>
                <w:szCs w:val="10"/>
                <w:color w:val="auto"/>
              </w:rPr>
            </w:pPr>
          </w:p>
        </w:tc>
        <w:tc>
          <w:tcPr>
            <w:tcW w:w="980" w:type="dxa"/>
            <w:vAlign w:val="bottom"/>
            <w:shd w:val="clear" w:color="auto" w:fill="D8D8D8"/>
          </w:tcPr>
          <w:p>
            <w:pPr>
              <w:spacing w:after="0"/>
              <w:rPr>
                <w:sz w:val="10"/>
                <w:szCs w:val="10"/>
                <w:color w:val="auto"/>
              </w:rPr>
            </w:pPr>
          </w:p>
        </w:tc>
        <w:tc>
          <w:tcPr>
            <w:tcW w:w="820" w:type="dxa"/>
            <w:vAlign w:val="bottom"/>
            <w:shd w:val="clear" w:color="auto" w:fill="D8D8D8"/>
          </w:tcPr>
          <w:p>
            <w:pPr>
              <w:jc w:val="center"/>
              <w:spacing w:after="0" w:line="120" w:lineRule="exact"/>
              <w:rPr>
                <w:sz w:val="20"/>
                <w:szCs w:val="20"/>
                <w:color w:val="auto"/>
              </w:rPr>
            </w:pPr>
            <w:r>
              <w:rPr>
                <w:rFonts w:ascii="Arial" w:cs="Arial" w:eastAsia="Arial" w:hAnsi="Arial"/>
                <w:sz w:val="12"/>
                <w:szCs w:val="12"/>
                <w:color w:val="auto"/>
              </w:rPr>
              <w:t>McCollum</w:t>
            </w:r>
          </w:p>
        </w:tc>
        <w:tc>
          <w:tcPr>
            <w:tcW w:w="1040" w:type="dxa"/>
            <w:vAlign w:val="bottom"/>
            <w:shd w:val="clear" w:color="auto" w:fill="D8D8D8"/>
          </w:tcPr>
          <w:p>
            <w:pPr>
              <w:spacing w:after="0"/>
              <w:rPr>
                <w:sz w:val="10"/>
                <w:szCs w:val="10"/>
                <w:color w:val="auto"/>
              </w:rPr>
            </w:pPr>
          </w:p>
        </w:tc>
        <w:tc>
          <w:tcPr>
            <w:tcW w:w="134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60" w:type="dxa"/>
            <w:vAlign w:val="bottom"/>
            <w:tcBorders>
              <w:bottom w:val="single" w:sz="8" w:color="auto"/>
            </w:tcBorders>
            <w:shd w:val="clear" w:color="auto" w:fill="F2F2F2"/>
          </w:tcPr>
          <w:p>
            <w:pPr>
              <w:ind w:left="1140"/>
              <w:spacing w:after="0"/>
              <w:rPr>
                <w:sz w:val="20"/>
                <w:szCs w:val="20"/>
                <w:color w:val="auto"/>
              </w:rPr>
            </w:pPr>
            <w:r>
              <w:rPr>
                <w:rFonts w:ascii="Arial" w:cs="Arial" w:eastAsia="Arial" w:hAnsi="Arial"/>
                <w:sz w:val="12"/>
                <w:szCs w:val="12"/>
                <w:b w:val="1"/>
                <w:bCs w:val="1"/>
                <w:color w:val="auto"/>
              </w:rPr>
              <w:t>Elements</w:t>
            </w:r>
          </w:p>
        </w:tc>
        <w:tc>
          <w:tcPr>
            <w:tcW w:w="100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2"/>
                <w:szCs w:val="12"/>
                <w:color w:val="auto"/>
              </w:rPr>
              <w:t>All NEOs</w:t>
            </w:r>
          </w:p>
        </w:tc>
        <w:tc>
          <w:tcPr>
            <w:tcW w:w="92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2"/>
                <w:szCs w:val="12"/>
                <w:color w:val="auto"/>
              </w:rPr>
              <w:t>Mr. Mills</w:t>
            </w:r>
          </w:p>
        </w:tc>
        <w:tc>
          <w:tcPr>
            <w:tcW w:w="1040" w:type="dxa"/>
            <w:vAlign w:val="bottom"/>
            <w:tcBorders>
              <w:bottom w:val="single" w:sz="8" w:color="auto"/>
            </w:tcBorders>
            <w:shd w:val="clear" w:color="auto" w:fill="D8D8D8"/>
          </w:tcPr>
          <w:p>
            <w:pPr>
              <w:ind w:left="300"/>
              <w:spacing w:after="0"/>
              <w:rPr>
                <w:sz w:val="20"/>
                <w:szCs w:val="20"/>
                <w:color w:val="auto"/>
              </w:rPr>
            </w:pPr>
            <w:r>
              <w:rPr>
                <w:rFonts w:ascii="Arial" w:cs="Arial" w:eastAsia="Arial" w:hAnsi="Arial"/>
                <w:sz w:val="12"/>
                <w:szCs w:val="12"/>
                <w:color w:val="auto"/>
              </w:rPr>
              <w:t>Mr. Mills</w:t>
            </w:r>
          </w:p>
        </w:tc>
        <w:tc>
          <w:tcPr>
            <w:tcW w:w="880" w:type="dxa"/>
            <w:vAlign w:val="bottom"/>
            <w:tcBorders>
              <w:bottom w:val="single" w:sz="8" w:color="auto"/>
            </w:tcBorders>
            <w:shd w:val="clear" w:color="auto" w:fill="D8D8D8"/>
          </w:tcPr>
          <w:p>
            <w:pPr>
              <w:ind w:left="60"/>
              <w:spacing w:after="0"/>
              <w:rPr>
                <w:sz w:val="20"/>
                <w:szCs w:val="20"/>
                <w:color w:val="auto"/>
              </w:rPr>
            </w:pPr>
            <w:r>
              <w:rPr>
                <w:rFonts w:ascii="Arial" w:cs="Arial" w:eastAsia="Arial" w:hAnsi="Arial"/>
                <w:sz w:val="12"/>
                <w:szCs w:val="12"/>
                <w:color w:val="auto"/>
              </w:rPr>
              <w:t>Mr. McCollum</w:t>
            </w:r>
          </w:p>
        </w:tc>
        <w:tc>
          <w:tcPr>
            <w:tcW w:w="980" w:type="dxa"/>
            <w:vAlign w:val="bottom"/>
            <w:tcBorders>
              <w:bottom w:val="single" w:sz="8" w:color="auto"/>
            </w:tcBorders>
            <w:shd w:val="clear" w:color="auto" w:fill="D8D8D8"/>
          </w:tcPr>
          <w:p>
            <w:pPr>
              <w:ind w:left="200"/>
              <w:spacing w:after="0"/>
              <w:rPr>
                <w:sz w:val="20"/>
                <w:szCs w:val="20"/>
                <w:color w:val="auto"/>
              </w:rPr>
            </w:pPr>
            <w:r>
              <w:rPr>
                <w:rFonts w:ascii="Arial" w:cs="Arial" w:eastAsia="Arial" w:hAnsi="Arial"/>
                <w:sz w:val="12"/>
                <w:szCs w:val="12"/>
                <w:color w:val="auto"/>
              </w:rPr>
              <w:t>Mr. Mills(3)</w:t>
            </w:r>
          </w:p>
        </w:tc>
        <w:tc>
          <w:tcPr>
            <w:tcW w:w="82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2"/>
                <w:szCs w:val="12"/>
                <w:color w:val="auto"/>
              </w:rPr>
              <w:t>and Mills(5)</w:t>
            </w:r>
          </w:p>
        </w:tc>
        <w:tc>
          <w:tcPr>
            <w:tcW w:w="104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2"/>
                <w:szCs w:val="12"/>
                <w:color w:val="auto"/>
              </w:rPr>
              <w:t>All NEOs</w:t>
            </w:r>
          </w:p>
        </w:tc>
        <w:tc>
          <w:tcPr>
            <w:tcW w:w="134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2"/>
                <w:szCs w:val="12"/>
                <w:color w:val="auto"/>
              </w:rPr>
              <w:t>All NEOs</w:t>
            </w:r>
          </w:p>
        </w:tc>
        <w:tc>
          <w:tcPr>
            <w:tcW w:w="0" w:type="dxa"/>
            <w:vAlign w:val="bottom"/>
          </w:tcPr>
          <w:p>
            <w:pPr>
              <w:spacing w:after="0"/>
              <w:rPr>
                <w:sz w:val="1"/>
                <w:szCs w:val="1"/>
                <w:color w:val="auto"/>
              </w:rPr>
            </w:pPr>
          </w:p>
        </w:tc>
      </w:tr>
      <w:tr>
        <w:trPr>
          <w:trHeight w:val="121"/>
        </w:trPr>
        <w:tc>
          <w:tcPr>
            <w:tcW w:w="2860" w:type="dxa"/>
            <w:vAlign w:val="bottom"/>
            <w:shd w:val="clear" w:color="auto" w:fill="F2F2F2"/>
          </w:tcPr>
          <w:p>
            <w:pPr>
              <w:ind w:left="60"/>
              <w:spacing w:after="0" w:line="121" w:lineRule="exact"/>
              <w:rPr>
                <w:sz w:val="20"/>
                <w:szCs w:val="20"/>
                <w:color w:val="auto"/>
              </w:rPr>
            </w:pPr>
            <w:r>
              <w:rPr>
                <w:rFonts w:ascii="Arial" w:cs="Arial" w:eastAsia="Arial" w:hAnsi="Arial"/>
                <w:sz w:val="12"/>
                <w:szCs w:val="12"/>
                <w:b w:val="1"/>
                <w:bCs w:val="1"/>
                <w:color w:val="auto"/>
              </w:rPr>
              <w:t>Base Salary</w:t>
            </w:r>
          </w:p>
        </w:tc>
        <w:tc>
          <w:tcPr>
            <w:tcW w:w="1000" w:type="dxa"/>
            <w:vAlign w:val="bottom"/>
          </w:tcPr>
          <w:p>
            <w:pPr>
              <w:ind w:left="100"/>
              <w:spacing w:after="0" w:line="121" w:lineRule="exact"/>
              <w:rPr>
                <w:sz w:val="20"/>
                <w:szCs w:val="20"/>
                <w:color w:val="auto"/>
              </w:rPr>
            </w:pPr>
            <w:r>
              <w:rPr>
                <w:rFonts w:ascii="Arial" w:cs="Arial" w:eastAsia="Arial" w:hAnsi="Arial"/>
                <w:sz w:val="12"/>
                <w:szCs w:val="12"/>
                <w:color w:val="auto"/>
              </w:rPr>
              <w:t>Ceases</w:t>
            </w:r>
          </w:p>
        </w:tc>
        <w:tc>
          <w:tcPr>
            <w:tcW w:w="920" w:type="dxa"/>
            <w:vAlign w:val="bottom"/>
          </w:tcPr>
          <w:p>
            <w:pPr>
              <w:ind w:left="60"/>
              <w:spacing w:after="0" w:line="121" w:lineRule="exact"/>
              <w:rPr>
                <w:sz w:val="20"/>
                <w:szCs w:val="20"/>
                <w:color w:val="auto"/>
              </w:rPr>
            </w:pPr>
            <w:r>
              <w:rPr>
                <w:rFonts w:ascii="Arial" w:cs="Arial" w:eastAsia="Arial" w:hAnsi="Arial"/>
                <w:sz w:val="12"/>
                <w:szCs w:val="12"/>
                <w:color w:val="auto"/>
              </w:rPr>
              <w:t>Ceases</w:t>
            </w:r>
          </w:p>
        </w:tc>
        <w:tc>
          <w:tcPr>
            <w:tcW w:w="1040" w:type="dxa"/>
            <w:vAlign w:val="bottom"/>
          </w:tcPr>
          <w:p>
            <w:pPr>
              <w:ind w:left="60"/>
              <w:spacing w:after="0" w:line="121" w:lineRule="exact"/>
              <w:rPr>
                <w:sz w:val="20"/>
                <w:szCs w:val="20"/>
                <w:color w:val="auto"/>
              </w:rPr>
            </w:pPr>
            <w:r>
              <w:rPr>
                <w:rFonts w:ascii="Arial" w:cs="Arial" w:eastAsia="Arial" w:hAnsi="Arial"/>
                <w:sz w:val="12"/>
                <w:szCs w:val="12"/>
                <w:color w:val="auto"/>
              </w:rPr>
              <w:t>Ceases</w:t>
            </w:r>
          </w:p>
        </w:tc>
        <w:tc>
          <w:tcPr>
            <w:tcW w:w="880" w:type="dxa"/>
            <w:vAlign w:val="bottom"/>
          </w:tcPr>
          <w:p>
            <w:pPr>
              <w:ind w:left="60"/>
              <w:spacing w:after="0" w:line="121" w:lineRule="exact"/>
              <w:rPr>
                <w:sz w:val="20"/>
                <w:szCs w:val="20"/>
                <w:color w:val="auto"/>
              </w:rPr>
            </w:pPr>
            <w:r>
              <w:rPr>
                <w:rFonts w:ascii="Arial" w:cs="Arial" w:eastAsia="Arial" w:hAnsi="Arial"/>
                <w:sz w:val="12"/>
                <w:szCs w:val="12"/>
                <w:color w:val="auto"/>
              </w:rPr>
              <w:t>Ceases</w:t>
            </w:r>
          </w:p>
        </w:tc>
        <w:tc>
          <w:tcPr>
            <w:tcW w:w="980" w:type="dxa"/>
            <w:vAlign w:val="bottom"/>
          </w:tcPr>
          <w:p>
            <w:pPr>
              <w:ind w:left="60"/>
              <w:spacing w:after="0" w:line="121" w:lineRule="exact"/>
              <w:rPr>
                <w:sz w:val="20"/>
                <w:szCs w:val="20"/>
                <w:color w:val="auto"/>
              </w:rPr>
            </w:pPr>
            <w:r>
              <w:rPr>
                <w:rFonts w:ascii="Arial" w:cs="Arial" w:eastAsia="Arial" w:hAnsi="Arial"/>
                <w:sz w:val="12"/>
                <w:szCs w:val="12"/>
                <w:color w:val="auto"/>
              </w:rPr>
              <w:t>Ceases</w:t>
            </w:r>
          </w:p>
        </w:tc>
        <w:tc>
          <w:tcPr>
            <w:tcW w:w="820" w:type="dxa"/>
            <w:vAlign w:val="bottom"/>
          </w:tcPr>
          <w:p>
            <w:pPr>
              <w:ind w:left="60"/>
              <w:spacing w:after="0" w:line="121" w:lineRule="exact"/>
              <w:rPr>
                <w:sz w:val="20"/>
                <w:szCs w:val="20"/>
                <w:color w:val="auto"/>
              </w:rPr>
            </w:pPr>
            <w:r>
              <w:rPr>
                <w:rFonts w:ascii="Arial" w:cs="Arial" w:eastAsia="Arial" w:hAnsi="Arial"/>
                <w:sz w:val="12"/>
                <w:szCs w:val="12"/>
                <w:color w:val="auto"/>
              </w:rPr>
              <w:t>Ceases</w:t>
            </w:r>
          </w:p>
        </w:tc>
        <w:tc>
          <w:tcPr>
            <w:tcW w:w="1040" w:type="dxa"/>
            <w:vAlign w:val="bottom"/>
          </w:tcPr>
          <w:p>
            <w:pPr>
              <w:ind w:left="60"/>
              <w:spacing w:after="0" w:line="121" w:lineRule="exact"/>
              <w:rPr>
                <w:sz w:val="20"/>
                <w:szCs w:val="20"/>
                <w:color w:val="auto"/>
              </w:rPr>
            </w:pPr>
            <w:r>
              <w:rPr>
                <w:rFonts w:ascii="Arial" w:cs="Arial" w:eastAsia="Arial" w:hAnsi="Arial"/>
                <w:sz w:val="12"/>
                <w:szCs w:val="12"/>
                <w:color w:val="auto"/>
              </w:rPr>
              <w:t>Continues</w:t>
            </w:r>
          </w:p>
        </w:tc>
        <w:tc>
          <w:tcPr>
            <w:tcW w:w="1340" w:type="dxa"/>
            <w:vAlign w:val="bottom"/>
          </w:tcPr>
          <w:p>
            <w:pPr>
              <w:ind w:left="40"/>
              <w:spacing w:after="0" w:line="121" w:lineRule="exact"/>
              <w:rPr>
                <w:sz w:val="20"/>
                <w:szCs w:val="20"/>
                <w:color w:val="auto"/>
              </w:rPr>
            </w:pPr>
            <w:r>
              <w:rPr>
                <w:rFonts w:ascii="Arial" w:cs="Arial" w:eastAsia="Arial" w:hAnsi="Arial"/>
                <w:sz w:val="12"/>
                <w:szCs w:val="12"/>
                <w:color w:val="auto"/>
              </w:rPr>
              <w:t>Ceases immediately</w:t>
            </w:r>
          </w:p>
        </w:tc>
        <w:tc>
          <w:tcPr>
            <w:tcW w:w="0" w:type="dxa"/>
            <w:vAlign w:val="bottom"/>
          </w:tcPr>
          <w:p>
            <w:pPr>
              <w:spacing w:after="0"/>
              <w:rPr>
                <w:sz w:val="1"/>
                <w:szCs w:val="1"/>
                <w:color w:val="auto"/>
              </w:rPr>
            </w:pPr>
          </w:p>
        </w:tc>
      </w:tr>
      <w:tr>
        <w:trPr>
          <w:trHeight w:val="139"/>
        </w:trPr>
        <w:tc>
          <w:tcPr>
            <w:tcW w:w="2860" w:type="dxa"/>
            <w:vAlign w:val="bottom"/>
            <w:tcBorders>
              <w:bottom w:val="single" w:sz="8" w:color="666666"/>
            </w:tcBorders>
            <w:shd w:val="clear" w:color="auto" w:fill="F2F2F2"/>
          </w:tcPr>
          <w:p>
            <w:pPr>
              <w:spacing w:after="0"/>
              <w:rPr>
                <w:sz w:val="12"/>
                <w:szCs w:val="12"/>
                <w:color w:val="auto"/>
              </w:rPr>
            </w:pPr>
          </w:p>
        </w:tc>
        <w:tc>
          <w:tcPr>
            <w:tcW w:w="1000" w:type="dxa"/>
            <w:vAlign w:val="bottom"/>
            <w:tcBorders>
              <w:bottom w:val="single" w:sz="8" w:color="666666"/>
            </w:tcBorders>
          </w:tcPr>
          <w:p>
            <w:pPr>
              <w:ind w:left="100"/>
              <w:spacing w:after="0"/>
              <w:rPr>
                <w:sz w:val="20"/>
                <w:szCs w:val="20"/>
                <w:color w:val="auto"/>
              </w:rPr>
            </w:pPr>
            <w:r>
              <w:rPr>
                <w:rFonts w:ascii="Arial" w:cs="Arial" w:eastAsia="Arial" w:hAnsi="Arial"/>
                <w:sz w:val="12"/>
                <w:szCs w:val="12"/>
                <w:color w:val="auto"/>
              </w:rPr>
              <w:t>immediately</w:t>
            </w:r>
          </w:p>
        </w:tc>
        <w:tc>
          <w:tcPr>
            <w:tcW w:w="920" w:type="dxa"/>
            <w:vAlign w:val="bottom"/>
            <w:tcBorders>
              <w:bottom w:val="single" w:sz="8" w:color="666666"/>
            </w:tcBorders>
          </w:tcPr>
          <w:p>
            <w:pPr>
              <w:ind w:left="60"/>
              <w:spacing w:after="0"/>
              <w:rPr>
                <w:sz w:val="20"/>
                <w:szCs w:val="20"/>
                <w:color w:val="auto"/>
              </w:rPr>
            </w:pPr>
            <w:r>
              <w:rPr>
                <w:rFonts w:ascii="Arial" w:cs="Arial" w:eastAsia="Arial" w:hAnsi="Arial"/>
                <w:sz w:val="12"/>
                <w:szCs w:val="12"/>
                <w:color w:val="auto"/>
              </w:rPr>
              <w:t>immediately(6)</w:t>
            </w:r>
          </w:p>
        </w:tc>
        <w:tc>
          <w:tcPr>
            <w:tcW w:w="1040" w:type="dxa"/>
            <w:vAlign w:val="bottom"/>
            <w:tcBorders>
              <w:bottom w:val="single" w:sz="8" w:color="666666"/>
            </w:tcBorders>
          </w:tcPr>
          <w:p>
            <w:pPr>
              <w:ind w:left="60"/>
              <w:spacing w:after="0"/>
              <w:rPr>
                <w:sz w:val="20"/>
                <w:szCs w:val="20"/>
                <w:color w:val="auto"/>
              </w:rPr>
            </w:pPr>
            <w:r>
              <w:rPr>
                <w:rFonts w:ascii="Arial" w:cs="Arial" w:eastAsia="Arial" w:hAnsi="Arial"/>
                <w:sz w:val="12"/>
                <w:szCs w:val="12"/>
                <w:color w:val="auto"/>
              </w:rPr>
              <w:t>immediately</w:t>
            </w:r>
          </w:p>
        </w:tc>
        <w:tc>
          <w:tcPr>
            <w:tcW w:w="880" w:type="dxa"/>
            <w:vAlign w:val="bottom"/>
            <w:tcBorders>
              <w:bottom w:val="single" w:sz="8" w:color="666666"/>
            </w:tcBorders>
          </w:tcPr>
          <w:p>
            <w:pPr>
              <w:ind w:left="60"/>
              <w:spacing w:after="0"/>
              <w:rPr>
                <w:sz w:val="20"/>
                <w:szCs w:val="20"/>
                <w:color w:val="auto"/>
              </w:rPr>
            </w:pPr>
            <w:r>
              <w:rPr>
                <w:rFonts w:ascii="Arial" w:cs="Arial" w:eastAsia="Arial" w:hAnsi="Arial"/>
                <w:sz w:val="12"/>
                <w:szCs w:val="12"/>
                <w:color w:val="auto"/>
              </w:rPr>
              <w:t>immediately</w:t>
            </w:r>
          </w:p>
        </w:tc>
        <w:tc>
          <w:tcPr>
            <w:tcW w:w="980" w:type="dxa"/>
            <w:vAlign w:val="bottom"/>
            <w:tcBorders>
              <w:bottom w:val="single" w:sz="8" w:color="666666"/>
            </w:tcBorders>
          </w:tcPr>
          <w:p>
            <w:pPr>
              <w:ind w:left="60"/>
              <w:spacing w:after="0"/>
              <w:rPr>
                <w:sz w:val="20"/>
                <w:szCs w:val="20"/>
                <w:color w:val="auto"/>
              </w:rPr>
            </w:pPr>
            <w:r>
              <w:rPr>
                <w:rFonts w:ascii="Arial" w:cs="Arial" w:eastAsia="Arial" w:hAnsi="Arial"/>
                <w:sz w:val="12"/>
                <w:szCs w:val="12"/>
                <w:color w:val="auto"/>
              </w:rPr>
              <w:t>immediately</w:t>
            </w:r>
          </w:p>
        </w:tc>
        <w:tc>
          <w:tcPr>
            <w:tcW w:w="820" w:type="dxa"/>
            <w:vAlign w:val="bottom"/>
            <w:tcBorders>
              <w:bottom w:val="single" w:sz="8" w:color="666666"/>
            </w:tcBorders>
          </w:tcPr>
          <w:p>
            <w:pPr>
              <w:ind w:left="60"/>
              <w:spacing w:after="0"/>
              <w:rPr>
                <w:sz w:val="20"/>
                <w:szCs w:val="20"/>
                <w:color w:val="auto"/>
              </w:rPr>
            </w:pPr>
            <w:r>
              <w:rPr>
                <w:rFonts w:ascii="Arial" w:cs="Arial" w:eastAsia="Arial" w:hAnsi="Arial"/>
                <w:sz w:val="12"/>
                <w:szCs w:val="12"/>
                <w:color w:val="auto"/>
              </w:rPr>
              <w:t>immediately</w:t>
            </w:r>
          </w:p>
        </w:tc>
        <w:tc>
          <w:tcPr>
            <w:tcW w:w="1040" w:type="dxa"/>
            <w:vAlign w:val="bottom"/>
            <w:tcBorders>
              <w:bottom w:val="single" w:sz="8" w:color="666666"/>
            </w:tcBorders>
          </w:tcPr>
          <w:p>
            <w:pPr>
              <w:spacing w:after="0"/>
              <w:rPr>
                <w:sz w:val="12"/>
                <w:szCs w:val="12"/>
                <w:color w:val="auto"/>
              </w:rPr>
            </w:pPr>
          </w:p>
        </w:tc>
        <w:tc>
          <w:tcPr>
            <w:tcW w:w="134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860" w:type="dxa"/>
            <w:vAlign w:val="bottom"/>
            <w:shd w:val="clear" w:color="auto" w:fill="F2F2F2"/>
          </w:tcPr>
          <w:p>
            <w:pPr>
              <w:ind w:left="60"/>
              <w:spacing w:after="0" w:line="121" w:lineRule="exact"/>
              <w:rPr>
                <w:sz w:val="20"/>
                <w:szCs w:val="20"/>
                <w:color w:val="auto"/>
              </w:rPr>
            </w:pPr>
            <w:r>
              <w:rPr>
                <w:rFonts w:ascii="Arial" w:cs="Arial" w:eastAsia="Arial" w:hAnsi="Arial"/>
                <w:sz w:val="12"/>
                <w:szCs w:val="12"/>
                <w:b w:val="1"/>
                <w:bCs w:val="1"/>
                <w:color w:val="auto"/>
              </w:rPr>
              <w:t>Cash Severance</w:t>
            </w:r>
          </w:p>
        </w:tc>
        <w:tc>
          <w:tcPr>
            <w:tcW w:w="1000" w:type="dxa"/>
            <w:vAlign w:val="bottom"/>
          </w:tcPr>
          <w:p>
            <w:pPr>
              <w:ind w:left="100"/>
              <w:spacing w:after="0" w:line="121" w:lineRule="exact"/>
              <w:rPr>
                <w:sz w:val="20"/>
                <w:szCs w:val="20"/>
                <w:color w:val="auto"/>
              </w:rPr>
            </w:pPr>
            <w:r>
              <w:rPr>
                <w:rFonts w:ascii="Arial" w:cs="Arial" w:eastAsia="Arial" w:hAnsi="Arial"/>
                <w:sz w:val="12"/>
                <w:szCs w:val="12"/>
                <w:color w:val="auto"/>
              </w:rPr>
              <w:t>None</w:t>
            </w:r>
          </w:p>
        </w:tc>
        <w:tc>
          <w:tcPr>
            <w:tcW w:w="920" w:type="dxa"/>
            <w:vAlign w:val="bottom"/>
          </w:tcPr>
          <w:p>
            <w:pPr>
              <w:ind w:left="60"/>
              <w:spacing w:after="0" w:line="121" w:lineRule="exact"/>
              <w:rPr>
                <w:sz w:val="20"/>
                <w:szCs w:val="20"/>
                <w:color w:val="auto"/>
              </w:rPr>
            </w:pPr>
            <w:r>
              <w:rPr>
                <w:rFonts w:ascii="Arial" w:cs="Arial" w:eastAsia="Arial" w:hAnsi="Arial"/>
                <w:sz w:val="12"/>
                <w:szCs w:val="12"/>
                <w:color w:val="auto"/>
              </w:rPr>
              <w:t>None</w:t>
            </w:r>
          </w:p>
        </w:tc>
        <w:tc>
          <w:tcPr>
            <w:tcW w:w="1040" w:type="dxa"/>
            <w:vAlign w:val="bottom"/>
          </w:tcPr>
          <w:p>
            <w:pPr>
              <w:ind w:left="60"/>
              <w:spacing w:after="0" w:line="121" w:lineRule="exact"/>
              <w:rPr>
                <w:sz w:val="20"/>
                <w:szCs w:val="20"/>
                <w:color w:val="auto"/>
              </w:rPr>
            </w:pPr>
            <w:r>
              <w:rPr>
                <w:rFonts w:ascii="Arial" w:cs="Arial" w:eastAsia="Arial" w:hAnsi="Arial"/>
                <w:sz w:val="12"/>
                <w:szCs w:val="12"/>
                <w:color w:val="auto"/>
              </w:rPr>
              <w:t>1x (salary plus</w:t>
            </w:r>
          </w:p>
        </w:tc>
        <w:tc>
          <w:tcPr>
            <w:tcW w:w="880" w:type="dxa"/>
            <w:vAlign w:val="bottom"/>
          </w:tcPr>
          <w:p>
            <w:pPr>
              <w:ind w:left="60"/>
              <w:spacing w:after="0" w:line="121" w:lineRule="exact"/>
              <w:rPr>
                <w:sz w:val="20"/>
                <w:szCs w:val="20"/>
                <w:color w:val="auto"/>
              </w:rPr>
            </w:pPr>
            <w:r>
              <w:rPr>
                <w:rFonts w:ascii="Arial" w:cs="Arial" w:eastAsia="Arial" w:hAnsi="Arial"/>
                <w:sz w:val="12"/>
                <w:szCs w:val="12"/>
                <w:color w:val="auto"/>
              </w:rPr>
              <w:t>2x salary</w:t>
            </w:r>
          </w:p>
        </w:tc>
        <w:tc>
          <w:tcPr>
            <w:tcW w:w="980" w:type="dxa"/>
            <w:vAlign w:val="bottom"/>
          </w:tcPr>
          <w:p>
            <w:pPr>
              <w:ind w:left="60"/>
              <w:spacing w:after="0" w:line="121" w:lineRule="exact"/>
              <w:rPr>
                <w:sz w:val="20"/>
                <w:szCs w:val="20"/>
                <w:color w:val="auto"/>
              </w:rPr>
            </w:pPr>
            <w:r>
              <w:rPr>
                <w:rFonts w:ascii="Arial" w:cs="Arial" w:eastAsia="Arial" w:hAnsi="Arial"/>
                <w:sz w:val="12"/>
                <w:szCs w:val="12"/>
                <w:color w:val="auto"/>
              </w:rPr>
              <w:t>2x (salary plus</w:t>
            </w:r>
          </w:p>
        </w:tc>
        <w:tc>
          <w:tcPr>
            <w:tcW w:w="820" w:type="dxa"/>
            <w:vAlign w:val="bottom"/>
          </w:tcPr>
          <w:p>
            <w:pPr>
              <w:ind w:left="60"/>
              <w:spacing w:after="0" w:line="121" w:lineRule="exact"/>
              <w:rPr>
                <w:sz w:val="20"/>
                <w:szCs w:val="20"/>
                <w:color w:val="auto"/>
              </w:rPr>
            </w:pPr>
            <w:r>
              <w:rPr>
                <w:rFonts w:ascii="Arial" w:cs="Arial" w:eastAsia="Arial" w:hAnsi="Arial"/>
                <w:sz w:val="12"/>
                <w:szCs w:val="12"/>
                <w:color w:val="auto"/>
              </w:rPr>
              <w:t>1x to 1.5x</w:t>
            </w:r>
          </w:p>
        </w:tc>
        <w:tc>
          <w:tcPr>
            <w:tcW w:w="1040" w:type="dxa"/>
            <w:vAlign w:val="bottom"/>
          </w:tcPr>
          <w:p>
            <w:pPr>
              <w:ind w:left="60"/>
              <w:spacing w:after="0" w:line="121" w:lineRule="exact"/>
              <w:rPr>
                <w:sz w:val="20"/>
                <w:szCs w:val="20"/>
                <w:color w:val="auto"/>
              </w:rPr>
            </w:pPr>
            <w:r>
              <w:rPr>
                <w:rFonts w:ascii="Arial" w:cs="Arial" w:eastAsia="Arial" w:hAnsi="Arial"/>
                <w:sz w:val="12"/>
                <w:szCs w:val="12"/>
                <w:color w:val="auto"/>
              </w:rPr>
              <w:t>None</w:t>
            </w:r>
          </w:p>
        </w:tc>
        <w:tc>
          <w:tcPr>
            <w:tcW w:w="1340" w:type="dxa"/>
            <w:vAlign w:val="bottom"/>
          </w:tcPr>
          <w:p>
            <w:pPr>
              <w:ind w:left="40"/>
              <w:spacing w:after="0" w:line="121" w:lineRule="exact"/>
              <w:rPr>
                <w:sz w:val="20"/>
                <w:szCs w:val="20"/>
                <w:color w:val="auto"/>
              </w:rPr>
            </w:pPr>
            <w:r>
              <w:rPr>
                <w:rFonts w:ascii="Arial" w:cs="Arial" w:eastAsia="Arial" w:hAnsi="Arial"/>
                <w:sz w:val="12"/>
                <w:szCs w:val="12"/>
                <w:color w:val="auto"/>
              </w:rPr>
              <w:t>3x (salary plus target/</w:t>
            </w:r>
          </w:p>
        </w:tc>
        <w:tc>
          <w:tcPr>
            <w:tcW w:w="0" w:type="dxa"/>
            <w:vAlign w:val="bottom"/>
          </w:tcPr>
          <w:p>
            <w:pPr>
              <w:spacing w:after="0"/>
              <w:rPr>
                <w:sz w:val="1"/>
                <w:szCs w:val="1"/>
                <w:color w:val="auto"/>
              </w:rPr>
            </w:pPr>
          </w:p>
        </w:tc>
      </w:tr>
      <w:tr>
        <w:trPr>
          <w:trHeight w:val="134"/>
        </w:trPr>
        <w:tc>
          <w:tcPr>
            <w:tcW w:w="2860" w:type="dxa"/>
            <w:vAlign w:val="bottom"/>
            <w:shd w:val="clear" w:color="auto" w:fill="F2F2F2"/>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ind w:left="60"/>
              <w:spacing w:after="0" w:line="134" w:lineRule="exact"/>
              <w:rPr>
                <w:sz w:val="20"/>
                <w:szCs w:val="20"/>
                <w:color w:val="auto"/>
              </w:rPr>
            </w:pPr>
            <w:r>
              <w:rPr>
                <w:rFonts w:ascii="Arial" w:cs="Arial" w:eastAsia="Arial" w:hAnsi="Arial"/>
                <w:sz w:val="12"/>
                <w:szCs w:val="12"/>
                <w:color w:val="auto"/>
              </w:rPr>
              <w:t>target annual</w:t>
            </w:r>
          </w:p>
        </w:tc>
        <w:tc>
          <w:tcPr>
            <w:tcW w:w="880" w:type="dxa"/>
            <w:vAlign w:val="bottom"/>
          </w:tcPr>
          <w:p>
            <w:pPr>
              <w:spacing w:after="0"/>
              <w:rPr>
                <w:sz w:val="11"/>
                <w:szCs w:val="11"/>
                <w:color w:val="auto"/>
              </w:rPr>
            </w:pPr>
          </w:p>
        </w:tc>
        <w:tc>
          <w:tcPr>
            <w:tcW w:w="980" w:type="dxa"/>
            <w:vAlign w:val="bottom"/>
          </w:tcPr>
          <w:p>
            <w:pPr>
              <w:ind w:left="60"/>
              <w:spacing w:after="0" w:line="134" w:lineRule="exact"/>
              <w:rPr>
                <w:sz w:val="20"/>
                <w:szCs w:val="20"/>
                <w:color w:val="auto"/>
              </w:rPr>
            </w:pPr>
            <w:r>
              <w:rPr>
                <w:rFonts w:ascii="Arial" w:cs="Arial" w:eastAsia="Arial" w:hAnsi="Arial"/>
                <w:sz w:val="12"/>
                <w:szCs w:val="12"/>
                <w:color w:val="auto"/>
              </w:rPr>
              <w:t>target annual</w:t>
            </w:r>
          </w:p>
        </w:tc>
        <w:tc>
          <w:tcPr>
            <w:tcW w:w="820" w:type="dxa"/>
            <w:vAlign w:val="bottom"/>
          </w:tcPr>
          <w:p>
            <w:pPr>
              <w:ind w:left="60"/>
              <w:spacing w:after="0" w:line="134" w:lineRule="exact"/>
              <w:rPr>
                <w:sz w:val="20"/>
                <w:szCs w:val="20"/>
                <w:color w:val="auto"/>
              </w:rPr>
            </w:pPr>
            <w:r>
              <w:rPr>
                <w:rFonts w:ascii="Arial" w:cs="Arial" w:eastAsia="Arial" w:hAnsi="Arial"/>
                <w:sz w:val="12"/>
                <w:szCs w:val="12"/>
                <w:color w:val="auto"/>
              </w:rPr>
              <w:t>salary</w:t>
            </w:r>
          </w:p>
        </w:tc>
        <w:tc>
          <w:tcPr>
            <w:tcW w:w="1040" w:type="dxa"/>
            <w:vAlign w:val="bottom"/>
          </w:tcPr>
          <w:p>
            <w:pPr>
              <w:spacing w:after="0"/>
              <w:rPr>
                <w:sz w:val="11"/>
                <w:szCs w:val="11"/>
                <w:color w:val="auto"/>
              </w:rPr>
            </w:pPr>
          </w:p>
        </w:tc>
        <w:tc>
          <w:tcPr>
            <w:tcW w:w="1340" w:type="dxa"/>
            <w:vAlign w:val="bottom"/>
          </w:tcPr>
          <w:p>
            <w:pPr>
              <w:ind w:left="40"/>
              <w:spacing w:after="0" w:line="134" w:lineRule="exact"/>
              <w:rPr>
                <w:sz w:val="20"/>
                <w:szCs w:val="20"/>
                <w:color w:val="auto"/>
              </w:rPr>
            </w:pPr>
            <w:r>
              <w:rPr>
                <w:rFonts w:ascii="Arial" w:cs="Arial" w:eastAsia="Arial" w:hAnsi="Arial"/>
                <w:sz w:val="12"/>
                <w:szCs w:val="12"/>
                <w:color w:val="auto"/>
              </w:rPr>
              <w:t>average annual cash</w:t>
            </w:r>
          </w:p>
        </w:tc>
        <w:tc>
          <w:tcPr>
            <w:tcW w:w="0" w:type="dxa"/>
            <w:vAlign w:val="bottom"/>
          </w:tcPr>
          <w:p>
            <w:pPr>
              <w:spacing w:after="0"/>
              <w:rPr>
                <w:sz w:val="1"/>
                <w:szCs w:val="1"/>
                <w:color w:val="auto"/>
              </w:rPr>
            </w:pPr>
          </w:p>
        </w:tc>
      </w:tr>
      <w:tr>
        <w:trPr>
          <w:trHeight w:val="134"/>
        </w:trPr>
        <w:tc>
          <w:tcPr>
            <w:tcW w:w="2860" w:type="dxa"/>
            <w:vAlign w:val="bottom"/>
            <w:shd w:val="clear" w:color="auto" w:fill="F2F2F2"/>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ind w:left="60"/>
              <w:spacing w:after="0" w:line="134" w:lineRule="exact"/>
              <w:rPr>
                <w:sz w:val="20"/>
                <w:szCs w:val="20"/>
                <w:color w:val="auto"/>
              </w:rPr>
            </w:pPr>
            <w:r>
              <w:rPr>
                <w:rFonts w:ascii="Arial" w:cs="Arial" w:eastAsia="Arial" w:hAnsi="Arial"/>
                <w:sz w:val="12"/>
                <w:szCs w:val="12"/>
                <w:color w:val="auto"/>
              </w:rPr>
              <w:t>cash incentive)</w:t>
            </w:r>
          </w:p>
        </w:tc>
        <w:tc>
          <w:tcPr>
            <w:tcW w:w="880" w:type="dxa"/>
            <w:vAlign w:val="bottom"/>
          </w:tcPr>
          <w:p>
            <w:pPr>
              <w:spacing w:after="0"/>
              <w:rPr>
                <w:sz w:val="11"/>
                <w:szCs w:val="11"/>
                <w:color w:val="auto"/>
              </w:rPr>
            </w:pPr>
          </w:p>
        </w:tc>
        <w:tc>
          <w:tcPr>
            <w:tcW w:w="980" w:type="dxa"/>
            <w:vAlign w:val="bottom"/>
          </w:tcPr>
          <w:p>
            <w:pPr>
              <w:ind w:left="60"/>
              <w:spacing w:after="0" w:line="134" w:lineRule="exact"/>
              <w:rPr>
                <w:sz w:val="20"/>
                <w:szCs w:val="20"/>
                <w:color w:val="auto"/>
              </w:rPr>
            </w:pPr>
            <w:r>
              <w:rPr>
                <w:rFonts w:ascii="Arial" w:cs="Arial" w:eastAsia="Arial" w:hAnsi="Arial"/>
                <w:sz w:val="12"/>
                <w:szCs w:val="12"/>
                <w:color w:val="auto"/>
              </w:rPr>
              <w:t>cash</w:t>
            </w: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40" w:type="dxa"/>
            <w:vAlign w:val="bottom"/>
          </w:tcPr>
          <w:p>
            <w:pPr>
              <w:ind w:left="40"/>
              <w:spacing w:after="0" w:line="134" w:lineRule="exact"/>
              <w:rPr>
                <w:sz w:val="20"/>
                <w:szCs w:val="20"/>
                <w:color w:val="auto"/>
              </w:rPr>
            </w:pPr>
            <w:r>
              <w:rPr>
                <w:rFonts w:ascii="Arial" w:cs="Arial" w:eastAsia="Arial" w:hAnsi="Arial"/>
                <w:sz w:val="12"/>
                <w:szCs w:val="12"/>
                <w:color w:val="auto"/>
              </w:rPr>
              <w:t>incentive)(8)</w:t>
            </w:r>
          </w:p>
        </w:tc>
        <w:tc>
          <w:tcPr>
            <w:tcW w:w="0" w:type="dxa"/>
            <w:vAlign w:val="bottom"/>
          </w:tcPr>
          <w:p>
            <w:pPr>
              <w:spacing w:after="0"/>
              <w:rPr>
                <w:sz w:val="1"/>
                <w:szCs w:val="1"/>
                <w:color w:val="auto"/>
              </w:rPr>
            </w:pPr>
          </w:p>
        </w:tc>
      </w:tr>
      <w:tr>
        <w:trPr>
          <w:trHeight w:val="139"/>
        </w:trPr>
        <w:tc>
          <w:tcPr>
            <w:tcW w:w="2860" w:type="dxa"/>
            <w:vAlign w:val="bottom"/>
            <w:tcBorders>
              <w:bottom w:val="single" w:sz="8" w:color="666666"/>
            </w:tcBorders>
            <w:shd w:val="clear" w:color="auto" w:fill="F2F2F2"/>
          </w:tcPr>
          <w:p>
            <w:pPr>
              <w:spacing w:after="0"/>
              <w:rPr>
                <w:sz w:val="12"/>
                <w:szCs w:val="12"/>
                <w:color w:val="auto"/>
              </w:rPr>
            </w:pPr>
          </w:p>
        </w:tc>
        <w:tc>
          <w:tcPr>
            <w:tcW w:w="1000" w:type="dxa"/>
            <w:vAlign w:val="bottom"/>
            <w:tcBorders>
              <w:bottom w:val="single" w:sz="8" w:color="666666"/>
            </w:tcBorders>
          </w:tcPr>
          <w:p>
            <w:pPr>
              <w:spacing w:after="0"/>
              <w:rPr>
                <w:sz w:val="12"/>
                <w:szCs w:val="12"/>
                <w:color w:val="auto"/>
              </w:rPr>
            </w:pPr>
          </w:p>
        </w:tc>
        <w:tc>
          <w:tcPr>
            <w:tcW w:w="920" w:type="dxa"/>
            <w:vAlign w:val="bottom"/>
            <w:tcBorders>
              <w:bottom w:val="single" w:sz="8" w:color="666666"/>
            </w:tcBorders>
          </w:tcPr>
          <w:p>
            <w:pPr>
              <w:spacing w:after="0"/>
              <w:rPr>
                <w:sz w:val="12"/>
                <w:szCs w:val="12"/>
                <w:color w:val="auto"/>
              </w:rPr>
            </w:pPr>
          </w:p>
        </w:tc>
        <w:tc>
          <w:tcPr>
            <w:tcW w:w="1040" w:type="dxa"/>
            <w:vAlign w:val="bottom"/>
            <w:tcBorders>
              <w:bottom w:val="single" w:sz="8" w:color="666666"/>
            </w:tcBorders>
          </w:tcPr>
          <w:p>
            <w:pPr>
              <w:spacing w:after="0"/>
              <w:rPr>
                <w:sz w:val="12"/>
                <w:szCs w:val="12"/>
                <w:color w:val="auto"/>
              </w:rPr>
            </w:pPr>
          </w:p>
        </w:tc>
        <w:tc>
          <w:tcPr>
            <w:tcW w:w="880" w:type="dxa"/>
            <w:vAlign w:val="bottom"/>
            <w:tcBorders>
              <w:bottom w:val="single" w:sz="8" w:color="666666"/>
            </w:tcBorders>
          </w:tcPr>
          <w:p>
            <w:pPr>
              <w:spacing w:after="0"/>
              <w:rPr>
                <w:sz w:val="12"/>
                <w:szCs w:val="12"/>
                <w:color w:val="auto"/>
              </w:rPr>
            </w:pPr>
          </w:p>
        </w:tc>
        <w:tc>
          <w:tcPr>
            <w:tcW w:w="980" w:type="dxa"/>
            <w:vAlign w:val="bottom"/>
            <w:tcBorders>
              <w:bottom w:val="single" w:sz="8" w:color="666666"/>
            </w:tcBorders>
          </w:tcPr>
          <w:p>
            <w:pPr>
              <w:ind w:left="60"/>
              <w:spacing w:after="0"/>
              <w:rPr>
                <w:sz w:val="20"/>
                <w:szCs w:val="20"/>
                <w:color w:val="auto"/>
              </w:rPr>
            </w:pPr>
            <w:r>
              <w:rPr>
                <w:rFonts w:ascii="Arial" w:cs="Arial" w:eastAsia="Arial" w:hAnsi="Arial"/>
                <w:sz w:val="12"/>
                <w:szCs w:val="12"/>
                <w:color w:val="auto"/>
              </w:rPr>
              <w:t>incentive)(7)</w:t>
            </w:r>
          </w:p>
        </w:tc>
        <w:tc>
          <w:tcPr>
            <w:tcW w:w="820" w:type="dxa"/>
            <w:vAlign w:val="bottom"/>
            <w:tcBorders>
              <w:bottom w:val="single" w:sz="8" w:color="666666"/>
            </w:tcBorders>
          </w:tcPr>
          <w:p>
            <w:pPr>
              <w:spacing w:after="0"/>
              <w:rPr>
                <w:sz w:val="12"/>
                <w:szCs w:val="12"/>
                <w:color w:val="auto"/>
              </w:rPr>
            </w:pPr>
          </w:p>
        </w:tc>
        <w:tc>
          <w:tcPr>
            <w:tcW w:w="1040" w:type="dxa"/>
            <w:vAlign w:val="bottom"/>
            <w:tcBorders>
              <w:bottom w:val="single" w:sz="8" w:color="666666"/>
            </w:tcBorders>
          </w:tcPr>
          <w:p>
            <w:pPr>
              <w:spacing w:after="0"/>
              <w:rPr>
                <w:sz w:val="12"/>
                <w:szCs w:val="12"/>
                <w:color w:val="auto"/>
              </w:rPr>
            </w:pPr>
          </w:p>
        </w:tc>
        <w:tc>
          <w:tcPr>
            <w:tcW w:w="134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860" w:type="dxa"/>
            <w:vAlign w:val="bottom"/>
            <w:shd w:val="clear" w:color="auto" w:fill="F2F2F2"/>
          </w:tcPr>
          <w:p>
            <w:pPr>
              <w:ind w:left="60"/>
              <w:spacing w:after="0" w:line="107" w:lineRule="exact"/>
              <w:rPr>
                <w:sz w:val="20"/>
                <w:szCs w:val="20"/>
                <w:color w:val="auto"/>
              </w:rPr>
            </w:pPr>
            <w:r>
              <w:rPr>
                <w:rFonts w:ascii="Arial" w:cs="Arial" w:eastAsia="Arial" w:hAnsi="Arial"/>
                <w:sz w:val="12"/>
                <w:szCs w:val="12"/>
                <w:b w:val="1"/>
                <w:bCs w:val="1"/>
                <w:color w:val="auto"/>
              </w:rPr>
              <w:t>Annual Cash Incentive</w:t>
            </w:r>
          </w:p>
        </w:tc>
        <w:tc>
          <w:tcPr>
            <w:tcW w:w="1000" w:type="dxa"/>
            <w:vAlign w:val="bottom"/>
          </w:tcPr>
          <w:p>
            <w:pPr>
              <w:ind w:left="100"/>
              <w:spacing w:after="0" w:line="107" w:lineRule="exact"/>
              <w:rPr>
                <w:sz w:val="20"/>
                <w:szCs w:val="20"/>
                <w:color w:val="auto"/>
              </w:rPr>
            </w:pPr>
            <w:r>
              <w:rPr>
                <w:rFonts w:ascii="Arial" w:cs="Arial" w:eastAsia="Arial" w:hAnsi="Arial"/>
                <w:sz w:val="12"/>
                <w:szCs w:val="12"/>
                <w:color w:val="auto"/>
              </w:rPr>
              <w:t>Forfeited</w:t>
            </w:r>
          </w:p>
        </w:tc>
        <w:tc>
          <w:tcPr>
            <w:tcW w:w="920" w:type="dxa"/>
            <w:vAlign w:val="bottom"/>
          </w:tcPr>
          <w:p>
            <w:pPr>
              <w:ind w:left="60"/>
              <w:spacing w:after="0" w:line="107" w:lineRule="exact"/>
              <w:rPr>
                <w:sz w:val="20"/>
                <w:szCs w:val="20"/>
                <w:color w:val="auto"/>
              </w:rPr>
            </w:pPr>
            <w:r>
              <w:rPr>
                <w:rFonts w:ascii="Arial" w:cs="Arial" w:eastAsia="Arial" w:hAnsi="Arial"/>
                <w:sz w:val="12"/>
                <w:szCs w:val="12"/>
                <w:color w:val="auto"/>
              </w:rPr>
              <w:t>Prorated for</w:t>
            </w:r>
          </w:p>
        </w:tc>
        <w:tc>
          <w:tcPr>
            <w:tcW w:w="1040" w:type="dxa"/>
            <w:vAlign w:val="bottom"/>
          </w:tcPr>
          <w:p>
            <w:pPr>
              <w:ind w:left="60"/>
              <w:spacing w:after="0" w:line="107" w:lineRule="exact"/>
              <w:rPr>
                <w:sz w:val="20"/>
                <w:szCs w:val="20"/>
                <w:color w:val="auto"/>
              </w:rPr>
            </w:pPr>
            <w:r>
              <w:rPr>
                <w:rFonts w:ascii="Arial" w:cs="Arial" w:eastAsia="Arial" w:hAnsi="Arial"/>
                <w:sz w:val="12"/>
                <w:szCs w:val="12"/>
                <w:color w:val="auto"/>
              </w:rPr>
              <w:t>Prorated for the</w:t>
            </w:r>
          </w:p>
        </w:tc>
        <w:tc>
          <w:tcPr>
            <w:tcW w:w="880" w:type="dxa"/>
            <w:vAlign w:val="bottom"/>
          </w:tcPr>
          <w:p>
            <w:pPr>
              <w:ind w:left="60"/>
              <w:spacing w:after="0" w:line="107" w:lineRule="exact"/>
              <w:rPr>
                <w:sz w:val="20"/>
                <w:szCs w:val="20"/>
                <w:color w:val="auto"/>
              </w:rPr>
            </w:pPr>
            <w:r>
              <w:rPr>
                <w:rFonts w:ascii="Arial" w:cs="Arial" w:eastAsia="Arial" w:hAnsi="Arial"/>
                <w:sz w:val="12"/>
                <w:szCs w:val="12"/>
                <w:color w:val="auto"/>
              </w:rPr>
              <w:t>Forfeited</w:t>
            </w:r>
          </w:p>
        </w:tc>
        <w:tc>
          <w:tcPr>
            <w:tcW w:w="980" w:type="dxa"/>
            <w:vAlign w:val="bottom"/>
          </w:tcPr>
          <w:p>
            <w:pPr>
              <w:ind w:left="60"/>
              <w:spacing w:after="0" w:line="107" w:lineRule="exact"/>
              <w:rPr>
                <w:sz w:val="20"/>
                <w:szCs w:val="20"/>
                <w:color w:val="auto"/>
              </w:rPr>
            </w:pPr>
            <w:r>
              <w:rPr>
                <w:rFonts w:ascii="Arial" w:cs="Arial" w:eastAsia="Arial" w:hAnsi="Arial"/>
                <w:sz w:val="12"/>
                <w:szCs w:val="12"/>
                <w:color w:val="auto"/>
              </w:rPr>
              <w:t>Prorated for the</w:t>
            </w:r>
          </w:p>
        </w:tc>
        <w:tc>
          <w:tcPr>
            <w:tcW w:w="820" w:type="dxa"/>
            <w:vAlign w:val="bottom"/>
          </w:tcPr>
          <w:p>
            <w:pPr>
              <w:ind w:left="60"/>
              <w:spacing w:after="0" w:line="107" w:lineRule="exact"/>
              <w:rPr>
                <w:sz w:val="20"/>
                <w:szCs w:val="20"/>
                <w:color w:val="auto"/>
              </w:rPr>
            </w:pPr>
            <w:r>
              <w:rPr>
                <w:rFonts w:ascii="Arial" w:cs="Arial" w:eastAsia="Arial" w:hAnsi="Arial"/>
                <w:sz w:val="12"/>
                <w:szCs w:val="12"/>
                <w:color w:val="auto"/>
              </w:rPr>
              <w:t>Either</w:t>
            </w:r>
          </w:p>
        </w:tc>
        <w:tc>
          <w:tcPr>
            <w:tcW w:w="1040" w:type="dxa"/>
            <w:vAlign w:val="bottom"/>
          </w:tcPr>
          <w:p>
            <w:pPr>
              <w:ind w:left="60"/>
              <w:spacing w:after="0" w:line="107" w:lineRule="exact"/>
              <w:rPr>
                <w:sz w:val="20"/>
                <w:szCs w:val="20"/>
                <w:color w:val="auto"/>
              </w:rPr>
            </w:pPr>
            <w:r>
              <w:rPr>
                <w:rFonts w:ascii="Arial" w:cs="Arial" w:eastAsia="Arial" w:hAnsi="Arial"/>
                <w:sz w:val="12"/>
                <w:szCs w:val="12"/>
                <w:color w:val="auto"/>
              </w:rPr>
              <w:t>Immediate</w:t>
            </w:r>
          </w:p>
        </w:tc>
        <w:tc>
          <w:tcPr>
            <w:tcW w:w="1340" w:type="dxa"/>
            <w:vAlign w:val="bottom"/>
          </w:tcPr>
          <w:p>
            <w:pPr>
              <w:ind w:left="40"/>
              <w:spacing w:after="0" w:line="107" w:lineRule="exact"/>
              <w:rPr>
                <w:sz w:val="20"/>
                <w:szCs w:val="20"/>
                <w:color w:val="auto"/>
              </w:rPr>
            </w:pPr>
            <w:r>
              <w:rPr>
                <w:rFonts w:ascii="Arial" w:cs="Arial" w:eastAsia="Arial" w:hAnsi="Arial"/>
                <w:sz w:val="12"/>
                <w:szCs w:val="12"/>
                <w:color w:val="auto"/>
              </w:rPr>
              <w:t>Immediate cash</w:t>
            </w:r>
          </w:p>
        </w:tc>
        <w:tc>
          <w:tcPr>
            <w:tcW w:w="0" w:type="dxa"/>
            <w:vAlign w:val="bottom"/>
          </w:tcPr>
          <w:p>
            <w:pPr>
              <w:spacing w:after="0"/>
              <w:rPr>
                <w:sz w:val="1"/>
                <w:szCs w:val="1"/>
                <w:color w:val="auto"/>
              </w:rPr>
            </w:pPr>
          </w:p>
        </w:tc>
      </w:tr>
      <w:tr>
        <w:trPr>
          <w:trHeight w:val="148"/>
        </w:trPr>
        <w:tc>
          <w:tcPr>
            <w:tcW w:w="2860" w:type="dxa"/>
            <w:vAlign w:val="bottom"/>
            <w:shd w:val="clear" w:color="auto" w:fill="F2F2F2"/>
          </w:tcPr>
          <w:p>
            <w:pPr>
              <w:ind w:left="60"/>
              <w:spacing w:after="0"/>
              <w:rPr>
                <w:sz w:val="20"/>
                <w:szCs w:val="20"/>
                <w:color w:val="auto"/>
              </w:rPr>
            </w:pPr>
            <w:r>
              <w:rPr>
                <w:rFonts w:ascii="Arial" w:cs="Arial" w:eastAsia="Arial" w:hAnsi="Arial"/>
                <w:sz w:val="12"/>
                <w:szCs w:val="12"/>
                <w:b w:val="1"/>
                <w:bCs w:val="1"/>
                <w:color w:val="auto"/>
              </w:rPr>
              <w:t>Compensation</w:t>
            </w:r>
          </w:p>
        </w:tc>
        <w:tc>
          <w:tcPr>
            <w:tcW w:w="1000" w:type="dxa"/>
            <w:vAlign w:val="bottom"/>
          </w:tcPr>
          <w:p>
            <w:pPr>
              <w:spacing w:after="0"/>
              <w:rPr>
                <w:sz w:val="12"/>
                <w:szCs w:val="12"/>
                <w:color w:val="auto"/>
              </w:rPr>
            </w:pPr>
          </w:p>
        </w:tc>
        <w:tc>
          <w:tcPr>
            <w:tcW w:w="920" w:type="dxa"/>
            <w:vAlign w:val="bottom"/>
          </w:tcPr>
          <w:p>
            <w:pPr>
              <w:ind w:left="60"/>
              <w:spacing w:after="0"/>
              <w:rPr>
                <w:sz w:val="20"/>
                <w:szCs w:val="20"/>
                <w:color w:val="auto"/>
              </w:rPr>
            </w:pPr>
            <w:r>
              <w:rPr>
                <w:rFonts w:ascii="Arial" w:cs="Arial" w:eastAsia="Arial" w:hAnsi="Arial"/>
                <w:sz w:val="12"/>
                <w:szCs w:val="12"/>
                <w:color w:val="auto"/>
              </w:rPr>
              <w:t>the year and</w:t>
            </w:r>
          </w:p>
        </w:tc>
        <w:tc>
          <w:tcPr>
            <w:tcW w:w="1040" w:type="dxa"/>
            <w:vAlign w:val="bottom"/>
          </w:tcPr>
          <w:p>
            <w:pPr>
              <w:ind w:left="60"/>
              <w:spacing w:after="0"/>
              <w:rPr>
                <w:sz w:val="20"/>
                <w:szCs w:val="20"/>
                <w:color w:val="auto"/>
              </w:rPr>
            </w:pPr>
            <w:r>
              <w:rPr>
                <w:rFonts w:ascii="Arial" w:cs="Arial" w:eastAsia="Arial" w:hAnsi="Arial"/>
                <w:sz w:val="12"/>
                <w:szCs w:val="12"/>
                <w:color w:val="auto"/>
              </w:rPr>
              <w:t>year and based</w:t>
            </w:r>
          </w:p>
        </w:tc>
        <w:tc>
          <w:tcPr>
            <w:tcW w:w="880" w:type="dxa"/>
            <w:vAlign w:val="bottom"/>
          </w:tcPr>
          <w:p>
            <w:pPr>
              <w:spacing w:after="0"/>
              <w:rPr>
                <w:sz w:val="12"/>
                <w:szCs w:val="12"/>
                <w:color w:val="auto"/>
              </w:rPr>
            </w:pPr>
          </w:p>
        </w:tc>
        <w:tc>
          <w:tcPr>
            <w:tcW w:w="980" w:type="dxa"/>
            <w:vAlign w:val="bottom"/>
          </w:tcPr>
          <w:p>
            <w:pPr>
              <w:ind w:left="60"/>
              <w:spacing w:after="0"/>
              <w:rPr>
                <w:sz w:val="20"/>
                <w:szCs w:val="20"/>
                <w:color w:val="auto"/>
              </w:rPr>
            </w:pPr>
            <w:r>
              <w:rPr>
                <w:rFonts w:ascii="Arial" w:cs="Arial" w:eastAsia="Arial" w:hAnsi="Arial"/>
                <w:sz w:val="12"/>
                <w:szCs w:val="12"/>
                <w:color w:val="auto"/>
              </w:rPr>
              <w:t>year and based</w:t>
            </w:r>
          </w:p>
        </w:tc>
        <w:tc>
          <w:tcPr>
            <w:tcW w:w="820" w:type="dxa"/>
            <w:vAlign w:val="bottom"/>
          </w:tcPr>
          <w:p>
            <w:pPr>
              <w:ind w:left="60"/>
              <w:spacing w:after="0"/>
              <w:rPr>
                <w:sz w:val="20"/>
                <w:szCs w:val="20"/>
                <w:color w:val="auto"/>
              </w:rPr>
            </w:pPr>
            <w:r>
              <w:rPr>
                <w:rFonts w:ascii="Arial" w:cs="Arial" w:eastAsia="Arial" w:hAnsi="Arial"/>
                <w:sz w:val="12"/>
                <w:szCs w:val="12"/>
                <w:color w:val="auto"/>
              </w:rPr>
              <w:t>forfeited</w:t>
            </w:r>
          </w:p>
        </w:tc>
        <w:tc>
          <w:tcPr>
            <w:tcW w:w="1040" w:type="dxa"/>
            <w:vAlign w:val="bottom"/>
          </w:tcPr>
          <w:p>
            <w:pPr>
              <w:ind w:left="60"/>
              <w:spacing w:after="0"/>
              <w:rPr>
                <w:sz w:val="20"/>
                <w:szCs w:val="20"/>
                <w:color w:val="auto"/>
              </w:rPr>
            </w:pPr>
            <w:r>
              <w:rPr>
                <w:rFonts w:ascii="Arial" w:cs="Arial" w:eastAsia="Arial" w:hAnsi="Arial"/>
                <w:sz w:val="12"/>
                <w:szCs w:val="12"/>
                <w:color w:val="auto"/>
              </w:rPr>
              <w:t>cash</w:t>
            </w:r>
          </w:p>
        </w:tc>
        <w:tc>
          <w:tcPr>
            <w:tcW w:w="1340" w:type="dxa"/>
            <w:vAlign w:val="bottom"/>
          </w:tcPr>
          <w:p>
            <w:pPr>
              <w:ind w:left="40"/>
              <w:spacing w:after="0"/>
              <w:rPr>
                <w:sz w:val="20"/>
                <w:szCs w:val="20"/>
                <w:color w:val="auto"/>
              </w:rPr>
            </w:pPr>
            <w:r>
              <w:rPr>
                <w:rFonts w:ascii="Arial" w:cs="Arial" w:eastAsia="Arial" w:hAnsi="Arial"/>
                <w:sz w:val="12"/>
                <w:szCs w:val="12"/>
                <w:color w:val="auto"/>
              </w:rPr>
              <w:t>payment at superior(9)</w:t>
            </w:r>
          </w:p>
        </w:tc>
        <w:tc>
          <w:tcPr>
            <w:tcW w:w="0" w:type="dxa"/>
            <w:vAlign w:val="bottom"/>
          </w:tcPr>
          <w:p>
            <w:pPr>
              <w:spacing w:after="0"/>
              <w:rPr>
                <w:sz w:val="1"/>
                <w:szCs w:val="1"/>
                <w:color w:val="auto"/>
              </w:rPr>
            </w:pPr>
          </w:p>
        </w:tc>
      </w:tr>
      <w:tr>
        <w:trPr>
          <w:trHeight w:val="134"/>
        </w:trPr>
        <w:tc>
          <w:tcPr>
            <w:tcW w:w="2860" w:type="dxa"/>
            <w:vAlign w:val="bottom"/>
            <w:shd w:val="clear" w:color="auto" w:fill="F2F2F2"/>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ind w:left="60"/>
              <w:spacing w:after="0" w:line="134" w:lineRule="exact"/>
              <w:rPr>
                <w:sz w:val="20"/>
                <w:szCs w:val="20"/>
                <w:color w:val="auto"/>
              </w:rPr>
            </w:pPr>
            <w:r>
              <w:rPr>
                <w:rFonts w:ascii="Arial" w:cs="Arial" w:eastAsia="Arial" w:hAnsi="Arial"/>
                <w:sz w:val="12"/>
                <w:szCs w:val="12"/>
                <w:color w:val="auto"/>
              </w:rPr>
              <w:t>based on</w:t>
            </w:r>
          </w:p>
        </w:tc>
        <w:tc>
          <w:tcPr>
            <w:tcW w:w="1040" w:type="dxa"/>
            <w:vAlign w:val="bottom"/>
          </w:tcPr>
          <w:p>
            <w:pPr>
              <w:ind w:left="60"/>
              <w:spacing w:after="0" w:line="134" w:lineRule="exact"/>
              <w:rPr>
                <w:sz w:val="20"/>
                <w:szCs w:val="20"/>
                <w:color w:val="auto"/>
              </w:rPr>
            </w:pPr>
            <w:r>
              <w:rPr>
                <w:rFonts w:ascii="Arial" w:cs="Arial" w:eastAsia="Arial" w:hAnsi="Arial"/>
                <w:sz w:val="12"/>
                <w:szCs w:val="12"/>
                <w:color w:val="auto"/>
              </w:rPr>
              <w:t>on actual</w:t>
            </w:r>
          </w:p>
        </w:tc>
        <w:tc>
          <w:tcPr>
            <w:tcW w:w="880" w:type="dxa"/>
            <w:vAlign w:val="bottom"/>
          </w:tcPr>
          <w:p>
            <w:pPr>
              <w:spacing w:after="0"/>
              <w:rPr>
                <w:sz w:val="11"/>
                <w:szCs w:val="11"/>
                <w:color w:val="auto"/>
              </w:rPr>
            </w:pPr>
          </w:p>
        </w:tc>
        <w:tc>
          <w:tcPr>
            <w:tcW w:w="980" w:type="dxa"/>
            <w:vAlign w:val="bottom"/>
          </w:tcPr>
          <w:p>
            <w:pPr>
              <w:ind w:left="60"/>
              <w:spacing w:after="0" w:line="134" w:lineRule="exact"/>
              <w:rPr>
                <w:sz w:val="20"/>
                <w:szCs w:val="20"/>
                <w:color w:val="auto"/>
              </w:rPr>
            </w:pPr>
            <w:r>
              <w:rPr>
                <w:rFonts w:ascii="Arial" w:cs="Arial" w:eastAsia="Arial" w:hAnsi="Arial"/>
                <w:sz w:val="12"/>
                <w:szCs w:val="12"/>
                <w:color w:val="auto"/>
              </w:rPr>
              <w:t>on actual</w:t>
            </w:r>
          </w:p>
        </w:tc>
        <w:tc>
          <w:tcPr>
            <w:tcW w:w="820" w:type="dxa"/>
            <w:vAlign w:val="bottom"/>
          </w:tcPr>
          <w:p>
            <w:pPr>
              <w:ind w:left="60"/>
              <w:spacing w:after="0" w:line="134" w:lineRule="exact"/>
              <w:rPr>
                <w:sz w:val="20"/>
                <w:szCs w:val="20"/>
                <w:color w:val="auto"/>
              </w:rPr>
            </w:pPr>
            <w:r>
              <w:rPr>
                <w:rFonts w:ascii="Arial" w:cs="Arial" w:eastAsia="Arial" w:hAnsi="Arial"/>
                <w:sz w:val="12"/>
                <w:szCs w:val="12"/>
                <w:color w:val="auto"/>
              </w:rPr>
              <w:t>(first half of</w:t>
            </w:r>
          </w:p>
        </w:tc>
        <w:tc>
          <w:tcPr>
            <w:tcW w:w="1040" w:type="dxa"/>
            <w:vAlign w:val="bottom"/>
          </w:tcPr>
          <w:p>
            <w:pPr>
              <w:ind w:left="60"/>
              <w:spacing w:after="0" w:line="134" w:lineRule="exact"/>
              <w:rPr>
                <w:sz w:val="20"/>
                <w:szCs w:val="20"/>
                <w:color w:val="auto"/>
              </w:rPr>
            </w:pPr>
            <w:r>
              <w:rPr>
                <w:rFonts w:ascii="Arial" w:cs="Arial" w:eastAsia="Arial" w:hAnsi="Arial"/>
                <w:sz w:val="12"/>
                <w:szCs w:val="12"/>
                <w:color w:val="auto"/>
              </w:rPr>
              <w:t>payment at</w:t>
            </w: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860" w:type="dxa"/>
            <w:vAlign w:val="bottom"/>
            <w:shd w:val="clear" w:color="auto" w:fill="F2F2F2"/>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ind w:left="60"/>
              <w:spacing w:after="0" w:line="134" w:lineRule="exact"/>
              <w:rPr>
                <w:sz w:val="20"/>
                <w:szCs w:val="20"/>
                <w:color w:val="auto"/>
              </w:rPr>
            </w:pPr>
            <w:r>
              <w:rPr>
                <w:rFonts w:ascii="Arial" w:cs="Arial" w:eastAsia="Arial" w:hAnsi="Arial"/>
                <w:sz w:val="12"/>
                <w:szCs w:val="12"/>
                <w:color w:val="auto"/>
              </w:rPr>
              <w:t>actual</w:t>
            </w:r>
          </w:p>
        </w:tc>
        <w:tc>
          <w:tcPr>
            <w:tcW w:w="1040" w:type="dxa"/>
            <w:vAlign w:val="bottom"/>
          </w:tcPr>
          <w:p>
            <w:pPr>
              <w:ind w:left="60"/>
              <w:spacing w:after="0" w:line="134" w:lineRule="exact"/>
              <w:rPr>
                <w:sz w:val="20"/>
                <w:szCs w:val="20"/>
                <w:color w:val="auto"/>
              </w:rPr>
            </w:pPr>
            <w:r>
              <w:rPr>
                <w:rFonts w:ascii="Arial" w:cs="Arial" w:eastAsia="Arial" w:hAnsi="Arial"/>
                <w:sz w:val="12"/>
                <w:szCs w:val="12"/>
                <w:color w:val="auto"/>
              </w:rPr>
              <w:t>performance</w:t>
            </w:r>
          </w:p>
        </w:tc>
        <w:tc>
          <w:tcPr>
            <w:tcW w:w="880" w:type="dxa"/>
            <w:vAlign w:val="bottom"/>
          </w:tcPr>
          <w:p>
            <w:pPr>
              <w:spacing w:after="0"/>
              <w:rPr>
                <w:sz w:val="11"/>
                <w:szCs w:val="11"/>
                <w:color w:val="auto"/>
              </w:rPr>
            </w:pPr>
          </w:p>
        </w:tc>
        <w:tc>
          <w:tcPr>
            <w:tcW w:w="980" w:type="dxa"/>
            <w:vAlign w:val="bottom"/>
          </w:tcPr>
          <w:p>
            <w:pPr>
              <w:ind w:left="60"/>
              <w:spacing w:after="0" w:line="134" w:lineRule="exact"/>
              <w:rPr>
                <w:sz w:val="20"/>
                <w:szCs w:val="20"/>
                <w:color w:val="auto"/>
              </w:rPr>
            </w:pPr>
            <w:r>
              <w:rPr>
                <w:rFonts w:ascii="Arial" w:cs="Arial" w:eastAsia="Arial" w:hAnsi="Arial"/>
                <w:sz w:val="12"/>
                <w:szCs w:val="12"/>
                <w:color w:val="auto"/>
              </w:rPr>
              <w:t>performance</w:t>
            </w:r>
          </w:p>
        </w:tc>
        <w:tc>
          <w:tcPr>
            <w:tcW w:w="820" w:type="dxa"/>
            <w:vAlign w:val="bottom"/>
          </w:tcPr>
          <w:p>
            <w:pPr>
              <w:ind w:left="60"/>
              <w:spacing w:after="0" w:line="134" w:lineRule="exact"/>
              <w:rPr>
                <w:sz w:val="20"/>
                <w:szCs w:val="20"/>
                <w:color w:val="auto"/>
              </w:rPr>
            </w:pPr>
            <w:r>
              <w:rPr>
                <w:rFonts w:ascii="Arial" w:cs="Arial" w:eastAsia="Arial" w:hAnsi="Arial"/>
                <w:sz w:val="12"/>
                <w:szCs w:val="12"/>
                <w:color w:val="auto"/>
              </w:rPr>
              <w:t>year) or</w:t>
            </w:r>
          </w:p>
        </w:tc>
        <w:tc>
          <w:tcPr>
            <w:tcW w:w="1040" w:type="dxa"/>
            <w:vAlign w:val="bottom"/>
          </w:tcPr>
          <w:p>
            <w:pPr>
              <w:ind w:left="60"/>
              <w:spacing w:after="0" w:line="134" w:lineRule="exact"/>
              <w:rPr>
                <w:sz w:val="20"/>
                <w:szCs w:val="20"/>
                <w:color w:val="auto"/>
              </w:rPr>
            </w:pPr>
            <w:r>
              <w:rPr>
                <w:rFonts w:ascii="Arial" w:cs="Arial" w:eastAsia="Arial" w:hAnsi="Arial"/>
                <w:sz w:val="12"/>
                <w:szCs w:val="12"/>
                <w:color w:val="auto"/>
              </w:rPr>
              <w:t>superior(9)</w:t>
            </w: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860" w:type="dxa"/>
            <w:vAlign w:val="bottom"/>
            <w:shd w:val="clear" w:color="auto" w:fill="F2F2F2"/>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ind w:left="60"/>
              <w:spacing w:after="0" w:line="134" w:lineRule="exact"/>
              <w:rPr>
                <w:sz w:val="20"/>
                <w:szCs w:val="20"/>
                <w:color w:val="auto"/>
              </w:rPr>
            </w:pPr>
            <w:r>
              <w:rPr>
                <w:rFonts w:ascii="Arial" w:cs="Arial" w:eastAsia="Arial" w:hAnsi="Arial"/>
                <w:sz w:val="12"/>
                <w:szCs w:val="12"/>
                <w:color w:val="auto"/>
              </w:rPr>
              <w:t>performance</w:t>
            </w: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color w:val="auto"/>
              </w:rPr>
              <w:t>prorated</w:t>
            </w:r>
          </w:p>
        </w:tc>
        <w:tc>
          <w:tcPr>
            <w:tcW w:w="10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860" w:type="dxa"/>
            <w:vAlign w:val="bottom"/>
            <w:shd w:val="clear" w:color="auto" w:fill="F2F2F2"/>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color w:val="auto"/>
              </w:rPr>
              <w:t>based on</w:t>
            </w:r>
          </w:p>
        </w:tc>
        <w:tc>
          <w:tcPr>
            <w:tcW w:w="10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860" w:type="dxa"/>
            <w:vAlign w:val="bottom"/>
            <w:shd w:val="clear" w:color="auto" w:fill="F2F2F2"/>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color w:val="auto"/>
              </w:rPr>
              <w:t>actual</w:t>
            </w:r>
          </w:p>
        </w:tc>
        <w:tc>
          <w:tcPr>
            <w:tcW w:w="10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860" w:type="dxa"/>
            <w:vAlign w:val="bottom"/>
            <w:shd w:val="clear" w:color="auto" w:fill="F2F2F2"/>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color w:val="auto"/>
              </w:rPr>
              <w:t>performance</w:t>
            </w:r>
          </w:p>
        </w:tc>
        <w:tc>
          <w:tcPr>
            <w:tcW w:w="10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860" w:type="dxa"/>
            <w:vAlign w:val="bottom"/>
            <w:shd w:val="clear" w:color="auto" w:fill="F2F2F2"/>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color w:val="auto"/>
              </w:rPr>
              <w:t>(second half</w:t>
            </w:r>
          </w:p>
        </w:tc>
        <w:tc>
          <w:tcPr>
            <w:tcW w:w="10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860" w:type="dxa"/>
            <w:vAlign w:val="bottom"/>
            <w:tcBorders>
              <w:bottom w:val="single" w:sz="8" w:color="666666"/>
            </w:tcBorders>
            <w:shd w:val="clear" w:color="auto" w:fill="F2F2F2"/>
          </w:tcPr>
          <w:p>
            <w:pPr>
              <w:spacing w:after="0"/>
              <w:rPr>
                <w:sz w:val="12"/>
                <w:szCs w:val="12"/>
                <w:color w:val="auto"/>
              </w:rPr>
            </w:pPr>
          </w:p>
        </w:tc>
        <w:tc>
          <w:tcPr>
            <w:tcW w:w="1000" w:type="dxa"/>
            <w:vAlign w:val="bottom"/>
            <w:tcBorders>
              <w:bottom w:val="single" w:sz="8" w:color="666666"/>
            </w:tcBorders>
          </w:tcPr>
          <w:p>
            <w:pPr>
              <w:spacing w:after="0"/>
              <w:rPr>
                <w:sz w:val="12"/>
                <w:szCs w:val="12"/>
                <w:color w:val="auto"/>
              </w:rPr>
            </w:pPr>
          </w:p>
        </w:tc>
        <w:tc>
          <w:tcPr>
            <w:tcW w:w="920" w:type="dxa"/>
            <w:vAlign w:val="bottom"/>
            <w:tcBorders>
              <w:bottom w:val="single" w:sz="8" w:color="666666"/>
            </w:tcBorders>
          </w:tcPr>
          <w:p>
            <w:pPr>
              <w:spacing w:after="0"/>
              <w:rPr>
                <w:sz w:val="12"/>
                <w:szCs w:val="12"/>
                <w:color w:val="auto"/>
              </w:rPr>
            </w:pPr>
          </w:p>
        </w:tc>
        <w:tc>
          <w:tcPr>
            <w:tcW w:w="1040" w:type="dxa"/>
            <w:vAlign w:val="bottom"/>
            <w:tcBorders>
              <w:bottom w:val="single" w:sz="8" w:color="666666"/>
            </w:tcBorders>
          </w:tcPr>
          <w:p>
            <w:pPr>
              <w:spacing w:after="0"/>
              <w:rPr>
                <w:sz w:val="12"/>
                <w:szCs w:val="12"/>
                <w:color w:val="auto"/>
              </w:rPr>
            </w:pPr>
          </w:p>
        </w:tc>
        <w:tc>
          <w:tcPr>
            <w:tcW w:w="880" w:type="dxa"/>
            <w:vAlign w:val="bottom"/>
            <w:tcBorders>
              <w:bottom w:val="single" w:sz="8" w:color="666666"/>
            </w:tcBorders>
          </w:tcPr>
          <w:p>
            <w:pPr>
              <w:spacing w:after="0"/>
              <w:rPr>
                <w:sz w:val="12"/>
                <w:szCs w:val="12"/>
                <w:color w:val="auto"/>
              </w:rPr>
            </w:pPr>
          </w:p>
        </w:tc>
        <w:tc>
          <w:tcPr>
            <w:tcW w:w="980" w:type="dxa"/>
            <w:vAlign w:val="bottom"/>
            <w:tcBorders>
              <w:bottom w:val="single" w:sz="8" w:color="666666"/>
            </w:tcBorders>
          </w:tcPr>
          <w:p>
            <w:pPr>
              <w:spacing w:after="0"/>
              <w:rPr>
                <w:sz w:val="12"/>
                <w:szCs w:val="12"/>
                <w:color w:val="auto"/>
              </w:rPr>
            </w:pPr>
          </w:p>
        </w:tc>
        <w:tc>
          <w:tcPr>
            <w:tcW w:w="820" w:type="dxa"/>
            <w:vAlign w:val="bottom"/>
            <w:tcBorders>
              <w:bottom w:val="single" w:sz="8" w:color="666666"/>
            </w:tcBorders>
          </w:tcPr>
          <w:p>
            <w:pPr>
              <w:ind w:left="60"/>
              <w:spacing w:after="0"/>
              <w:rPr>
                <w:sz w:val="20"/>
                <w:szCs w:val="20"/>
                <w:color w:val="auto"/>
              </w:rPr>
            </w:pPr>
            <w:r>
              <w:rPr>
                <w:rFonts w:ascii="Arial" w:cs="Arial" w:eastAsia="Arial" w:hAnsi="Arial"/>
                <w:sz w:val="12"/>
                <w:szCs w:val="12"/>
                <w:color w:val="auto"/>
              </w:rPr>
              <w:t>of year)</w:t>
            </w:r>
          </w:p>
        </w:tc>
        <w:tc>
          <w:tcPr>
            <w:tcW w:w="1040" w:type="dxa"/>
            <w:vAlign w:val="bottom"/>
            <w:tcBorders>
              <w:bottom w:val="single" w:sz="8" w:color="666666"/>
            </w:tcBorders>
          </w:tcPr>
          <w:p>
            <w:pPr>
              <w:spacing w:after="0"/>
              <w:rPr>
                <w:sz w:val="12"/>
                <w:szCs w:val="12"/>
                <w:color w:val="auto"/>
              </w:rPr>
            </w:pPr>
          </w:p>
        </w:tc>
        <w:tc>
          <w:tcPr>
            <w:tcW w:w="134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860" w:type="dxa"/>
            <w:vAlign w:val="bottom"/>
            <w:shd w:val="clear" w:color="auto" w:fill="F2F2F2"/>
          </w:tcPr>
          <w:p>
            <w:pPr>
              <w:ind w:left="60"/>
              <w:spacing w:after="0" w:line="121" w:lineRule="exact"/>
              <w:rPr>
                <w:sz w:val="20"/>
                <w:szCs w:val="20"/>
                <w:color w:val="auto"/>
              </w:rPr>
            </w:pPr>
            <w:r>
              <w:rPr>
                <w:rFonts w:ascii="Arial" w:cs="Arial" w:eastAsia="Arial" w:hAnsi="Arial"/>
                <w:sz w:val="12"/>
                <w:szCs w:val="12"/>
                <w:b w:val="1"/>
                <w:bCs w:val="1"/>
                <w:color w:val="auto"/>
              </w:rPr>
              <w:t>Restricted Share Units</w:t>
            </w:r>
          </w:p>
        </w:tc>
        <w:tc>
          <w:tcPr>
            <w:tcW w:w="1000" w:type="dxa"/>
            <w:vAlign w:val="bottom"/>
          </w:tcPr>
          <w:p>
            <w:pPr>
              <w:ind w:left="100"/>
              <w:spacing w:after="0" w:line="121" w:lineRule="exact"/>
              <w:rPr>
                <w:sz w:val="20"/>
                <w:szCs w:val="20"/>
                <w:color w:val="auto"/>
              </w:rPr>
            </w:pPr>
            <w:r>
              <w:rPr>
                <w:rFonts w:ascii="Arial" w:cs="Arial" w:eastAsia="Arial" w:hAnsi="Arial"/>
                <w:sz w:val="12"/>
                <w:szCs w:val="12"/>
                <w:color w:val="auto"/>
              </w:rPr>
              <w:t>Forfeited</w:t>
            </w:r>
          </w:p>
        </w:tc>
        <w:tc>
          <w:tcPr>
            <w:tcW w:w="920" w:type="dxa"/>
            <w:vAlign w:val="bottom"/>
          </w:tcPr>
          <w:p>
            <w:pPr>
              <w:ind w:left="60"/>
              <w:spacing w:after="0" w:line="121" w:lineRule="exact"/>
              <w:rPr>
                <w:sz w:val="20"/>
                <w:szCs w:val="20"/>
                <w:color w:val="auto"/>
              </w:rPr>
            </w:pPr>
            <w:r>
              <w:rPr>
                <w:rFonts w:ascii="Arial" w:cs="Arial" w:eastAsia="Arial" w:hAnsi="Arial"/>
                <w:sz w:val="12"/>
                <w:szCs w:val="12"/>
                <w:color w:val="auto"/>
              </w:rPr>
              <w:t>Awards</w:t>
            </w:r>
          </w:p>
        </w:tc>
        <w:tc>
          <w:tcPr>
            <w:tcW w:w="1040" w:type="dxa"/>
            <w:vAlign w:val="bottom"/>
          </w:tcPr>
          <w:p>
            <w:pPr>
              <w:ind w:left="60"/>
              <w:spacing w:after="0" w:line="121" w:lineRule="exact"/>
              <w:rPr>
                <w:sz w:val="20"/>
                <w:szCs w:val="20"/>
                <w:color w:val="auto"/>
              </w:rPr>
            </w:pPr>
            <w:r>
              <w:rPr>
                <w:rFonts w:ascii="Arial" w:cs="Arial" w:eastAsia="Arial" w:hAnsi="Arial"/>
                <w:sz w:val="12"/>
                <w:szCs w:val="12"/>
                <w:color w:val="auto"/>
              </w:rPr>
              <w:t>Awards</w:t>
            </w:r>
          </w:p>
        </w:tc>
        <w:tc>
          <w:tcPr>
            <w:tcW w:w="880" w:type="dxa"/>
            <w:vAlign w:val="bottom"/>
          </w:tcPr>
          <w:p>
            <w:pPr>
              <w:ind w:left="60"/>
              <w:spacing w:after="0" w:line="121" w:lineRule="exact"/>
              <w:rPr>
                <w:sz w:val="20"/>
                <w:szCs w:val="20"/>
                <w:color w:val="auto"/>
              </w:rPr>
            </w:pPr>
            <w:r>
              <w:rPr>
                <w:rFonts w:ascii="Arial" w:cs="Arial" w:eastAsia="Arial" w:hAnsi="Arial"/>
                <w:sz w:val="12"/>
                <w:szCs w:val="12"/>
                <w:color w:val="auto"/>
              </w:rPr>
              <w:t>RSU</w:t>
            </w:r>
          </w:p>
        </w:tc>
        <w:tc>
          <w:tcPr>
            <w:tcW w:w="980" w:type="dxa"/>
            <w:vAlign w:val="bottom"/>
          </w:tcPr>
          <w:p>
            <w:pPr>
              <w:ind w:left="60"/>
              <w:spacing w:after="0" w:line="121" w:lineRule="exact"/>
              <w:rPr>
                <w:sz w:val="20"/>
                <w:szCs w:val="20"/>
                <w:color w:val="auto"/>
              </w:rPr>
            </w:pPr>
            <w:r>
              <w:rPr>
                <w:rFonts w:ascii="Arial" w:cs="Arial" w:eastAsia="Arial" w:hAnsi="Arial"/>
                <w:sz w:val="12"/>
                <w:szCs w:val="12"/>
                <w:color w:val="auto"/>
              </w:rPr>
              <w:t>Awards</w:t>
            </w:r>
          </w:p>
        </w:tc>
        <w:tc>
          <w:tcPr>
            <w:tcW w:w="820" w:type="dxa"/>
            <w:vAlign w:val="bottom"/>
          </w:tcPr>
          <w:p>
            <w:pPr>
              <w:ind w:left="60"/>
              <w:spacing w:after="0" w:line="121" w:lineRule="exact"/>
              <w:rPr>
                <w:sz w:val="20"/>
                <w:szCs w:val="20"/>
                <w:color w:val="auto"/>
              </w:rPr>
            </w:pPr>
            <w:r>
              <w:rPr>
                <w:rFonts w:ascii="Arial" w:cs="Arial" w:eastAsia="Arial" w:hAnsi="Arial"/>
                <w:sz w:val="12"/>
                <w:szCs w:val="12"/>
                <w:color w:val="auto"/>
              </w:rPr>
              <w:t>RSUs for</w:t>
            </w:r>
          </w:p>
        </w:tc>
        <w:tc>
          <w:tcPr>
            <w:tcW w:w="1040" w:type="dxa"/>
            <w:vAlign w:val="bottom"/>
          </w:tcPr>
          <w:p>
            <w:pPr>
              <w:ind w:left="60"/>
              <w:spacing w:after="0" w:line="121" w:lineRule="exact"/>
              <w:rPr>
                <w:sz w:val="20"/>
                <w:szCs w:val="20"/>
                <w:color w:val="auto"/>
              </w:rPr>
            </w:pPr>
            <w:r>
              <w:rPr>
                <w:rFonts w:ascii="Arial" w:cs="Arial" w:eastAsia="Arial" w:hAnsi="Arial"/>
                <w:sz w:val="12"/>
                <w:szCs w:val="12"/>
                <w:color w:val="auto"/>
              </w:rPr>
              <w:t>Awards</w:t>
            </w:r>
          </w:p>
        </w:tc>
        <w:tc>
          <w:tcPr>
            <w:tcW w:w="1340" w:type="dxa"/>
            <w:vAlign w:val="bottom"/>
          </w:tcPr>
          <w:p>
            <w:pPr>
              <w:ind w:left="40"/>
              <w:spacing w:after="0" w:line="121" w:lineRule="exact"/>
              <w:rPr>
                <w:sz w:val="20"/>
                <w:szCs w:val="20"/>
                <w:color w:val="auto"/>
              </w:rPr>
            </w:pPr>
            <w:r>
              <w:rPr>
                <w:rFonts w:ascii="Arial" w:cs="Arial" w:eastAsia="Arial" w:hAnsi="Arial"/>
                <w:sz w:val="12"/>
                <w:szCs w:val="12"/>
                <w:color w:val="auto"/>
              </w:rPr>
              <w:t>Awards immediately</w:t>
            </w:r>
          </w:p>
        </w:tc>
        <w:tc>
          <w:tcPr>
            <w:tcW w:w="0" w:type="dxa"/>
            <w:vAlign w:val="bottom"/>
          </w:tcPr>
          <w:p>
            <w:pPr>
              <w:spacing w:after="0"/>
              <w:rPr>
                <w:sz w:val="1"/>
                <w:szCs w:val="1"/>
                <w:color w:val="auto"/>
              </w:rPr>
            </w:pPr>
          </w:p>
        </w:tc>
      </w:tr>
      <w:tr>
        <w:trPr>
          <w:trHeight w:val="134"/>
        </w:trPr>
        <w:tc>
          <w:tcPr>
            <w:tcW w:w="2860" w:type="dxa"/>
            <w:vAlign w:val="bottom"/>
            <w:shd w:val="clear" w:color="auto" w:fill="F2F2F2"/>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ind w:left="60"/>
              <w:spacing w:after="0" w:line="134" w:lineRule="exact"/>
              <w:rPr>
                <w:sz w:val="20"/>
                <w:szCs w:val="20"/>
                <w:color w:val="auto"/>
              </w:rPr>
            </w:pPr>
            <w:r>
              <w:rPr>
                <w:rFonts w:ascii="Arial" w:cs="Arial" w:eastAsia="Arial" w:hAnsi="Arial"/>
                <w:sz w:val="12"/>
                <w:szCs w:val="12"/>
                <w:color w:val="auto"/>
              </w:rPr>
              <w:t>immediately</w:t>
            </w:r>
          </w:p>
        </w:tc>
        <w:tc>
          <w:tcPr>
            <w:tcW w:w="1040" w:type="dxa"/>
            <w:vAlign w:val="bottom"/>
          </w:tcPr>
          <w:p>
            <w:pPr>
              <w:ind w:left="60"/>
              <w:spacing w:after="0" w:line="134" w:lineRule="exact"/>
              <w:rPr>
                <w:sz w:val="20"/>
                <w:szCs w:val="20"/>
                <w:color w:val="auto"/>
              </w:rPr>
            </w:pPr>
            <w:r>
              <w:rPr>
                <w:rFonts w:ascii="Arial" w:cs="Arial" w:eastAsia="Arial" w:hAnsi="Arial"/>
                <w:sz w:val="12"/>
                <w:szCs w:val="12"/>
                <w:color w:val="auto"/>
              </w:rPr>
              <w:t>immediately</w:t>
            </w:r>
          </w:p>
        </w:tc>
        <w:tc>
          <w:tcPr>
            <w:tcW w:w="880" w:type="dxa"/>
            <w:vAlign w:val="bottom"/>
          </w:tcPr>
          <w:p>
            <w:pPr>
              <w:ind w:left="60"/>
              <w:spacing w:after="0" w:line="134" w:lineRule="exact"/>
              <w:rPr>
                <w:sz w:val="20"/>
                <w:szCs w:val="20"/>
                <w:color w:val="auto"/>
              </w:rPr>
            </w:pPr>
            <w:r>
              <w:rPr>
                <w:rFonts w:ascii="Arial" w:cs="Arial" w:eastAsia="Arial" w:hAnsi="Arial"/>
                <w:sz w:val="12"/>
                <w:szCs w:val="12"/>
                <w:color w:val="auto"/>
              </w:rPr>
              <w:t>inducement</w:t>
            </w:r>
          </w:p>
        </w:tc>
        <w:tc>
          <w:tcPr>
            <w:tcW w:w="980" w:type="dxa"/>
            <w:vAlign w:val="bottom"/>
          </w:tcPr>
          <w:p>
            <w:pPr>
              <w:ind w:left="60"/>
              <w:spacing w:after="0" w:line="134" w:lineRule="exact"/>
              <w:rPr>
                <w:sz w:val="20"/>
                <w:szCs w:val="20"/>
                <w:color w:val="auto"/>
              </w:rPr>
            </w:pPr>
            <w:r>
              <w:rPr>
                <w:rFonts w:ascii="Arial" w:cs="Arial" w:eastAsia="Arial" w:hAnsi="Arial"/>
                <w:sz w:val="12"/>
                <w:szCs w:val="12"/>
                <w:color w:val="auto"/>
              </w:rPr>
              <w:t>immediately</w:t>
            </w:r>
          </w:p>
        </w:tc>
        <w:tc>
          <w:tcPr>
            <w:tcW w:w="820" w:type="dxa"/>
            <w:vAlign w:val="bottom"/>
          </w:tcPr>
          <w:p>
            <w:pPr>
              <w:ind w:left="60"/>
              <w:spacing w:after="0" w:line="134" w:lineRule="exact"/>
              <w:rPr>
                <w:sz w:val="20"/>
                <w:szCs w:val="20"/>
                <w:color w:val="auto"/>
              </w:rPr>
            </w:pPr>
            <w:r>
              <w:rPr>
                <w:rFonts w:ascii="Arial" w:cs="Arial" w:eastAsia="Arial" w:hAnsi="Arial"/>
                <w:sz w:val="12"/>
                <w:szCs w:val="12"/>
                <w:color w:val="auto"/>
              </w:rPr>
              <w:t>next 12</w:t>
            </w:r>
          </w:p>
        </w:tc>
        <w:tc>
          <w:tcPr>
            <w:tcW w:w="1040" w:type="dxa"/>
            <w:vAlign w:val="bottom"/>
          </w:tcPr>
          <w:p>
            <w:pPr>
              <w:ind w:left="60"/>
              <w:spacing w:after="0" w:line="134" w:lineRule="exact"/>
              <w:rPr>
                <w:sz w:val="20"/>
                <w:szCs w:val="20"/>
                <w:color w:val="auto"/>
              </w:rPr>
            </w:pPr>
            <w:r>
              <w:rPr>
                <w:rFonts w:ascii="Arial" w:cs="Arial" w:eastAsia="Arial" w:hAnsi="Arial"/>
                <w:sz w:val="12"/>
                <w:szCs w:val="12"/>
                <w:color w:val="auto"/>
              </w:rPr>
              <w:t>immediately</w:t>
            </w:r>
          </w:p>
        </w:tc>
        <w:tc>
          <w:tcPr>
            <w:tcW w:w="1340" w:type="dxa"/>
            <w:vAlign w:val="bottom"/>
          </w:tcPr>
          <w:p>
            <w:pPr>
              <w:ind w:left="40"/>
              <w:spacing w:after="0" w:line="134" w:lineRule="exact"/>
              <w:rPr>
                <w:sz w:val="20"/>
                <w:szCs w:val="20"/>
                <w:color w:val="auto"/>
              </w:rPr>
            </w:pPr>
            <w:r>
              <w:rPr>
                <w:rFonts w:ascii="Arial" w:cs="Arial" w:eastAsia="Arial" w:hAnsi="Arial"/>
                <w:sz w:val="12"/>
                <w:szCs w:val="12"/>
                <w:color w:val="auto"/>
              </w:rPr>
              <w:t>vest</w:t>
            </w:r>
          </w:p>
        </w:tc>
        <w:tc>
          <w:tcPr>
            <w:tcW w:w="0" w:type="dxa"/>
            <w:vAlign w:val="bottom"/>
          </w:tcPr>
          <w:p>
            <w:pPr>
              <w:spacing w:after="0"/>
              <w:rPr>
                <w:sz w:val="1"/>
                <w:szCs w:val="1"/>
                <w:color w:val="auto"/>
              </w:rPr>
            </w:pPr>
          </w:p>
        </w:tc>
      </w:tr>
      <w:tr>
        <w:trPr>
          <w:trHeight w:val="134"/>
        </w:trPr>
        <w:tc>
          <w:tcPr>
            <w:tcW w:w="2860" w:type="dxa"/>
            <w:vAlign w:val="bottom"/>
            <w:shd w:val="clear" w:color="auto" w:fill="F2F2F2"/>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ind w:left="60"/>
              <w:spacing w:after="0" w:line="134" w:lineRule="exact"/>
              <w:rPr>
                <w:sz w:val="20"/>
                <w:szCs w:val="20"/>
                <w:color w:val="auto"/>
              </w:rPr>
            </w:pPr>
            <w:r>
              <w:rPr>
                <w:rFonts w:ascii="Arial" w:cs="Arial" w:eastAsia="Arial" w:hAnsi="Arial"/>
                <w:sz w:val="12"/>
                <w:szCs w:val="12"/>
                <w:color w:val="auto"/>
              </w:rPr>
              <w:t>vest</w:t>
            </w:r>
          </w:p>
        </w:tc>
        <w:tc>
          <w:tcPr>
            <w:tcW w:w="1040" w:type="dxa"/>
            <w:vAlign w:val="bottom"/>
          </w:tcPr>
          <w:p>
            <w:pPr>
              <w:ind w:left="60"/>
              <w:spacing w:after="0" w:line="134" w:lineRule="exact"/>
              <w:rPr>
                <w:sz w:val="20"/>
                <w:szCs w:val="20"/>
                <w:color w:val="auto"/>
              </w:rPr>
            </w:pPr>
            <w:r>
              <w:rPr>
                <w:rFonts w:ascii="Arial" w:cs="Arial" w:eastAsia="Arial" w:hAnsi="Arial"/>
                <w:sz w:val="12"/>
                <w:szCs w:val="12"/>
                <w:color w:val="auto"/>
              </w:rPr>
              <w:t>vest</w:t>
            </w:r>
          </w:p>
        </w:tc>
        <w:tc>
          <w:tcPr>
            <w:tcW w:w="880" w:type="dxa"/>
            <w:vAlign w:val="bottom"/>
          </w:tcPr>
          <w:p>
            <w:pPr>
              <w:ind w:left="60"/>
              <w:spacing w:after="0" w:line="134" w:lineRule="exact"/>
              <w:rPr>
                <w:sz w:val="20"/>
                <w:szCs w:val="20"/>
                <w:color w:val="auto"/>
              </w:rPr>
            </w:pPr>
            <w:r>
              <w:rPr>
                <w:rFonts w:ascii="Arial" w:cs="Arial" w:eastAsia="Arial" w:hAnsi="Arial"/>
                <w:sz w:val="12"/>
                <w:szCs w:val="12"/>
                <w:color w:val="auto"/>
              </w:rPr>
              <w:t>grant vests</w:t>
            </w:r>
          </w:p>
        </w:tc>
        <w:tc>
          <w:tcPr>
            <w:tcW w:w="980" w:type="dxa"/>
            <w:vAlign w:val="bottom"/>
          </w:tcPr>
          <w:p>
            <w:pPr>
              <w:ind w:left="60"/>
              <w:spacing w:after="0" w:line="134" w:lineRule="exact"/>
              <w:rPr>
                <w:sz w:val="20"/>
                <w:szCs w:val="20"/>
                <w:color w:val="auto"/>
              </w:rPr>
            </w:pPr>
            <w:r>
              <w:rPr>
                <w:rFonts w:ascii="Arial" w:cs="Arial" w:eastAsia="Arial" w:hAnsi="Arial"/>
                <w:sz w:val="12"/>
                <w:szCs w:val="12"/>
                <w:color w:val="auto"/>
              </w:rPr>
              <w:t>vest</w:t>
            </w:r>
          </w:p>
        </w:tc>
        <w:tc>
          <w:tcPr>
            <w:tcW w:w="820" w:type="dxa"/>
            <w:vAlign w:val="bottom"/>
          </w:tcPr>
          <w:p>
            <w:pPr>
              <w:ind w:left="60"/>
              <w:spacing w:after="0" w:line="134" w:lineRule="exact"/>
              <w:rPr>
                <w:sz w:val="20"/>
                <w:szCs w:val="20"/>
                <w:color w:val="auto"/>
              </w:rPr>
            </w:pPr>
            <w:r>
              <w:rPr>
                <w:rFonts w:ascii="Arial" w:cs="Arial" w:eastAsia="Arial" w:hAnsi="Arial"/>
                <w:sz w:val="12"/>
                <w:szCs w:val="12"/>
                <w:color w:val="auto"/>
              </w:rPr>
              <w:t>months may</w:t>
            </w:r>
          </w:p>
        </w:tc>
        <w:tc>
          <w:tcPr>
            <w:tcW w:w="1040" w:type="dxa"/>
            <w:vAlign w:val="bottom"/>
          </w:tcPr>
          <w:p>
            <w:pPr>
              <w:ind w:left="60"/>
              <w:spacing w:after="0" w:line="134" w:lineRule="exact"/>
              <w:rPr>
                <w:sz w:val="20"/>
                <w:szCs w:val="20"/>
                <w:color w:val="auto"/>
              </w:rPr>
            </w:pPr>
            <w:r>
              <w:rPr>
                <w:rFonts w:ascii="Arial" w:cs="Arial" w:eastAsia="Arial" w:hAnsi="Arial"/>
                <w:sz w:val="12"/>
                <w:szCs w:val="12"/>
                <w:color w:val="auto"/>
              </w:rPr>
              <w:t>vest</w:t>
            </w: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860" w:type="dxa"/>
            <w:vAlign w:val="bottom"/>
            <w:tcBorders>
              <w:bottom w:val="single" w:sz="8" w:color="666666"/>
            </w:tcBorders>
            <w:shd w:val="clear" w:color="auto" w:fill="F2F2F2"/>
          </w:tcPr>
          <w:p>
            <w:pPr>
              <w:spacing w:after="0"/>
              <w:rPr>
                <w:sz w:val="12"/>
                <w:szCs w:val="12"/>
                <w:color w:val="auto"/>
              </w:rPr>
            </w:pPr>
          </w:p>
        </w:tc>
        <w:tc>
          <w:tcPr>
            <w:tcW w:w="1000" w:type="dxa"/>
            <w:vAlign w:val="bottom"/>
            <w:tcBorders>
              <w:bottom w:val="single" w:sz="8" w:color="666666"/>
            </w:tcBorders>
          </w:tcPr>
          <w:p>
            <w:pPr>
              <w:spacing w:after="0"/>
              <w:rPr>
                <w:sz w:val="12"/>
                <w:szCs w:val="12"/>
                <w:color w:val="auto"/>
              </w:rPr>
            </w:pPr>
          </w:p>
        </w:tc>
        <w:tc>
          <w:tcPr>
            <w:tcW w:w="920" w:type="dxa"/>
            <w:vAlign w:val="bottom"/>
            <w:tcBorders>
              <w:bottom w:val="single" w:sz="8" w:color="666666"/>
            </w:tcBorders>
          </w:tcPr>
          <w:p>
            <w:pPr>
              <w:spacing w:after="0"/>
              <w:rPr>
                <w:sz w:val="12"/>
                <w:szCs w:val="12"/>
                <w:color w:val="auto"/>
              </w:rPr>
            </w:pPr>
          </w:p>
        </w:tc>
        <w:tc>
          <w:tcPr>
            <w:tcW w:w="1040" w:type="dxa"/>
            <w:vAlign w:val="bottom"/>
            <w:tcBorders>
              <w:bottom w:val="single" w:sz="8" w:color="666666"/>
            </w:tcBorders>
          </w:tcPr>
          <w:p>
            <w:pPr>
              <w:spacing w:after="0"/>
              <w:rPr>
                <w:sz w:val="12"/>
                <w:szCs w:val="12"/>
                <w:color w:val="auto"/>
              </w:rPr>
            </w:pPr>
          </w:p>
        </w:tc>
        <w:tc>
          <w:tcPr>
            <w:tcW w:w="880" w:type="dxa"/>
            <w:vAlign w:val="bottom"/>
            <w:tcBorders>
              <w:bottom w:val="single" w:sz="8" w:color="666666"/>
            </w:tcBorders>
          </w:tcPr>
          <w:p>
            <w:pPr>
              <w:spacing w:after="0"/>
              <w:rPr>
                <w:sz w:val="12"/>
                <w:szCs w:val="12"/>
                <w:color w:val="auto"/>
              </w:rPr>
            </w:pPr>
          </w:p>
        </w:tc>
        <w:tc>
          <w:tcPr>
            <w:tcW w:w="980" w:type="dxa"/>
            <w:vAlign w:val="bottom"/>
            <w:tcBorders>
              <w:bottom w:val="single" w:sz="8" w:color="666666"/>
            </w:tcBorders>
          </w:tcPr>
          <w:p>
            <w:pPr>
              <w:spacing w:after="0"/>
              <w:rPr>
                <w:sz w:val="12"/>
                <w:szCs w:val="12"/>
                <w:color w:val="auto"/>
              </w:rPr>
            </w:pPr>
          </w:p>
        </w:tc>
        <w:tc>
          <w:tcPr>
            <w:tcW w:w="820" w:type="dxa"/>
            <w:vAlign w:val="bottom"/>
            <w:tcBorders>
              <w:bottom w:val="single" w:sz="8" w:color="666666"/>
            </w:tcBorders>
          </w:tcPr>
          <w:p>
            <w:pPr>
              <w:ind w:left="60"/>
              <w:spacing w:after="0"/>
              <w:rPr>
                <w:sz w:val="20"/>
                <w:szCs w:val="20"/>
                <w:color w:val="auto"/>
              </w:rPr>
            </w:pPr>
            <w:r>
              <w:rPr>
                <w:rFonts w:ascii="Arial" w:cs="Arial" w:eastAsia="Arial" w:hAnsi="Arial"/>
                <w:sz w:val="12"/>
                <w:szCs w:val="12"/>
                <w:color w:val="auto"/>
              </w:rPr>
              <w:t>vest</w:t>
            </w:r>
          </w:p>
        </w:tc>
        <w:tc>
          <w:tcPr>
            <w:tcW w:w="1040" w:type="dxa"/>
            <w:vAlign w:val="bottom"/>
            <w:tcBorders>
              <w:bottom w:val="single" w:sz="8" w:color="666666"/>
            </w:tcBorders>
          </w:tcPr>
          <w:p>
            <w:pPr>
              <w:spacing w:after="0"/>
              <w:rPr>
                <w:sz w:val="12"/>
                <w:szCs w:val="12"/>
                <w:color w:val="auto"/>
              </w:rPr>
            </w:pPr>
          </w:p>
        </w:tc>
        <w:tc>
          <w:tcPr>
            <w:tcW w:w="134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860" w:type="dxa"/>
            <w:vAlign w:val="bottom"/>
            <w:shd w:val="clear" w:color="auto" w:fill="F2F2F2"/>
          </w:tcPr>
          <w:p>
            <w:pPr>
              <w:ind w:left="60"/>
              <w:spacing w:after="0" w:line="121" w:lineRule="exact"/>
              <w:rPr>
                <w:sz w:val="20"/>
                <w:szCs w:val="20"/>
                <w:color w:val="auto"/>
              </w:rPr>
            </w:pPr>
            <w:r>
              <w:rPr>
                <w:rFonts w:ascii="Arial" w:cs="Arial" w:eastAsia="Arial" w:hAnsi="Arial"/>
                <w:sz w:val="12"/>
                <w:szCs w:val="12"/>
                <w:b w:val="1"/>
                <w:bCs w:val="1"/>
                <w:color w:val="auto"/>
              </w:rPr>
              <w:t>Performance Share Units</w:t>
            </w:r>
          </w:p>
        </w:tc>
        <w:tc>
          <w:tcPr>
            <w:tcW w:w="1000" w:type="dxa"/>
            <w:vAlign w:val="bottom"/>
          </w:tcPr>
          <w:p>
            <w:pPr>
              <w:ind w:left="100"/>
              <w:spacing w:after="0" w:line="121" w:lineRule="exact"/>
              <w:rPr>
                <w:sz w:val="20"/>
                <w:szCs w:val="20"/>
                <w:color w:val="auto"/>
              </w:rPr>
            </w:pPr>
            <w:r>
              <w:rPr>
                <w:rFonts w:ascii="Arial" w:cs="Arial" w:eastAsia="Arial" w:hAnsi="Arial"/>
                <w:sz w:val="12"/>
                <w:szCs w:val="12"/>
                <w:color w:val="auto"/>
              </w:rPr>
              <w:t>Forfeited</w:t>
            </w:r>
          </w:p>
        </w:tc>
        <w:tc>
          <w:tcPr>
            <w:tcW w:w="920" w:type="dxa"/>
            <w:vAlign w:val="bottom"/>
          </w:tcPr>
          <w:p>
            <w:pPr>
              <w:ind w:left="60"/>
              <w:spacing w:after="0" w:line="121" w:lineRule="exact"/>
              <w:rPr>
                <w:sz w:val="20"/>
                <w:szCs w:val="20"/>
                <w:color w:val="auto"/>
              </w:rPr>
            </w:pPr>
            <w:r>
              <w:rPr>
                <w:rFonts w:ascii="Arial" w:cs="Arial" w:eastAsia="Arial" w:hAnsi="Arial"/>
                <w:sz w:val="12"/>
                <w:szCs w:val="12"/>
                <w:color w:val="auto"/>
              </w:rPr>
              <w:t>Awards</w:t>
            </w:r>
          </w:p>
        </w:tc>
        <w:tc>
          <w:tcPr>
            <w:tcW w:w="1040" w:type="dxa"/>
            <w:vAlign w:val="bottom"/>
          </w:tcPr>
          <w:p>
            <w:pPr>
              <w:ind w:left="60"/>
              <w:spacing w:after="0" w:line="121" w:lineRule="exact"/>
              <w:rPr>
                <w:sz w:val="20"/>
                <w:szCs w:val="20"/>
                <w:color w:val="auto"/>
              </w:rPr>
            </w:pPr>
            <w:r>
              <w:rPr>
                <w:rFonts w:ascii="Arial" w:cs="Arial" w:eastAsia="Arial" w:hAnsi="Arial"/>
                <w:sz w:val="12"/>
                <w:szCs w:val="12"/>
                <w:color w:val="auto"/>
              </w:rPr>
              <w:t>Awards</w:t>
            </w:r>
          </w:p>
        </w:tc>
        <w:tc>
          <w:tcPr>
            <w:tcW w:w="880" w:type="dxa"/>
            <w:vAlign w:val="bottom"/>
          </w:tcPr>
          <w:p>
            <w:pPr>
              <w:ind w:left="60"/>
              <w:spacing w:after="0" w:line="121" w:lineRule="exact"/>
              <w:rPr>
                <w:sz w:val="20"/>
                <w:szCs w:val="20"/>
                <w:color w:val="auto"/>
              </w:rPr>
            </w:pPr>
            <w:r>
              <w:rPr>
                <w:rFonts w:ascii="Arial" w:cs="Arial" w:eastAsia="Arial" w:hAnsi="Arial"/>
                <w:sz w:val="12"/>
                <w:szCs w:val="12"/>
                <w:color w:val="auto"/>
              </w:rPr>
              <w:t>Forfeited</w:t>
            </w:r>
          </w:p>
        </w:tc>
        <w:tc>
          <w:tcPr>
            <w:tcW w:w="980" w:type="dxa"/>
            <w:vAlign w:val="bottom"/>
          </w:tcPr>
          <w:p>
            <w:pPr>
              <w:ind w:left="60"/>
              <w:spacing w:after="0" w:line="121" w:lineRule="exact"/>
              <w:rPr>
                <w:sz w:val="20"/>
                <w:szCs w:val="20"/>
                <w:color w:val="auto"/>
              </w:rPr>
            </w:pPr>
            <w:r>
              <w:rPr>
                <w:rFonts w:ascii="Arial" w:cs="Arial" w:eastAsia="Arial" w:hAnsi="Arial"/>
                <w:sz w:val="12"/>
                <w:szCs w:val="12"/>
                <w:color w:val="auto"/>
              </w:rPr>
              <w:t>Awards</w:t>
            </w:r>
          </w:p>
        </w:tc>
        <w:tc>
          <w:tcPr>
            <w:tcW w:w="820" w:type="dxa"/>
            <w:vAlign w:val="bottom"/>
          </w:tcPr>
          <w:p>
            <w:pPr>
              <w:ind w:left="60"/>
              <w:spacing w:after="0" w:line="121" w:lineRule="exact"/>
              <w:rPr>
                <w:sz w:val="20"/>
                <w:szCs w:val="20"/>
                <w:color w:val="auto"/>
              </w:rPr>
            </w:pPr>
            <w:r>
              <w:rPr>
                <w:rFonts w:ascii="Arial" w:cs="Arial" w:eastAsia="Arial" w:hAnsi="Arial"/>
                <w:sz w:val="12"/>
                <w:szCs w:val="12"/>
                <w:color w:val="auto"/>
              </w:rPr>
              <w:t>Forfeited</w:t>
            </w:r>
          </w:p>
        </w:tc>
        <w:tc>
          <w:tcPr>
            <w:tcW w:w="1040" w:type="dxa"/>
            <w:vAlign w:val="bottom"/>
          </w:tcPr>
          <w:p>
            <w:pPr>
              <w:ind w:left="60"/>
              <w:spacing w:after="0" w:line="121" w:lineRule="exact"/>
              <w:rPr>
                <w:sz w:val="20"/>
                <w:szCs w:val="20"/>
                <w:color w:val="auto"/>
              </w:rPr>
            </w:pPr>
            <w:r>
              <w:rPr>
                <w:rFonts w:ascii="Arial" w:cs="Arial" w:eastAsia="Arial" w:hAnsi="Arial"/>
                <w:sz w:val="12"/>
                <w:szCs w:val="12"/>
                <w:color w:val="auto"/>
              </w:rPr>
              <w:t>Awards</w:t>
            </w:r>
          </w:p>
        </w:tc>
        <w:tc>
          <w:tcPr>
            <w:tcW w:w="1340" w:type="dxa"/>
            <w:vAlign w:val="bottom"/>
          </w:tcPr>
          <w:p>
            <w:pPr>
              <w:ind w:left="40"/>
              <w:spacing w:after="0" w:line="121" w:lineRule="exact"/>
              <w:rPr>
                <w:sz w:val="20"/>
                <w:szCs w:val="20"/>
                <w:color w:val="auto"/>
              </w:rPr>
            </w:pPr>
            <w:r>
              <w:rPr>
                <w:rFonts w:ascii="Arial" w:cs="Arial" w:eastAsia="Arial" w:hAnsi="Arial"/>
                <w:sz w:val="12"/>
                <w:szCs w:val="12"/>
                <w:color w:val="auto"/>
              </w:rPr>
              <w:t>Awards immediately</w:t>
            </w:r>
          </w:p>
        </w:tc>
        <w:tc>
          <w:tcPr>
            <w:tcW w:w="0" w:type="dxa"/>
            <w:vAlign w:val="bottom"/>
          </w:tcPr>
          <w:p>
            <w:pPr>
              <w:spacing w:after="0"/>
              <w:rPr>
                <w:sz w:val="1"/>
                <w:szCs w:val="1"/>
                <w:color w:val="auto"/>
              </w:rPr>
            </w:pPr>
          </w:p>
        </w:tc>
      </w:tr>
      <w:tr>
        <w:trPr>
          <w:trHeight w:val="134"/>
        </w:trPr>
        <w:tc>
          <w:tcPr>
            <w:tcW w:w="2860" w:type="dxa"/>
            <w:vAlign w:val="bottom"/>
            <w:shd w:val="clear" w:color="auto" w:fill="F2F2F2"/>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ind w:left="60"/>
              <w:spacing w:after="0" w:line="134" w:lineRule="exact"/>
              <w:rPr>
                <w:sz w:val="20"/>
                <w:szCs w:val="20"/>
                <w:color w:val="auto"/>
              </w:rPr>
            </w:pPr>
            <w:r>
              <w:rPr>
                <w:rFonts w:ascii="Arial" w:cs="Arial" w:eastAsia="Arial" w:hAnsi="Arial"/>
                <w:sz w:val="12"/>
                <w:szCs w:val="12"/>
                <w:color w:val="auto"/>
              </w:rPr>
              <w:t>immediately</w:t>
            </w:r>
          </w:p>
        </w:tc>
        <w:tc>
          <w:tcPr>
            <w:tcW w:w="1040" w:type="dxa"/>
            <w:vAlign w:val="bottom"/>
          </w:tcPr>
          <w:p>
            <w:pPr>
              <w:ind w:left="60"/>
              <w:spacing w:after="0" w:line="134" w:lineRule="exact"/>
              <w:rPr>
                <w:sz w:val="20"/>
                <w:szCs w:val="20"/>
                <w:color w:val="auto"/>
              </w:rPr>
            </w:pPr>
            <w:r>
              <w:rPr>
                <w:rFonts w:ascii="Arial" w:cs="Arial" w:eastAsia="Arial" w:hAnsi="Arial"/>
                <w:sz w:val="12"/>
                <w:szCs w:val="12"/>
                <w:color w:val="auto"/>
              </w:rPr>
              <w:t>immediately</w:t>
            </w:r>
          </w:p>
        </w:tc>
        <w:tc>
          <w:tcPr>
            <w:tcW w:w="880" w:type="dxa"/>
            <w:vAlign w:val="bottom"/>
          </w:tcPr>
          <w:p>
            <w:pPr>
              <w:spacing w:after="0"/>
              <w:rPr>
                <w:sz w:val="11"/>
                <w:szCs w:val="11"/>
                <w:color w:val="auto"/>
              </w:rPr>
            </w:pPr>
          </w:p>
        </w:tc>
        <w:tc>
          <w:tcPr>
            <w:tcW w:w="980" w:type="dxa"/>
            <w:vAlign w:val="bottom"/>
          </w:tcPr>
          <w:p>
            <w:pPr>
              <w:ind w:left="60"/>
              <w:spacing w:after="0" w:line="134" w:lineRule="exact"/>
              <w:rPr>
                <w:sz w:val="20"/>
                <w:szCs w:val="20"/>
                <w:color w:val="auto"/>
              </w:rPr>
            </w:pPr>
            <w:r>
              <w:rPr>
                <w:rFonts w:ascii="Arial" w:cs="Arial" w:eastAsia="Arial" w:hAnsi="Arial"/>
                <w:sz w:val="12"/>
                <w:szCs w:val="12"/>
                <w:color w:val="auto"/>
              </w:rPr>
              <w:t>immediately</w:t>
            </w:r>
          </w:p>
        </w:tc>
        <w:tc>
          <w:tcPr>
            <w:tcW w:w="820" w:type="dxa"/>
            <w:vAlign w:val="bottom"/>
          </w:tcPr>
          <w:p>
            <w:pPr>
              <w:spacing w:after="0"/>
              <w:rPr>
                <w:sz w:val="11"/>
                <w:szCs w:val="11"/>
                <w:color w:val="auto"/>
              </w:rPr>
            </w:pPr>
          </w:p>
        </w:tc>
        <w:tc>
          <w:tcPr>
            <w:tcW w:w="1040" w:type="dxa"/>
            <w:vAlign w:val="bottom"/>
          </w:tcPr>
          <w:p>
            <w:pPr>
              <w:ind w:left="60"/>
              <w:spacing w:after="0" w:line="134" w:lineRule="exact"/>
              <w:rPr>
                <w:sz w:val="20"/>
                <w:szCs w:val="20"/>
                <w:color w:val="auto"/>
              </w:rPr>
            </w:pPr>
            <w:r>
              <w:rPr>
                <w:rFonts w:ascii="Arial" w:cs="Arial" w:eastAsia="Arial" w:hAnsi="Arial"/>
                <w:sz w:val="12"/>
                <w:szCs w:val="12"/>
                <w:color w:val="auto"/>
              </w:rPr>
              <w:t>immediately</w:t>
            </w:r>
          </w:p>
        </w:tc>
        <w:tc>
          <w:tcPr>
            <w:tcW w:w="1340" w:type="dxa"/>
            <w:vAlign w:val="bottom"/>
          </w:tcPr>
          <w:p>
            <w:pPr>
              <w:ind w:left="40"/>
              <w:spacing w:after="0" w:line="134" w:lineRule="exact"/>
              <w:rPr>
                <w:sz w:val="20"/>
                <w:szCs w:val="20"/>
                <w:color w:val="auto"/>
              </w:rPr>
            </w:pPr>
            <w:r>
              <w:rPr>
                <w:rFonts w:ascii="Arial" w:cs="Arial" w:eastAsia="Arial" w:hAnsi="Arial"/>
                <w:sz w:val="12"/>
                <w:szCs w:val="12"/>
                <w:color w:val="auto"/>
              </w:rPr>
              <w:t>vest (10)</w:t>
            </w:r>
          </w:p>
        </w:tc>
        <w:tc>
          <w:tcPr>
            <w:tcW w:w="0" w:type="dxa"/>
            <w:vAlign w:val="bottom"/>
          </w:tcPr>
          <w:p>
            <w:pPr>
              <w:spacing w:after="0"/>
              <w:rPr>
                <w:sz w:val="1"/>
                <w:szCs w:val="1"/>
                <w:color w:val="auto"/>
              </w:rPr>
            </w:pPr>
          </w:p>
        </w:tc>
      </w:tr>
      <w:tr>
        <w:trPr>
          <w:trHeight w:val="139"/>
        </w:trPr>
        <w:tc>
          <w:tcPr>
            <w:tcW w:w="2860" w:type="dxa"/>
            <w:vAlign w:val="bottom"/>
            <w:tcBorders>
              <w:bottom w:val="single" w:sz="8" w:color="666666"/>
            </w:tcBorders>
            <w:shd w:val="clear" w:color="auto" w:fill="F2F2F2"/>
          </w:tcPr>
          <w:p>
            <w:pPr>
              <w:spacing w:after="0"/>
              <w:rPr>
                <w:sz w:val="12"/>
                <w:szCs w:val="12"/>
                <w:color w:val="auto"/>
              </w:rPr>
            </w:pPr>
          </w:p>
        </w:tc>
        <w:tc>
          <w:tcPr>
            <w:tcW w:w="1000" w:type="dxa"/>
            <w:vAlign w:val="bottom"/>
            <w:tcBorders>
              <w:bottom w:val="single" w:sz="8" w:color="666666"/>
            </w:tcBorders>
          </w:tcPr>
          <w:p>
            <w:pPr>
              <w:spacing w:after="0"/>
              <w:rPr>
                <w:sz w:val="12"/>
                <w:szCs w:val="12"/>
                <w:color w:val="auto"/>
              </w:rPr>
            </w:pPr>
          </w:p>
        </w:tc>
        <w:tc>
          <w:tcPr>
            <w:tcW w:w="920" w:type="dxa"/>
            <w:vAlign w:val="bottom"/>
            <w:tcBorders>
              <w:bottom w:val="single" w:sz="8" w:color="666666"/>
            </w:tcBorders>
          </w:tcPr>
          <w:p>
            <w:pPr>
              <w:ind w:left="60"/>
              <w:spacing w:after="0"/>
              <w:rPr>
                <w:sz w:val="20"/>
                <w:szCs w:val="20"/>
                <w:color w:val="auto"/>
              </w:rPr>
            </w:pPr>
            <w:r>
              <w:rPr>
                <w:rFonts w:ascii="Arial" w:cs="Arial" w:eastAsia="Arial" w:hAnsi="Arial"/>
                <w:sz w:val="12"/>
                <w:szCs w:val="12"/>
                <w:color w:val="auto"/>
              </w:rPr>
              <w:t>vest</w:t>
            </w:r>
          </w:p>
        </w:tc>
        <w:tc>
          <w:tcPr>
            <w:tcW w:w="1040" w:type="dxa"/>
            <w:vAlign w:val="bottom"/>
            <w:tcBorders>
              <w:bottom w:val="single" w:sz="8" w:color="666666"/>
            </w:tcBorders>
          </w:tcPr>
          <w:p>
            <w:pPr>
              <w:ind w:left="60"/>
              <w:spacing w:after="0"/>
              <w:rPr>
                <w:sz w:val="20"/>
                <w:szCs w:val="20"/>
                <w:color w:val="auto"/>
              </w:rPr>
            </w:pPr>
            <w:r>
              <w:rPr>
                <w:rFonts w:ascii="Arial" w:cs="Arial" w:eastAsia="Arial" w:hAnsi="Arial"/>
                <w:sz w:val="12"/>
                <w:szCs w:val="12"/>
                <w:color w:val="auto"/>
              </w:rPr>
              <w:t>vest</w:t>
            </w:r>
          </w:p>
        </w:tc>
        <w:tc>
          <w:tcPr>
            <w:tcW w:w="880" w:type="dxa"/>
            <w:vAlign w:val="bottom"/>
            <w:tcBorders>
              <w:bottom w:val="single" w:sz="8" w:color="666666"/>
            </w:tcBorders>
          </w:tcPr>
          <w:p>
            <w:pPr>
              <w:spacing w:after="0"/>
              <w:rPr>
                <w:sz w:val="12"/>
                <w:szCs w:val="12"/>
                <w:color w:val="auto"/>
              </w:rPr>
            </w:pPr>
          </w:p>
        </w:tc>
        <w:tc>
          <w:tcPr>
            <w:tcW w:w="980" w:type="dxa"/>
            <w:vAlign w:val="bottom"/>
            <w:tcBorders>
              <w:bottom w:val="single" w:sz="8" w:color="666666"/>
            </w:tcBorders>
          </w:tcPr>
          <w:p>
            <w:pPr>
              <w:ind w:left="60"/>
              <w:spacing w:after="0"/>
              <w:rPr>
                <w:sz w:val="20"/>
                <w:szCs w:val="20"/>
                <w:color w:val="auto"/>
              </w:rPr>
            </w:pPr>
            <w:r>
              <w:rPr>
                <w:rFonts w:ascii="Arial" w:cs="Arial" w:eastAsia="Arial" w:hAnsi="Arial"/>
                <w:sz w:val="12"/>
                <w:szCs w:val="12"/>
                <w:color w:val="auto"/>
              </w:rPr>
              <w:t>vest</w:t>
            </w:r>
          </w:p>
        </w:tc>
        <w:tc>
          <w:tcPr>
            <w:tcW w:w="820" w:type="dxa"/>
            <w:vAlign w:val="bottom"/>
            <w:tcBorders>
              <w:bottom w:val="single" w:sz="8" w:color="666666"/>
            </w:tcBorders>
          </w:tcPr>
          <w:p>
            <w:pPr>
              <w:spacing w:after="0"/>
              <w:rPr>
                <w:sz w:val="12"/>
                <w:szCs w:val="12"/>
                <w:color w:val="auto"/>
              </w:rPr>
            </w:pPr>
          </w:p>
        </w:tc>
        <w:tc>
          <w:tcPr>
            <w:tcW w:w="1040" w:type="dxa"/>
            <w:vAlign w:val="bottom"/>
            <w:tcBorders>
              <w:bottom w:val="single" w:sz="8" w:color="666666"/>
            </w:tcBorders>
          </w:tcPr>
          <w:p>
            <w:pPr>
              <w:ind w:left="60"/>
              <w:spacing w:after="0"/>
              <w:rPr>
                <w:sz w:val="20"/>
                <w:szCs w:val="20"/>
                <w:color w:val="auto"/>
              </w:rPr>
            </w:pPr>
            <w:r>
              <w:rPr>
                <w:rFonts w:ascii="Arial" w:cs="Arial" w:eastAsia="Arial" w:hAnsi="Arial"/>
                <w:sz w:val="12"/>
                <w:szCs w:val="12"/>
                <w:color w:val="auto"/>
              </w:rPr>
              <w:t>vest(10)</w:t>
            </w:r>
          </w:p>
        </w:tc>
        <w:tc>
          <w:tcPr>
            <w:tcW w:w="134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860" w:type="dxa"/>
            <w:vAlign w:val="bottom"/>
            <w:shd w:val="clear" w:color="auto" w:fill="F2F2F2"/>
          </w:tcPr>
          <w:p>
            <w:pPr>
              <w:ind w:left="60"/>
              <w:spacing w:after="0" w:line="107" w:lineRule="exact"/>
              <w:rPr>
                <w:sz w:val="20"/>
                <w:szCs w:val="20"/>
                <w:color w:val="auto"/>
              </w:rPr>
            </w:pPr>
            <w:r>
              <w:rPr>
                <w:rFonts w:ascii="Arial" w:cs="Arial" w:eastAsia="Arial" w:hAnsi="Arial"/>
                <w:sz w:val="12"/>
                <w:szCs w:val="12"/>
                <w:b w:val="1"/>
                <w:bCs w:val="1"/>
                <w:color w:val="auto"/>
              </w:rPr>
              <w:t>Health, Welfare and Other</w:t>
            </w:r>
          </w:p>
        </w:tc>
        <w:tc>
          <w:tcPr>
            <w:tcW w:w="1000" w:type="dxa"/>
            <w:vAlign w:val="bottom"/>
          </w:tcPr>
          <w:p>
            <w:pPr>
              <w:ind w:left="100"/>
              <w:spacing w:after="0" w:line="107" w:lineRule="exact"/>
              <w:rPr>
                <w:sz w:val="20"/>
                <w:szCs w:val="20"/>
                <w:color w:val="auto"/>
              </w:rPr>
            </w:pPr>
            <w:r>
              <w:rPr>
                <w:rFonts w:ascii="Arial" w:cs="Arial" w:eastAsia="Arial" w:hAnsi="Arial"/>
                <w:sz w:val="12"/>
                <w:szCs w:val="12"/>
                <w:color w:val="auto"/>
              </w:rPr>
              <w:t>None</w:t>
            </w:r>
          </w:p>
        </w:tc>
        <w:tc>
          <w:tcPr>
            <w:tcW w:w="920" w:type="dxa"/>
            <w:vAlign w:val="bottom"/>
          </w:tcPr>
          <w:p>
            <w:pPr>
              <w:ind w:left="60"/>
              <w:spacing w:after="0" w:line="107" w:lineRule="exact"/>
              <w:rPr>
                <w:sz w:val="20"/>
                <w:szCs w:val="20"/>
                <w:color w:val="auto"/>
              </w:rPr>
            </w:pPr>
            <w:r>
              <w:rPr>
                <w:rFonts w:ascii="Arial" w:cs="Arial" w:eastAsia="Arial" w:hAnsi="Arial"/>
                <w:sz w:val="12"/>
                <w:szCs w:val="12"/>
                <w:color w:val="auto"/>
              </w:rPr>
              <w:t>None(6)</w:t>
            </w:r>
          </w:p>
        </w:tc>
        <w:tc>
          <w:tcPr>
            <w:tcW w:w="1040" w:type="dxa"/>
            <w:vAlign w:val="bottom"/>
          </w:tcPr>
          <w:p>
            <w:pPr>
              <w:ind w:left="60"/>
              <w:spacing w:after="0" w:line="107" w:lineRule="exact"/>
              <w:rPr>
                <w:sz w:val="20"/>
                <w:szCs w:val="20"/>
                <w:color w:val="auto"/>
              </w:rPr>
            </w:pPr>
            <w:r>
              <w:rPr>
                <w:rFonts w:ascii="Arial" w:cs="Arial" w:eastAsia="Arial" w:hAnsi="Arial"/>
                <w:sz w:val="12"/>
                <w:szCs w:val="12"/>
                <w:color w:val="auto"/>
              </w:rPr>
              <w:t>1 year continued</w:t>
            </w:r>
          </w:p>
        </w:tc>
        <w:tc>
          <w:tcPr>
            <w:tcW w:w="880" w:type="dxa"/>
            <w:vAlign w:val="bottom"/>
          </w:tcPr>
          <w:p>
            <w:pPr>
              <w:ind w:left="60"/>
              <w:spacing w:after="0" w:line="107" w:lineRule="exact"/>
              <w:rPr>
                <w:sz w:val="20"/>
                <w:szCs w:val="20"/>
                <w:color w:val="auto"/>
              </w:rPr>
            </w:pPr>
            <w:r>
              <w:rPr>
                <w:rFonts w:ascii="Arial" w:cs="Arial" w:eastAsia="Arial" w:hAnsi="Arial"/>
                <w:sz w:val="12"/>
                <w:szCs w:val="12"/>
                <w:color w:val="auto"/>
              </w:rPr>
              <w:t>None</w:t>
            </w:r>
          </w:p>
        </w:tc>
        <w:tc>
          <w:tcPr>
            <w:tcW w:w="980" w:type="dxa"/>
            <w:vAlign w:val="bottom"/>
          </w:tcPr>
          <w:p>
            <w:pPr>
              <w:ind w:left="60"/>
              <w:spacing w:after="0" w:line="107" w:lineRule="exact"/>
              <w:rPr>
                <w:sz w:val="20"/>
                <w:szCs w:val="20"/>
                <w:color w:val="auto"/>
              </w:rPr>
            </w:pPr>
            <w:r>
              <w:rPr>
                <w:rFonts w:ascii="Arial" w:cs="Arial" w:eastAsia="Arial" w:hAnsi="Arial"/>
                <w:sz w:val="12"/>
                <w:szCs w:val="12"/>
                <w:color w:val="auto"/>
              </w:rPr>
              <w:t>Outplacement</w:t>
            </w:r>
          </w:p>
        </w:tc>
        <w:tc>
          <w:tcPr>
            <w:tcW w:w="820" w:type="dxa"/>
            <w:vAlign w:val="bottom"/>
          </w:tcPr>
          <w:p>
            <w:pPr>
              <w:ind w:left="60"/>
              <w:spacing w:after="0" w:line="107" w:lineRule="exact"/>
              <w:rPr>
                <w:sz w:val="20"/>
                <w:szCs w:val="20"/>
                <w:color w:val="auto"/>
              </w:rPr>
            </w:pPr>
            <w:r>
              <w:rPr>
                <w:rFonts w:ascii="Arial" w:cs="Arial" w:eastAsia="Arial" w:hAnsi="Arial"/>
                <w:sz w:val="12"/>
                <w:szCs w:val="12"/>
                <w:color w:val="auto"/>
              </w:rPr>
              <w:t>None</w:t>
            </w:r>
          </w:p>
        </w:tc>
        <w:tc>
          <w:tcPr>
            <w:tcW w:w="1040" w:type="dxa"/>
            <w:vAlign w:val="bottom"/>
          </w:tcPr>
          <w:p>
            <w:pPr>
              <w:ind w:left="60"/>
              <w:spacing w:after="0" w:line="107" w:lineRule="exact"/>
              <w:rPr>
                <w:sz w:val="20"/>
                <w:szCs w:val="20"/>
                <w:color w:val="auto"/>
              </w:rPr>
            </w:pPr>
            <w:r>
              <w:rPr>
                <w:rFonts w:ascii="Arial" w:cs="Arial" w:eastAsia="Arial" w:hAnsi="Arial"/>
                <w:sz w:val="12"/>
                <w:szCs w:val="12"/>
                <w:color w:val="auto"/>
              </w:rPr>
              <w:t>Continue</w:t>
            </w:r>
          </w:p>
        </w:tc>
        <w:tc>
          <w:tcPr>
            <w:tcW w:w="1340" w:type="dxa"/>
            <w:vAlign w:val="bottom"/>
          </w:tcPr>
          <w:p>
            <w:pPr>
              <w:ind w:left="40"/>
              <w:spacing w:after="0" w:line="107" w:lineRule="exact"/>
              <w:rPr>
                <w:sz w:val="20"/>
                <w:szCs w:val="20"/>
                <w:color w:val="auto"/>
              </w:rPr>
            </w:pPr>
            <w:r>
              <w:rPr>
                <w:rFonts w:ascii="Arial" w:cs="Arial" w:eastAsia="Arial" w:hAnsi="Arial"/>
                <w:sz w:val="12"/>
                <w:szCs w:val="12"/>
                <w:color w:val="auto"/>
              </w:rPr>
              <w:t>Outplacement services</w:t>
            </w:r>
          </w:p>
        </w:tc>
        <w:tc>
          <w:tcPr>
            <w:tcW w:w="0" w:type="dxa"/>
            <w:vAlign w:val="bottom"/>
          </w:tcPr>
          <w:p>
            <w:pPr>
              <w:spacing w:after="0"/>
              <w:rPr>
                <w:sz w:val="1"/>
                <w:szCs w:val="1"/>
                <w:color w:val="auto"/>
              </w:rPr>
            </w:pPr>
          </w:p>
        </w:tc>
      </w:tr>
      <w:tr>
        <w:trPr>
          <w:trHeight w:val="148"/>
        </w:trPr>
        <w:tc>
          <w:tcPr>
            <w:tcW w:w="2860" w:type="dxa"/>
            <w:vAlign w:val="bottom"/>
            <w:shd w:val="clear" w:color="auto" w:fill="F2F2F2"/>
          </w:tcPr>
          <w:p>
            <w:pPr>
              <w:ind w:left="60"/>
              <w:spacing w:after="0"/>
              <w:rPr>
                <w:sz w:val="20"/>
                <w:szCs w:val="20"/>
                <w:color w:val="auto"/>
              </w:rPr>
            </w:pPr>
            <w:r>
              <w:rPr>
                <w:rFonts w:ascii="Arial" w:cs="Arial" w:eastAsia="Arial" w:hAnsi="Arial"/>
                <w:sz w:val="12"/>
                <w:szCs w:val="12"/>
                <w:b w:val="1"/>
                <w:bCs w:val="1"/>
                <w:color w:val="auto"/>
              </w:rPr>
              <w:t>Benefits(11)(12)</w:t>
            </w: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ind w:left="60"/>
              <w:spacing w:after="0"/>
              <w:rPr>
                <w:sz w:val="20"/>
                <w:szCs w:val="20"/>
                <w:color w:val="auto"/>
              </w:rPr>
            </w:pPr>
            <w:r>
              <w:rPr>
                <w:rFonts w:ascii="Arial" w:cs="Arial" w:eastAsia="Arial" w:hAnsi="Arial"/>
                <w:sz w:val="12"/>
                <w:szCs w:val="12"/>
                <w:color w:val="auto"/>
              </w:rPr>
              <w:t>dental/health</w:t>
            </w:r>
          </w:p>
        </w:tc>
        <w:tc>
          <w:tcPr>
            <w:tcW w:w="880" w:type="dxa"/>
            <w:vAlign w:val="bottom"/>
          </w:tcPr>
          <w:p>
            <w:pPr>
              <w:spacing w:after="0"/>
              <w:rPr>
                <w:sz w:val="12"/>
                <w:szCs w:val="12"/>
                <w:color w:val="auto"/>
              </w:rPr>
            </w:pPr>
          </w:p>
        </w:tc>
        <w:tc>
          <w:tcPr>
            <w:tcW w:w="980" w:type="dxa"/>
            <w:vAlign w:val="bottom"/>
          </w:tcPr>
          <w:p>
            <w:pPr>
              <w:ind w:left="60"/>
              <w:spacing w:after="0"/>
              <w:rPr>
                <w:sz w:val="20"/>
                <w:szCs w:val="20"/>
                <w:color w:val="auto"/>
              </w:rPr>
            </w:pPr>
            <w:r>
              <w:rPr>
                <w:rFonts w:ascii="Arial" w:cs="Arial" w:eastAsia="Arial" w:hAnsi="Arial"/>
                <w:sz w:val="12"/>
                <w:szCs w:val="12"/>
                <w:color w:val="auto"/>
              </w:rPr>
              <w:t>services</w:t>
            </w: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12"/>
                <w:szCs w:val="12"/>
                <w:color w:val="auto"/>
              </w:rPr>
              <w:t>provided; 2 or 3 years</w:t>
            </w:r>
          </w:p>
        </w:tc>
        <w:tc>
          <w:tcPr>
            <w:tcW w:w="0" w:type="dxa"/>
            <w:vAlign w:val="bottom"/>
          </w:tcPr>
          <w:p>
            <w:pPr>
              <w:spacing w:after="0"/>
              <w:rPr>
                <w:sz w:val="1"/>
                <w:szCs w:val="1"/>
                <w:color w:val="auto"/>
              </w:rPr>
            </w:pPr>
          </w:p>
        </w:tc>
      </w:tr>
      <w:tr>
        <w:trPr>
          <w:trHeight w:val="134"/>
        </w:trPr>
        <w:tc>
          <w:tcPr>
            <w:tcW w:w="2860" w:type="dxa"/>
            <w:vAlign w:val="bottom"/>
            <w:shd w:val="clear" w:color="auto" w:fill="F2F2F2"/>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ind w:left="60"/>
              <w:spacing w:after="0" w:line="134" w:lineRule="exact"/>
              <w:rPr>
                <w:sz w:val="20"/>
                <w:szCs w:val="20"/>
                <w:color w:val="auto"/>
              </w:rPr>
            </w:pPr>
            <w:r>
              <w:rPr>
                <w:rFonts w:ascii="Arial" w:cs="Arial" w:eastAsia="Arial" w:hAnsi="Arial"/>
                <w:sz w:val="12"/>
                <w:szCs w:val="12"/>
                <w:color w:val="auto"/>
              </w:rPr>
              <w:t>coverage; legal</w:t>
            </w:r>
          </w:p>
        </w:tc>
        <w:tc>
          <w:tcPr>
            <w:tcW w:w="880" w:type="dxa"/>
            <w:vAlign w:val="bottom"/>
          </w:tcPr>
          <w:p>
            <w:pPr>
              <w:spacing w:after="0"/>
              <w:rPr>
                <w:sz w:val="11"/>
                <w:szCs w:val="11"/>
                <w:color w:val="auto"/>
              </w:rPr>
            </w:pPr>
          </w:p>
        </w:tc>
        <w:tc>
          <w:tcPr>
            <w:tcW w:w="980" w:type="dxa"/>
            <w:vAlign w:val="bottom"/>
          </w:tcPr>
          <w:p>
            <w:pPr>
              <w:ind w:left="60"/>
              <w:spacing w:after="0" w:line="134" w:lineRule="exact"/>
              <w:rPr>
                <w:sz w:val="20"/>
                <w:szCs w:val="20"/>
                <w:color w:val="auto"/>
              </w:rPr>
            </w:pPr>
            <w:r>
              <w:rPr>
                <w:rFonts w:ascii="Arial" w:cs="Arial" w:eastAsia="Arial" w:hAnsi="Arial"/>
                <w:sz w:val="12"/>
                <w:szCs w:val="12"/>
                <w:color w:val="auto"/>
              </w:rPr>
              <w:t>provided; 2</w:t>
            </w: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40" w:type="dxa"/>
            <w:vAlign w:val="bottom"/>
          </w:tcPr>
          <w:p>
            <w:pPr>
              <w:ind w:left="40"/>
              <w:spacing w:after="0" w:line="134" w:lineRule="exact"/>
              <w:rPr>
                <w:sz w:val="20"/>
                <w:szCs w:val="20"/>
                <w:color w:val="auto"/>
              </w:rPr>
            </w:pPr>
            <w:r>
              <w:rPr>
                <w:rFonts w:ascii="Arial" w:cs="Arial" w:eastAsia="Arial" w:hAnsi="Arial"/>
                <w:sz w:val="12"/>
                <w:szCs w:val="12"/>
                <w:color w:val="auto"/>
              </w:rPr>
              <w:t>continued dental/health</w:t>
            </w:r>
          </w:p>
        </w:tc>
        <w:tc>
          <w:tcPr>
            <w:tcW w:w="0" w:type="dxa"/>
            <w:vAlign w:val="bottom"/>
          </w:tcPr>
          <w:p>
            <w:pPr>
              <w:spacing w:after="0"/>
              <w:rPr>
                <w:sz w:val="1"/>
                <w:szCs w:val="1"/>
                <w:color w:val="auto"/>
              </w:rPr>
            </w:pPr>
          </w:p>
        </w:tc>
      </w:tr>
      <w:tr>
        <w:trPr>
          <w:trHeight w:val="134"/>
        </w:trPr>
        <w:tc>
          <w:tcPr>
            <w:tcW w:w="2860" w:type="dxa"/>
            <w:vAlign w:val="bottom"/>
            <w:shd w:val="clear" w:color="auto" w:fill="F2F2F2"/>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ind w:left="60"/>
              <w:spacing w:after="0" w:line="134" w:lineRule="exact"/>
              <w:rPr>
                <w:sz w:val="20"/>
                <w:szCs w:val="20"/>
                <w:color w:val="auto"/>
              </w:rPr>
            </w:pPr>
            <w:r>
              <w:rPr>
                <w:rFonts w:ascii="Arial" w:cs="Arial" w:eastAsia="Arial" w:hAnsi="Arial"/>
                <w:sz w:val="12"/>
                <w:szCs w:val="12"/>
                <w:color w:val="auto"/>
              </w:rPr>
              <w:t>fees, upon</w:t>
            </w:r>
          </w:p>
        </w:tc>
        <w:tc>
          <w:tcPr>
            <w:tcW w:w="880" w:type="dxa"/>
            <w:vAlign w:val="bottom"/>
          </w:tcPr>
          <w:p>
            <w:pPr>
              <w:spacing w:after="0"/>
              <w:rPr>
                <w:sz w:val="11"/>
                <w:szCs w:val="11"/>
                <w:color w:val="auto"/>
              </w:rPr>
            </w:pPr>
          </w:p>
        </w:tc>
        <w:tc>
          <w:tcPr>
            <w:tcW w:w="980" w:type="dxa"/>
            <w:vAlign w:val="bottom"/>
          </w:tcPr>
          <w:p>
            <w:pPr>
              <w:ind w:left="60"/>
              <w:spacing w:after="0" w:line="134" w:lineRule="exact"/>
              <w:rPr>
                <w:sz w:val="20"/>
                <w:szCs w:val="20"/>
                <w:color w:val="auto"/>
              </w:rPr>
            </w:pPr>
            <w:r>
              <w:rPr>
                <w:rFonts w:ascii="Arial" w:cs="Arial" w:eastAsia="Arial" w:hAnsi="Arial"/>
                <w:sz w:val="12"/>
                <w:szCs w:val="12"/>
                <w:color w:val="auto"/>
              </w:rPr>
              <w:t>years continued</w:t>
            </w: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40" w:type="dxa"/>
            <w:vAlign w:val="bottom"/>
          </w:tcPr>
          <w:p>
            <w:pPr>
              <w:ind w:left="40"/>
              <w:spacing w:after="0" w:line="134" w:lineRule="exact"/>
              <w:rPr>
                <w:sz w:val="20"/>
                <w:szCs w:val="20"/>
                <w:color w:val="auto"/>
              </w:rPr>
            </w:pPr>
            <w:r>
              <w:rPr>
                <w:rFonts w:ascii="Arial" w:cs="Arial" w:eastAsia="Arial" w:hAnsi="Arial"/>
                <w:sz w:val="12"/>
                <w:szCs w:val="12"/>
                <w:color w:val="auto"/>
              </w:rPr>
              <w:t>coverage; legal fees,</w:t>
            </w:r>
          </w:p>
        </w:tc>
        <w:tc>
          <w:tcPr>
            <w:tcW w:w="0" w:type="dxa"/>
            <w:vAlign w:val="bottom"/>
          </w:tcPr>
          <w:p>
            <w:pPr>
              <w:spacing w:after="0"/>
              <w:rPr>
                <w:sz w:val="1"/>
                <w:szCs w:val="1"/>
                <w:color w:val="auto"/>
              </w:rPr>
            </w:pPr>
          </w:p>
        </w:tc>
      </w:tr>
      <w:tr>
        <w:trPr>
          <w:trHeight w:val="134"/>
        </w:trPr>
        <w:tc>
          <w:tcPr>
            <w:tcW w:w="2860" w:type="dxa"/>
            <w:vAlign w:val="bottom"/>
            <w:shd w:val="clear" w:color="auto" w:fill="F2F2F2"/>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ind w:left="60"/>
              <w:spacing w:after="0" w:line="134" w:lineRule="exact"/>
              <w:rPr>
                <w:sz w:val="20"/>
                <w:szCs w:val="20"/>
                <w:color w:val="auto"/>
              </w:rPr>
            </w:pPr>
            <w:r>
              <w:rPr>
                <w:rFonts w:ascii="Arial" w:cs="Arial" w:eastAsia="Arial" w:hAnsi="Arial"/>
                <w:sz w:val="12"/>
                <w:szCs w:val="12"/>
                <w:color w:val="auto"/>
              </w:rPr>
              <w:t>dispute</w:t>
            </w:r>
          </w:p>
        </w:tc>
        <w:tc>
          <w:tcPr>
            <w:tcW w:w="880" w:type="dxa"/>
            <w:vAlign w:val="bottom"/>
          </w:tcPr>
          <w:p>
            <w:pPr>
              <w:spacing w:after="0"/>
              <w:rPr>
                <w:sz w:val="11"/>
                <w:szCs w:val="11"/>
                <w:color w:val="auto"/>
              </w:rPr>
            </w:pPr>
          </w:p>
        </w:tc>
        <w:tc>
          <w:tcPr>
            <w:tcW w:w="980" w:type="dxa"/>
            <w:vAlign w:val="bottom"/>
          </w:tcPr>
          <w:p>
            <w:pPr>
              <w:ind w:left="60"/>
              <w:spacing w:after="0" w:line="134" w:lineRule="exact"/>
              <w:rPr>
                <w:sz w:val="20"/>
                <w:szCs w:val="20"/>
                <w:color w:val="auto"/>
              </w:rPr>
            </w:pPr>
            <w:r>
              <w:rPr>
                <w:rFonts w:ascii="Arial" w:cs="Arial" w:eastAsia="Arial" w:hAnsi="Arial"/>
                <w:sz w:val="12"/>
                <w:szCs w:val="12"/>
                <w:color w:val="auto"/>
              </w:rPr>
              <w:t>dental/health</w:t>
            </w: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40" w:type="dxa"/>
            <w:vAlign w:val="bottom"/>
          </w:tcPr>
          <w:p>
            <w:pPr>
              <w:ind w:left="40"/>
              <w:spacing w:after="0" w:line="134" w:lineRule="exact"/>
              <w:rPr>
                <w:sz w:val="20"/>
                <w:szCs w:val="20"/>
                <w:color w:val="auto"/>
              </w:rPr>
            </w:pPr>
            <w:r>
              <w:rPr>
                <w:rFonts w:ascii="Arial" w:cs="Arial" w:eastAsia="Arial" w:hAnsi="Arial"/>
                <w:sz w:val="12"/>
                <w:szCs w:val="12"/>
                <w:color w:val="auto"/>
              </w:rPr>
              <w:t>upon dispute</w:t>
            </w:r>
          </w:p>
        </w:tc>
        <w:tc>
          <w:tcPr>
            <w:tcW w:w="0" w:type="dxa"/>
            <w:vAlign w:val="bottom"/>
          </w:tcPr>
          <w:p>
            <w:pPr>
              <w:spacing w:after="0"/>
              <w:rPr>
                <w:sz w:val="1"/>
                <w:szCs w:val="1"/>
                <w:color w:val="auto"/>
              </w:rPr>
            </w:pPr>
          </w:p>
        </w:tc>
      </w:tr>
      <w:tr>
        <w:trPr>
          <w:trHeight w:val="134"/>
        </w:trPr>
        <w:tc>
          <w:tcPr>
            <w:tcW w:w="2860" w:type="dxa"/>
            <w:vAlign w:val="bottom"/>
            <w:shd w:val="clear" w:color="auto" w:fill="F2F2F2"/>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ind w:left="60"/>
              <w:spacing w:after="0" w:line="134" w:lineRule="exact"/>
              <w:rPr>
                <w:sz w:val="20"/>
                <w:szCs w:val="20"/>
                <w:color w:val="auto"/>
              </w:rPr>
            </w:pPr>
            <w:r>
              <w:rPr>
                <w:rFonts w:ascii="Arial" w:cs="Arial" w:eastAsia="Arial" w:hAnsi="Arial"/>
                <w:sz w:val="12"/>
                <w:szCs w:val="12"/>
                <w:color w:val="auto"/>
              </w:rPr>
              <w:t>coverage; legal</w:t>
            </w: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860" w:type="dxa"/>
            <w:vAlign w:val="bottom"/>
            <w:shd w:val="clear" w:color="auto" w:fill="F2F2F2"/>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ind w:left="60"/>
              <w:spacing w:after="0" w:line="134" w:lineRule="exact"/>
              <w:rPr>
                <w:sz w:val="20"/>
                <w:szCs w:val="20"/>
                <w:color w:val="auto"/>
              </w:rPr>
            </w:pPr>
            <w:r>
              <w:rPr>
                <w:rFonts w:ascii="Arial" w:cs="Arial" w:eastAsia="Arial" w:hAnsi="Arial"/>
                <w:sz w:val="12"/>
                <w:szCs w:val="12"/>
                <w:color w:val="auto"/>
              </w:rPr>
              <w:t>fees, upon</w:t>
            </w: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860" w:type="dxa"/>
            <w:vAlign w:val="bottom"/>
            <w:tcBorders>
              <w:bottom w:val="single" w:sz="8" w:color="auto"/>
            </w:tcBorders>
            <w:shd w:val="clear" w:color="auto" w:fill="F2F2F2"/>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dispute</w:t>
            </w:r>
          </w:p>
        </w:tc>
        <w:tc>
          <w:tcPr>
            <w:tcW w:w="8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580" w:right="40" w:hanging="313"/>
        <w:spacing w:after="0" w:line="253" w:lineRule="auto"/>
        <w:tabs>
          <w:tab w:leader="none" w:pos="5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No special or additional payments are payable to any of the NEOs under an Executive Employment Agreement, CIC Agreement or otherwise in the event of termination of employment by way of retirement, resignation or termination for “cause.”</w:t>
      </w:r>
    </w:p>
    <w:p>
      <w:pPr>
        <w:spacing w:after="0" w:line="21" w:lineRule="exact"/>
        <w:rPr>
          <w:rFonts w:ascii="Arial" w:cs="Arial" w:eastAsia="Arial" w:hAnsi="Arial"/>
          <w:sz w:val="14"/>
          <w:szCs w:val="14"/>
          <w:color w:val="auto"/>
        </w:rPr>
      </w:pPr>
    </w:p>
    <w:p>
      <w:pPr>
        <w:ind w:left="580" w:right="200" w:hanging="313"/>
        <w:spacing w:after="0" w:line="238" w:lineRule="auto"/>
        <w:tabs>
          <w:tab w:leader="none" w:pos="5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Under Mr. Mills’ Executive Employment Agreement, “disability” is defined as the absence of Mr. Mills from his duties on a substantial basis for 120 calendar days as a result of incapacity due to physical or mental illness. If we determine that Mr. Mills is disabled, he has 30 days from the date of our notice of intent to terminate employment by reason of disability to return to full-time performance of his duties. The NEO may terminate his employment for disability if a physician selected by</w:t>
      </w:r>
    </w:p>
    <w:p>
      <w:pPr>
        <w:spacing w:after="0" w:line="1" w:lineRule="exact"/>
        <w:rPr>
          <w:rFonts w:ascii="Arial" w:cs="Arial" w:eastAsia="Arial" w:hAnsi="Arial"/>
          <w:sz w:val="14"/>
          <w:szCs w:val="14"/>
          <w:color w:val="auto"/>
        </w:rPr>
      </w:pPr>
    </w:p>
    <w:p>
      <w:pPr>
        <w:ind w:left="580"/>
        <w:spacing w:after="0" w:line="253" w:lineRule="auto"/>
        <w:rPr>
          <w:rFonts w:ascii="Arial" w:cs="Arial" w:eastAsia="Arial" w:hAnsi="Arial"/>
          <w:sz w:val="14"/>
          <w:szCs w:val="14"/>
          <w:color w:val="auto"/>
        </w:rPr>
      </w:pPr>
      <w:r>
        <w:rPr>
          <w:rFonts w:ascii="Arial" w:cs="Arial" w:eastAsia="Arial" w:hAnsi="Arial"/>
          <w:sz w:val="14"/>
          <w:szCs w:val="14"/>
          <w:color w:val="auto"/>
        </w:rPr>
        <w:t>Mr. Mills determines that a disability has occurred. Under the CIC Agreement, “disability” is defined as the NEO’s incapacity due to physical or mental illness that causes the absence of the NEO from his duties for six months in accordance with the Company’s medical leave policies.</w:t>
      </w:r>
    </w:p>
    <w:p>
      <w:pPr>
        <w:spacing w:after="0" w:line="21" w:lineRule="exact"/>
        <w:rPr>
          <w:rFonts w:ascii="Arial" w:cs="Arial" w:eastAsia="Arial" w:hAnsi="Arial"/>
          <w:sz w:val="14"/>
          <w:szCs w:val="14"/>
          <w:color w:val="auto"/>
        </w:rPr>
      </w:pPr>
    </w:p>
    <w:p>
      <w:pPr>
        <w:ind w:left="580" w:hanging="313"/>
        <w:spacing w:after="0" w:line="242" w:lineRule="auto"/>
        <w:tabs>
          <w:tab w:leader="none" w:pos="5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Under Mr. Mills’ Executive Employment Agreement, “cause” is defined as the willful and continued failure to substantially perform Mr. Mills’ duties with the Company (other than failure resulting from incapacity due to physical or mental illness or anticipated failure after he has provided a notice of termination for good reason) after written demand is made by the Board of Directors, or the willful engagement in illegal conduct or gross misconduct that is materially and demonstrably injurious to the Company. “Good reason” generally means the occurrence of any of the following: (i) the assignment to Mr. Mills of any position, authorities, duties or responsibilities that are materially inconsistent with his position, authorities, duties or responsibilities as provided in the Executive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92075</wp:posOffset>
            </wp:positionV>
            <wp:extent cx="69176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ectPr>
          <w:pgSz w:w="11900" w:h="16838" w:orient="portrait"/>
          <w:cols w:equalWidth="0" w:num="1">
            <w:col w:w="11160"/>
          </w:cols>
          <w:pgMar w:left="240" w:top="456" w:right="4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620" w:hanging="353"/>
        <w:spacing w:after="0"/>
        <w:tabs>
          <w:tab w:leader="none" w:pos="620" w:val="left"/>
        </w:tabs>
        <w:numPr>
          <w:ilvl w:val="0"/>
          <w:numId w:val="96"/>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2018 Proxy Statement</w:t>
      </w:r>
    </w:p>
    <w:p>
      <w:pPr>
        <w:sectPr>
          <w:pgSz w:w="11900" w:h="16838" w:orient="portrait"/>
          <w:cols w:equalWidth="0" w:num="1">
            <w:col w:w="11160"/>
          </w:cols>
          <w:pgMar w:left="240" w:top="456" w:right="49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666666"/>
        </w:rPr>
        <w:t>EXECUTIVE COMPENSATION TABLES</w:t>
      </w:r>
    </w:p>
    <w:p>
      <w:pPr>
        <w:spacing w:after="0" w:line="164" w:lineRule="exact"/>
        <w:rPr>
          <w:sz w:val="20"/>
          <w:szCs w:val="20"/>
          <w:color w:val="auto"/>
        </w:rPr>
      </w:pPr>
    </w:p>
    <w:p>
      <w:pPr>
        <w:ind w:left="580" w:right="20"/>
        <w:spacing w:after="0" w:line="241" w:lineRule="auto"/>
        <w:rPr>
          <w:sz w:val="20"/>
          <w:szCs w:val="20"/>
          <w:color w:val="auto"/>
        </w:rPr>
      </w:pPr>
      <w:r>
        <w:rPr>
          <w:rFonts w:ascii="Arial" w:cs="Arial" w:eastAsia="Arial" w:hAnsi="Arial"/>
          <w:sz w:val="14"/>
          <w:szCs w:val="14"/>
          <w:color w:val="auto"/>
        </w:rPr>
        <w:t>Agreement or any other action that results in a material diminution of the NEO’s position, authorities, duties or responsibilities, coupled with the failure to report to a Vice President or more senior officer; (ii) a material breach by the Company of the Executive Employment Agreement; (iii) the Company’s giving of notice that the Executive Employment Agreement term will not be extended (“non-renewal”)(which was given in January 2018); or (iv) the failure by the Company to require any successor to assume and perform the Executive Employment Agreement between the NEO and the Company. After a change of control or other transaction in which our ordinary shares cease to be publicly traded, “good reason” also will be deemed to exist if the NEO is assigned to any position, authority, duties or responsibilities that are not at the ultimate parent company of the surviving entity.</w:t>
      </w:r>
    </w:p>
    <w:p>
      <w:pPr>
        <w:spacing w:after="0" w:line="31" w:lineRule="exact"/>
        <w:rPr>
          <w:sz w:val="20"/>
          <w:szCs w:val="20"/>
          <w:color w:val="auto"/>
        </w:rPr>
      </w:pPr>
    </w:p>
    <w:p>
      <w:pPr>
        <w:ind w:left="580" w:right="20" w:hanging="313"/>
        <w:spacing w:after="0"/>
        <w:tabs>
          <w:tab w:leader="none" w:pos="5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Under Mr. Mills’ Executive Employment Agreement, “change of control” is generally deemed to occur if (i) any person acquires 20% or more of our ordinary shares; (ii) at least two-thirds of the members of the current Board of Directors cease to be directors other than in specified circumstances; (iii) upon the consummation of a merger or similar transaction other than (a) a transaction in which the shareholders beneficially owning the ordinary shares outstanding immediately prior to the transaction represent at least two-thirds of the voting power immediately after the transaction, (b) a transaction in which no person owns 20% or more of the outstanding ordinary shares or voting power of the surviving entity, and (c) a transaction in which at least two-thirds of the members of the Board of Directors of the surviving entity are current members of the Board of Directors at the time the transaction was approved; or (iv) approval or adoption by the Board of Directors or our shareholders of a plan or proposal which could result directly or indirectly in the liquidation, transfer, sale or other disposal of all or substantially all of the Company’s assets or a dissolution of the Company.</w:t>
      </w:r>
    </w:p>
    <w:p>
      <w:pPr>
        <w:spacing w:after="0" w:line="195" w:lineRule="exact"/>
        <w:rPr>
          <w:sz w:val="20"/>
          <w:szCs w:val="20"/>
          <w:color w:val="auto"/>
        </w:rPr>
      </w:pPr>
    </w:p>
    <w:p>
      <w:pPr>
        <w:ind w:left="580" w:right="80"/>
        <w:spacing w:after="0" w:line="241" w:lineRule="auto"/>
        <w:rPr>
          <w:sz w:val="20"/>
          <w:szCs w:val="20"/>
          <w:color w:val="auto"/>
        </w:rPr>
      </w:pPr>
      <w:r>
        <w:rPr>
          <w:rFonts w:ascii="Arial" w:cs="Arial" w:eastAsia="Arial" w:hAnsi="Arial"/>
          <w:sz w:val="14"/>
          <w:szCs w:val="14"/>
          <w:color w:val="auto"/>
        </w:rPr>
        <w:t>Under the CIC Agreement, “change of control” is generally deemed to occur if (i) any person acquires 30% or more of our ordinary shares; (ii) at least a majority of the members of the current Board of Directors cease to be directors other than in specified circumstances; (iii) upon the consummation of a merger or similar transaction other than (a) a transaction in which the shareholders beneficially owning the ordinary shares outstanding immediately prior to the transaction represent at least 50% of the voting power immediately after the transaction, (b) a transaction in which no person owns 30% or more of the outstanding ordinary shares or voting power of the surviving entity, and (c) a transaction in which at least a majority of the members of the Board of Directors of the surviving entity are current members of the Board of Directors at the time the transaction was approved; or (iv) approval or adoption by the Board of Directors or our shareholders of a plan or proposal which could result directly or indirectly in the liquidation, transfer, sale or other disposal of all or substantially all of the Company’s assets or a dissolution of the Company.</w:t>
      </w:r>
    </w:p>
    <w:p>
      <w:pPr>
        <w:spacing w:after="0" w:line="30" w:lineRule="exact"/>
        <w:rPr>
          <w:sz w:val="20"/>
          <w:szCs w:val="20"/>
          <w:color w:val="auto"/>
        </w:rPr>
      </w:pPr>
    </w:p>
    <w:p>
      <w:pPr>
        <w:ind w:left="580" w:right="540"/>
        <w:spacing w:after="0" w:line="253" w:lineRule="auto"/>
        <w:rPr>
          <w:sz w:val="20"/>
          <w:szCs w:val="20"/>
          <w:color w:val="auto"/>
        </w:rPr>
      </w:pPr>
      <w:r>
        <w:rPr>
          <w:rFonts w:ascii="Arial" w:cs="Arial" w:eastAsia="Arial" w:hAnsi="Arial"/>
          <w:sz w:val="14"/>
          <w:szCs w:val="14"/>
          <w:color w:val="auto"/>
        </w:rPr>
        <w:t>There are no additional rights granted to Mr. Mills under his Executive Employment Agreement as a result of a change of control, other than providing, in certain circumstances, the ability to terminate his Executive Employment Agreement in connection with a change of control for good reason. (See footnote 3 above).</w:t>
      </w:r>
    </w:p>
    <w:p>
      <w:pPr>
        <w:spacing w:after="0" w:line="21" w:lineRule="exact"/>
        <w:rPr>
          <w:sz w:val="20"/>
          <w:szCs w:val="20"/>
          <w:color w:val="auto"/>
        </w:rPr>
      </w:pPr>
    </w:p>
    <w:p>
      <w:pPr>
        <w:ind w:left="580" w:right="40" w:hanging="313"/>
        <w:spacing w:after="0" w:line="242" w:lineRule="auto"/>
        <w:tabs>
          <w:tab w:leader="none" w:pos="5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Under the executive severance guidelines approved in November 2017, a cash severance of 12 to 18 months of annual base salary may be paid at the discretion of the CEO. If an NEO is terminated in the first half of any fiscal year, no annual cash incentive compensation will be paid. If an NEO is terminated in the second half of any fiscal year, the annual cash incentive compensation will be pro-rated based on actual achievement and may be part of the severance package at the discretion of the CEO. Acceleration and vesting of RSUs originally scheduled to vest within 12 months of the termination date, may vest at the discretion of the CEO and with the prior approval of the Compensation Committee of the Board of Directors.</w:t>
      </w:r>
    </w:p>
    <w:p>
      <w:pPr>
        <w:spacing w:after="0" w:line="29" w:lineRule="exact"/>
        <w:rPr>
          <w:rFonts w:ascii="Arial" w:cs="Arial" w:eastAsia="Arial" w:hAnsi="Arial"/>
          <w:sz w:val="14"/>
          <w:szCs w:val="14"/>
          <w:color w:val="auto"/>
        </w:rPr>
      </w:pPr>
    </w:p>
    <w:p>
      <w:pPr>
        <w:ind w:left="580" w:hanging="313"/>
        <w:spacing w:after="0" w:line="243" w:lineRule="auto"/>
        <w:tabs>
          <w:tab w:leader="none" w:pos="5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Under the CIC Agreement, following a change of control and during the term of the agreement, (a) during a period of incapacity, a NEO would continue to receive his or her full salary and all compensation and benefits payable under the terms of the then-current plans until the NEO is terminated by the Company for disability or (b) in the event of death, the NEO’s estate would receive his or her full salary and all compensation and benefits payable under the terms of the then-current plans through the date of the NEO’s death. (See footnote 2 above for Mr. Mills.)</w:t>
      </w:r>
    </w:p>
    <w:p>
      <w:pPr>
        <w:spacing w:after="0" w:line="28" w:lineRule="exact"/>
        <w:rPr>
          <w:rFonts w:ascii="Arial" w:cs="Arial" w:eastAsia="Arial" w:hAnsi="Arial"/>
          <w:sz w:val="14"/>
          <w:szCs w:val="14"/>
          <w:color w:val="auto"/>
        </w:rPr>
      </w:pPr>
    </w:p>
    <w:p>
      <w:pPr>
        <w:ind w:left="580" w:right="60" w:hanging="313"/>
        <w:spacing w:after="0" w:line="246" w:lineRule="auto"/>
        <w:tabs>
          <w:tab w:leader="none" w:pos="5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 the event of non-renewal of an Executive Employment Agreement by the Company, the multiple for calculation of the severance payment is reduced from two to one. As non-renewal notice has been given to Mr. Mills, and he has elected to terminate his employment for good reason, his severance multiple will be 1x upon his departure. Mr. Shivram’s multiple for calculation of his severance payment and healthcare coverage upon his departure in March 2017 was 3x.</w:t>
      </w:r>
    </w:p>
    <w:p>
      <w:pPr>
        <w:spacing w:after="0" w:line="25" w:lineRule="exact"/>
        <w:rPr>
          <w:rFonts w:ascii="Arial" w:cs="Arial" w:eastAsia="Arial" w:hAnsi="Arial"/>
          <w:sz w:val="14"/>
          <w:szCs w:val="14"/>
          <w:color w:val="auto"/>
        </w:rPr>
      </w:pPr>
    </w:p>
    <w:p>
      <w:pPr>
        <w:ind w:left="580" w:right="140" w:hanging="313"/>
        <w:spacing w:after="0" w:line="241" w:lineRule="auto"/>
        <w:tabs>
          <w:tab w:leader="none" w:pos="5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Under the CIC Agreement, severance would be payable if an NEO’s employment is terminated (i) by the Company “without cause” or by the Executive for “good reason” within 6 months preceding or two years following a change of control under certain circumstances. “Cause” means willful and continued failure of the NEO to perform his or her duties or the NEO willfully engaging in illegal conduct or gross misconduct that is harmful to the Company. “Good reason” includes a material reduction in a NEO’s authorities, responsibilities, status, compensation or benefits (unless part of a cost reduction initiative) or the failure of any successor company to assume the agreement. Under the Executive Employment Agreement, the NEO’s “target” bonus is used for calculation purposes. Under each CIC Agreement, the NEO’s average annual bonus for the prior three years is used for calculation purposes. Mr. Mills’ multiple under his Executive Employment Agreement is two. The multiple for all other NEOs is three.</w:t>
      </w:r>
    </w:p>
    <w:p>
      <w:pPr>
        <w:spacing w:after="0" w:line="29" w:lineRule="exact"/>
        <w:rPr>
          <w:rFonts w:ascii="Arial" w:cs="Arial" w:eastAsia="Arial" w:hAnsi="Arial"/>
          <w:sz w:val="14"/>
          <w:szCs w:val="14"/>
          <w:color w:val="auto"/>
        </w:rPr>
      </w:pPr>
    </w:p>
    <w:p>
      <w:pPr>
        <w:ind w:left="580" w:right="520" w:hanging="313"/>
        <w:spacing w:after="0" w:line="253" w:lineRule="auto"/>
        <w:tabs>
          <w:tab w:leader="none" w:pos="5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Under the Executive Non-Equity Incentive Compensation Plan (“EICP”), upon a change in control an NEO is entitled to an immediate cash payment equal to the maximum award payment, or superior amount. See the description under “Annual Cash Incentive Compensation” on page 26.</w:t>
      </w:r>
    </w:p>
    <w:p>
      <w:pPr>
        <w:spacing w:after="0" w:line="21" w:lineRule="exact"/>
        <w:rPr>
          <w:rFonts w:ascii="Arial" w:cs="Arial" w:eastAsia="Arial" w:hAnsi="Arial"/>
          <w:sz w:val="14"/>
          <w:szCs w:val="14"/>
          <w:color w:val="auto"/>
        </w:rPr>
      </w:pPr>
    </w:p>
    <w:p>
      <w:pPr>
        <w:ind w:left="580" w:right="20" w:hanging="313"/>
        <w:spacing w:after="0" w:line="246" w:lineRule="auto"/>
        <w:tabs>
          <w:tab w:leader="none" w:pos="5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PSUs granted before January 2016 that have not lapsed will accelerate and vest based on the performance measurement period of the 20 NYSE trading days prior to the date of the change in control with a performance multiplier calculated using the volume weighted average price per share during such performance period. The PSUs granted after January 2016 that have not lapsed will accelerate and vest at a multiple of two upon a change of control.</w:t>
      </w:r>
    </w:p>
    <w:p>
      <w:pPr>
        <w:spacing w:after="0" w:line="25" w:lineRule="exact"/>
        <w:rPr>
          <w:rFonts w:ascii="Arial" w:cs="Arial" w:eastAsia="Arial" w:hAnsi="Arial"/>
          <w:sz w:val="14"/>
          <w:szCs w:val="14"/>
          <w:color w:val="auto"/>
        </w:rPr>
      </w:pPr>
    </w:p>
    <w:p>
      <w:pPr>
        <w:ind w:left="580" w:hanging="313"/>
        <w:spacing w:after="0"/>
        <w:tabs>
          <w:tab w:leader="none" w:pos="5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Mr. Bausch is eligible for tax benefits under the Company’s tax policy. See “Expatriate Benefits” on page 31.</w:t>
      </w:r>
    </w:p>
    <w:p>
      <w:pPr>
        <w:spacing w:after="0" w:line="39" w:lineRule="exact"/>
        <w:rPr>
          <w:rFonts w:ascii="Arial" w:cs="Arial" w:eastAsia="Arial" w:hAnsi="Arial"/>
          <w:sz w:val="14"/>
          <w:szCs w:val="14"/>
          <w:color w:val="auto"/>
        </w:rPr>
      </w:pPr>
    </w:p>
    <w:p>
      <w:pPr>
        <w:ind w:left="580" w:hanging="313"/>
        <w:spacing w:after="0" w:line="241" w:lineRule="auto"/>
        <w:tabs>
          <w:tab w:leader="none" w:pos="5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Under Mr. Mills’ Executive Employment Agreement and each CIC Agreement, (i) all dental and health benefits under any plans that are provided to a NEO and his or her family prior to termination would be maintained after termination for a period of one to three years or such longer period as the plans may require, provided the NEO makes his or her required contribution and that such benefits are secondary to any benefits offered by another employer; and (ii) upon request, up to a maximum of $35,000 or for no longer than 6 months, the Company will pay for outplacement services for the NEO, the provider of which would be selected and paid directly by us for a period not extending beyond the last day of the second taxable year following the taxable year in which the NEO’s termination occurs. We are required to pay reasonable legal fees and expenses incurred by the NEO in any disputes regarding his or her Executive Employment Agreement or CIC Agreement, so long as the NEO undertakes to reimburse the Company for such amounts paid if the NEO is determined to have acted in bad faith in connection with the dispute.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92075</wp:posOffset>
            </wp:positionV>
            <wp:extent cx="69176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39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2018 Proxy Statement</w:t>
      </w:r>
      <w:r>
        <w:rPr>
          <w:sz w:val="20"/>
          <w:szCs w:val="20"/>
          <w:color w:val="auto"/>
        </w:rPr>
        <w:tab/>
      </w:r>
      <w:r>
        <w:rPr>
          <w:rFonts w:ascii="Arial" w:cs="Arial" w:eastAsia="Arial" w:hAnsi="Arial"/>
          <w:sz w:val="14"/>
          <w:szCs w:val="14"/>
          <w:b w:val="1"/>
          <w:bCs w:val="1"/>
          <w:color w:val="666666"/>
        </w:rPr>
        <w:t>43</w:t>
      </w:r>
    </w:p>
    <w:p>
      <w:pPr>
        <w:sectPr>
          <w:pgSz w:w="11900" w:h="16838" w:orient="portrait"/>
          <w:cols w:equalWidth="0" w:num="1">
            <w:col w:w="11160"/>
          </w:cols>
          <w:pgMar w:left="240" w:top="455"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666666"/>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109855</wp:posOffset>
            </wp:positionV>
            <wp:extent cx="8223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28"/>
          <w:szCs w:val="28"/>
          <w:b w:val="1"/>
          <w:bCs w:val="1"/>
          <w:color w:val="C3002F"/>
        </w:rPr>
        <w:t>ESTIMATE OF POTENTIAL PAYMENTS UPON TERMINATION</w:t>
      </w:r>
    </w:p>
    <w:p>
      <w:pPr>
        <w:spacing w:after="0" w:line="270" w:lineRule="exact"/>
        <w:rPr>
          <w:sz w:val="20"/>
          <w:szCs w:val="20"/>
          <w:color w:val="auto"/>
        </w:rPr>
      </w:pPr>
    </w:p>
    <w:p>
      <w:pPr>
        <w:ind w:left="260"/>
        <w:spacing w:after="0" w:line="241" w:lineRule="auto"/>
        <w:rPr>
          <w:sz w:val="20"/>
          <w:szCs w:val="20"/>
          <w:color w:val="auto"/>
        </w:rPr>
      </w:pPr>
      <w:r>
        <w:rPr>
          <w:rFonts w:ascii="Arial" w:cs="Arial" w:eastAsia="Arial" w:hAnsi="Arial"/>
          <w:sz w:val="14"/>
          <w:szCs w:val="14"/>
          <w:color w:val="auto"/>
        </w:rPr>
        <w:t>The table below describes the value of compensation and benefits payable to each NEO upon termination that would exceed the compensation or benefits generally available to salaried employees. Benefits and payments are calculated assuming the triggering event occurred on December 31, 2017. The following includes the various types of circumstances that would trigger payments and benefits under plans, agreements and arrangements currently in effect. Reasonable estimates are provided where appropriate. It is always possible that different arrangements could be negotiated in connection with an actual termination of employment or change of control. No information is provided in this table with regard to potential payments to former employees listed as NEOs in this Proxy Statement if such NEO received payments prior to December 31, 2017; these actual payments are described in this Proxy Statement on page 34. In connection with the non-renewal of Mr. Mills’ employment agreement, Mr. Mills has elected to terminate his employment effective April 15, 2018.</w:t>
      </w:r>
    </w:p>
    <w:p>
      <w:pPr>
        <w:spacing w:after="0" w:line="211"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b w:val="1"/>
                <w:bCs w:val="1"/>
                <w:color w:val="auto"/>
              </w:rPr>
              <w:t>Health,</w:t>
            </w:r>
          </w:p>
        </w:tc>
        <w:tc>
          <w:tcPr>
            <w:tcW w:w="88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b w:val="1"/>
                <w:bCs w:val="1"/>
                <w:color w:val="auto"/>
              </w:rPr>
              <w:t>Annual</w:t>
            </w:r>
          </w:p>
        </w:tc>
        <w:tc>
          <w:tcPr>
            <w:tcW w:w="1140" w:type="dxa"/>
            <w:vAlign w:val="bottom"/>
          </w:tcPr>
          <w:p>
            <w:pPr>
              <w:jc w:val="right"/>
              <w:ind w:right="29"/>
              <w:spacing w:after="0"/>
              <w:rPr>
                <w:sz w:val="20"/>
                <w:szCs w:val="20"/>
                <w:color w:val="auto"/>
              </w:rPr>
            </w:pPr>
            <w:r>
              <w:rPr>
                <w:rFonts w:ascii="Arial" w:cs="Arial" w:eastAsia="Arial" w:hAnsi="Arial"/>
                <w:sz w:val="14"/>
                <w:szCs w:val="14"/>
                <w:b w:val="1"/>
                <w:bCs w:val="1"/>
                <w:color w:val="auto"/>
              </w:rPr>
              <w:t>Restricted</w:t>
            </w:r>
          </w:p>
        </w:tc>
        <w:tc>
          <w:tcPr>
            <w:tcW w:w="1160" w:type="dxa"/>
            <w:vAlign w:val="bottom"/>
          </w:tcPr>
          <w:p>
            <w:pPr>
              <w:jc w:val="right"/>
              <w:ind w:right="49"/>
              <w:spacing w:after="0"/>
              <w:rPr>
                <w:sz w:val="20"/>
                <w:szCs w:val="20"/>
                <w:color w:val="auto"/>
              </w:rPr>
            </w:pPr>
            <w:r>
              <w:rPr>
                <w:rFonts w:ascii="Arial" w:cs="Arial" w:eastAsia="Arial" w:hAnsi="Arial"/>
                <w:sz w:val="14"/>
                <w:szCs w:val="14"/>
                <w:b w:val="1"/>
                <w:bCs w:val="1"/>
                <w:color w:val="auto"/>
              </w:rPr>
              <w:t>Performance</w:t>
            </w:r>
          </w:p>
        </w:tc>
        <w:tc>
          <w:tcPr>
            <w:tcW w:w="800" w:type="dxa"/>
            <w:vAlign w:val="bottom"/>
          </w:tcPr>
          <w:p>
            <w:pPr>
              <w:jc w:val="right"/>
              <w:ind w:right="69"/>
              <w:spacing w:after="0"/>
              <w:rPr>
                <w:sz w:val="20"/>
                <w:szCs w:val="20"/>
                <w:color w:val="auto"/>
              </w:rPr>
            </w:pPr>
            <w:r>
              <w:rPr>
                <w:rFonts w:ascii="Arial" w:cs="Arial" w:eastAsia="Arial" w:hAnsi="Arial"/>
                <w:sz w:val="14"/>
                <w:szCs w:val="14"/>
                <w:b w:val="1"/>
                <w:bCs w:val="1"/>
                <w:color w:val="auto"/>
              </w:rPr>
              <w:t>Welfare</w:t>
            </w:r>
          </w:p>
        </w:tc>
        <w:tc>
          <w:tcPr>
            <w:tcW w:w="8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b w:val="1"/>
                <w:bCs w:val="1"/>
                <w:color w:val="auto"/>
              </w:rPr>
              <w:t>Cash</w:t>
            </w:r>
          </w:p>
        </w:tc>
        <w:tc>
          <w:tcPr>
            <w:tcW w:w="1140" w:type="dxa"/>
            <w:vAlign w:val="bottom"/>
          </w:tcPr>
          <w:p>
            <w:pPr>
              <w:jc w:val="right"/>
              <w:ind w:right="29"/>
              <w:spacing w:after="0"/>
              <w:rPr>
                <w:sz w:val="20"/>
                <w:szCs w:val="20"/>
                <w:color w:val="auto"/>
              </w:rPr>
            </w:pPr>
            <w:r>
              <w:rPr>
                <w:rFonts w:ascii="Arial" w:cs="Arial" w:eastAsia="Arial" w:hAnsi="Arial"/>
                <w:sz w:val="14"/>
                <w:szCs w:val="14"/>
                <w:b w:val="1"/>
                <w:bCs w:val="1"/>
                <w:color w:val="auto"/>
              </w:rPr>
              <w:t>Share Units -</w:t>
            </w:r>
          </w:p>
        </w:tc>
        <w:tc>
          <w:tcPr>
            <w:tcW w:w="1160" w:type="dxa"/>
            <w:vAlign w:val="bottom"/>
          </w:tcPr>
          <w:p>
            <w:pPr>
              <w:jc w:val="right"/>
              <w:ind w:right="49"/>
              <w:spacing w:after="0"/>
              <w:rPr>
                <w:sz w:val="20"/>
                <w:szCs w:val="20"/>
                <w:color w:val="auto"/>
              </w:rPr>
            </w:pPr>
            <w:r>
              <w:rPr>
                <w:rFonts w:ascii="Arial" w:cs="Arial" w:eastAsia="Arial" w:hAnsi="Arial"/>
                <w:sz w:val="14"/>
                <w:szCs w:val="14"/>
                <w:b w:val="1"/>
                <w:bCs w:val="1"/>
                <w:color w:val="auto"/>
              </w:rPr>
              <w:t>Share Units -</w:t>
            </w:r>
          </w:p>
        </w:tc>
        <w:tc>
          <w:tcPr>
            <w:tcW w:w="800" w:type="dxa"/>
            <w:vAlign w:val="bottom"/>
          </w:tcPr>
          <w:p>
            <w:pPr>
              <w:jc w:val="right"/>
              <w:ind w:right="69"/>
              <w:spacing w:after="0"/>
              <w:rPr>
                <w:sz w:val="20"/>
                <w:szCs w:val="20"/>
                <w:color w:val="auto"/>
              </w:rPr>
            </w:pPr>
            <w:r>
              <w:rPr>
                <w:rFonts w:ascii="Arial" w:cs="Arial" w:eastAsia="Arial" w:hAnsi="Arial"/>
                <w:sz w:val="14"/>
                <w:szCs w:val="14"/>
                <w:b w:val="1"/>
                <w:bCs w:val="1"/>
                <w:color w:val="auto"/>
              </w:rPr>
              <w:t>and</w:t>
            </w:r>
          </w:p>
        </w:tc>
        <w:tc>
          <w:tcPr>
            <w:tcW w:w="8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520" w:type="dxa"/>
            <w:vAlign w:val="bottom"/>
          </w:tcPr>
          <w:p>
            <w:pPr>
              <w:jc w:val="right"/>
              <w:ind w:right="49"/>
              <w:spacing w:after="0"/>
              <w:rPr>
                <w:sz w:val="20"/>
                <w:szCs w:val="20"/>
                <w:color w:val="auto"/>
              </w:rPr>
            </w:pPr>
            <w:r>
              <w:rPr>
                <w:rFonts w:ascii="Arial" w:cs="Arial" w:eastAsia="Arial" w:hAnsi="Arial"/>
                <w:sz w:val="14"/>
                <w:szCs w:val="14"/>
                <w:b w:val="1"/>
                <w:bCs w:val="1"/>
                <w:color w:val="auto"/>
              </w:rPr>
              <w:t>Cash</w:t>
            </w:r>
          </w:p>
        </w:tc>
        <w:tc>
          <w:tcPr>
            <w:tcW w:w="1220" w:type="dxa"/>
            <w:vAlign w:val="bottom"/>
          </w:tcPr>
          <w:p>
            <w:pPr>
              <w:jc w:val="right"/>
              <w:ind w:right="49"/>
              <w:spacing w:after="0"/>
              <w:rPr>
                <w:sz w:val="20"/>
                <w:szCs w:val="20"/>
                <w:color w:val="auto"/>
              </w:rPr>
            </w:pPr>
            <w:r>
              <w:rPr>
                <w:rFonts w:ascii="Arial" w:cs="Arial" w:eastAsia="Arial" w:hAnsi="Arial"/>
                <w:sz w:val="14"/>
                <w:szCs w:val="14"/>
                <w:b w:val="1"/>
                <w:bCs w:val="1"/>
                <w:color w:val="auto"/>
              </w:rPr>
              <w:t>Incentive</w:t>
            </w:r>
          </w:p>
        </w:tc>
        <w:tc>
          <w:tcPr>
            <w:tcW w:w="1140" w:type="dxa"/>
            <w:vAlign w:val="bottom"/>
          </w:tcPr>
          <w:p>
            <w:pPr>
              <w:jc w:val="right"/>
              <w:ind w:right="29"/>
              <w:spacing w:after="0"/>
              <w:rPr>
                <w:sz w:val="20"/>
                <w:szCs w:val="20"/>
                <w:color w:val="auto"/>
              </w:rPr>
            </w:pPr>
            <w:r>
              <w:rPr>
                <w:rFonts w:ascii="Arial" w:cs="Arial" w:eastAsia="Arial" w:hAnsi="Arial"/>
                <w:sz w:val="14"/>
                <w:szCs w:val="14"/>
                <w:b w:val="1"/>
                <w:bCs w:val="1"/>
                <w:color w:val="auto"/>
              </w:rPr>
              <w:t>Unvested and</w:t>
            </w:r>
          </w:p>
        </w:tc>
        <w:tc>
          <w:tcPr>
            <w:tcW w:w="1160" w:type="dxa"/>
            <w:vAlign w:val="bottom"/>
          </w:tcPr>
          <w:p>
            <w:pPr>
              <w:jc w:val="right"/>
              <w:ind w:right="49"/>
              <w:spacing w:after="0"/>
              <w:rPr>
                <w:sz w:val="20"/>
                <w:szCs w:val="20"/>
                <w:color w:val="auto"/>
              </w:rPr>
            </w:pPr>
            <w:r>
              <w:rPr>
                <w:rFonts w:ascii="Arial" w:cs="Arial" w:eastAsia="Arial" w:hAnsi="Arial"/>
                <w:sz w:val="14"/>
                <w:szCs w:val="14"/>
                <w:b w:val="1"/>
                <w:bCs w:val="1"/>
                <w:color w:val="auto"/>
              </w:rPr>
              <w:t>Unvested and</w:t>
            </w:r>
          </w:p>
        </w:tc>
        <w:tc>
          <w:tcPr>
            <w:tcW w:w="800" w:type="dxa"/>
            <w:vAlign w:val="bottom"/>
          </w:tcPr>
          <w:p>
            <w:pPr>
              <w:jc w:val="right"/>
              <w:ind w:right="69"/>
              <w:spacing w:after="0"/>
              <w:rPr>
                <w:sz w:val="20"/>
                <w:szCs w:val="20"/>
                <w:color w:val="auto"/>
              </w:rPr>
            </w:pPr>
            <w:r>
              <w:rPr>
                <w:rFonts w:ascii="Arial" w:cs="Arial" w:eastAsia="Arial" w:hAnsi="Arial"/>
                <w:sz w:val="14"/>
                <w:szCs w:val="14"/>
                <w:b w:val="1"/>
                <w:bCs w:val="1"/>
                <w:color w:val="auto"/>
              </w:rPr>
              <w:t>Other</w:t>
            </w:r>
          </w:p>
        </w:tc>
        <w:tc>
          <w:tcPr>
            <w:tcW w:w="8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520" w:type="dxa"/>
            <w:vAlign w:val="bottom"/>
          </w:tcPr>
          <w:p>
            <w:pPr>
              <w:jc w:val="right"/>
              <w:ind w:right="49"/>
              <w:spacing w:after="0"/>
              <w:rPr>
                <w:sz w:val="20"/>
                <w:szCs w:val="20"/>
                <w:color w:val="auto"/>
              </w:rPr>
            </w:pPr>
            <w:r>
              <w:rPr>
                <w:rFonts w:ascii="Arial" w:cs="Arial" w:eastAsia="Arial" w:hAnsi="Arial"/>
                <w:sz w:val="14"/>
                <w:szCs w:val="14"/>
                <w:b w:val="1"/>
                <w:bCs w:val="1"/>
                <w:color w:val="auto"/>
              </w:rPr>
              <w:t>Severance</w:t>
            </w:r>
          </w:p>
        </w:tc>
        <w:tc>
          <w:tcPr>
            <w:tcW w:w="1220" w:type="dxa"/>
            <w:vAlign w:val="bottom"/>
          </w:tcPr>
          <w:p>
            <w:pPr>
              <w:jc w:val="right"/>
              <w:ind w:right="49"/>
              <w:spacing w:after="0"/>
              <w:rPr>
                <w:sz w:val="20"/>
                <w:szCs w:val="20"/>
                <w:color w:val="auto"/>
              </w:rPr>
            </w:pPr>
            <w:r>
              <w:rPr>
                <w:rFonts w:ascii="Arial" w:cs="Arial" w:eastAsia="Arial" w:hAnsi="Arial"/>
                <w:sz w:val="14"/>
                <w:szCs w:val="14"/>
                <w:b w:val="1"/>
                <w:bCs w:val="1"/>
                <w:color w:val="auto"/>
              </w:rPr>
              <w:t>Compensation</w:t>
            </w:r>
          </w:p>
        </w:tc>
        <w:tc>
          <w:tcPr>
            <w:tcW w:w="1140" w:type="dxa"/>
            <w:vAlign w:val="bottom"/>
          </w:tcPr>
          <w:p>
            <w:pPr>
              <w:jc w:val="right"/>
              <w:ind w:right="29"/>
              <w:spacing w:after="0"/>
              <w:rPr>
                <w:sz w:val="20"/>
                <w:szCs w:val="20"/>
                <w:color w:val="auto"/>
              </w:rPr>
            </w:pPr>
            <w:r>
              <w:rPr>
                <w:rFonts w:ascii="Arial" w:cs="Arial" w:eastAsia="Arial" w:hAnsi="Arial"/>
                <w:sz w:val="14"/>
                <w:szCs w:val="14"/>
                <w:b w:val="1"/>
                <w:bCs w:val="1"/>
                <w:color w:val="auto"/>
              </w:rPr>
              <w:t>Accelerated</w:t>
            </w:r>
          </w:p>
        </w:tc>
        <w:tc>
          <w:tcPr>
            <w:tcW w:w="1160" w:type="dxa"/>
            <w:vAlign w:val="bottom"/>
          </w:tcPr>
          <w:p>
            <w:pPr>
              <w:jc w:val="right"/>
              <w:ind w:right="49"/>
              <w:spacing w:after="0"/>
              <w:rPr>
                <w:sz w:val="20"/>
                <w:szCs w:val="20"/>
                <w:color w:val="auto"/>
              </w:rPr>
            </w:pPr>
            <w:r>
              <w:rPr>
                <w:rFonts w:ascii="Arial" w:cs="Arial" w:eastAsia="Arial" w:hAnsi="Arial"/>
                <w:sz w:val="14"/>
                <w:szCs w:val="14"/>
                <w:b w:val="1"/>
                <w:bCs w:val="1"/>
                <w:color w:val="auto"/>
              </w:rPr>
              <w:t>Accelerated</w:t>
            </w:r>
          </w:p>
        </w:tc>
        <w:tc>
          <w:tcPr>
            <w:tcW w:w="800" w:type="dxa"/>
            <w:vAlign w:val="bottom"/>
          </w:tcPr>
          <w:p>
            <w:pPr>
              <w:jc w:val="right"/>
              <w:ind w:right="69"/>
              <w:spacing w:after="0"/>
              <w:rPr>
                <w:sz w:val="20"/>
                <w:szCs w:val="20"/>
                <w:color w:val="auto"/>
              </w:rPr>
            </w:pPr>
            <w:r>
              <w:rPr>
                <w:rFonts w:ascii="Arial" w:cs="Arial" w:eastAsia="Arial" w:hAnsi="Arial"/>
                <w:sz w:val="14"/>
                <w:szCs w:val="14"/>
                <w:b w:val="1"/>
                <w:bCs w:val="1"/>
                <w:color w:val="auto"/>
              </w:rPr>
              <w:t>Benefits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87"/>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($)(1)(2)</w:t>
            </w:r>
          </w:p>
        </w:tc>
        <w:tc>
          <w:tcPr>
            <w:tcW w:w="1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w:t>
            </w:r>
          </w:p>
        </w:tc>
        <w:tc>
          <w:tcPr>
            <w:tcW w:w="11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w:t>
            </w:r>
          </w:p>
        </w:tc>
        <w:tc>
          <w:tcPr>
            <w:tcW w:w="11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($)(3)</w:t>
            </w: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r>
      <w:tr>
        <w:trPr>
          <w:trHeight w:val="158"/>
        </w:trPr>
        <w:tc>
          <w:tcPr>
            <w:tcW w:w="41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Mark A. McCollum</w:t>
            </w:r>
          </w:p>
        </w:tc>
        <w:tc>
          <w:tcPr>
            <w:tcW w:w="1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4160" w:type="dxa"/>
            <w:vAlign w:val="bottom"/>
          </w:tcPr>
          <w:p>
            <w:pPr>
              <w:ind w:left="280"/>
              <w:spacing w:after="0"/>
              <w:rPr>
                <w:sz w:val="20"/>
                <w:szCs w:val="20"/>
                <w:color w:val="auto"/>
              </w:rPr>
            </w:pPr>
            <w:r>
              <w:rPr>
                <w:rFonts w:ascii="Arial" w:cs="Arial" w:eastAsia="Arial" w:hAnsi="Arial"/>
                <w:sz w:val="14"/>
                <w:szCs w:val="14"/>
                <w:color w:val="auto"/>
              </w:rPr>
              <w:t>Retirement, Resignation or Termination with Cause</w:t>
            </w:r>
          </w:p>
        </w:tc>
        <w:tc>
          <w:tcPr>
            <w:tcW w:w="152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0</w:t>
            </w:r>
          </w:p>
        </w:tc>
        <w:tc>
          <w:tcPr>
            <w:tcW w:w="88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0"/>
        </w:trPr>
        <w:tc>
          <w:tcPr>
            <w:tcW w:w="20" w:type="dxa"/>
            <w:vAlign w:val="bottom"/>
          </w:tcPr>
          <w:p>
            <w:pPr>
              <w:spacing w:after="0"/>
              <w:rPr>
                <w:sz w:val="13"/>
                <w:szCs w:val="13"/>
                <w:color w:val="auto"/>
              </w:rPr>
            </w:pPr>
          </w:p>
        </w:tc>
        <w:tc>
          <w:tcPr>
            <w:tcW w:w="4160" w:type="dxa"/>
            <w:vAlign w:val="bottom"/>
          </w:tcPr>
          <w:p>
            <w:pPr>
              <w:ind w:left="280"/>
              <w:spacing w:after="0"/>
              <w:rPr>
                <w:sz w:val="20"/>
                <w:szCs w:val="20"/>
                <w:color w:val="auto"/>
              </w:rPr>
            </w:pPr>
            <w:r>
              <w:rPr>
                <w:rFonts w:ascii="Arial" w:cs="Arial" w:eastAsia="Arial" w:hAnsi="Arial"/>
                <w:sz w:val="14"/>
                <w:szCs w:val="14"/>
                <w:color w:val="auto"/>
              </w:rPr>
              <w:t>Death or Disability</w:t>
            </w:r>
          </w:p>
        </w:tc>
        <w:tc>
          <w:tcPr>
            <w:tcW w:w="152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279,167</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4,574,040</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0</w:t>
            </w:r>
          </w:p>
        </w:tc>
        <w:tc>
          <w:tcPr>
            <w:tcW w:w="880" w:type="dxa"/>
            <w:vAlign w:val="bottom"/>
          </w:tcPr>
          <w:p>
            <w:pPr>
              <w:jc w:val="right"/>
              <w:spacing w:after="0"/>
              <w:rPr>
                <w:sz w:val="20"/>
                <w:szCs w:val="20"/>
                <w:color w:val="auto"/>
              </w:rPr>
            </w:pPr>
            <w:r>
              <w:rPr>
                <w:rFonts w:ascii="Arial" w:cs="Arial" w:eastAsia="Arial" w:hAnsi="Arial"/>
                <w:sz w:val="14"/>
                <w:szCs w:val="14"/>
                <w:color w:val="auto"/>
              </w:rPr>
              <w:t>4,853,207</w:t>
            </w:r>
          </w:p>
        </w:tc>
      </w:tr>
      <w:tr>
        <w:trPr>
          <w:trHeight w:val="160"/>
        </w:trPr>
        <w:tc>
          <w:tcPr>
            <w:tcW w:w="20" w:type="dxa"/>
            <w:vAlign w:val="bottom"/>
          </w:tcPr>
          <w:p>
            <w:pPr>
              <w:spacing w:after="0"/>
              <w:rPr>
                <w:sz w:val="13"/>
                <w:szCs w:val="13"/>
                <w:color w:val="auto"/>
              </w:rPr>
            </w:pPr>
          </w:p>
        </w:tc>
        <w:tc>
          <w:tcPr>
            <w:tcW w:w="4160" w:type="dxa"/>
            <w:vAlign w:val="bottom"/>
          </w:tcPr>
          <w:p>
            <w:pPr>
              <w:ind w:left="280"/>
              <w:spacing w:after="0"/>
              <w:rPr>
                <w:sz w:val="20"/>
                <w:szCs w:val="20"/>
                <w:color w:val="auto"/>
              </w:rPr>
            </w:pPr>
            <w:r>
              <w:rPr>
                <w:rFonts w:ascii="Arial" w:cs="Arial" w:eastAsia="Arial" w:hAnsi="Arial"/>
                <w:sz w:val="14"/>
                <w:szCs w:val="14"/>
                <w:color w:val="auto"/>
              </w:rPr>
              <w:t>Termination Without Cause or With Good Reason</w:t>
            </w:r>
          </w:p>
        </w:tc>
        <w:tc>
          <w:tcPr>
            <w:tcW w:w="1520" w:type="dxa"/>
            <w:vAlign w:val="bottom"/>
          </w:tcPr>
          <w:p>
            <w:pPr>
              <w:jc w:val="right"/>
              <w:ind w:right="49"/>
              <w:spacing w:after="0"/>
              <w:rPr>
                <w:sz w:val="20"/>
                <w:szCs w:val="20"/>
                <w:color w:val="auto"/>
              </w:rPr>
            </w:pPr>
            <w:r>
              <w:rPr>
                <w:rFonts w:ascii="Arial" w:cs="Arial" w:eastAsia="Arial" w:hAnsi="Arial"/>
                <w:sz w:val="14"/>
                <w:szCs w:val="14"/>
                <w:color w:val="auto"/>
              </w:rPr>
              <w:t>2,000,000</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2,287,020</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0</w:t>
            </w:r>
          </w:p>
        </w:tc>
        <w:tc>
          <w:tcPr>
            <w:tcW w:w="880" w:type="dxa"/>
            <w:vAlign w:val="bottom"/>
          </w:tcPr>
          <w:p>
            <w:pPr>
              <w:jc w:val="right"/>
              <w:spacing w:after="0"/>
              <w:rPr>
                <w:sz w:val="20"/>
                <w:szCs w:val="20"/>
                <w:color w:val="auto"/>
              </w:rPr>
            </w:pPr>
            <w:r>
              <w:rPr>
                <w:rFonts w:ascii="Arial" w:cs="Arial" w:eastAsia="Arial" w:hAnsi="Arial"/>
                <w:sz w:val="14"/>
                <w:szCs w:val="14"/>
                <w:color w:val="auto"/>
              </w:rPr>
              <w:t>4,287,020</w:t>
            </w:r>
          </w:p>
        </w:tc>
      </w:tr>
      <w:tr>
        <w:trPr>
          <w:trHeight w:val="160"/>
        </w:trPr>
        <w:tc>
          <w:tcPr>
            <w:tcW w:w="20" w:type="dxa"/>
            <w:vAlign w:val="bottom"/>
          </w:tcPr>
          <w:p>
            <w:pPr>
              <w:spacing w:after="0"/>
              <w:rPr>
                <w:sz w:val="13"/>
                <w:szCs w:val="13"/>
                <w:color w:val="auto"/>
              </w:rPr>
            </w:pPr>
          </w:p>
        </w:tc>
        <w:tc>
          <w:tcPr>
            <w:tcW w:w="4160" w:type="dxa"/>
            <w:vAlign w:val="bottom"/>
          </w:tcPr>
          <w:p>
            <w:pPr>
              <w:ind w:left="280"/>
              <w:spacing w:after="0"/>
              <w:rPr>
                <w:sz w:val="20"/>
                <w:szCs w:val="20"/>
                <w:color w:val="auto"/>
              </w:rPr>
            </w:pPr>
            <w:r>
              <w:rPr>
                <w:rFonts w:ascii="Arial" w:cs="Arial" w:eastAsia="Arial" w:hAnsi="Arial"/>
                <w:sz w:val="14"/>
                <w:szCs w:val="14"/>
                <w:color w:val="auto"/>
              </w:rPr>
              <w:t>Change of Control Without Termination</w:t>
            </w:r>
          </w:p>
        </w:tc>
        <w:tc>
          <w:tcPr>
            <w:tcW w:w="152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1,656,986</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4,574,040</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4,574,040</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0</w:t>
            </w:r>
          </w:p>
        </w:tc>
        <w:tc>
          <w:tcPr>
            <w:tcW w:w="880" w:type="dxa"/>
            <w:vAlign w:val="bottom"/>
          </w:tcPr>
          <w:p>
            <w:pPr>
              <w:jc w:val="right"/>
              <w:spacing w:after="0"/>
              <w:rPr>
                <w:sz w:val="20"/>
                <w:szCs w:val="20"/>
                <w:color w:val="auto"/>
              </w:rPr>
            </w:pPr>
            <w:r>
              <w:rPr>
                <w:rFonts w:ascii="Arial" w:cs="Arial" w:eastAsia="Arial" w:hAnsi="Arial"/>
                <w:sz w:val="14"/>
                <w:szCs w:val="14"/>
                <w:color w:val="auto"/>
              </w:rPr>
              <w:t>10,805,066</w:t>
            </w:r>
          </w:p>
        </w:tc>
      </w:tr>
      <w:tr>
        <w:trPr>
          <w:trHeight w:val="155"/>
        </w:trPr>
        <w:tc>
          <w:tcPr>
            <w:tcW w:w="20" w:type="dxa"/>
            <w:vAlign w:val="bottom"/>
          </w:tcPr>
          <w:p>
            <w:pPr>
              <w:spacing w:after="0"/>
              <w:rPr>
                <w:sz w:val="13"/>
                <w:szCs w:val="13"/>
                <w:color w:val="auto"/>
              </w:rPr>
            </w:pPr>
          </w:p>
        </w:tc>
        <w:tc>
          <w:tcPr>
            <w:tcW w:w="4160" w:type="dxa"/>
            <w:vAlign w:val="bottom"/>
            <w:tcBorders>
              <w:bottom w:val="single" w:sz="8" w:color="666666"/>
            </w:tcBorders>
          </w:tcPr>
          <w:p>
            <w:pPr>
              <w:ind w:left="280"/>
              <w:spacing w:after="0" w:line="155" w:lineRule="exact"/>
              <w:rPr>
                <w:sz w:val="20"/>
                <w:szCs w:val="20"/>
                <w:color w:val="auto"/>
              </w:rPr>
            </w:pPr>
            <w:r>
              <w:rPr>
                <w:rFonts w:ascii="Arial" w:cs="Arial" w:eastAsia="Arial" w:hAnsi="Arial"/>
                <w:sz w:val="14"/>
                <w:szCs w:val="14"/>
                <w:color w:val="auto"/>
              </w:rPr>
              <w:t>Change of Control With Termination</w:t>
            </w:r>
          </w:p>
        </w:tc>
        <w:tc>
          <w:tcPr>
            <w:tcW w:w="1520" w:type="dxa"/>
            <w:vAlign w:val="bottom"/>
            <w:tcBorders>
              <w:bottom w:val="single" w:sz="8" w:color="666666"/>
            </w:tcBorders>
          </w:tcPr>
          <w:p>
            <w:pPr>
              <w:jc w:val="right"/>
              <w:ind w:right="49"/>
              <w:spacing w:after="0" w:line="155" w:lineRule="exact"/>
              <w:rPr>
                <w:sz w:val="20"/>
                <w:szCs w:val="20"/>
                <w:color w:val="auto"/>
              </w:rPr>
            </w:pPr>
            <w:r>
              <w:rPr>
                <w:rFonts w:ascii="Arial" w:cs="Arial" w:eastAsia="Arial" w:hAnsi="Arial"/>
                <w:sz w:val="14"/>
                <w:szCs w:val="14"/>
                <w:color w:val="auto"/>
              </w:rPr>
              <w:t>3,000,000</w:t>
            </w:r>
          </w:p>
        </w:tc>
        <w:tc>
          <w:tcPr>
            <w:tcW w:w="1220" w:type="dxa"/>
            <w:vAlign w:val="bottom"/>
            <w:tcBorders>
              <w:bottom w:val="single" w:sz="8" w:color="666666"/>
            </w:tcBorders>
          </w:tcPr>
          <w:p>
            <w:pPr>
              <w:jc w:val="right"/>
              <w:ind w:right="49"/>
              <w:spacing w:after="0" w:line="155" w:lineRule="exact"/>
              <w:rPr>
                <w:sz w:val="20"/>
                <w:szCs w:val="20"/>
                <w:color w:val="auto"/>
              </w:rPr>
            </w:pPr>
            <w:r>
              <w:rPr>
                <w:rFonts w:ascii="Arial" w:cs="Arial" w:eastAsia="Arial" w:hAnsi="Arial"/>
                <w:sz w:val="14"/>
                <w:szCs w:val="14"/>
                <w:color w:val="auto"/>
              </w:rPr>
              <w:t>1,656,986</w:t>
            </w:r>
          </w:p>
        </w:tc>
        <w:tc>
          <w:tcPr>
            <w:tcW w:w="1140" w:type="dxa"/>
            <w:vAlign w:val="bottom"/>
            <w:tcBorders>
              <w:bottom w:val="single" w:sz="8" w:color="666666"/>
            </w:tcBorders>
          </w:tcPr>
          <w:p>
            <w:pPr>
              <w:jc w:val="right"/>
              <w:ind w:right="29"/>
              <w:spacing w:after="0" w:line="155" w:lineRule="exact"/>
              <w:rPr>
                <w:sz w:val="20"/>
                <w:szCs w:val="20"/>
                <w:color w:val="auto"/>
              </w:rPr>
            </w:pPr>
            <w:r>
              <w:rPr>
                <w:rFonts w:ascii="Arial" w:cs="Arial" w:eastAsia="Arial" w:hAnsi="Arial"/>
                <w:sz w:val="14"/>
                <w:szCs w:val="14"/>
                <w:color w:val="auto"/>
              </w:rPr>
              <w:t>4,574,040</w:t>
            </w:r>
          </w:p>
        </w:tc>
        <w:tc>
          <w:tcPr>
            <w:tcW w:w="1160" w:type="dxa"/>
            <w:vAlign w:val="bottom"/>
            <w:tcBorders>
              <w:bottom w:val="single" w:sz="8" w:color="666666"/>
            </w:tcBorders>
          </w:tcPr>
          <w:p>
            <w:pPr>
              <w:jc w:val="right"/>
              <w:ind w:right="49"/>
              <w:spacing w:after="0" w:line="155" w:lineRule="exact"/>
              <w:rPr>
                <w:sz w:val="20"/>
                <w:szCs w:val="20"/>
                <w:color w:val="auto"/>
              </w:rPr>
            </w:pPr>
            <w:r>
              <w:rPr>
                <w:rFonts w:ascii="Arial" w:cs="Arial" w:eastAsia="Arial" w:hAnsi="Arial"/>
                <w:sz w:val="14"/>
                <w:szCs w:val="14"/>
                <w:color w:val="auto"/>
              </w:rPr>
              <w:t>4,574,040</w:t>
            </w:r>
          </w:p>
        </w:tc>
        <w:tc>
          <w:tcPr>
            <w:tcW w:w="800" w:type="dxa"/>
            <w:vAlign w:val="bottom"/>
            <w:tcBorders>
              <w:bottom w:val="single" w:sz="8" w:color="666666"/>
            </w:tcBorders>
          </w:tcPr>
          <w:p>
            <w:pPr>
              <w:jc w:val="right"/>
              <w:ind w:right="69"/>
              <w:spacing w:after="0" w:line="155" w:lineRule="exact"/>
              <w:rPr>
                <w:sz w:val="20"/>
                <w:szCs w:val="20"/>
                <w:color w:val="auto"/>
              </w:rPr>
            </w:pPr>
            <w:r>
              <w:rPr>
                <w:rFonts w:ascii="Arial" w:cs="Arial" w:eastAsia="Arial" w:hAnsi="Arial"/>
                <w:sz w:val="14"/>
                <w:szCs w:val="14"/>
                <w:color w:val="auto"/>
              </w:rPr>
              <w:t>27,792</w:t>
            </w:r>
          </w:p>
        </w:tc>
        <w:tc>
          <w:tcPr>
            <w:tcW w:w="8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13,832,858</w:t>
            </w:r>
          </w:p>
        </w:tc>
      </w:tr>
      <w:tr>
        <w:trPr>
          <w:trHeight w:val="158"/>
        </w:trPr>
        <w:tc>
          <w:tcPr>
            <w:tcW w:w="20" w:type="dxa"/>
            <w:vAlign w:val="bottom"/>
          </w:tcPr>
          <w:p>
            <w:pPr>
              <w:spacing w:after="0"/>
              <w:rPr>
                <w:sz w:val="13"/>
                <w:szCs w:val="13"/>
                <w:color w:val="auto"/>
              </w:rPr>
            </w:pPr>
          </w:p>
        </w:tc>
        <w:tc>
          <w:tcPr>
            <w:tcW w:w="4160" w:type="dxa"/>
            <w:vAlign w:val="bottom"/>
          </w:tcPr>
          <w:p>
            <w:pPr>
              <w:spacing w:after="0" w:line="158" w:lineRule="exact"/>
              <w:rPr>
                <w:sz w:val="20"/>
                <w:szCs w:val="20"/>
                <w:color w:val="auto"/>
              </w:rPr>
            </w:pPr>
            <w:r>
              <w:rPr>
                <w:rFonts w:ascii="Arial" w:cs="Arial" w:eastAsia="Arial" w:hAnsi="Arial"/>
                <w:sz w:val="14"/>
                <w:szCs w:val="14"/>
                <w:b w:val="1"/>
                <w:bCs w:val="1"/>
                <w:color w:val="auto"/>
              </w:rPr>
              <w:t>Christoph Bausch</w:t>
            </w:r>
          </w:p>
        </w:tc>
        <w:tc>
          <w:tcPr>
            <w:tcW w:w="1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4160" w:type="dxa"/>
            <w:vAlign w:val="bottom"/>
          </w:tcPr>
          <w:p>
            <w:pPr>
              <w:ind w:left="280"/>
              <w:spacing w:after="0"/>
              <w:rPr>
                <w:sz w:val="20"/>
                <w:szCs w:val="20"/>
                <w:color w:val="auto"/>
              </w:rPr>
            </w:pPr>
            <w:r>
              <w:rPr>
                <w:rFonts w:ascii="Arial" w:cs="Arial" w:eastAsia="Arial" w:hAnsi="Arial"/>
                <w:sz w:val="14"/>
                <w:szCs w:val="14"/>
                <w:color w:val="auto"/>
              </w:rPr>
              <w:t>Retirement, Resignation or Termination with Cause</w:t>
            </w:r>
          </w:p>
        </w:tc>
        <w:tc>
          <w:tcPr>
            <w:tcW w:w="152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0</w:t>
            </w:r>
          </w:p>
        </w:tc>
        <w:tc>
          <w:tcPr>
            <w:tcW w:w="88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0"/>
        </w:trPr>
        <w:tc>
          <w:tcPr>
            <w:tcW w:w="20" w:type="dxa"/>
            <w:vAlign w:val="bottom"/>
          </w:tcPr>
          <w:p>
            <w:pPr>
              <w:spacing w:after="0"/>
              <w:rPr>
                <w:sz w:val="13"/>
                <w:szCs w:val="13"/>
                <w:color w:val="auto"/>
              </w:rPr>
            </w:pPr>
          </w:p>
        </w:tc>
        <w:tc>
          <w:tcPr>
            <w:tcW w:w="4160" w:type="dxa"/>
            <w:vAlign w:val="bottom"/>
          </w:tcPr>
          <w:p>
            <w:pPr>
              <w:ind w:left="280"/>
              <w:spacing w:after="0"/>
              <w:rPr>
                <w:sz w:val="20"/>
                <w:szCs w:val="20"/>
                <w:color w:val="auto"/>
              </w:rPr>
            </w:pPr>
            <w:r>
              <w:rPr>
                <w:rFonts w:ascii="Arial" w:cs="Arial" w:eastAsia="Arial" w:hAnsi="Arial"/>
                <w:sz w:val="14"/>
                <w:szCs w:val="14"/>
                <w:color w:val="auto"/>
              </w:rPr>
              <w:t>Death or Disability</w:t>
            </w:r>
          </w:p>
        </w:tc>
        <w:tc>
          <w:tcPr>
            <w:tcW w:w="152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253,125</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1,190,656</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0</w:t>
            </w:r>
          </w:p>
        </w:tc>
        <w:tc>
          <w:tcPr>
            <w:tcW w:w="880" w:type="dxa"/>
            <w:vAlign w:val="bottom"/>
          </w:tcPr>
          <w:p>
            <w:pPr>
              <w:jc w:val="right"/>
              <w:spacing w:after="0"/>
              <w:rPr>
                <w:sz w:val="20"/>
                <w:szCs w:val="20"/>
                <w:color w:val="auto"/>
              </w:rPr>
            </w:pPr>
            <w:r>
              <w:rPr>
                <w:rFonts w:ascii="Arial" w:cs="Arial" w:eastAsia="Arial" w:hAnsi="Arial"/>
                <w:sz w:val="14"/>
                <w:szCs w:val="14"/>
                <w:color w:val="auto"/>
              </w:rPr>
              <w:t>1,443,781</w:t>
            </w:r>
          </w:p>
        </w:tc>
      </w:tr>
      <w:tr>
        <w:trPr>
          <w:trHeight w:val="160"/>
        </w:trPr>
        <w:tc>
          <w:tcPr>
            <w:tcW w:w="20" w:type="dxa"/>
            <w:vAlign w:val="bottom"/>
          </w:tcPr>
          <w:p>
            <w:pPr>
              <w:spacing w:after="0"/>
              <w:rPr>
                <w:sz w:val="13"/>
                <w:szCs w:val="13"/>
                <w:color w:val="auto"/>
              </w:rPr>
            </w:pPr>
          </w:p>
        </w:tc>
        <w:tc>
          <w:tcPr>
            <w:tcW w:w="4160" w:type="dxa"/>
            <w:vAlign w:val="bottom"/>
          </w:tcPr>
          <w:p>
            <w:pPr>
              <w:ind w:left="280"/>
              <w:spacing w:after="0"/>
              <w:rPr>
                <w:sz w:val="20"/>
                <w:szCs w:val="20"/>
                <w:color w:val="auto"/>
              </w:rPr>
            </w:pPr>
            <w:r>
              <w:rPr>
                <w:rFonts w:ascii="Arial" w:cs="Arial" w:eastAsia="Arial" w:hAnsi="Arial"/>
                <w:sz w:val="14"/>
                <w:szCs w:val="14"/>
                <w:color w:val="auto"/>
              </w:rPr>
              <w:t>Termination Without Cause or With Good Reason</w:t>
            </w:r>
          </w:p>
        </w:tc>
        <w:tc>
          <w:tcPr>
            <w:tcW w:w="1520" w:type="dxa"/>
            <w:vAlign w:val="bottom"/>
          </w:tcPr>
          <w:p>
            <w:pPr>
              <w:jc w:val="right"/>
              <w:ind w:right="49"/>
              <w:spacing w:after="0"/>
              <w:rPr>
                <w:sz w:val="20"/>
                <w:szCs w:val="20"/>
                <w:color w:val="auto"/>
              </w:rPr>
            </w:pPr>
            <w:r>
              <w:rPr>
                <w:rFonts w:ascii="Arial" w:cs="Arial" w:eastAsia="Arial" w:hAnsi="Arial"/>
                <w:sz w:val="14"/>
                <w:szCs w:val="14"/>
                <w:color w:val="auto"/>
              </w:rPr>
              <w:t>625,000</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253,125</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457,120</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0</w:t>
            </w:r>
          </w:p>
        </w:tc>
        <w:tc>
          <w:tcPr>
            <w:tcW w:w="880" w:type="dxa"/>
            <w:vAlign w:val="bottom"/>
          </w:tcPr>
          <w:p>
            <w:pPr>
              <w:jc w:val="right"/>
              <w:spacing w:after="0"/>
              <w:rPr>
                <w:sz w:val="20"/>
                <w:szCs w:val="20"/>
                <w:color w:val="auto"/>
              </w:rPr>
            </w:pPr>
            <w:r>
              <w:rPr>
                <w:rFonts w:ascii="Arial" w:cs="Arial" w:eastAsia="Arial" w:hAnsi="Arial"/>
                <w:sz w:val="14"/>
                <w:szCs w:val="14"/>
                <w:color w:val="auto"/>
              </w:rPr>
              <w:t>1,335,245</w:t>
            </w:r>
          </w:p>
        </w:tc>
      </w:tr>
      <w:tr>
        <w:trPr>
          <w:trHeight w:val="160"/>
        </w:trPr>
        <w:tc>
          <w:tcPr>
            <w:tcW w:w="20" w:type="dxa"/>
            <w:vAlign w:val="bottom"/>
          </w:tcPr>
          <w:p>
            <w:pPr>
              <w:spacing w:after="0"/>
              <w:rPr>
                <w:sz w:val="13"/>
                <w:szCs w:val="13"/>
                <w:color w:val="auto"/>
              </w:rPr>
            </w:pPr>
          </w:p>
        </w:tc>
        <w:tc>
          <w:tcPr>
            <w:tcW w:w="4160" w:type="dxa"/>
            <w:vAlign w:val="bottom"/>
          </w:tcPr>
          <w:p>
            <w:pPr>
              <w:ind w:left="280"/>
              <w:spacing w:after="0"/>
              <w:rPr>
                <w:sz w:val="20"/>
                <w:szCs w:val="20"/>
                <w:color w:val="auto"/>
              </w:rPr>
            </w:pPr>
            <w:r>
              <w:rPr>
                <w:rFonts w:ascii="Arial" w:cs="Arial" w:eastAsia="Arial" w:hAnsi="Arial"/>
                <w:sz w:val="14"/>
                <w:szCs w:val="14"/>
                <w:color w:val="auto"/>
              </w:rPr>
              <w:t>Change of Control Without Termination</w:t>
            </w:r>
          </w:p>
        </w:tc>
        <w:tc>
          <w:tcPr>
            <w:tcW w:w="152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1,250,000</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829,259</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1,658,517</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0</w:t>
            </w:r>
          </w:p>
        </w:tc>
        <w:tc>
          <w:tcPr>
            <w:tcW w:w="880" w:type="dxa"/>
            <w:vAlign w:val="bottom"/>
          </w:tcPr>
          <w:p>
            <w:pPr>
              <w:jc w:val="right"/>
              <w:spacing w:after="0"/>
              <w:rPr>
                <w:sz w:val="20"/>
                <w:szCs w:val="20"/>
                <w:color w:val="auto"/>
              </w:rPr>
            </w:pPr>
            <w:r>
              <w:rPr>
                <w:rFonts w:ascii="Arial" w:cs="Arial" w:eastAsia="Arial" w:hAnsi="Arial"/>
                <w:sz w:val="14"/>
                <w:szCs w:val="14"/>
                <w:color w:val="auto"/>
              </w:rPr>
              <w:t>3,737,776</w:t>
            </w:r>
          </w:p>
        </w:tc>
      </w:tr>
      <w:tr>
        <w:trPr>
          <w:trHeight w:val="155"/>
        </w:trPr>
        <w:tc>
          <w:tcPr>
            <w:tcW w:w="20" w:type="dxa"/>
            <w:vAlign w:val="bottom"/>
          </w:tcPr>
          <w:p>
            <w:pPr>
              <w:spacing w:after="0"/>
              <w:rPr>
                <w:sz w:val="13"/>
                <w:szCs w:val="13"/>
                <w:color w:val="auto"/>
              </w:rPr>
            </w:pPr>
          </w:p>
        </w:tc>
        <w:tc>
          <w:tcPr>
            <w:tcW w:w="4160" w:type="dxa"/>
            <w:vAlign w:val="bottom"/>
            <w:tcBorders>
              <w:bottom w:val="single" w:sz="8" w:color="666666"/>
            </w:tcBorders>
          </w:tcPr>
          <w:p>
            <w:pPr>
              <w:ind w:left="280"/>
              <w:spacing w:after="0" w:line="155" w:lineRule="exact"/>
              <w:rPr>
                <w:sz w:val="20"/>
                <w:szCs w:val="20"/>
                <w:color w:val="auto"/>
              </w:rPr>
            </w:pPr>
            <w:r>
              <w:rPr>
                <w:rFonts w:ascii="Arial" w:cs="Arial" w:eastAsia="Arial" w:hAnsi="Arial"/>
                <w:sz w:val="14"/>
                <w:szCs w:val="14"/>
                <w:color w:val="auto"/>
              </w:rPr>
              <w:t>Change of Control With Termination</w:t>
            </w:r>
          </w:p>
        </w:tc>
        <w:tc>
          <w:tcPr>
            <w:tcW w:w="1520" w:type="dxa"/>
            <w:vAlign w:val="bottom"/>
            <w:tcBorders>
              <w:bottom w:val="single" w:sz="8" w:color="666666"/>
            </w:tcBorders>
          </w:tcPr>
          <w:p>
            <w:pPr>
              <w:jc w:val="right"/>
              <w:ind w:right="49"/>
              <w:spacing w:after="0" w:line="155" w:lineRule="exact"/>
              <w:rPr>
                <w:sz w:val="20"/>
                <w:szCs w:val="20"/>
                <w:color w:val="auto"/>
              </w:rPr>
            </w:pPr>
            <w:r>
              <w:rPr>
                <w:rFonts w:ascii="Arial" w:cs="Arial" w:eastAsia="Arial" w:hAnsi="Arial"/>
                <w:sz w:val="14"/>
                <w:szCs w:val="14"/>
                <w:color w:val="auto"/>
              </w:rPr>
              <w:t>1,875,000</w:t>
            </w:r>
          </w:p>
        </w:tc>
        <w:tc>
          <w:tcPr>
            <w:tcW w:w="1220" w:type="dxa"/>
            <w:vAlign w:val="bottom"/>
            <w:tcBorders>
              <w:bottom w:val="single" w:sz="8" w:color="666666"/>
            </w:tcBorders>
          </w:tcPr>
          <w:p>
            <w:pPr>
              <w:jc w:val="right"/>
              <w:ind w:right="49"/>
              <w:spacing w:after="0" w:line="155" w:lineRule="exact"/>
              <w:rPr>
                <w:sz w:val="20"/>
                <w:szCs w:val="20"/>
                <w:color w:val="auto"/>
              </w:rPr>
            </w:pPr>
            <w:r>
              <w:rPr>
                <w:rFonts w:ascii="Arial" w:cs="Arial" w:eastAsia="Arial" w:hAnsi="Arial"/>
                <w:sz w:val="14"/>
                <w:szCs w:val="14"/>
                <w:color w:val="auto"/>
              </w:rPr>
              <w:t>1,250,000</w:t>
            </w:r>
          </w:p>
        </w:tc>
        <w:tc>
          <w:tcPr>
            <w:tcW w:w="1140" w:type="dxa"/>
            <w:vAlign w:val="bottom"/>
            <w:tcBorders>
              <w:bottom w:val="single" w:sz="8" w:color="666666"/>
            </w:tcBorders>
          </w:tcPr>
          <w:p>
            <w:pPr>
              <w:jc w:val="right"/>
              <w:ind w:right="29"/>
              <w:spacing w:after="0" w:line="155" w:lineRule="exact"/>
              <w:rPr>
                <w:sz w:val="20"/>
                <w:szCs w:val="20"/>
                <w:color w:val="auto"/>
              </w:rPr>
            </w:pPr>
            <w:r>
              <w:rPr>
                <w:rFonts w:ascii="Arial" w:cs="Arial" w:eastAsia="Arial" w:hAnsi="Arial"/>
                <w:sz w:val="14"/>
                <w:szCs w:val="14"/>
                <w:color w:val="auto"/>
              </w:rPr>
              <w:t>829,259</w:t>
            </w:r>
          </w:p>
        </w:tc>
        <w:tc>
          <w:tcPr>
            <w:tcW w:w="1160" w:type="dxa"/>
            <w:vAlign w:val="bottom"/>
            <w:tcBorders>
              <w:bottom w:val="single" w:sz="8" w:color="666666"/>
            </w:tcBorders>
          </w:tcPr>
          <w:p>
            <w:pPr>
              <w:jc w:val="right"/>
              <w:ind w:right="49"/>
              <w:spacing w:after="0" w:line="155" w:lineRule="exact"/>
              <w:rPr>
                <w:sz w:val="20"/>
                <w:szCs w:val="20"/>
                <w:color w:val="auto"/>
              </w:rPr>
            </w:pPr>
            <w:r>
              <w:rPr>
                <w:rFonts w:ascii="Arial" w:cs="Arial" w:eastAsia="Arial" w:hAnsi="Arial"/>
                <w:sz w:val="14"/>
                <w:szCs w:val="14"/>
                <w:color w:val="auto"/>
              </w:rPr>
              <w:t>1,658,517</w:t>
            </w:r>
          </w:p>
        </w:tc>
        <w:tc>
          <w:tcPr>
            <w:tcW w:w="800" w:type="dxa"/>
            <w:vAlign w:val="bottom"/>
            <w:tcBorders>
              <w:bottom w:val="single" w:sz="8" w:color="666666"/>
            </w:tcBorders>
          </w:tcPr>
          <w:p>
            <w:pPr>
              <w:jc w:val="right"/>
              <w:ind w:right="69"/>
              <w:spacing w:after="0" w:line="155" w:lineRule="exact"/>
              <w:rPr>
                <w:sz w:val="20"/>
                <w:szCs w:val="20"/>
                <w:color w:val="auto"/>
              </w:rPr>
            </w:pPr>
            <w:r>
              <w:rPr>
                <w:rFonts w:ascii="Arial" w:cs="Arial" w:eastAsia="Arial" w:hAnsi="Arial"/>
                <w:sz w:val="14"/>
                <w:szCs w:val="14"/>
                <w:color w:val="auto"/>
              </w:rPr>
              <w:t>60,540</w:t>
            </w:r>
          </w:p>
        </w:tc>
        <w:tc>
          <w:tcPr>
            <w:tcW w:w="8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5,673,316</w:t>
            </w:r>
          </w:p>
        </w:tc>
      </w:tr>
      <w:tr>
        <w:trPr>
          <w:trHeight w:val="158"/>
        </w:trPr>
        <w:tc>
          <w:tcPr>
            <w:tcW w:w="20" w:type="dxa"/>
            <w:vAlign w:val="bottom"/>
          </w:tcPr>
          <w:p>
            <w:pPr>
              <w:spacing w:after="0"/>
              <w:rPr>
                <w:sz w:val="13"/>
                <w:szCs w:val="13"/>
                <w:color w:val="auto"/>
              </w:rPr>
            </w:pPr>
          </w:p>
        </w:tc>
        <w:tc>
          <w:tcPr>
            <w:tcW w:w="4160" w:type="dxa"/>
            <w:vAlign w:val="bottom"/>
          </w:tcPr>
          <w:p>
            <w:pPr>
              <w:spacing w:after="0" w:line="158" w:lineRule="exact"/>
              <w:rPr>
                <w:sz w:val="20"/>
                <w:szCs w:val="20"/>
                <w:color w:val="auto"/>
              </w:rPr>
            </w:pPr>
            <w:r>
              <w:rPr>
                <w:rFonts w:ascii="Arial" w:cs="Arial" w:eastAsia="Arial" w:hAnsi="Arial"/>
                <w:sz w:val="14"/>
                <w:szCs w:val="14"/>
                <w:b w:val="1"/>
                <w:bCs w:val="1"/>
                <w:color w:val="auto"/>
              </w:rPr>
              <w:t>Christina M. Ibrahim</w:t>
            </w:r>
          </w:p>
        </w:tc>
        <w:tc>
          <w:tcPr>
            <w:tcW w:w="1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4160" w:type="dxa"/>
            <w:vAlign w:val="bottom"/>
          </w:tcPr>
          <w:p>
            <w:pPr>
              <w:ind w:left="280"/>
              <w:spacing w:after="0"/>
              <w:rPr>
                <w:sz w:val="20"/>
                <w:szCs w:val="20"/>
                <w:color w:val="auto"/>
              </w:rPr>
            </w:pPr>
            <w:r>
              <w:rPr>
                <w:rFonts w:ascii="Arial" w:cs="Arial" w:eastAsia="Arial" w:hAnsi="Arial"/>
                <w:sz w:val="14"/>
                <w:szCs w:val="14"/>
                <w:color w:val="auto"/>
              </w:rPr>
              <w:t>Retirement, Resignation or Termination with Cause</w:t>
            </w:r>
          </w:p>
        </w:tc>
        <w:tc>
          <w:tcPr>
            <w:tcW w:w="152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0</w:t>
            </w:r>
          </w:p>
        </w:tc>
        <w:tc>
          <w:tcPr>
            <w:tcW w:w="88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0"/>
        </w:trPr>
        <w:tc>
          <w:tcPr>
            <w:tcW w:w="20" w:type="dxa"/>
            <w:vAlign w:val="bottom"/>
          </w:tcPr>
          <w:p>
            <w:pPr>
              <w:spacing w:after="0"/>
              <w:rPr>
                <w:sz w:val="13"/>
                <w:szCs w:val="13"/>
                <w:color w:val="auto"/>
              </w:rPr>
            </w:pPr>
          </w:p>
        </w:tc>
        <w:tc>
          <w:tcPr>
            <w:tcW w:w="4160" w:type="dxa"/>
            <w:vAlign w:val="bottom"/>
          </w:tcPr>
          <w:p>
            <w:pPr>
              <w:ind w:left="280"/>
              <w:spacing w:after="0"/>
              <w:rPr>
                <w:sz w:val="20"/>
                <w:szCs w:val="20"/>
                <w:color w:val="auto"/>
              </w:rPr>
            </w:pPr>
            <w:r>
              <w:rPr>
                <w:rFonts w:ascii="Arial" w:cs="Arial" w:eastAsia="Arial" w:hAnsi="Arial"/>
                <w:sz w:val="14"/>
                <w:szCs w:val="14"/>
                <w:color w:val="auto"/>
              </w:rPr>
              <w:t>Death or Disability</w:t>
            </w:r>
          </w:p>
        </w:tc>
        <w:tc>
          <w:tcPr>
            <w:tcW w:w="152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362,500</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1,377,876</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0</w:t>
            </w:r>
          </w:p>
        </w:tc>
        <w:tc>
          <w:tcPr>
            <w:tcW w:w="880" w:type="dxa"/>
            <w:vAlign w:val="bottom"/>
          </w:tcPr>
          <w:p>
            <w:pPr>
              <w:jc w:val="right"/>
              <w:spacing w:after="0"/>
              <w:rPr>
                <w:sz w:val="20"/>
                <w:szCs w:val="20"/>
                <w:color w:val="auto"/>
              </w:rPr>
            </w:pPr>
            <w:r>
              <w:rPr>
                <w:rFonts w:ascii="Arial" w:cs="Arial" w:eastAsia="Arial" w:hAnsi="Arial"/>
                <w:sz w:val="14"/>
                <w:szCs w:val="14"/>
                <w:color w:val="auto"/>
              </w:rPr>
              <w:t>1,740,376</w:t>
            </w:r>
          </w:p>
        </w:tc>
      </w:tr>
      <w:tr>
        <w:trPr>
          <w:trHeight w:val="160"/>
        </w:trPr>
        <w:tc>
          <w:tcPr>
            <w:tcW w:w="20" w:type="dxa"/>
            <w:vAlign w:val="bottom"/>
          </w:tcPr>
          <w:p>
            <w:pPr>
              <w:spacing w:after="0"/>
              <w:rPr>
                <w:sz w:val="13"/>
                <w:szCs w:val="13"/>
                <w:color w:val="auto"/>
              </w:rPr>
            </w:pPr>
          </w:p>
        </w:tc>
        <w:tc>
          <w:tcPr>
            <w:tcW w:w="4160" w:type="dxa"/>
            <w:vAlign w:val="bottom"/>
          </w:tcPr>
          <w:p>
            <w:pPr>
              <w:ind w:left="280"/>
              <w:spacing w:after="0"/>
              <w:rPr>
                <w:sz w:val="20"/>
                <w:szCs w:val="20"/>
                <w:color w:val="auto"/>
              </w:rPr>
            </w:pPr>
            <w:r>
              <w:rPr>
                <w:rFonts w:ascii="Arial" w:cs="Arial" w:eastAsia="Arial" w:hAnsi="Arial"/>
                <w:sz w:val="14"/>
                <w:szCs w:val="14"/>
                <w:color w:val="auto"/>
              </w:rPr>
              <w:t>Termination Without Cause or With Good Reason</w:t>
            </w:r>
          </w:p>
        </w:tc>
        <w:tc>
          <w:tcPr>
            <w:tcW w:w="1520" w:type="dxa"/>
            <w:vAlign w:val="bottom"/>
          </w:tcPr>
          <w:p>
            <w:pPr>
              <w:jc w:val="right"/>
              <w:ind w:right="49"/>
              <w:spacing w:after="0"/>
              <w:rPr>
                <w:sz w:val="20"/>
                <w:szCs w:val="20"/>
                <w:color w:val="auto"/>
              </w:rPr>
            </w:pPr>
            <w:r>
              <w:rPr>
                <w:rFonts w:ascii="Arial" w:cs="Arial" w:eastAsia="Arial" w:hAnsi="Arial"/>
                <w:sz w:val="14"/>
                <w:szCs w:val="14"/>
                <w:color w:val="auto"/>
              </w:rPr>
              <w:t>625,000</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362,500</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626,809</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0</w:t>
            </w:r>
          </w:p>
        </w:tc>
        <w:tc>
          <w:tcPr>
            <w:tcW w:w="880" w:type="dxa"/>
            <w:vAlign w:val="bottom"/>
          </w:tcPr>
          <w:p>
            <w:pPr>
              <w:jc w:val="right"/>
              <w:spacing w:after="0"/>
              <w:rPr>
                <w:sz w:val="20"/>
                <w:szCs w:val="20"/>
                <w:color w:val="auto"/>
              </w:rPr>
            </w:pPr>
            <w:r>
              <w:rPr>
                <w:rFonts w:ascii="Arial" w:cs="Arial" w:eastAsia="Arial" w:hAnsi="Arial"/>
                <w:sz w:val="14"/>
                <w:szCs w:val="14"/>
                <w:color w:val="auto"/>
              </w:rPr>
              <w:t>1,614,309</w:t>
            </w:r>
          </w:p>
        </w:tc>
      </w:tr>
      <w:tr>
        <w:trPr>
          <w:trHeight w:val="160"/>
        </w:trPr>
        <w:tc>
          <w:tcPr>
            <w:tcW w:w="20" w:type="dxa"/>
            <w:vAlign w:val="bottom"/>
          </w:tcPr>
          <w:p>
            <w:pPr>
              <w:spacing w:after="0"/>
              <w:rPr>
                <w:sz w:val="13"/>
                <w:szCs w:val="13"/>
                <w:color w:val="auto"/>
              </w:rPr>
            </w:pPr>
          </w:p>
        </w:tc>
        <w:tc>
          <w:tcPr>
            <w:tcW w:w="4160" w:type="dxa"/>
            <w:vAlign w:val="bottom"/>
          </w:tcPr>
          <w:p>
            <w:pPr>
              <w:ind w:left="280"/>
              <w:spacing w:after="0"/>
              <w:rPr>
                <w:sz w:val="20"/>
                <w:szCs w:val="20"/>
                <w:color w:val="auto"/>
              </w:rPr>
            </w:pPr>
            <w:r>
              <w:rPr>
                <w:rFonts w:ascii="Arial" w:cs="Arial" w:eastAsia="Arial" w:hAnsi="Arial"/>
                <w:sz w:val="14"/>
                <w:szCs w:val="14"/>
                <w:color w:val="auto"/>
              </w:rPr>
              <w:t>Change of Control Without Termination</w:t>
            </w:r>
          </w:p>
        </w:tc>
        <w:tc>
          <w:tcPr>
            <w:tcW w:w="152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1,250,000</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1,377,876</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2,477,756</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0</w:t>
            </w:r>
          </w:p>
        </w:tc>
        <w:tc>
          <w:tcPr>
            <w:tcW w:w="880" w:type="dxa"/>
            <w:vAlign w:val="bottom"/>
          </w:tcPr>
          <w:p>
            <w:pPr>
              <w:jc w:val="right"/>
              <w:spacing w:after="0"/>
              <w:rPr>
                <w:sz w:val="20"/>
                <w:szCs w:val="20"/>
                <w:color w:val="auto"/>
              </w:rPr>
            </w:pPr>
            <w:r>
              <w:rPr>
                <w:rFonts w:ascii="Arial" w:cs="Arial" w:eastAsia="Arial" w:hAnsi="Arial"/>
                <w:sz w:val="14"/>
                <w:szCs w:val="14"/>
                <w:color w:val="auto"/>
              </w:rPr>
              <w:t>5,105,632</w:t>
            </w:r>
          </w:p>
        </w:tc>
      </w:tr>
      <w:tr>
        <w:trPr>
          <w:trHeight w:val="155"/>
        </w:trPr>
        <w:tc>
          <w:tcPr>
            <w:tcW w:w="20" w:type="dxa"/>
            <w:vAlign w:val="bottom"/>
          </w:tcPr>
          <w:p>
            <w:pPr>
              <w:spacing w:after="0"/>
              <w:rPr>
                <w:sz w:val="13"/>
                <w:szCs w:val="13"/>
                <w:color w:val="auto"/>
              </w:rPr>
            </w:pPr>
          </w:p>
        </w:tc>
        <w:tc>
          <w:tcPr>
            <w:tcW w:w="4160" w:type="dxa"/>
            <w:vAlign w:val="bottom"/>
            <w:tcBorders>
              <w:bottom w:val="single" w:sz="8" w:color="666666"/>
            </w:tcBorders>
          </w:tcPr>
          <w:p>
            <w:pPr>
              <w:ind w:left="280"/>
              <w:spacing w:after="0" w:line="155" w:lineRule="exact"/>
              <w:rPr>
                <w:sz w:val="20"/>
                <w:szCs w:val="20"/>
                <w:color w:val="auto"/>
              </w:rPr>
            </w:pPr>
            <w:r>
              <w:rPr>
                <w:rFonts w:ascii="Arial" w:cs="Arial" w:eastAsia="Arial" w:hAnsi="Arial"/>
                <w:sz w:val="14"/>
                <w:szCs w:val="14"/>
                <w:color w:val="auto"/>
              </w:rPr>
              <w:t>Change of Control With Termination</w:t>
            </w:r>
          </w:p>
        </w:tc>
        <w:tc>
          <w:tcPr>
            <w:tcW w:w="1520" w:type="dxa"/>
            <w:vAlign w:val="bottom"/>
            <w:tcBorders>
              <w:bottom w:val="single" w:sz="8" w:color="666666"/>
            </w:tcBorders>
          </w:tcPr>
          <w:p>
            <w:pPr>
              <w:jc w:val="right"/>
              <w:ind w:right="49"/>
              <w:spacing w:after="0" w:line="155" w:lineRule="exact"/>
              <w:rPr>
                <w:sz w:val="20"/>
                <w:szCs w:val="20"/>
                <w:color w:val="auto"/>
              </w:rPr>
            </w:pPr>
            <w:r>
              <w:rPr>
                <w:rFonts w:ascii="Arial" w:cs="Arial" w:eastAsia="Arial" w:hAnsi="Arial"/>
                <w:sz w:val="14"/>
                <w:szCs w:val="14"/>
                <w:color w:val="auto"/>
              </w:rPr>
              <w:t>3,070,313</w:t>
            </w:r>
          </w:p>
        </w:tc>
        <w:tc>
          <w:tcPr>
            <w:tcW w:w="1220" w:type="dxa"/>
            <w:vAlign w:val="bottom"/>
            <w:tcBorders>
              <w:bottom w:val="single" w:sz="8" w:color="666666"/>
            </w:tcBorders>
          </w:tcPr>
          <w:p>
            <w:pPr>
              <w:jc w:val="right"/>
              <w:ind w:right="49"/>
              <w:spacing w:after="0" w:line="155" w:lineRule="exact"/>
              <w:rPr>
                <w:sz w:val="20"/>
                <w:szCs w:val="20"/>
                <w:color w:val="auto"/>
              </w:rPr>
            </w:pPr>
            <w:r>
              <w:rPr>
                <w:rFonts w:ascii="Arial" w:cs="Arial" w:eastAsia="Arial" w:hAnsi="Arial"/>
                <w:sz w:val="14"/>
                <w:szCs w:val="14"/>
                <w:color w:val="auto"/>
              </w:rPr>
              <w:t>1,250,000</w:t>
            </w:r>
          </w:p>
        </w:tc>
        <w:tc>
          <w:tcPr>
            <w:tcW w:w="1140" w:type="dxa"/>
            <w:vAlign w:val="bottom"/>
            <w:tcBorders>
              <w:bottom w:val="single" w:sz="8" w:color="666666"/>
            </w:tcBorders>
          </w:tcPr>
          <w:p>
            <w:pPr>
              <w:jc w:val="right"/>
              <w:ind w:right="29"/>
              <w:spacing w:after="0" w:line="155" w:lineRule="exact"/>
              <w:rPr>
                <w:sz w:val="20"/>
                <w:szCs w:val="20"/>
                <w:color w:val="auto"/>
              </w:rPr>
            </w:pPr>
            <w:r>
              <w:rPr>
                <w:rFonts w:ascii="Arial" w:cs="Arial" w:eastAsia="Arial" w:hAnsi="Arial"/>
                <w:sz w:val="14"/>
                <w:szCs w:val="14"/>
                <w:color w:val="auto"/>
              </w:rPr>
              <w:t>1,377,876</w:t>
            </w:r>
          </w:p>
        </w:tc>
        <w:tc>
          <w:tcPr>
            <w:tcW w:w="1160" w:type="dxa"/>
            <w:vAlign w:val="bottom"/>
            <w:tcBorders>
              <w:bottom w:val="single" w:sz="8" w:color="666666"/>
            </w:tcBorders>
          </w:tcPr>
          <w:p>
            <w:pPr>
              <w:jc w:val="right"/>
              <w:ind w:right="49"/>
              <w:spacing w:after="0" w:line="155" w:lineRule="exact"/>
              <w:rPr>
                <w:sz w:val="20"/>
                <w:szCs w:val="20"/>
                <w:color w:val="auto"/>
              </w:rPr>
            </w:pPr>
            <w:r>
              <w:rPr>
                <w:rFonts w:ascii="Arial" w:cs="Arial" w:eastAsia="Arial" w:hAnsi="Arial"/>
                <w:sz w:val="14"/>
                <w:szCs w:val="14"/>
                <w:color w:val="auto"/>
              </w:rPr>
              <w:t>2,477,756</w:t>
            </w:r>
          </w:p>
        </w:tc>
        <w:tc>
          <w:tcPr>
            <w:tcW w:w="800" w:type="dxa"/>
            <w:vAlign w:val="bottom"/>
            <w:tcBorders>
              <w:bottom w:val="single" w:sz="8" w:color="666666"/>
            </w:tcBorders>
          </w:tcPr>
          <w:p>
            <w:pPr>
              <w:jc w:val="right"/>
              <w:ind w:right="69"/>
              <w:spacing w:after="0" w:line="155" w:lineRule="exact"/>
              <w:rPr>
                <w:sz w:val="20"/>
                <w:szCs w:val="20"/>
                <w:color w:val="auto"/>
              </w:rPr>
            </w:pPr>
            <w:r>
              <w:rPr>
                <w:rFonts w:ascii="Arial" w:cs="Arial" w:eastAsia="Arial" w:hAnsi="Arial"/>
                <w:sz w:val="14"/>
                <w:szCs w:val="14"/>
                <w:color w:val="auto"/>
              </w:rPr>
              <w:t>43,056</w:t>
            </w:r>
          </w:p>
        </w:tc>
        <w:tc>
          <w:tcPr>
            <w:tcW w:w="8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8,219,001</w:t>
            </w:r>
          </w:p>
        </w:tc>
      </w:tr>
      <w:tr>
        <w:trPr>
          <w:trHeight w:val="158"/>
        </w:trPr>
        <w:tc>
          <w:tcPr>
            <w:tcW w:w="20" w:type="dxa"/>
            <w:vAlign w:val="bottom"/>
          </w:tcPr>
          <w:p>
            <w:pPr>
              <w:spacing w:after="0"/>
              <w:rPr>
                <w:sz w:val="13"/>
                <w:szCs w:val="13"/>
                <w:color w:val="auto"/>
              </w:rPr>
            </w:pPr>
          </w:p>
        </w:tc>
        <w:tc>
          <w:tcPr>
            <w:tcW w:w="4160" w:type="dxa"/>
            <w:vAlign w:val="bottom"/>
          </w:tcPr>
          <w:p>
            <w:pPr>
              <w:spacing w:after="0" w:line="158" w:lineRule="exact"/>
              <w:rPr>
                <w:sz w:val="20"/>
                <w:szCs w:val="20"/>
                <w:color w:val="auto"/>
              </w:rPr>
            </w:pPr>
            <w:r>
              <w:rPr>
                <w:rFonts w:ascii="Arial" w:cs="Arial" w:eastAsia="Arial" w:hAnsi="Arial"/>
                <w:sz w:val="14"/>
                <w:szCs w:val="14"/>
                <w:b w:val="1"/>
                <w:bCs w:val="1"/>
                <w:color w:val="auto"/>
              </w:rPr>
              <w:t>Karl Blanchard</w:t>
            </w:r>
          </w:p>
        </w:tc>
        <w:tc>
          <w:tcPr>
            <w:tcW w:w="1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4160" w:type="dxa"/>
            <w:vAlign w:val="bottom"/>
          </w:tcPr>
          <w:p>
            <w:pPr>
              <w:ind w:left="280"/>
              <w:spacing w:after="0"/>
              <w:rPr>
                <w:sz w:val="20"/>
                <w:szCs w:val="20"/>
                <w:color w:val="auto"/>
              </w:rPr>
            </w:pPr>
            <w:r>
              <w:rPr>
                <w:rFonts w:ascii="Arial" w:cs="Arial" w:eastAsia="Arial" w:hAnsi="Arial"/>
                <w:sz w:val="14"/>
                <w:szCs w:val="14"/>
                <w:color w:val="auto"/>
              </w:rPr>
              <w:t>Retirement, Resignation or Termination with Cause</w:t>
            </w:r>
          </w:p>
        </w:tc>
        <w:tc>
          <w:tcPr>
            <w:tcW w:w="152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0</w:t>
            </w:r>
          </w:p>
        </w:tc>
        <w:tc>
          <w:tcPr>
            <w:tcW w:w="88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0"/>
        </w:trPr>
        <w:tc>
          <w:tcPr>
            <w:tcW w:w="20" w:type="dxa"/>
            <w:vAlign w:val="bottom"/>
          </w:tcPr>
          <w:p>
            <w:pPr>
              <w:spacing w:after="0"/>
              <w:rPr>
                <w:sz w:val="13"/>
                <w:szCs w:val="13"/>
                <w:color w:val="auto"/>
              </w:rPr>
            </w:pPr>
          </w:p>
        </w:tc>
        <w:tc>
          <w:tcPr>
            <w:tcW w:w="4160" w:type="dxa"/>
            <w:vAlign w:val="bottom"/>
          </w:tcPr>
          <w:p>
            <w:pPr>
              <w:ind w:left="280"/>
              <w:spacing w:after="0"/>
              <w:rPr>
                <w:sz w:val="20"/>
                <w:szCs w:val="20"/>
                <w:color w:val="auto"/>
              </w:rPr>
            </w:pPr>
            <w:r>
              <w:rPr>
                <w:rFonts w:ascii="Arial" w:cs="Arial" w:eastAsia="Arial" w:hAnsi="Arial"/>
                <w:sz w:val="14"/>
                <w:szCs w:val="14"/>
                <w:color w:val="auto"/>
              </w:rPr>
              <w:t>Death or Disability</w:t>
            </w:r>
          </w:p>
        </w:tc>
        <w:tc>
          <w:tcPr>
            <w:tcW w:w="152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86,290</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2,115,216</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0</w:t>
            </w:r>
          </w:p>
        </w:tc>
        <w:tc>
          <w:tcPr>
            <w:tcW w:w="880" w:type="dxa"/>
            <w:vAlign w:val="bottom"/>
          </w:tcPr>
          <w:p>
            <w:pPr>
              <w:jc w:val="right"/>
              <w:spacing w:after="0"/>
              <w:rPr>
                <w:sz w:val="20"/>
                <w:szCs w:val="20"/>
                <w:color w:val="auto"/>
              </w:rPr>
            </w:pPr>
            <w:r>
              <w:rPr>
                <w:rFonts w:ascii="Arial" w:cs="Arial" w:eastAsia="Arial" w:hAnsi="Arial"/>
                <w:sz w:val="14"/>
                <w:szCs w:val="14"/>
                <w:color w:val="auto"/>
              </w:rPr>
              <w:t>2,201,506</w:t>
            </w:r>
          </w:p>
        </w:tc>
      </w:tr>
      <w:tr>
        <w:trPr>
          <w:trHeight w:val="160"/>
        </w:trPr>
        <w:tc>
          <w:tcPr>
            <w:tcW w:w="20" w:type="dxa"/>
            <w:vAlign w:val="bottom"/>
          </w:tcPr>
          <w:p>
            <w:pPr>
              <w:spacing w:after="0"/>
              <w:rPr>
                <w:sz w:val="13"/>
                <w:szCs w:val="13"/>
                <w:color w:val="auto"/>
              </w:rPr>
            </w:pPr>
          </w:p>
        </w:tc>
        <w:tc>
          <w:tcPr>
            <w:tcW w:w="4160" w:type="dxa"/>
            <w:vAlign w:val="bottom"/>
          </w:tcPr>
          <w:p>
            <w:pPr>
              <w:ind w:left="280"/>
              <w:spacing w:after="0"/>
              <w:rPr>
                <w:sz w:val="20"/>
                <w:szCs w:val="20"/>
                <w:color w:val="auto"/>
              </w:rPr>
            </w:pPr>
            <w:r>
              <w:rPr>
                <w:rFonts w:ascii="Arial" w:cs="Arial" w:eastAsia="Arial" w:hAnsi="Arial"/>
                <w:sz w:val="14"/>
                <w:szCs w:val="14"/>
                <w:color w:val="auto"/>
              </w:rPr>
              <w:t>Termination Without Cause or With Good Reason</w:t>
            </w:r>
          </w:p>
        </w:tc>
        <w:tc>
          <w:tcPr>
            <w:tcW w:w="1520" w:type="dxa"/>
            <w:vAlign w:val="bottom"/>
          </w:tcPr>
          <w:p>
            <w:pPr>
              <w:jc w:val="right"/>
              <w:ind w:right="49"/>
              <w:spacing w:after="0"/>
              <w:rPr>
                <w:sz w:val="20"/>
                <w:szCs w:val="20"/>
                <w:color w:val="auto"/>
              </w:rPr>
            </w:pPr>
            <w:r>
              <w:rPr>
                <w:rFonts w:ascii="Arial" w:cs="Arial" w:eastAsia="Arial" w:hAnsi="Arial"/>
                <w:sz w:val="14"/>
                <w:szCs w:val="14"/>
                <w:color w:val="auto"/>
              </w:rPr>
              <w:t>700,000</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86,290</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705,072</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0</w:t>
            </w:r>
          </w:p>
        </w:tc>
        <w:tc>
          <w:tcPr>
            <w:tcW w:w="880" w:type="dxa"/>
            <w:vAlign w:val="bottom"/>
          </w:tcPr>
          <w:p>
            <w:pPr>
              <w:jc w:val="right"/>
              <w:spacing w:after="0"/>
              <w:rPr>
                <w:sz w:val="20"/>
                <w:szCs w:val="20"/>
                <w:color w:val="auto"/>
              </w:rPr>
            </w:pPr>
            <w:r>
              <w:rPr>
                <w:rFonts w:ascii="Arial" w:cs="Arial" w:eastAsia="Arial" w:hAnsi="Arial"/>
                <w:sz w:val="14"/>
                <w:szCs w:val="14"/>
                <w:color w:val="auto"/>
              </w:rPr>
              <w:t>1,491,362</w:t>
            </w:r>
          </w:p>
        </w:tc>
      </w:tr>
      <w:tr>
        <w:trPr>
          <w:trHeight w:val="160"/>
        </w:trPr>
        <w:tc>
          <w:tcPr>
            <w:tcW w:w="20" w:type="dxa"/>
            <w:vAlign w:val="bottom"/>
          </w:tcPr>
          <w:p>
            <w:pPr>
              <w:spacing w:after="0"/>
              <w:rPr>
                <w:sz w:val="13"/>
                <w:szCs w:val="13"/>
                <w:color w:val="auto"/>
              </w:rPr>
            </w:pPr>
          </w:p>
        </w:tc>
        <w:tc>
          <w:tcPr>
            <w:tcW w:w="4160" w:type="dxa"/>
            <w:vAlign w:val="bottom"/>
          </w:tcPr>
          <w:p>
            <w:pPr>
              <w:ind w:left="280"/>
              <w:spacing w:after="0"/>
              <w:rPr>
                <w:sz w:val="20"/>
                <w:szCs w:val="20"/>
                <w:color w:val="auto"/>
              </w:rPr>
            </w:pPr>
            <w:r>
              <w:rPr>
                <w:rFonts w:ascii="Arial" w:cs="Arial" w:eastAsia="Arial" w:hAnsi="Arial"/>
                <w:sz w:val="14"/>
                <w:szCs w:val="14"/>
                <w:color w:val="auto"/>
              </w:rPr>
              <w:t>Change of Control Without Termination</w:t>
            </w:r>
          </w:p>
        </w:tc>
        <w:tc>
          <w:tcPr>
            <w:tcW w:w="152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510,137</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2,115,216</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1,410,144</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0</w:t>
            </w:r>
          </w:p>
        </w:tc>
        <w:tc>
          <w:tcPr>
            <w:tcW w:w="880" w:type="dxa"/>
            <w:vAlign w:val="bottom"/>
          </w:tcPr>
          <w:p>
            <w:pPr>
              <w:jc w:val="right"/>
              <w:spacing w:after="0"/>
              <w:rPr>
                <w:sz w:val="20"/>
                <w:szCs w:val="20"/>
                <w:color w:val="auto"/>
              </w:rPr>
            </w:pPr>
            <w:r>
              <w:rPr>
                <w:rFonts w:ascii="Arial" w:cs="Arial" w:eastAsia="Arial" w:hAnsi="Arial"/>
                <w:sz w:val="14"/>
                <w:szCs w:val="14"/>
                <w:color w:val="auto"/>
              </w:rPr>
              <w:t>4,035,497</w:t>
            </w:r>
          </w:p>
        </w:tc>
      </w:tr>
      <w:tr>
        <w:trPr>
          <w:trHeight w:val="155"/>
        </w:trPr>
        <w:tc>
          <w:tcPr>
            <w:tcW w:w="20" w:type="dxa"/>
            <w:vAlign w:val="bottom"/>
          </w:tcPr>
          <w:p>
            <w:pPr>
              <w:spacing w:after="0"/>
              <w:rPr>
                <w:sz w:val="13"/>
                <w:szCs w:val="13"/>
                <w:color w:val="auto"/>
              </w:rPr>
            </w:pPr>
          </w:p>
        </w:tc>
        <w:tc>
          <w:tcPr>
            <w:tcW w:w="4160" w:type="dxa"/>
            <w:vAlign w:val="bottom"/>
            <w:tcBorders>
              <w:bottom w:val="single" w:sz="8" w:color="666666"/>
            </w:tcBorders>
          </w:tcPr>
          <w:p>
            <w:pPr>
              <w:ind w:left="280"/>
              <w:spacing w:after="0" w:line="155" w:lineRule="exact"/>
              <w:rPr>
                <w:sz w:val="20"/>
                <w:szCs w:val="20"/>
                <w:color w:val="auto"/>
              </w:rPr>
            </w:pPr>
            <w:r>
              <w:rPr>
                <w:rFonts w:ascii="Arial" w:cs="Arial" w:eastAsia="Arial" w:hAnsi="Arial"/>
                <w:sz w:val="14"/>
                <w:szCs w:val="14"/>
                <w:color w:val="auto"/>
              </w:rPr>
              <w:t>Change of Control With Termination</w:t>
            </w:r>
          </w:p>
        </w:tc>
        <w:tc>
          <w:tcPr>
            <w:tcW w:w="1520" w:type="dxa"/>
            <w:vAlign w:val="bottom"/>
            <w:tcBorders>
              <w:bottom w:val="single" w:sz="8" w:color="666666"/>
            </w:tcBorders>
          </w:tcPr>
          <w:p>
            <w:pPr>
              <w:jc w:val="right"/>
              <w:ind w:right="49"/>
              <w:spacing w:after="0" w:line="155" w:lineRule="exact"/>
              <w:rPr>
                <w:sz w:val="20"/>
                <w:szCs w:val="20"/>
                <w:color w:val="auto"/>
              </w:rPr>
            </w:pPr>
            <w:r>
              <w:rPr>
                <w:rFonts w:ascii="Arial" w:cs="Arial" w:eastAsia="Arial" w:hAnsi="Arial"/>
                <w:sz w:val="14"/>
                <w:szCs w:val="14"/>
                <w:color w:val="auto"/>
              </w:rPr>
              <w:t>2,100,000</w:t>
            </w:r>
          </w:p>
        </w:tc>
        <w:tc>
          <w:tcPr>
            <w:tcW w:w="1220" w:type="dxa"/>
            <w:vAlign w:val="bottom"/>
            <w:tcBorders>
              <w:bottom w:val="single" w:sz="8" w:color="666666"/>
            </w:tcBorders>
          </w:tcPr>
          <w:p>
            <w:pPr>
              <w:jc w:val="right"/>
              <w:ind w:right="49"/>
              <w:spacing w:after="0" w:line="155" w:lineRule="exact"/>
              <w:rPr>
                <w:sz w:val="20"/>
                <w:szCs w:val="20"/>
                <w:color w:val="auto"/>
              </w:rPr>
            </w:pPr>
            <w:r>
              <w:rPr>
                <w:rFonts w:ascii="Arial" w:cs="Arial" w:eastAsia="Arial" w:hAnsi="Arial"/>
                <w:sz w:val="14"/>
                <w:szCs w:val="14"/>
                <w:color w:val="auto"/>
              </w:rPr>
              <w:t>510,137</w:t>
            </w:r>
          </w:p>
        </w:tc>
        <w:tc>
          <w:tcPr>
            <w:tcW w:w="1140" w:type="dxa"/>
            <w:vAlign w:val="bottom"/>
            <w:tcBorders>
              <w:bottom w:val="single" w:sz="8" w:color="666666"/>
            </w:tcBorders>
          </w:tcPr>
          <w:p>
            <w:pPr>
              <w:jc w:val="right"/>
              <w:ind w:right="29"/>
              <w:spacing w:after="0" w:line="155" w:lineRule="exact"/>
              <w:rPr>
                <w:sz w:val="20"/>
                <w:szCs w:val="20"/>
                <w:color w:val="auto"/>
              </w:rPr>
            </w:pPr>
            <w:r>
              <w:rPr>
                <w:rFonts w:ascii="Arial" w:cs="Arial" w:eastAsia="Arial" w:hAnsi="Arial"/>
                <w:sz w:val="14"/>
                <w:szCs w:val="14"/>
                <w:color w:val="auto"/>
              </w:rPr>
              <w:t>2,115,216</w:t>
            </w:r>
          </w:p>
        </w:tc>
        <w:tc>
          <w:tcPr>
            <w:tcW w:w="1160" w:type="dxa"/>
            <w:vAlign w:val="bottom"/>
            <w:tcBorders>
              <w:bottom w:val="single" w:sz="8" w:color="666666"/>
            </w:tcBorders>
          </w:tcPr>
          <w:p>
            <w:pPr>
              <w:jc w:val="right"/>
              <w:ind w:right="49"/>
              <w:spacing w:after="0" w:line="155" w:lineRule="exact"/>
              <w:rPr>
                <w:sz w:val="20"/>
                <w:szCs w:val="20"/>
                <w:color w:val="auto"/>
              </w:rPr>
            </w:pPr>
            <w:r>
              <w:rPr>
                <w:rFonts w:ascii="Arial" w:cs="Arial" w:eastAsia="Arial" w:hAnsi="Arial"/>
                <w:sz w:val="14"/>
                <w:szCs w:val="14"/>
                <w:color w:val="auto"/>
              </w:rPr>
              <w:t>1,410,144</w:t>
            </w:r>
          </w:p>
        </w:tc>
        <w:tc>
          <w:tcPr>
            <w:tcW w:w="800" w:type="dxa"/>
            <w:vAlign w:val="bottom"/>
            <w:tcBorders>
              <w:bottom w:val="single" w:sz="8" w:color="666666"/>
            </w:tcBorders>
          </w:tcPr>
          <w:p>
            <w:pPr>
              <w:jc w:val="right"/>
              <w:ind w:right="69"/>
              <w:spacing w:after="0" w:line="155" w:lineRule="exact"/>
              <w:rPr>
                <w:sz w:val="20"/>
                <w:szCs w:val="20"/>
                <w:color w:val="auto"/>
              </w:rPr>
            </w:pPr>
            <w:r>
              <w:rPr>
                <w:rFonts w:ascii="Arial" w:cs="Arial" w:eastAsia="Arial" w:hAnsi="Arial"/>
                <w:sz w:val="14"/>
                <w:szCs w:val="14"/>
                <w:color w:val="auto"/>
              </w:rPr>
              <w:t>27,792</w:t>
            </w:r>
          </w:p>
        </w:tc>
        <w:tc>
          <w:tcPr>
            <w:tcW w:w="8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6,163,289</w:t>
            </w:r>
          </w:p>
        </w:tc>
      </w:tr>
      <w:tr>
        <w:trPr>
          <w:trHeight w:val="158"/>
        </w:trPr>
        <w:tc>
          <w:tcPr>
            <w:tcW w:w="20" w:type="dxa"/>
            <w:vAlign w:val="bottom"/>
          </w:tcPr>
          <w:p>
            <w:pPr>
              <w:spacing w:after="0"/>
              <w:rPr>
                <w:sz w:val="13"/>
                <w:szCs w:val="13"/>
                <w:color w:val="auto"/>
              </w:rPr>
            </w:pPr>
          </w:p>
        </w:tc>
        <w:tc>
          <w:tcPr>
            <w:tcW w:w="4160" w:type="dxa"/>
            <w:vAlign w:val="bottom"/>
          </w:tcPr>
          <w:p>
            <w:pPr>
              <w:spacing w:after="0" w:line="158" w:lineRule="exact"/>
              <w:rPr>
                <w:sz w:val="20"/>
                <w:szCs w:val="20"/>
                <w:color w:val="auto"/>
              </w:rPr>
            </w:pPr>
            <w:r>
              <w:rPr>
                <w:rFonts w:ascii="Arial" w:cs="Arial" w:eastAsia="Arial" w:hAnsi="Arial"/>
                <w:sz w:val="14"/>
                <w:szCs w:val="14"/>
                <w:b w:val="1"/>
                <w:bCs w:val="1"/>
                <w:color w:val="auto"/>
              </w:rPr>
              <w:t>Douglas M. Mills</w:t>
            </w:r>
          </w:p>
        </w:tc>
        <w:tc>
          <w:tcPr>
            <w:tcW w:w="1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4160" w:type="dxa"/>
            <w:vAlign w:val="bottom"/>
          </w:tcPr>
          <w:p>
            <w:pPr>
              <w:ind w:left="280"/>
              <w:spacing w:after="0"/>
              <w:rPr>
                <w:sz w:val="20"/>
                <w:szCs w:val="20"/>
                <w:color w:val="auto"/>
              </w:rPr>
            </w:pPr>
            <w:r>
              <w:rPr>
                <w:rFonts w:ascii="Arial" w:cs="Arial" w:eastAsia="Arial" w:hAnsi="Arial"/>
                <w:sz w:val="14"/>
                <w:szCs w:val="14"/>
                <w:color w:val="auto"/>
              </w:rPr>
              <w:t>Retirement, Resignation or Termination with Cause</w:t>
            </w:r>
          </w:p>
        </w:tc>
        <w:tc>
          <w:tcPr>
            <w:tcW w:w="152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0</w:t>
            </w:r>
          </w:p>
        </w:tc>
        <w:tc>
          <w:tcPr>
            <w:tcW w:w="88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0"/>
        </w:trPr>
        <w:tc>
          <w:tcPr>
            <w:tcW w:w="20" w:type="dxa"/>
            <w:vAlign w:val="bottom"/>
          </w:tcPr>
          <w:p>
            <w:pPr>
              <w:spacing w:after="0"/>
              <w:rPr>
                <w:sz w:val="13"/>
                <w:szCs w:val="13"/>
                <w:color w:val="auto"/>
              </w:rPr>
            </w:pPr>
          </w:p>
        </w:tc>
        <w:tc>
          <w:tcPr>
            <w:tcW w:w="4160" w:type="dxa"/>
            <w:vAlign w:val="bottom"/>
          </w:tcPr>
          <w:p>
            <w:pPr>
              <w:ind w:left="280"/>
              <w:spacing w:after="0"/>
              <w:rPr>
                <w:sz w:val="20"/>
                <w:szCs w:val="20"/>
                <w:color w:val="auto"/>
              </w:rPr>
            </w:pPr>
            <w:r>
              <w:rPr>
                <w:rFonts w:ascii="Arial" w:cs="Arial" w:eastAsia="Arial" w:hAnsi="Arial"/>
                <w:sz w:val="14"/>
                <w:szCs w:val="14"/>
                <w:color w:val="auto"/>
              </w:rPr>
              <w:t>Death or Disability</w:t>
            </w:r>
          </w:p>
        </w:tc>
        <w:tc>
          <w:tcPr>
            <w:tcW w:w="1520" w:type="dxa"/>
            <w:vAlign w:val="bottom"/>
          </w:tcPr>
          <w:p>
            <w:pPr>
              <w:jc w:val="right"/>
              <w:ind w:right="49"/>
              <w:spacing w:after="0"/>
              <w:rPr>
                <w:sz w:val="20"/>
                <w:szCs w:val="20"/>
                <w:color w:val="auto"/>
              </w:rPr>
            </w:pPr>
            <w:r>
              <w:rPr>
                <w:rFonts w:ascii="Arial" w:cs="Arial" w:eastAsia="Arial" w:hAnsi="Arial"/>
                <w:sz w:val="14"/>
                <w:szCs w:val="14"/>
                <w:color w:val="auto"/>
              </w:rPr>
              <w:t>700,000</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149,640</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884,303</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12,864</w:t>
            </w:r>
          </w:p>
        </w:tc>
        <w:tc>
          <w:tcPr>
            <w:tcW w:w="880" w:type="dxa"/>
            <w:vAlign w:val="bottom"/>
          </w:tcPr>
          <w:p>
            <w:pPr>
              <w:jc w:val="right"/>
              <w:spacing w:after="0"/>
              <w:rPr>
                <w:sz w:val="20"/>
                <w:szCs w:val="20"/>
                <w:color w:val="auto"/>
              </w:rPr>
            </w:pPr>
            <w:r>
              <w:rPr>
                <w:rFonts w:ascii="Arial" w:cs="Arial" w:eastAsia="Arial" w:hAnsi="Arial"/>
                <w:sz w:val="14"/>
                <w:szCs w:val="14"/>
                <w:color w:val="auto"/>
              </w:rPr>
              <w:t>1,746,807</w:t>
            </w:r>
          </w:p>
        </w:tc>
      </w:tr>
      <w:tr>
        <w:trPr>
          <w:trHeight w:val="160"/>
        </w:trPr>
        <w:tc>
          <w:tcPr>
            <w:tcW w:w="20" w:type="dxa"/>
            <w:vAlign w:val="bottom"/>
          </w:tcPr>
          <w:p>
            <w:pPr>
              <w:spacing w:after="0"/>
              <w:rPr>
                <w:sz w:val="13"/>
                <w:szCs w:val="13"/>
                <w:color w:val="auto"/>
              </w:rPr>
            </w:pPr>
          </w:p>
        </w:tc>
        <w:tc>
          <w:tcPr>
            <w:tcW w:w="4160" w:type="dxa"/>
            <w:vAlign w:val="bottom"/>
          </w:tcPr>
          <w:p>
            <w:pPr>
              <w:ind w:left="280"/>
              <w:spacing w:after="0"/>
              <w:rPr>
                <w:sz w:val="20"/>
                <w:szCs w:val="20"/>
                <w:color w:val="auto"/>
              </w:rPr>
            </w:pPr>
            <w:r>
              <w:rPr>
                <w:rFonts w:ascii="Arial" w:cs="Arial" w:eastAsia="Arial" w:hAnsi="Arial"/>
                <w:sz w:val="14"/>
                <w:szCs w:val="14"/>
                <w:color w:val="auto"/>
              </w:rPr>
              <w:t>Termination Without Cause or With Good Reason</w:t>
            </w:r>
          </w:p>
        </w:tc>
        <w:tc>
          <w:tcPr>
            <w:tcW w:w="1520" w:type="dxa"/>
            <w:vAlign w:val="bottom"/>
          </w:tcPr>
          <w:p>
            <w:pPr>
              <w:jc w:val="right"/>
              <w:ind w:right="49"/>
              <w:spacing w:after="0"/>
              <w:rPr>
                <w:sz w:val="20"/>
                <w:szCs w:val="20"/>
                <w:color w:val="auto"/>
              </w:rPr>
            </w:pPr>
            <w:r>
              <w:rPr>
                <w:rFonts w:ascii="Arial" w:cs="Arial" w:eastAsia="Arial" w:hAnsi="Arial"/>
                <w:sz w:val="14"/>
                <w:szCs w:val="14"/>
                <w:color w:val="auto"/>
              </w:rPr>
              <w:t>1,400,000</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149,640</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884,303</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37,878</w:t>
            </w:r>
          </w:p>
        </w:tc>
        <w:tc>
          <w:tcPr>
            <w:tcW w:w="880" w:type="dxa"/>
            <w:vAlign w:val="bottom"/>
          </w:tcPr>
          <w:p>
            <w:pPr>
              <w:jc w:val="right"/>
              <w:spacing w:after="0"/>
              <w:rPr>
                <w:sz w:val="20"/>
                <w:szCs w:val="20"/>
                <w:color w:val="auto"/>
              </w:rPr>
            </w:pPr>
            <w:r>
              <w:rPr>
                <w:rFonts w:ascii="Arial" w:cs="Arial" w:eastAsia="Arial" w:hAnsi="Arial"/>
                <w:sz w:val="14"/>
                <w:szCs w:val="14"/>
                <w:color w:val="auto"/>
              </w:rPr>
              <w:t>2,471,821</w:t>
            </w:r>
          </w:p>
        </w:tc>
      </w:tr>
      <w:tr>
        <w:trPr>
          <w:trHeight w:val="160"/>
        </w:trPr>
        <w:tc>
          <w:tcPr>
            <w:tcW w:w="20" w:type="dxa"/>
            <w:vAlign w:val="bottom"/>
          </w:tcPr>
          <w:p>
            <w:pPr>
              <w:spacing w:after="0"/>
              <w:rPr>
                <w:sz w:val="13"/>
                <w:szCs w:val="13"/>
                <w:color w:val="auto"/>
              </w:rPr>
            </w:pPr>
          </w:p>
        </w:tc>
        <w:tc>
          <w:tcPr>
            <w:tcW w:w="4160" w:type="dxa"/>
            <w:vAlign w:val="bottom"/>
          </w:tcPr>
          <w:p>
            <w:pPr>
              <w:ind w:left="280"/>
              <w:spacing w:after="0"/>
              <w:rPr>
                <w:sz w:val="20"/>
                <w:szCs w:val="20"/>
                <w:color w:val="auto"/>
              </w:rPr>
            </w:pPr>
            <w:r>
              <w:rPr>
                <w:rFonts w:ascii="Arial" w:cs="Arial" w:eastAsia="Arial" w:hAnsi="Arial"/>
                <w:sz w:val="14"/>
                <w:szCs w:val="14"/>
                <w:color w:val="auto"/>
              </w:rPr>
              <w:t>Change of Control Without Termination</w:t>
            </w:r>
          </w:p>
        </w:tc>
        <w:tc>
          <w:tcPr>
            <w:tcW w:w="152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600,000</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884,303</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1,644,606</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0</w:t>
            </w:r>
          </w:p>
        </w:tc>
        <w:tc>
          <w:tcPr>
            <w:tcW w:w="880" w:type="dxa"/>
            <w:vAlign w:val="bottom"/>
          </w:tcPr>
          <w:p>
            <w:pPr>
              <w:jc w:val="right"/>
              <w:spacing w:after="0"/>
              <w:rPr>
                <w:sz w:val="20"/>
                <w:szCs w:val="20"/>
                <w:color w:val="auto"/>
              </w:rPr>
            </w:pPr>
            <w:r>
              <w:rPr>
                <w:rFonts w:ascii="Arial" w:cs="Arial" w:eastAsia="Arial" w:hAnsi="Arial"/>
                <w:sz w:val="14"/>
                <w:szCs w:val="14"/>
                <w:color w:val="auto"/>
              </w:rPr>
              <w:t>3,128,909</w:t>
            </w:r>
          </w:p>
        </w:tc>
      </w:tr>
      <w:tr>
        <w:trPr>
          <w:trHeight w:val="155"/>
        </w:trPr>
        <w:tc>
          <w:tcPr>
            <w:tcW w:w="20" w:type="dxa"/>
            <w:vAlign w:val="bottom"/>
          </w:tcPr>
          <w:p>
            <w:pPr>
              <w:spacing w:after="0"/>
              <w:rPr>
                <w:sz w:val="13"/>
                <w:szCs w:val="13"/>
                <w:color w:val="auto"/>
              </w:rPr>
            </w:pPr>
          </w:p>
        </w:tc>
        <w:tc>
          <w:tcPr>
            <w:tcW w:w="416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Change of Control With Termination</w:t>
            </w:r>
          </w:p>
        </w:tc>
        <w:tc>
          <w:tcPr>
            <w:tcW w:w="152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1,400,000</w:t>
            </w:r>
          </w:p>
        </w:tc>
        <w:tc>
          <w:tcPr>
            <w:tcW w:w="122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600,000</w:t>
            </w:r>
          </w:p>
        </w:tc>
        <w:tc>
          <w:tcPr>
            <w:tcW w:w="114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884,303</w:t>
            </w:r>
          </w:p>
        </w:tc>
        <w:tc>
          <w:tcPr>
            <w:tcW w:w="116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1,644,606</w:t>
            </w:r>
          </w:p>
        </w:tc>
        <w:tc>
          <w:tcPr>
            <w:tcW w:w="80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37,878</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4,566,787</w:t>
            </w:r>
          </w:p>
        </w:tc>
      </w:tr>
    </w:tbl>
    <w:p>
      <w:pPr>
        <w:spacing w:after="0" w:line="45" w:lineRule="exact"/>
        <w:rPr>
          <w:sz w:val="20"/>
          <w:szCs w:val="20"/>
          <w:color w:val="auto"/>
        </w:rPr>
      </w:pPr>
    </w:p>
    <w:p>
      <w:pPr>
        <w:ind w:left="480" w:hanging="213"/>
        <w:spacing w:after="0"/>
        <w:tabs>
          <w:tab w:leader="none" w:pos="4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 zero (0) indicates either that there is no amount payable to the NEO, or the amount payable is generally available for both the NEOs and all salaried employees.</w:t>
      </w:r>
    </w:p>
    <w:p>
      <w:pPr>
        <w:spacing w:after="0" w:line="38" w:lineRule="exact"/>
        <w:rPr>
          <w:rFonts w:ascii="Arial" w:cs="Arial" w:eastAsia="Arial" w:hAnsi="Arial"/>
          <w:sz w:val="14"/>
          <w:szCs w:val="14"/>
          <w:color w:val="auto"/>
        </w:rPr>
      </w:pPr>
    </w:p>
    <w:p>
      <w:pPr>
        <w:ind w:left="480" w:hanging="213"/>
        <w:spacing w:after="0"/>
        <w:tabs>
          <w:tab w:leader="none" w:pos="4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Under the EICP, (i) upon death or disability annual cash incentive compensation is prorated to the date of the triggering event and based on actual performance and</w:t>
      </w:r>
    </w:p>
    <w:p>
      <w:pPr>
        <w:ind w:left="480" w:right="60"/>
        <w:spacing w:after="0" w:line="243" w:lineRule="auto"/>
        <w:rPr>
          <w:rFonts w:ascii="Arial" w:cs="Arial" w:eastAsia="Arial" w:hAnsi="Arial"/>
          <w:sz w:val="14"/>
          <w:szCs w:val="14"/>
          <w:color w:val="auto"/>
        </w:rPr>
      </w:pPr>
      <w:r>
        <w:rPr>
          <w:rFonts w:ascii="Arial" w:cs="Arial" w:eastAsia="Arial" w:hAnsi="Arial"/>
          <w:sz w:val="14"/>
          <w:szCs w:val="14"/>
          <w:color w:val="auto"/>
        </w:rPr>
        <w:t>(ii) upon a change in control annual cash incentive compensation is paid at superior. Under our executive severance guidelines, (i) cash severance can be between 12 to 18 months of base salary; for this table, 12 months has been used; (ii) the annual cash incentive compensation is none if terminated in the first half of any fiscal year, and pro-rated based on actual achievement if terminated during the second half of this year; and RSUs vesting in the 12 months following termination may be accelerated or cash in lieu may be provided, each at the discretion of the CEO.</w:t>
      </w:r>
    </w:p>
    <w:p>
      <w:pPr>
        <w:spacing w:after="0" w:line="28" w:lineRule="exact"/>
        <w:rPr>
          <w:rFonts w:ascii="Arial" w:cs="Arial" w:eastAsia="Arial" w:hAnsi="Arial"/>
          <w:sz w:val="14"/>
          <w:szCs w:val="14"/>
          <w:color w:val="auto"/>
        </w:rPr>
      </w:pPr>
    </w:p>
    <w:p>
      <w:pPr>
        <w:ind w:left="480" w:right="80" w:hanging="213"/>
        <w:spacing w:after="0" w:line="241" w:lineRule="auto"/>
        <w:tabs>
          <w:tab w:leader="none" w:pos="4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 the event of death, disability, termination without cause or termination with good reason, the RSUs that have not lapsed will accelerate and vest. In the event of death, disability, termination without cause or termination with good reason, the PSUs that have not lapsed will accelerate and vest based on performance during the measurement period. As of December 31, 2017, none of the performance goals were achieved. As a result, no ordinary shares were earned upon vesting of these PSUs based on 2017 performance. In the event of a change in control, the PSUs granted prior to January 2016 that have not lapsed will accelerate and vest based on performance during the measurement period. The PSUs granted after January 2016 that have not lapsed will accelerate and vest at a multiple of two upon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93345</wp:posOffset>
            </wp:positionV>
            <wp:extent cx="69176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620" w:hanging="353"/>
        <w:spacing w:after="0"/>
        <w:tabs>
          <w:tab w:leader="none" w:pos="620" w:val="left"/>
        </w:tabs>
        <w:numPr>
          <w:ilvl w:val="0"/>
          <w:numId w:val="100"/>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2018 Proxy Statement</w:t>
      </w:r>
    </w:p>
    <w:p>
      <w:pPr>
        <w:sectPr>
          <w:pgSz w:w="11900" w:h="16838" w:orient="portrait"/>
          <w:cols w:equalWidth="0" w:num="1">
            <w:col w:w="11160"/>
          </w:cols>
          <w:pgMar w:left="240" w:top="455"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EXECUTIVE COMPENSATION TABLES</w:t>
      </w:r>
    </w:p>
    <w:p>
      <w:pPr>
        <w:spacing w:after="0" w:line="204" w:lineRule="exact"/>
        <w:rPr>
          <w:sz w:val="20"/>
          <w:szCs w:val="20"/>
          <w:color w:val="auto"/>
        </w:rPr>
      </w:pPr>
    </w:p>
    <w:p>
      <w:pPr>
        <w:ind w:left="480" w:right="20" w:hanging="213"/>
        <w:spacing w:after="0" w:line="243" w:lineRule="auto"/>
        <w:tabs>
          <w:tab w:leader="none" w:pos="4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Under Mr. Mills’ Executive Employment Agreement, we will make required payments (other than the pro-rata bonus payment for the year of termination, which will be paid at the time bonus payments for that year would normally be paid) within 30 days after the date of the participant’s section 409A separation from service with the Company. However, if the participant is a section 409A specified employee, these payments will be made on the date that is six months following date of such separation from service with such payments bearing interest at the prime rate per annum as of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91440</wp:posOffset>
            </wp:positionV>
            <wp:extent cx="69176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39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2018 Proxy Statement</w:t>
      </w:r>
      <w:r>
        <w:rPr>
          <w:sz w:val="20"/>
          <w:szCs w:val="20"/>
          <w:color w:val="auto"/>
        </w:rPr>
        <w:tab/>
      </w:r>
      <w:r>
        <w:rPr>
          <w:rFonts w:ascii="Arial" w:cs="Arial" w:eastAsia="Arial" w:hAnsi="Arial"/>
          <w:sz w:val="14"/>
          <w:szCs w:val="14"/>
          <w:b w:val="1"/>
          <w:bCs w:val="1"/>
          <w:color w:val="666666"/>
        </w:rPr>
        <w:t>45</w:t>
      </w:r>
    </w:p>
    <w:p>
      <w:pPr>
        <w:sectPr>
          <w:pgSz w:w="11900" w:h="16838" w:orient="portrait"/>
          <w:cols w:equalWidth="0" w:num="1">
            <w:col w:w="11160"/>
          </w:cols>
          <w:pgMar w:left="240" w:top="455"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0"/>
        <w:spacing w:after="0"/>
        <w:rPr>
          <w:sz w:val="20"/>
          <w:szCs w:val="20"/>
          <w:color w:val="auto"/>
        </w:rPr>
      </w:pPr>
      <w:r>
        <w:rPr>
          <w:rFonts w:ascii="Arial" w:cs="Arial" w:eastAsia="Arial" w:hAnsi="Arial"/>
          <w:sz w:val="63"/>
          <w:szCs w:val="63"/>
          <w:b w:val="1"/>
          <w:bCs w:val="1"/>
          <w:color w:val="C3002F"/>
        </w:rPr>
        <w:t>2017 CEO 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-437515</wp:posOffset>
            </wp:positionV>
            <wp:extent cx="8223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83" w:lineRule="exact"/>
        <w:rPr>
          <w:sz w:val="20"/>
          <w:szCs w:val="20"/>
          <w:color w:val="auto"/>
        </w:rPr>
      </w:pPr>
    </w:p>
    <w:p>
      <w:pPr>
        <w:ind w:left="260" w:right="260"/>
        <w:spacing w:after="0" w:line="253" w:lineRule="auto"/>
        <w:rPr>
          <w:sz w:val="20"/>
          <w:szCs w:val="20"/>
          <w:color w:val="auto"/>
        </w:rPr>
      </w:pPr>
      <w:r>
        <w:rPr>
          <w:rFonts w:ascii="Arial" w:cs="Arial" w:eastAsia="Arial" w:hAnsi="Arial"/>
          <w:sz w:val="14"/>
          <w:szCs w:val="14"/>
          <w:color w:val="auto"/>
        </w:rPr>
        <w:t>Beginning in fiscal year 2017 and pursuant to a mandate of the Dodd-Frank Wall Street Reform and Consumer Protection Act, we are required to disclose the ratio of the annual total compensation of our CEO to the median annual total compensation of all of our employees, excluding our CEO (the “Pay Ratio Rule”).</w:t>
      </w:r>
    </w:p>
    <w:p>
      <w:pPr>
        <w:spacing w:after="0" w:line="168" w:lineRule="exact"/>
        <w:rPr>
          <w:sz w:val="20"/>
          <w:szCs w:val="20"/>
          <w:color w:val="auto"/>
        </w:rPr>
      </w:pPr>
    </w:p>
    <w:p>
      <w:pPr>
        <w:ind w:left="260" w:right="120"/>
        <w:spacing w:after="0" w:line="242" w:lineRule="auto"/>
        <w:rPr>
          <w:sz w:val="20"/>
          <w:szCs w:val="20"/>
          <w:color w:val="auto"/>
        </w:rPr>
      </w:pPr>
      <w:r>
        <w:rPr>
          <w:rFonts w:ascii="Arial" w:cs="Arial" w:eastAsia="Arial" w:hAnsi="Arial"/>
          <w:sz w:val="14"/>
          <w:szCs w:val="14"/>
          <w:color w:val="auto"/>
        </w:rPr>
        <w:t>To identify employees subject to the Pay Ratio Rule, we started with a total employee population of 30,217, including full-time, part-time and seasonal workers of the Company and its consolidated subsidiaries. Employees on unpaid leave of absence were excluded and wages and salaries were annualized for those full time employees that were not employed for the full year 2017. Of these employees, there were 6,632 U.S. employees and 22,393 non-U.S. employees. As permitted by the Pay Ratio Rule, we excluded 1,192 or 3.9%, of our total employees who are non-U.S. employees from the total employee population under the “</w:t>
      </w:r>
      <w:r>
        <w:rPr>
          <w:rFonts w:ascii="Arial" w:cs="Arial" w:eastAsia="Arial" w:hAnsi="Arial"/>
          <w:sz w:val="14"/>
          <w:szCs w:val="14"/>
          <w:i w:val="1"/>
          <w:iCs w:val="1"/>
          <w:color w:val="auto"/>
        </w:rPr>
        <w:t>de minimis exemption</w:t>
      </w:r>
      <w:r>
        <w:rPr>
          <w:rFonts w:ascii="Arial" w:cs="Arial" w:eastAsia="Arial" w:hAnsi="Arial"/>
          <w:sz w:val="14"/>
          <w:szCs w:val="14"/>
          <w:color w:val="auto"/>
        </w:rPr>
        <w:t>” exclusion. The excluded countries, along with the number of employees in each country, is as follows:</w:t>
      </w:r>
    </w:p>
    <w:p>
      <w:pPr>
        <w:spacing w:after="0" w:line="232"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00" w:type="dxa"/>
            <w:vAlign w:val="bottom"/>
          </w:tcPr>
          <w:p>
            <w:pPr>
              <w:ind w:left="40"/>
              <w:spacing w:after="0"/>
              <w:rPr>
                <w:sz w:val="20"/>
                <w:szCs w:val="20"/>
                <w:color w:val="auto"/>
              </w:rPr>
            </w:pPr>
            <w:r>
              <w:rPr>
                <w:rFonts w:ascii="Arial" w:cs="Arial" w:eastAsia="Arial" w:hAnsi="Arial"/>
                <w:sz w:val="14"/>
                <w:szCs w:val="14"/>
                <w:color w:val="auto"/>
              </w:rPr>
              <w:t>Albania – 24</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20" w:type="dxa"/>
            <w:vAlign w:val="bottom"/>
          </w:tcPr>
          <w:p>
            <w:pPr>
              <w:ind w:left="60"/>
              <w:spacing w:after="0"/>
              <w:rPr>
                <w:sz w:val="20"/>
                <w:szCs w:val="20"/>
                <w:color w:val="auto"/>
              </w:rPr>
            </w:pPr>
            <w:r>
              <w:rPr>
                <w:rFonts w:ascii="Arial" w:cs="Arial" w:eastAsia="Arial" w:hAnsi="Arial"/>
                <w:sz w:val="14"/>
                <w:szCs w:val="14"/>
                <w:color w:val="auto"/>
              </w:rPr>
              <w:t>Gabon – 4</w:t>
            </w:r>
          </w:p>
        </w:tc>
        <w:tc>
          <w:tcPr>
            <w:tcW w:w="1180" w:type="dxa"/>
            <w:vAlign w:val="bottom"/>
          </w:tcPr>
          <w:p>
            <w:pPr>
              <w:ind w:left="1080"/>
              <w:spacing w:after="0"/>
              <w:rPr>
                <w:sz w:val="20"/>
                <w:szCs w:val="20"/>
                <w:color w:val="auto"/>
              </w:rPr>
            </w:pPr>
            <w:r>
              <w:rPr>
                <w:rFonts w:ascii="Arial" w:cs="Arial" w:eastAsia="Arial" w:hAnsi="Arial"/>
                <w:sz w:val="14"/>
                <w:szCs w:val="14"/>
                <w:color w:val="C3002F"/>
              </w:rPr>
              <w:t>•</w:t>
            </w:r>
          </w:p>
        </w:tc>
        <w:tc>
          <w:tcPr>
            <w:tcW w:w="1520" w:type="dxa"/>
            <w:vAlign w:val="bottom"/>
          </w:tcPr>
          <w:p>
            <w:pPr>
              <w:ind w:left="60"/>
              <w:spacing w:after="0"/>
              <w:rPr>
                <w:sz w:val="20"/>
                <w:szCs w:val="20"/>
                <w:color w:val="auto"/>
              </w:rPr>
            </w:pPr>
            <w:r>
              <w:rPr>
                <w:rFonts w:ascii="Arial" w:cs="Arial" w:eastAsia="Arial" w:hAnsi="Arial"/>
                <w:sz w:val="14"/>
                <w:szCs w:val="14"/>
                <w:color w:val="auto"/>
              </w:rPr>
              <w:t>Poland – 15</w:t>
            </w:r>
          </w:p>
        </w:tc>
      </w:tr>
      <w:tr>
        <w:trPr>
          <w:trHeight w:val="160"/>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00" w:type="dxa"/>
            <w:vAlign w:val="bottom"/>
          </w:tcPr>
          <w:p>
            <w:pPr>
              <w:ind w:left="40"/>
              <w:spacing w:after="0"/>
              <w:rPr>
                <w:sz w:val="20"/>
                <w:szCs w:val="20"/>
                <w:color w:val="auto"/>
              </w:rPr>
            </w:pPr>
            <w:r>
              <w:rPr>
                <w:rFonts w:ascii="Arial" w:cs="Arial" w:eastAsia="Arial" w:hAnsi="Arial"/>
                <w:sz w:val="14"/>
                <w:szCs w:val="14"/>
                <w:color w:val="auto"/>
              </w:rPr>
              <w:t>Austria – 5</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20" w:type="dxa"/>
            <w:vAlign w:val="bottom"/>
          </w:tcPr>
          <w:p>
            <w:pPr>
              <w:ind w:left="60"/>
              <w:spacing w:after="0"/>
              <w:rPr>
                <w:sz w:val="20"/>
                <w:szCs w:val="20"/>
                <w:color w:val="auto"/>
              </w:rPr>
            </w:pPr>
            <w:r>
              <w:rPr>
                <w:rFonts w:ascii="Arial" w:cs="Arial" w:eastAsia="Arial" w:hAnsi="Arial"/>
                <w:sz w:val="14"/>
                <w:szCs w:val="14"/>
                <w:color w:val="auto"/>
              </w:rPr>
              <w:t>Ghana – 1</w:t>
            </w:r>
          </w:p>
        </w:tc>
        <w:tc>
          <w:tcPr>
            <w:tcW w:w="1180" w:type="dxa"/>
            <w:vAlign w:val="bottom"/>
          </w:tcPr>
          <w:p>
            <w:pPr>
              <w:ind w:left="1080"/>
              <w:spacing w:after="0"/>
              <w:rPr>
                <w:sz w:val="20"/>
                <w:szCs w:val="20"/>
                <w:color w:val="auto"/>
              </w:rPr>
            </w:pPr>
            <w:r>
              <w:rPr>
                <w:rFonts w:ascii="Arial" w:cs="Arial" w:eastAsia="Arial" w:hAnsi="Arial"/>
                <w:sz w:val="14"/>
                <w:szCs w:val="14"/>
                <w:color w:val="C3002F"/>
              </w:rPr>
              <w:t>•</w:t>
            </w:r>
          </w:p>
        </w:tc>
        <w:tc>
          <w:tcPr>
            <w:tcW w:w="1520" w:type="dxa"/>
            <w:vAlign w:val="bottom"/>
          </w:tcPr>
          <w:p>
            <w:pPr>
              <w:ind w:left="60"/>
              <w:spacing w:after="0"/>
              <w:rPr>
                <w:sz w:val="20"/>
                <w:szCs w:val="20"/>
                <w:color w:val="auto"/>
              </w:rPr>
            </w:pPr>
            <w:r>
              <w:rPr>
                <w:rFonts w:ascii="Arial" w:cs="Arial" w:eastAsia="Arial" w:hAnsi="Arial"/>
                <w:sz w:val="14"/>
                <w:szCs w:val="14"/>
                <w:color w:val="auto"/>
              </w:rPr>
              <w:t>Qatar – 20</w:t>
            </w:r>
          </w:p>
        </w:tc>
      </w:tr>
      <w:tr>
        <w:trPr>
          <w:trHeight w:val="160"/>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00" w:type="dxa"/>
            <w:vAlign w:val="bottom"/>
          </w:tcPr>
          <w:p>
            <w:pPr>
              <w:ind w:left="40"/>
              <w:spacing w:after="0"/>
              <w:rPr>
                <w:sz w:val="20"/>
                <w:szCs w:val="20"/>
                <w:color w:val="auto"/>
              </w:rPr>
            </w:pPr>
            <w:r>
              <w:rPr>
                <w:rFonts w:ascii="Arial" w:cs="Arial" w:eastAsia="Arial" w:hAnsi="Arial"/>
                <w:sz w:val="14"/>
                <w:szCs w:val="14"/>
                <w:color w:val="auto"/>
              </w:rPr>
              <w:t>Bahrain – 22</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20" w:type="dxa"/>
            <w:vAlign w:val="bottom"/>
          </w:tcPr>
          <w:p>
            <w:pPr>
              <w:ind w:left="60"/>
              <w:spacing w:after="0"/>
              <w:rPr>
                <w:sz w:val="20"/>
                <w:szCs w:val="20"/>
                <w:color w:val="auto"/>
              </w:rPr>
            </w:pPr>
            <w:r>
              <w:rPr>
                <w:rFonts w:ascii="Arial" w:cs="Arial" w:eastAsia="Arial" w:hAnsi="Arial"/>
                <w:sz w:val="14"/>
                <w:szCs w:val="14"/>
                <w:color w:val="auto"/>
              </w:rPr>
              <w:t>Hungary – 1</w:t>
            </w:r>
          </w:p>
        </w:tc>
        <w:tc>
          <w:tcPr>
            <w:tcW w:w="1180" w:type="dxa"/>
            <w:vAlign w:val="bottom"/>
          </w:tcPr>
          <w:p>
            <w:pPr>
              <w:ind w:left="1080"/>
              <w:spacing w:after="0"/>
              <w:rPr>
                <w:sz w:val="20"/>
                <w:szCs w:val="20"/>
                <w:color w:val="auto"/>
              </w:rPr>
            </w:pPr>
            <w:r>
              <w:rPr>
                <w:rFonts w:ascii="Arial" w:cs="Arial" w:eastAsia="Arial" w:hAnsi="Arial"/>
                <w:sz w:val="14"/>
                <w:szCs w:val="14"/>
                <w:color w:val="C3002F"/>
              </w:rPr>
              <w:t>•</w:t>
            </w:r>
          </w:p>
        </w:tc>
        <w:tc>
          <w:tcPr>
            <w:tcW w:w="1520" w:type="dxa"/>
            <w:vAlign w:val="bottom"/>
          </w:tcPr>
          <w:p>
            <w:pPr>
              <w:ind w:left="60"/>
              <w:spacing w:after="0"/>
              <w:rPr>
                <w:sz w:val="20"/>
                <w:szCs w:val="20"/>
                <w:color w:val="auto"/>
              </w:rPr>
            </w:pPr>
            <w:r>
              <w:rPr>
                <w:rFonts w:ascii="Arial" w:cs="Arial" w:eastAsia="Arial" w:hAnsi="Arial"/>
                <w:sz w:val="14"/>
                <w:szCs w:val="14"/>
                <w:color w:val="auto"/>
              </w:rPr>
              <w:t>Senegal – 1</w:t>
            </w:r>
          </w:p>
        </w:tc>
      </w:tr>
      <w:tr>
        <w:trPr>
          <w:trHeight w:val="160"/>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00" w:type="dxa"/>
            <w:vAlign w:val="bottom"/>
          </w:tcPr>
          <w:p>
            <w:pPr>
              <w:ind w:left="40"/>
              <w:spacing w:after="0"/>
              <w:rPr>
                <w:sz w:val="20"/>
                <w:szCs w:val="20"/>
                <w:color w:val="auto"/>
              </w:rPr>
            </w:pPr>
            <w:r>
              <w:rPr>
                <w:rFonts w:ascii="Arial" w:cs="Arial" w:eastAsia="Arial" w:hAnsi="Arial"/>
                <w:sz w:val="14"/>
                <w:szCs w:val="14"/>
                <w:color w:val="auto"/>
              </w:rPr>
              <w:t>Bangladesh – 3</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20" w:type="dxa"/>
            <w:vAlign w:val="bottom"/>
          </w:tcPr>
          <w:p>
            <w:pPr>
              <w:ind w:left="60"/>
              <w:spacing w:after="0"/>
              <w:rPr>
                <w:sz w:val="20"/>
                <w:szCs w:val="20"/>
                <w:color w:val="auto"/>
              </w:rPr>
            </w:pPr>
            <w:r>
              <w:rPr>
                <w:rFonts w:ascii="Arial" w:cs="Arial" w:eastAsia="Arial" w:hAnsi="Arial"/>
                <w:sz w:val="14"/>
                <w:szCs w:val="14"/>
                <w:color w:val="auto"/>
              </w:rPr>
              <w:t>Jordan – 1</w:t>
            </w:r>
          </w:p>
        </w:tc>
        <w:tc>
          <w:tcPr>
            <w:tcW w:w="1180" w:type="dxa"/>
            <w:vAlign w:val="bottom"/>
          </w:tcPr>
          <w:p>
            <w:pPr>
              <w:ind w:left="1080"/>
              <w:spacing w:after="0"/>
              <w:rPr>
                <w:sz w:val="20"/>
                <w:szCs w:val="20"/>
                <w:color w:val="auto"/>
              </w:rPr>
            </w:pPr>
            <w:r>
              <w:rPr>
                <w:rFonts w:ascii="Arial" w:cs="Arial" w:eastAsia="Arial" w:hAnsi="Arial"/>
                <w:sz w:val="14"/>
                <w:szCs w:val="14"/>
                <w:color w:val="C3002F"/>
              </w:rPr>
              <w:t>•</w:t>
            </w:r>
          </w:p>
        </w:tc>
        <w:tc>
          <w:tcPr>
            <w:tcW w:w="1520" w:type="dxa"/>
            <w:vAlign w:val="bottom"/>
          </w:tcPr>
          <w:p>
            <w:pPr>
              <w:ind w:left="60"/>
              <w:spacing w:after="0"/>
              <w:rPr>
                <w:sz w:val="20"/>
                <w:szCs w:val="20"/>
                <w:color w:val="auto"/>
              </w:rPr>
            </w:pPr>
            <w:r>
              <w:rPr>
                <w:rFonts w:ascii="Arial" w:cs="Arial" w:eastAsia="Arial" w:hAnsi="Arial"/>
                <w:sz w:val="14"/>
                <w:szCs w:val="14"/>
                <w:color w:val="auto"/>
              </w:rPr>
              <w:t>Singapore – 71</w:t>
            </w:r>
          </w:p>
        </w:tc>
      </w:tr>
      <w:tr>
        <w:trPr>
          <w:trHeight w:val="160"/>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00" w:type="dxa"/>
            <w:vAlign w:val="bottom"/>
          </w:tcPr>
          <w:p>
            <w:pPr>
              <w:ind w:left="40"/>
              <w:spacing w:after="0"/>
              <w:rPr>
                <w:sz w:val="20"/>
                <w:szCs w:val="20"/>
                <w:color w:val="auto"/>
              </w:rPr>
            </w:pPr>
            <w:r>
              <w:rPr>
                <w:rFonts w:ascii="Arial" w:cs="Arial" w:eastAsia="Arial" w:hAnsi="Arial"/>
                <w:sz w:val="14"/>
                <w:szCs w:val="14"/>
                <w:color w:val="auto"/>
              </w:rPr>
              <w:t>Bolivia – 61</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20" w:type="dxa"/>
            <w:vAlign w:val="bottom"/>
          </w:tcPr>
          <w:p>
            <w:pPr>
              <w:ind w:left="60"/>
              <w:spacing w:after="0"/>
              <w:rPr>
                <w:sz w:val="20"/>
                <w:szCs w:val="20"/>
                <w:color w:val="auto"/>
              </w:rPr>
            </w:pPr>
            <w:r>
              <w:rPr>
                <w:rFonts w:ascii="Arial" w:cs="Arial" w:eastAsia="Arial" w:hAnsi="Arial"/>
                <w:sz w:val="14"/>
                <w:szCs w:val="14"/>
                <w:color w:val="auto"/>
              </w:rPr>
              <w:t>Kenya – 11</w:t>
            </w:r>
          </w:p>
        </w:tc>
        <w:tc>
          <w:tcPr>
            <w:tcW w:w="2700" w:type="dxa"/>
            <w:vAlign w:val="bottom"/>
            <w:gridSpan w:val="2"/>
          </w:tcPr>
          <w:p>
            <w:pPr>
              <w:ind w:left="10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South Africa – 6</w:t>
            </w:r>
          </w:p>
        </w:tc>
      </w:tr>
      <w:tr>
        <w:trPr>
          <w:trHeight w:val="160"/>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00" w:type="dxa"/>
            <w:vAlign w:val="bottom"/>
          </w:tcPr>
          <w:p>
            <w:pPr>
              <w:ind w:left="40"/>
              <w:spacing w:after="0"/>
              <w:rPr>
                <w:sz w:val="20"/>
                <w:szCs w:val="20"/>
                <w:color w:val="auto"/>
              </w:rPr>
            </w:pPr>
            <w:r>
              <w:rPr>
                <w:rFonts w:ascii="Arial" w:cs="Arial" w:eastAsia="Arial" w:hAnsi="Arial"/>
                <w:sz w:val="14"/>
                <w:szCs w:val="14"/>
                <w:color w:val="auto"/>
              </w:rPr>
              <w:t>Brunei – 40</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20" w:type="dxa"/>
            <w:vAlign w:val="bottom"/>
          </w:tcPr>
          <w:p>
            <w:pPr>
              <w:ind w:left="60"/>
              <w:spacing w:after="0"/>
              <w:rPr>
                <w:sz w:val="20"/>
                <w:szCs w:val="20"/>
                <w:color w:val="auto"/>
              </w:rPr>
            </w:pPr>
            <w:r>
              <w:rPr>
                <w:rFonts w:ascii="Arial" w:cs="Arial" w:eastAsia="Arial" w:hAnsi="Arial"/>
                <w:sz w:val="14"/>
                <w:szCs w:val="14"/>
                <w:color w:val="auto"/>
              </w:rPr>
              <w:t>Libya – 6</w:t>
            </w:r>
          </w:p>
        </w:tc>
        <w:tc>
          <w:tcPr>
            <w:tcW w:w="1180" w:type="dxa"/>
            <w:vAlign w:val="bottom"/>
          </w:tcPr>
          <w:p>
            <w:pPr>
              <w:ind w:left="1080"/>
              <w:spacing w:after="0"/>
              <w:rPr>
                <w:sz w:val="20"/>
                <w:szCs w:val="20"/>
                <w:color w:val="auto"/>
              </w:rPr>
            </w:pPr>
            <w:r>
              <w:rPr>
                <w:rFonts w:ascii="Arial" w:cs="Arial" w:eastAsia="Arial" w:hAnsi="Arial"/>
                <w:sz w:val="14"/>
                <w:szCs w:val="14"/>
                <w:color w:val="C3002F"/>
              </w:rPr>
              <w:t>•</w:t>
            </w:r>
          </w:p>
        </w:tc>
        <w:tc>
          <w:tcPr>
            <w:tcW w:w="1520" w:type="dxa"/>
            <w:vAlign w:val="bottom"/>
          </w:tcPr>
          <w:p>
            <w:pPr>
              <w:ind w:left="60"/>
              <w:spacing w:after="0"/>
              <w:rPr>
                <w:sz w:val="20"/>
                <w:szCs w:val="20"/>
                <w:color w:val="auto"/>
              </w:rPr>
            </w:pPr>
            <w:r>
              <w:rPr>
                <w:rFonts w:ascii="Arial" w:cs="Arial" w:eastAsia="Arial" w:hAnsi="Arial"/>
                <w:sz w:val="14"/>
                <w:szCs w:val="14"/>
                <w:color w:val="auto"/>
              </w:rPr>
              <w:t>Spain – 4</w:t>
            </w:r>
          </w:p>
        </w:tc>
      </w:tr>
      <w:tr>
        <w:trPr>
          <w:trHeight w:val="160"/>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00" w:type="dxa"/>
            <w:vAlign w:val="bottom"/>
          </w:tcPr>
          <w:p>
            <w:pPr>
              <w:ind w:left="40"/>
              <w:spacing w:after="0"/>
              <w:rPr>
                <w:sz w:val="20"/>
                <w:szCs w:val="20"/>
                <w:color w:val="auto"/>
              </w:rPr>
            </w:pPr>
            <w:r>
              <w:rPr>
                <w:rFonts w:ascii="Arial" w:cs="Arial" w:eastAsia="Arial" w:hAnsi="Arial"/>
                <w:sz w:val="14"/>
                <w:szCs w:val="14"/>
                <w:color w:val="auto"/>
              </w:rPr>
              <w:t>Bulgaria – 1</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20" w:type="dxa"/>
            <w:vAlign w:val="bottom"/>
          </w:tcPr>
          <w:p>
            <w:pPr>
              <w:ind w:left="60"/>
              <w:spacing w:after="0"/>
              <w:rPr>
                <w:sz w:val="20"/>
                <w:szCs w:val="20"/>
                <w:color w:val="auto"/>
              </w:rPr>
            </w:pPr>
            <w:r>
              <w:rPr>
                <w:rFonts w:ascii="Arial" w:cs="Arial" w:eastAsia="Arial" w:hAnsi="Arial"/>
                <w:sz w:val="14"/>
                <w:szCs w:val="14"/>
                <w:color w:val="auto"/>
              </w:rPr>
              <w:t>Luxembourg – 2</w:t>
            </w:r>
          </w:p>
        </w:tc>
        <w:tc>
          <w:tcPr>
            <w:tcW w:w="1180" w:type="dxa"/>
            <w:vAlign w:val="bottom"/>
          </w:tcPr>
          <w:p>
            <w:pPr>
              <w:ind w:left="1080"/>
              <w:spacing w:after="0"/>
              <w:rPr>
                <w:sz w:val="20"/>
                <w:szCs w:val="20"/>
                <w:color w:val="auto"/>
              </w:rPr>
            </w:pPr>
            <w:r>
              <w:rPr>
                <w:rFonts w:ascii="Arial" w:cs="Arial" w:eastAsia="Arial" w:hAnsi="Arial"/>
                <w:sz w:val="14"/>
                <w:szCs w:val="14"/>
                <w:color w:val="C3002F"/>
              </w:rPr>
              <w:t>•</w:t>
            </w:r>
          </w:p>
        </w:tc>
        <w:tc>
          <w:tcPr>
            <w:tcW w:w="1520" w:type="dxa"/>
            <w:vAlign w:val="bottom"/>
          </w:tcPr>
          <w:p>
            <w:pPr>
              <w:ind w:left="60"/>
              <w:spacing w:after="0"/>
              <w:rPr>
                <w:sz w:val="20"/>
                <w:szCs w:val="20"/>
                <w:color w:val="auto"/>
              </w:rPr>
            </w:pPr>
            <w:r>
              <w:rPr>
                <w:rFonts w:ascii="Arial" w:cs="Arial" w:eastAsia="Arial" w:hAnsi="Arial"/>
                <w:sz w:val="14"/>
                <w:szCs w:val="14"/>
                <w:color w:val="auto"/>
              </w:rPr>
              <w:t>Switzerland – 40</w:t>
            </w:r>
          </w:p>
        </w:tc>
      </w:tr>
      <w:tr>
        <w:trPr>
          <w:trHeight w:val="160"/>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00" w:type="dxa"/>
            <w:vAlign w:val="bottom"/>
          </w:tcPr>
          <w:p>
            <w:pPr>
              <w:ind w:left="40"/>
              <w:spacing w:after="0"/>
              <w:rPr>
                <w:sz w:val="20"/>
                <w:szCs w:val="20"/>
                <w:color w:val="auto"/>
              </w:rPr>
            </w:pPr>
            <w:r>
              <w:rPr>
                <w:rFonts w:ascii="Arial" w:cs="Arial" w:eastAsia="Arial" w:hAnsi="Arial"/>
                <w:sz w:val="14"/>
                <w:szCs w:val="14"/>
                <w:color w:val="auto"/>
              </w:rPr>
              <w:t>Cameroon – 82</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20" w:type="dxa"/>
            <w:vAlign w:val="bottom"/>
          </w:tcPr>
          <w:p>
            <w:pPr>
              <w:ind w:left="60"/>
              <w:spacing w:after="0"/>
              <w:rPr>
                <w:sz w:val="20"/>
                <w:szCs w:val="20"/>
                <w:color w:val="auto"/>
              </w:rPr>
            </w:pPr>
            <w:r>
              <w:rPr>
                <w:rFonts w:ascii="Arial" w:cs="Arial" w:eastAsia="Arial" w:hAnsi="Arial"/>
                <w:sz w:val="14"/>
                <w:szCs w:val="14"/>
                <w:color w:val="auto"/>
              </w:rPr>
              <w:t>Morocco – 2</w:t>
            </w:r>
          </w:p>
        </w:tc>
        <w:tc>
          <w:tcPr>
            <w:tcW w:w="1180" w:type="dxa"/>
            <w:vAlign w:val="bottom"/>
          </w:tcPr>
          <w:p>
            <w:pPr>
              <w:ind w:left="1080"/>
              <w:spacing w:after="0"/>
              <w:rPr>
                <w:sz w:val="20"/>
                <w:szCs w:val="20"/>
                <w:color w:val="auto"/>
              </w:rPr>
            </w:pPr>
            <w:r>
              <w:rPr>
                <w:rFonts w:ascii="Arial" w:cs="Arial" w:eastAsia="Arial" w:hAnsi="Arial"/>
                <w:sz w:val="14"/>
                <w:szCs w:val="14"/>
                <w:color w:val="C3002F"/>
              </w:rPr>
              <w:t>•</w:t>
            </w:r>
          </w:p>
        </w:tc>
        <w:tc>
          <w:tcPr>
            <w:tcW w:w="1520" w:type="dxa"/>
            <w:vAlign w:val="bottom"/>
          </w:tcPr>
          <w:p>
            <w:pPr>
              <w:ind w:left="60"/>
              <w:spacing w:after="0"/>
              <w:rPr>
                <w:sz w:val="20"/>
                <w:szCs w:val="20"/>
                <w:color w:val="auto"/>
              </w:rPr>
            </w:pPr>
            <w:r>
              <w:rPr>
                <w:rFonts w:ascii="Arial" w:cs="Arial" w:eastAsia="Arial" w:hAnsi="Arial"/>
                <w:sz w:val="14"/>
                <w:szCs w:val="14"/>
                <w:color w:val="auto"/>
              </w:rPr>
              <w:t>Tanzania 1</w:t>
            </w:r>
          </w:p>
        </w:tc>
      </w:tr>
      <w:tr>
        <w:trPr>
          <w:trHeight w:val="160"/>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00" w:type="dxa"/>
            <w:vAlign w:val="bottom"/>
          </w:tcPr>
          <w:p>
            <w:pPr>
              <w:ind w:left="40"/>
              <w:spacing w:after="0"/>
              <w:rPr>
                <w:sz w:val="20"/>
                <w:szCs w:val="20"/>
                <w:color w:val="auto"/>
              </w:rPr>
            </w:pPr>
            <w:r>
              <w:rPr>
                <w:rFonts w:ascii="Arial" w:cs="Arial" w:eastAsia="Arial" w:hAnsi="Arial"/>
                <w:sz w:val="14"/>
                <w:szCs w:val="14"/>
                <w:color w:val="auto"/>
              </w:rPr>
              <w:t>Chad – 5</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20" w:type="dxa"/>
            <w:vAlign w:val="bottom"/>
          </w:tcPr>
          <w:p>
            <w:pPr>
              <w:ind w:left="60"/>
              <w:spacing w:after="0"/>
              <w:rPr>
                <w:sz w:val="20"/>
                <w:szCs w:val="20"/>
                <w:color w:val="auto"/>
              </w:rPr>
            </w:pPr>
            <w:r>
              <w:rPr>
                <w:rFonts w:ascii="Arial" w:cs="Arial" w:eastAsia="Arial" w:hAnsi="Arial"/>
                <w:sz w:val="14"/>
                <w:szCs w:val="14"/>
                <w:color w:val="auto"/>
              </w:rPr>
              <w:t>Mozambique – 20</w:t>
            </w:r>
          </w:p>
        </w:tc>
        <w:tc>
          <w:tcPr>
            <w:tcW w:w="2700" w:type="dxa"/>
            <w:vAlign w:val="bottom"/>
            <w:gridSpan w:val="2"/>
          </w:tcPr>
          <w:p>
            <w:pPr>
              <w:ind w:left="10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Trinidad &amp; Tobago – 60</w:t>
            </w:r>
          </w:p>
        </w:tc>
      </w:tr>
      <w:tr>
        <w:trPr>
          <w:trHeight w:val="160"/>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00" w:type="dxa"/>
            <w:vAlign w:val="bottom"/>
          </w:tcPr>
          <w:p>
            <w:pPr>
              <w:ind w:left="40"/>
              <w:spacing w:after="0"/>
              <w:rPr>
                <w:sz w:val="20"/>
                <w:szCs w:val="20"/>
                <w:color w:val="auto"/>
              </w:rPr>
            </w:pPr>
            <w:r>
              <w:rPr>
                <w:rFonts w:ascii="Arial" w:cs="Arial" w:eastAsia="Arial" w:hAnsi="Arial"/>
                <w:sz w:val="14"/>
                <w:szCs w:val="14"/>
                <w:color w:val="auto"/>
              </w:rPr>
              <w:t>Chile – 87</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20" w:type="dxa"/>
            <w:vAlign w:val="bottom"/>
          </w:tcPr>
          <w:p>
            <w:pPr>
              <w:ind w:left="60"/>
              <w:spacing w:after="0"/>
              <w:rPr>
                <w:sz w:val="20"/>
                <w:szCs w:val="20"/>
                <w:color w:val="auto"/>
              </w:rPr>
            </w:pPr>
            <w:r>
              <w:rPr>
                <w:rFonts w:ascii="Arial" w:cs="Arial" w:eastAsia="Arial" w:hAnsi="Arial"/>
                <w:sz w:val="14"/>
                <w:szCs w:val="14"/>
                <w:color w:val="auto"/>
              </w:rPr>
              <w:t>Myanmar – 1</w:t>
            </w:r>
          </w:p>
        </w:tc>
        <w:tc>
          <w:tcPr>
            <w:tcW w:w="1180" w:type="dxa"/>
            <w:vAlign w:val="bottom"/>
          </w:tcPr>
          <w:p>
            <w:pPr>
              <w:ind w:left="1080"/>
              <w:spacing w:after="0"/>
              <w:rPr>
                <w:sz w:val="20"/>
                <w:szCs w:val="20"/>
                <w:color w:val="auto"/>
              </w:rPr>
            </w:pPr>
            <w:r>
              <w:rPr>
                <w:rFonts w:ascii="Arial" w:cs="Arial" w:eastAsia="Arial" w:hAnsi="Arial"/>
                <w:sz w:val="14"/>
                <w:szCs w:val="14"/>
                <w:color w:val="C3002F"/>
              </w:rPr>
              <w:t>•</w:t>
            </w:r>
          </w:p>
        </w:tc>
        <w:tc>
          <w:tcPr>
            <w:tcW w:w="1520" w:type="dxa"/>
            <w:vAlign w:val="bottom"/>
          </w:tcPr>
          <w:p>
            <w:pPr>
              <w:ind w:left="60"/>
              <w:spacing w:after="0"/>
              <w:rPr>
                <w:sz w:val="20"/>
                <w:szCs w:val="20"/>
                <w:color w:val="auto"/>
              </w:rPr>
            </w:pPr>
            <w:r>
              <w:rPr>
                <w:rFonts w:ascii="Arial" w:cs="Arial" w:eastAsia="Arial" w:hAnsi="Arial"/>
                <w:sz w:val="14"/>
                <w:szCs w:val="14"/>
                <w:color w:val="auto"/>
              </w:rPr>
              <w:t>Tunisia – 65</w:t>
            </w:r>
          </w:p>
        </w:tc>
      </w:tr>
      <w:tr>
        <w:trPr>
          <w:trHeight w:val="160"/>
        </w:trPr>
        <w:tc>
          <w:tcPr>
            <w:tcW w:w="2620" w:type="dxa"/>
            <w:vAlign w:val="bottom"/>
            <w:gridSpan w:val="2"/>
          </w:tcPr>
          <w:p>
            <w:pPr>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Cote D’Ivoire – 1</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20" w:type="dxa"/>
            <w:vAlign w:val="bottom"/>
          </w:tcPr>
          <w:p>
            <w:pPr>
              <w:ind w:left="60"/>
              <w:spacing w:after="0"/>
              <w:rPr>
                <w:sz w:val="20"/>
                <w:szCs w:val="20"/>
                <w:color w:val="auto"/>
              </w:rPr>
            </w:pPr>
            <w:r>
              <w:rPr>
                <w:rFonts w:ascii="Arial" w:cs="Arial" w:eastAsia="Arial" w:hAnsi="Arial"/>
                <w:sz w:val="14"/>
                <w:szCs w:val="14"/>
                <w:color w:val="auto"/>
              </w:rPr>
              <w:t>Netherlands – 67</w:t>
            </w:r>
          </w:p>
        </w:tc>
        <w:tc>
          <w:tcPr>
            <w:tcW w:w="1180" w:type="dxa"/>
            <w:vAlign w:val="bottom"/>
          </w:tcPr>
          <w:p>
            <w:pPr>
              <w:ind w:left="1080"/>
              <w:spacing w:after="0"/>
              <w:rPr>
                <w:sz w:val="20"/>
                <w:szCs w:val="20"/>
                <w:color w:val="auto"/>
              </w:rPr>
            </w:pPr>
            <w:r>
              <w:rPr>
                <w:rFonts w:ascii="Arial" w:cs="Arial" w:eastAsia="Arial" w:hAnsi="Arial"/>
                <w:sz w:val="14"/>
                <w:szCs w:val="14"/>
                <w:color w:val="C3002F"/>
              </w:rPr>
              <w:t>•</w:t>
            </w:r>
          </w:p>
        </w:tc>
        <w:tc>
          <w:tcPr>
            <w:tcW w:w="1520" w:type="dxa"/>
            <w:vAlign w:val="bottom"/>
          </w:tcPr>
          <w:p>
            <w:pPr>
              <w:ind w:left="60"/>
              <w:spacing w:after="0"/>
              <w:rPr>
                <w:sz w:val="20"/>
                <w:szCs w:val="20"/>
                <w:color w:val="auto"/>
              </w:rPr>
            </w:pPr>
            <w:r>
              <w:rPr>
                <w:rFonts w:ascii="Arial" w:cs="Arial" w:eastAsia="Arial" w:hAnsi="Arial"/>
                <w:sz w:val="14"/>
                <w:szCs w:val="14"/>
                <w:color w:val="auto"/>
              </w:rPr>
              <w:t>Turkey – 13</w:t>
            </w:r>
          </w:p>
        </w:tc>
      </w:tr>
      <w:tr>
        <w:trPr>
          <w:trHeight w:val="160"/>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00" w:type="dxa"/>
            <w:vAlign w:val="bottom"/>
          </w:tcPr>
          <w:p>
            <w:pPr>
              <w:ind w:left="40"/>
              <w:spacing w:after="0"/>
              <w:rPr>
                <w:sz w:val="20"/>
                <w:szCs w:val="20"/>
                <w:color w:val="auto"/>
              </w:rPr>
            </w:pPr>
            <w:r>
              <w:rPr>
                <w:rFonts w:ascii="Arial" w:cs="Arial" w:eastAsia="Arial" w:hAnsi="Arial"/>
                <w:sz w:val="14"/>
                <w:szCs w:val="14"/>
                <w:color w:val="auto"/>
              </w:rPr>
              <w:t>Cyprus – 6</w:t>
            </w:r>
          </w:p>
        </w:tc>
        <w:tc>
          <w:tcPr>
            <w:tcW w:w="3820" w:type="dxa"/>
            <w:vAlign w:val="bottom"/>
            <w:gridSpan w:val="2"/>
          </w:tcPr>
          <w:p>
            <w:pPr>
              <w:ind w:left="110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New Zealand – 15</w:t>
            </w:r>
          </w:p>
        </w:tc>
        <w:tc>
          <w:tcPr>
            <w:tcW w:w="1180" w:type="dxa"/>
            <w:vAlign w:val="bottom"/>
          </w:tcPr>
          <w:p>
            <w:pPr>
              <w:ind w:left="1080"/>
              <w:spacing w:after="0"/>
              <w:rPr>
                <w:sz w:val="20"/>
                <w:szCs w:val="20"/>
                <w:color w:val="auto"/>
              </w:rPr>
            </w:pPr>
            <w:r>
              <w:rPr>
                <w:rFonts w:ascii="Arial" w:cs="Arial" w:eastAsia="Arial" w:hAnsi="Arial"/>
                <w:sz w:val="14"/>
                <w:szCs w:val="14"/>
                <w:color w:val="C3002F"/>
              </w:rPr>
              <w:t>•</w:t>
            </w:r>
          </w:p>
        </w:tc>
        <w:tc>
          <w:tcPr>
            <w:tcW w:w="1520" w:type="dxa"/>
            <w:vAlign w:val="bottom"/>
          </w:tcPr>
          <w:p>
            <w:pPr>
              <w:ind w:left="60"/>
              <w:spacing w:after="0"/>
              <w:rPr>
                <w:sz w:val="20"/>
                <w:szCs w:val="20"/>
                <w:color w:val="auto"/>
              </w:rPr>
            </w:pPr>
            <w:r>
              <w:rPr>
                <w:rFonts w:ascii="Arial" w:cs="Arial" w:eastAsia="Arial" w:hAnsi="Arial"/>
                <w:sz w:val="14"/>
                <w:szCs w:val="14"/>
                <w:color w:val="auto"/>
              </w:rPr>
              <w:t>Turkmenistan – 61</w:t>
            </w:r>
          </w:p>
        </w:tc>
      </w:tr>
      <w:tr>
        <w:trPr>
          <w:trHeight w:val="160"/>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00" w:type="dxa"/>
            <w:vAlign w:val="bottom"/>
          </w:tcPr>
          <w:p>
            <w:pPr>
              <w:ind w:left="40"/>
              <w:spacing w:after="0"/>
              <w:rPr>
                <w:sz w:val="20"/>
                <w:szCs w:val="20"/>
                <w:color w:val="auto"/>
              </w:rPr>
            </w:pPr>
            <w:r>
              <w:rPr>
                <w:rFonts w:ascii="Arial" w:cs="Arial" w:eastAsia="Arial" w:hAnsi="Arial"/>
                <w:sz w:val="14"/>
                <w:szCs w:val="14"/>
                <w:color w:val="auto"/>
              </w:rPr>
              <w:t>Denmark – 29</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20" w:type="dxa"/>
            <w:vAlign w:val="bottom"/>
          </w:tcPr>
          <w:p>
            <w:pPr>
              <w:ind w:left="60"/>
              <w:spacing w:after="0"/>
              <w:rPr>
                <w:sz w:val="20"/>
                <w:szCs w:val="20"/>
                <w:color w:val="auto"/>
              </w:rPr>
            </w:pPr>
            <w:r>
              <w:rPr>
                <w:rFonts w:ascii="Arial" w:cs="Arial" w:eastAsia="Arial" w:hAnsi="Arial"/>
                <w:sz w:val="14"/>
                <w:szCs w:val="14"/>
                <w:color w:val="auto"/>
              </w:rPr>
              <w:t>Nigeria – 74</w:t>
            </w:r>
          </w:p>
        </w:tc>
        <w:tc>
          <w:tcPr>
            <w:tcW w:w="1180" w:type="dxa"/>
            <w:vAlign w:val="bottom"/>
          </w:tcPr>
          <w:p>
            <w:pPr>
              <w:ind w:left="1080"/>
              <w:spacing w:after="0"/>
              <w:rPr>
                <w:sz w:val="20"/>
                <w:szCs w:val="20"/>
                <w:color w:val="auto"/>
              </w:rPr>
            </w:pPr>
            <w:r>
              <w:rPr>
                <w:rFonts w:ascii="Arial" w:cs="Arial" w:eastAsia="Arial" w:hAnsi="Arial"/>
                <w:sz w:val="14"/>
                <w:szCs w:val="14"/>
                <w:color w:val="C3002F"/>
              </w:rPr>
              <w:t>•</w:t>
            </w:r>
          </w:p>
        </w:tc>
        <w:tc>
          <w:tcPr>
            <w:tcW w:w="1520" w:type="dxa"/>
            <w:vAlign w:val="bottom"/>
          </w:tcPr>
          <w:p>
            <w:pPr>
              <w:ind w:left="60"/>
              <w:spacing w:after="0"/>
              <w:rPr>
                <w:sz w:val="20"/>
                <w:szCs w:val="20"/>
                <w:color w:val="auto"/>
              </w:rPr>
            </w:pPr>
            <w:r>
              <w:rPr>
                <w:rFonts w:ascii="Arial" w:cs="Arial" w:eastAsia="Arial" w:hAnsi="Arial"/>
                <w:sz w:val="14"/>
                <w:szCs w:val="14"/>
                <w:color w:val="auto"/>
              </w:rPr>
              <w:t>Ukraine – 67</w:t>
            </w:r>
          </w:p>
        </w:tc>
      </w:tr>
      <w:tr>
        <w:trPr>
          <w:trHeight w:val="160"/>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00" w:type="dxa"/>
            <w:vAlign w:val="bottom"/>
          </w:tcPr>
          <w:p>
            <w:pPr>
              <w:ind w:left="40"/>
              <w:spacing w:after="0"/>
              <w:rPr>
                <w:sz w:val="20"/>
                <w:szCs w:val="20"/>
                <w:color w:val="auto"/>
              </w:rPr>
            </w:pPr>
            <w:r>
              <w:rPr>
                <w:rFonts w:ascii="Arial" w:cs="Arial" w:eastAsia="Arial" w:hAnsi="Arial"/>
                <w:sz w:val="14"/>
                <w:szCs w:val="14"/>
                <w:color w:val="auto"/>
              </w:rPr>
              <w:t>Ecuador – 24</w:t>
            </w:r>
          </w:p>
        </w:tc>
        <w:tc>
          <w:tcPr>
            <w:tcW w:w="3820" w:type="dxa"/>
            <w:vAlign w:val="bottom"/>
            <w:gridSpan w:val="2"/>
          </w:tcPr>
          <w:p>
            <w:pPr>
              <w:ind w:left="110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Papua New Guinea – 1</w:t>
            </w:r>
          </w:p>
        </w:tc>
        <w:tc>
          <w:tcPr>
            <w:tcW w:w="1180" w:type="dxa"/>
            <w:vAlign w:val="bottom"/>
          </w:tcPr>
          <w:p>
            <w:pPr>
              <w:ind w:left="1080"/>
              <w:spacing w:after="0"/>
              <w:rPr>
                <w:sz w:val="20"/>
                <w:szCs w:val="20"/>
                <w:color w:val="auto"/>
              </w:rPr>
            </w:pPr>
            <w:r>
              <w:rPr>
                <w:rFonts w:ascii="Arial" w:cs="Arial" w:eastAsia="Arial" w:hAnsi="Arial"/>
                <w:sz w:val="14"/>
                <w:szCs w:val="14"/>
                <w:color w:val="C3002F"/>
              </w:rPr>
              <w:t>•</w:t>
            </w:r>
          </w:p>
        </w:tc>
        <w:tc>
          <w:tcPr>
            <w:tcW w:w="1520" w:type="dxa"/>
            <w:vAlign w:val="bottom"/>
          </w:tcPr>
          <w:p>
            <w:pPr>
              <w:ind w:left="60"/>
              <w:spacing w:after="0"/>
              <w:rPr>
                <w:sz w:val="20"/>
                <w:szCs w:val="20"/>
                <w:color w:val="auto"/>
              </w:rPr>
            </w:pPr>
            <w:r>
              <w:rPr>
                <w:rFonts w:ascii="Arial" w:cs="Arial" w:eastAsia="Arial" w:hAnsi="Arial"/>
                <w:sz w:val="14"/>
                <w:szCs w:val="14"/>
                <w:color w:val="auto"/>
              </w:rPr>
              <w:t>Uzbekistan – 1</w:t>
            </w:r>
          </w:p>
        </w:tc>
      </w:tr>
      <w:tr>
        <w:trPr>
          <w:trHeight w:val="160"/>
        </w:trPr>
        <w:tc>
          <w:tcPr>
            <w:tcW w:w="2620" w:type="dxa"/>
            <w:vAlign w:val="bottom"/>
            <w:gridSpan w:val="2"/>
          </w:tcPr>
          <w:p>
            <w:pPr>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Equatorial Guinea – 3</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20" w:type="dxa"/>
            <w:vAlign w:val="bottom"/>
          </w:tcPr>
          <w:p>
            <w:pPr>
              <w:ind w:left="60"/>
              <w:spacing w:after="0"/>
              <w:rPr>
                <w:sz w:val="20"/>
                <w:szCs w:val="20"/>
                <w:color w:val="auto"/>
              </w:rPr>
            </w:pPr>
            <w:r>
              <w:rPr>
                <w:rFonts w:ascii="Arial" w:cs="Arial" w:eastAsia="Arial" w:hAnsi="Arial"/>
                <w:sz w:val="14"/>
                <w:szCs w:val="14"/>
                <w:color w:val="auto"/>
              </w:rPr>
              <w:t>Peru – 61</w:t>
            </w:r>
          </w:p>
        </w:tc>
        <w:tc>
          <w:tcPr>
            <w:tcW w:w="1180" w:type="dxa"/>
            <w:vAlign w:val="bottom"/>
          </w:tcPr>
          <w:p>
            <w:pPr>
              <w:ind w:left="1080"/>
              <w:spacing w:after="0"/>
              <w:rPr>
                <w:sz w:val="20"/>
                <w:szCs w:val="20"/>
                <w:color w:val="auto"/>
              </w:rPr>
            </w:pPr>
            <w:r>
              <w:rPr>
                <w:rFonts w:ascii="Arial" w:cs="Arial" w:eastAsia="Arial" w:hAnsi="Arial"/>
                <w:sz w:val="14"/>
                <w:szCs w:val="14"/>
                <w:color w:val="C3002F"/>
              </w:rPr>
              <w:t>•</w:t>
            </w:r>
          </w:p>
        </w:tc>
        <w:tc>
          <w:tcPr>
            <w:tcW w:w="1520" w:type="dxa"/>
            <w:vAlign w:val="bottom"/>
          </w:tcPr>
          <w:p>
            <w:pPr>
              <w:ind w:left="60"/>
              <w:spacing w:after="0"/>
              <w:rPr>
                <w:sz w:val="20"/>
                <w:szCs w:val="20"/>
                <w:color w:val="auto"/>
              </w:rPr>
            </w:pPr>
            <w:r>
              <w:rPr>
                <w:rFonts w:ascii="Arial" w:cs="Arial" w:eastAsia="Arial" w:hAnsi="Arial"/>
                <w:sz w:val="14"/>
                <w:szCs w:val="14"/>
                <w:color w:val="auto"/>
              </w:rPr>
              <w:t>Vietnam – 38</w:t>
            </w:r>
          </w:p>
        </w:tc>
      </w:tr>
      <w:tr>
        <w:trPr>
          <w:trHeight w:val="194"/>
        </w:trPr>
        <w:tc>
          <w:tcPr>
            <w:tcW w:w="120" w:type="dxa"/>
            <w:vAlign w:val="bottom"/>
          </w:tcPr>
          <w:p>
            <w:pPr>
              <w:spacing w:after="0"/>
              <w:rPr>
                <w:sz w:val="20"/>
                <w:szCs w:val="20"/>
                <w:color w:val="auto"/>
              </w:rPr>
            </w:pPr>
            <w:r>
              <w:rPr>
                <w:rFonts w:ascii="Arial" w:cs="Arial" w:eastAsia="Arial" w:hAnsi="Arial"/>
                <w:sz w:val="14"/>
                <w:szCs w:val="14"/>
                <w:color w:val="C3002F"/>
              </w:rPr>
              <w:t>•</w:t>
            </w:r>
          </w:p>
        </w:tc>
        <w:tc>
          <w:tcPr>
            <w:tcW w:w="2500" w:type="dxa"/>
            <w:vAlign w:val="bottom"/>
          </w:tcPr>
          <w:p>
            <w:pPr>
              <w:ind w:left="40"/>
              <w:spacing w:after="0"/>
              <w:rPr>
                <w:sz w:val="20"/>
                <w:szCs w:val="20"/>
                <w:color w:val="auto"/>
              </w:rPr>
            </w:pPr>
            <w:r>
              <w:rPr>
                <w:rFonts w:ascii="Arial" w:cs="Arial" w:eastAsia="Arial" w:hAnsi="Arial"/>
                <w:sz w:val="14"/>
                <w:szCs w:val="14"/>
                <w:color w:val="auto"/>
              </w:rPr>
              <w:t>France – 57</w:t>
            </w:r>
          </w:p>
        </w:tc>
        <w:tc>
          <w:tcPr>
            <w:tcW w:w="1200" w:type="dxa"/>
            <w:vAlign w:val="bottom"/>
          </w:tcPr>
          <w:p>
            <w:pPr>
              <w:ind w:left="1100"/>
              <w:spacing w:after="0"/>
              <w:rPr>
                <w:sz w:val="20"/>
                <w:szCs w:val="20"/>
                <w:color w:val="auto"/>
              </w:rPr>
            </w:pPr>
            <w:r>
              <w:rPr>
                <w:rFonts w:ascii="Arial" w:cs="Arial" w:eastAsia="Arial" w:hAnsi="Arial"/>
                <w:sz w:val="14"/>
                <w:szCs w:val="14"/>
                <w:color w:val="C3002F"/>
              </w:rPr>
              <w:t>•</w:t>
            </w:r>
          </w:p>
        </w:tc>
        <w:tc>
          <w:tcPr>
            <w:tcW w:w="2620" w:type="dxa"/>
            <w:vAlign w:val="bottom"/>
          </w:tcPr>
          <w:p>
            <w:pPr>
              <w:ind w:left="60"/>
              <w:spacing w:after="0"/>
              <w:rPr>
                <w:sz w:val="20"/>
                <w:szCs w:val="20"/>
                <w:color w:val="auto"/>
              </w:rPr>
            </w:pPr>
            <w:r>
              <w:rPr>
                <w:rFonts w:ascii="Arial" w:cs="Arial" w:eastAsia="Arial" w:hAnsi="Arial"/>
                <w:sz w:val="14"/>
                <w:szCs w:val="14"/>
                <w:color w:val="auto"/>
              </w:rPr>
              <w:t>Philippines – 8</w:t>
            </w:r>
          </w:p>
        </w:tc>
        <w:tc>
          <w:tcPr>
            <w:tcW w:w="1180" w:type="dxa"/>
            <w:vAlign w:val="bottom"/>
          </w:tcPr>
          <w:p>
            <w:pPr>
              <w:ind w:left="1080"/>
              <w:spacing w:after="0"/>
              <w:rPr>
                <w:sz w:val="20"/>
                <w:szCs w:val="20"/>
                <w:color w:val="auto"/>
              </w:rPr>
            </w:pPr>
            <w:r>
              <w:rPr>
                <w:rFonts w:ascii="Arial" w:cs="Arial" w:eastAsia="Arial" w:hAnsi="Arial"/>
                <w:sz w:val="14"/>
                <w:szCs w:val="14"/>
                <w:color w:val="C3002F"/>
              </w:rPr>
              <w:t>•</w:t>
            </w:r>
          </w:p>
        </w:tc>
        <w:tc>
          <w:tcPr>
            <w:tcW w:w="1520" w:type="dxa"/>
            <w:vAlign w:val="bottom"/>
          </w:tcPr>
          <w:p>
            <w:pPr>
              <w:ind w:left="60"/>
              <w:spacing w:after="0"/>
              <w:rPr>
                <w:sz w:val="20"/>
                <w:szCs w:val="20"/>
                <w:color w:val="auto"/>
              </w:rPr>
            </w:pPr>
            <w:r>
              <w:rPr>
                <w:rFonts w:ascii="Arial" w:cs="Arial" w:eastAsia="Arial" w:hAnsi="Arial"/>
                <w:sz w:val="14"/>
                <w:szCs w:val="14"/>
                <w:color w:val="auto"/>
              </w:rPr>
              <w:t>Yemen – 4</w:t>
            </w:r>
          </w:p>
        </w:tc>
      </w:tr>
    </w:tbl>
    <w:p>
      <w:pPr>
        <w:spacing w:after="0" w:line="337" w:lineRule="exact"/>
        <w:rPr>
          <w:sz w:val="20"/>
          <w:szCs w:val="20"/>
          <w:color w:val="auto"/>
        </w:rPr>
      </w:pPr>
    </w:p>
    <w:p>
      <w:pPr>
        <w:ind w:left="260" w:right="40"/>
        <w:spacing w:after="0"/>
        <w:rPr>
          <w:sz w:val="20"/>
          <w:szCs w:val="20"/>
          <w:color w:val="auto"/>
        </w:rPr>
      </w:pPr>
      <w:r>
        <w:rPr>
          <w:rFonts w:ascii="Arial" w:cs="Arial" w:eastAsia="Arial" w:hAnsi="Arial"/>
          <w:sz w:val="14"/>
          <w:szCs w:val="14"/>
          <w:color w:val="auto"/>
        </w:rPr>
        <w:t>We used total annual cash compensation as reported in our payroll systems on October 1, 2017 to prepare a listing of the compensation of all employees. Total annual cash compensation included salary (fixed and hourly), overtime pay, bonuses and incentives. From this list, we identified several employees with compensation at the median of the annual total compensation of all employees. The median employee, residing in the same jurisdiction (the United States) as our CEO (in order to approximate the cost of living), was chosen from this group of employees. Once the median employee was chosen based on total annual cash compensation, the value of employee benefits, welfare contributions and equity related compensation were added to derive this employee’s total compensation for the 2017 fiscal year. The annual total compensation information of our CEO reflected in the Summary Compensation Table on page 37 does not include certain employee benefits or welfare contributions. These amounts were added to the CEO total annual compensation prior to calculating the ratio. Otherwise, the total compensation of the median employee was calculated in a manner consistent with the CEO’s total compensation calculated in the Summary Compensation Table. As Mr. Mark A. McCollum joined the Company in April 2017, his total compensation was annualized for the full year.</w:t>
      </w:r>
    </w:p>
    <w:p>
      <w:pPr>
        <w:spacing w:after="0" w:line="180" w:lineRule="exact"/>
        <w:rPr>
          <w:sz w:val="20"/>
          <w:szCs w:val="20"/>
          <w:color w:val="auto"/>
        </w:rPr>
      </w:pPr>
    </w:p>
    <w:p>
      <w:pPr>
        <w:ind w:left="260" w:right="360"/>
        <w:spacing w:after="0" w:line="253" w:lineRule="auto"/>
        <w:rPr>
          <w:sz w:val="20"/>
          <w:szCs w:val="20"/>
          <w:color w:val="auto"/>
        </w:rPr>
      </w:pPr>
      <w:r>
        <w:rPr>
          <w:rFonts w:ascii="Arial" w:cs="Arial" w:eastAsia="Arial" w:hAnsi="Arial"/>
          <w:sz w:val="14"/>
          <w:szCs w:val="14"/>
          <w:color w:val="auto"/>
        </w:rPr>
        <w:t>For 2017, the total compensation of Mr. McCollum, our President and CEO, was $10,924,685 and the median employee’s total annual compensation was $49,630. The resulting ratio of our CEO’s pay to our median employee’s pay for fiscal year 2017 is 220:1.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86360</wp:posOffset>
            </wp:positionV>
            <wp:extent cx="69176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20" w:hanging="353"/>
        <w:spacing w:after="0"/>
        <w:tabs>
          <w:tab w:leader="none" w:pos="620" w:val="left"/>
        </w:tabs>
        <w:numPr>
          <w:ilvl w:val="0"/>
          <w:numId w:val="102"/>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2018 Proxy Statement</w:t>
      </w:r>
    </w:p>
    <w:p>
      <w:pPr>
        <w:sectPr>
          <w:pgSz w:w="11900" w:h="16838" w:orient="portrait"/>
          <w:cols w:equalWidth="0" w:num="1">
            <w:col w:w="11140"/>
          </w:cols>
          <w:pgMar w:left="240" w:top="455" w:right="5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0"/>
        <w:spacing w:after="0"/>
        <w:rPr>
          <w:sz w:val="20"/>
          <w:szCs w:val="20"/>
          <w:color w:val="auto"/>
        </w:rPr>
      </w:pPr>
      <w:r>
        <w:rPr>
          <w:rFonts w:ascii="Arial" w:cs="Arial" w:eastAsia="Arial" w:hAnsi="Arial"/>
          <w:sz w:val="64"/>
          <w:szCs w:val="64"/>
          <w:b w:val="1"/>
          <w:bCs w:val="1"/>
          <w:color w:val="C3002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-444500</wp:posOffset>
            </wp:positionV>
            <wp:extent cx="8223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306"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auto"/>
        </w:rPr>
        <w:t>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-304800</wp:posOffset>
            </wp:positionV>
            <wp:extent cx="8223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87" w:lineRule="exact"/>
        <w:rPr>
          <w:sz w:val="20"/>
          <w:szCs w:val="20"/>
          <w:color w:val="auto"/>
        </w:rPr>
      </w:pPr>
    </w:p>
    <w:p>
      <w:pPr>
        <w:ind w:left="260" w:right="440"/>
        <w:spacing w:after="0" w:line="275" w:lineRule="auto"/>
        <w:rPr>
          <w:sz w:val="20"/>
          <w:szCs w:val="20"/>
          <w:color w:val="auto"/>
        </w:rPr>
      </w:pPr>
      <w:r>
        <w:rPr>
          <w:rFonts w:ascii="Arial" w:cs="Arial" w:eastAsia="Arial" w:hAnsi="Arial"/>
          <w:sz w:val="43"/>
          <w:szCs w:val="43"/>
          <w:b w:val="1"/>
          <w:bCs w:val="1"/>
          <w:color w:val="666666"/>
        </w:rPr>
        <w:t>SHARES OWNED BY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-710565</wp:posOffset>
            </wp:positionV>
            <wp:extent cx="8223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07" w:lineRule="exact"/>
        <w:rPr>
          <w:sz w:val="20"/>
          <w:szCs w:val="20"/>
          <w:color w:val="auto"/>
        </w:rPr>
      </w:pPr>
    </w:p>
    <w:p>
      <w:pPr>
        <w:ind w:left="260" w:right="420"/>
        <w:spacing w:after="0" w:line="253" w:lineRule="auto"/>
        <w:rPr>
          <w:sz w:val="20"/>
          <w:szCs w:val="20"/>
          <w:color w:val="auto"/>
        </w:rPr>
      </w:pPr>
      <w:r>
        <w:rPr>
          <w:rFonts w:ascii="Arial" w:cs="Arial" w:eastAsia="Arial" w:hAnsi="Arial"/>
          <w:sz w:val="14"/>
          <w:szCs w:val="14"/>
          <w:color w:val="auto"/>
        </w:rPr>
        <w:t>This table shows the number and percentage of ordinary shares beneficially owned by each of our NEOs and each of our directors and all of our executive officers and directors as a group as of March 2, 2018. Each person has sole voting and investment power for the shares shown below, unless otherwise noted.</w:t>
      </w:r>
    </w:p>
    <w:p>
      <w:pPr>
        <w:spacing w:after="0" w:line="21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4440" w:type="dxa"/>
            <w:vAlign w:val="bottom"/>
            <w:tcBorders>
              <w:bottom w:val="single" w:sz="8" w:color="auto"/>
            </w:tcBorders>
            <w:gridSpan w:val="3"/>
          </w:tcPr>
          <w:p>
            <w:pPr>
              <w:jc w:val="right"/>
              <w:ind w:right="1209"/>
              <w:spacing w:after="0"/>
              <w:rPr>
                <w:sz w:val="20"/>
                <w:szCs w:val="20"/>
                <w:color w:val="auto"/>
              </w:rPr>
            </w:pPr>
            <w:r>
              <w:rPr>
                <w:rFonts w:ascii="Arial" w:cs="Arial" w:eastAsia="Arial" w:hAnsi="Arial"/>
                <w:sz w:val="14"/>
                <w:szCs w:val="14"/>
                <w:color w:val="auto"/>
              </w:rPr>
              <w:t>Amount and Nature of Shares Beneficially Owned</w:t>
            </w:r>
          </w:p>
        </w:tc>
      </w:tr>
      <w:tr>
        <w:trPr>
          <w:trHeight w:val="158"/>
        </w:trPr>
        <w:tc>
          <w:tcPr>
            <w:tcW w:w="5060" w:type="dxa"/>
            <w:vAlign w:val="bottom"/>
          </w:tcPr>
          <w:p>
            <w:pPr>
              <w:spacing w:after="0"/>
              <w:rPr>
                <w:sz w:val="13"/>
                <w:szCs w:val="13"/>
                <w:color w:val="auto"/>
              </w:rPr>
            </w:pPr>
          </w:p>
        </w:tc>
        <w:tc>
          <w:tcPr>
            <w:tcW w:w="1400" w:type="dxa"/>
            <w:vAlign w:val="bottom"/>
          </w:tcPr>
          <w:p>
            <w:pPr>
              <w:jc w:val="right"/>
              <w:spacing w:after="0" w:line="158" w:lineRule="exact"/>
              <w:rPr>
                <w:sz w:val="20"/>
                <w:szCs w:val="20"/>
                <w:color w:val="auto"/>
              </w:rPr>
            </w:pPr>
            <w:r>
              <w:rPr>
                <w:rFonts w:ascii="Arial" w:cs="Arial" w:eastAsia="Arial" w:hAnsi="Arial"/>
                <w:sz w:val="14"/>
                <w:szCs w:val="14"/>
                <w:color w:val="auto"/>
              </w:rPr>
              <w:t>Number of Shares</w:t>
            </w:r>
          </w:p>
        </w:tc>
        <w:tc>
          <w:tcPr>
            <w:tcW w:w="1540" w:type="dxa"/>
            <w:vAlign w:val="bottom"/>
          </w:tcPr>
          <w:p>
            <w:pPr>
              <w:spacing w:after="0"/>
              <w:rPr>
                <w:sz w:val="13"/>
                <w:szCs w:val="13"/>
                <w:color w:val="auto"/>
              </w:rPr>
            </w:pPr>
          </w:p>
        </w:tc>
        <w:tc>
          <w:tcPr>
            <w:tcW w:w="1480" w:type="dxa"/>
            <w:vAlign w:val="bottom"/>
          </w:tcPr>
          <w:p>
            <w:pPr>
              <w:jc w:val="right"/>
              <w:ind w:right="69"/>
              <w:spacing w:after="0" w:line="158" w:lineRule="exact"/>
              <w:rPr>
                <w:sz w:val="20"/>
                <w:szCs w:val="20"/>
                <w:color w:val="auto"/>
              </w:rPr>
            </w:pPr>
            <w:r>
              <w:rPr>
                <w:rFonts w:ascii="Arial" w:cs="Arial" w:eastAsia="Arial" w:hAnsi="Arial"/>
                <w:sz w:val="14"/>
                <w:szCs w:val="14"/>
                <w:color w:val="auto"/>
              </w:rPr>
              <w:t>Total Shares</w:t>
            </w:r>
          </w:p>
        </w:tc>
        <w:tc>
          <w:tcPr>
            <w:tcW w:w="1420" w:type="dxa"/>
            <w:vAlign w:val="bottom"/>
          </w:tcPr>
          <w:p>
            <w:pPr>
              <w:jc w:val="right"/>
              <w:spacing w:after="0" w:line="158" w:lineRule="exact"/>
              <w:rPr>
                <w:sz w:val="20"/>
                <w:szCs w:val="20"/>
                <w:color w:val="auto"/>
              </w:rPr>
            </w:pPr>
            <w:r>
              <w:rPr>
                <w:rFonts w:ascii="Arial" w:cs="Arial" w:eastAsia="Arial" w:hAnsi="Arial"/>
                <w:sz w:val="14"/>
                <w:szCs w:val="14"/>
                <w:color w:val="auto"/>
              </w:rPr>
              <w:t>Percent of</w:t>
            </w:r>
          </w:p>
        </w:tc>
      </w:tr>
      <w:tr>
        <w:trPr>
          <w:trHeight w:val="155"/>
        </w:trPr>
        <w:tc>
          <w:tcPr>
            <w:tcW w:w="50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Name</w:t>
            </w: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Owned</w:t>
            </w:r>
          </w:p>
        </w:tc>
        <w:tc>
          <w:tcPr>
            <w:tcW w:w="154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Right to Acquire(1)</w:t>
            </w:r>
          </w:p>
        </w:tc>
        <w:tc>
          <w:tcPr>
            <w:tcW w:w="148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Beneficially Owned</w:t>
            </w: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Outstanding Shares</w:t>
            </w:r>
          </w:p>
        </w:tc>
      </w:tr>
      <w:tr>
        <w:trPr>
          <w:trHeight w:val="169"/>
        </w:trPr>
        <w:tc>
          <w:tcPr>
            <w:tcW w:w="5060" w:type="dxa"/>
            <w:vAlign w:val="bottom"/>
          </w:tcPr>
          <w:p>
            <w:pPr>
              <w:spacing w:after="0"/>
              <w:rPr>
                <w:sz w:val="20"/>
                <w:szCs w:val="20"/>
                <w:color w:val="auto"/>
              </w:rPr>
            </w:pPr>
            <w:r>
              <w:rPr>
                <w:rFonts w:ascii="Arial" w:cs="Arial" w:eastAsia="Arial" w:hAnsi="Arial"/>
                <w:sz w:val="14"/>
                <w:szCs w:val="14"/>
                <w:color w:val="auto"/>
              </w:rPr>
              <w:t>Mohamed A. Awad</w:t>
            </w:r>
          </w:p>
        </w:tc>
        <w:tc>
          <w:tcPr>
            <w:tcW w:w="1400" w:type="dxa"/>
            <w:vAlign w:val="bottom"/>
          </w:tcPr>
          <w:p>
            <w:pPr>
              <w:jc w:val="right"/>
              <w:spacing w:after="0"/>
              <w:rPr>
                <w:sz w:val="20"/>
                <w:szCs w:val="20"/>
                <w:color w:val="auto"/>
              </w:rPr>
            </w:pPr>
            <w:r>
              <w:rPr>
                <w:rFonts w:ascii="Arial" w:cs="Arial" w:eastAsia="Arial" w:hAnsi="Arial"/>
                <w:sz w:val="14"/>
                <w:szCs w:val="14"/>
                <w:color w:val="auto"/>
              </w:rPr>
              <w:t>43,847</w:t>
            </w: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43,847</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5060" w:type="dxa"/>
            <w:vAlign w:val="bottom"/>
          </w:tcPr>
          <w:p>
            <w:pPr>
              <w:spacing w:after="0"/>
              <w:rPr>
                <w:sz w:val="20"/>
                <w:szCs w:val="20"/>
                <w:color w:val="auto"/>
              </w:rPr>
            </w:pPr>
            <w:r>
              <w:rPr>
                <w:rFonts w:ascii="Arial" w:cs="Arial" w:eastAsia="Arial" w:hAnsi="Arial"/>
                <w:sz w:val="14"/>
                <w:szCs w:val="14"/>
                <w:color w:val="auto"/>
              </w:rPr>
              <w:t>Christoph Bausch</w:t>
            </w:r>
          </w:p>
        </w:tc>
        <w:tc>
          <w:tcPr>
            <w:tcW w:w="1400" w:type="dxa"/>
            <w:vAlign w:val="bottom"/>
          </w:tcPr>
          <w:p>
            <w:pPr>
              <w:jc w:val="right"/>
              <w:spacing w:after="0"/>
              <w:rPr>
                <w:sz w:val="20"/>
                <w:szCs w:val="20"/>
                <w:color w:val="auto"/>
              </w:rPr>
            </w:pPr>
            <w:r>
              <w:rPr>
                <w:rFonts w:ascii="Arial" w:cs="Arial" w:eastAsia="Arial" w:hAnsi="Arial"/>
                <w:sz w:val="14"/>
                <w:szCs w:val="14"/>
                <w:color w:val="auto"/>
              </w:rPr>
              <w:t>71,254</w:t>
            </w: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71,254</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5060" w:type="dxa"/>
            <w:vAlign w:val="bottom"/>
          </w:tcPr>
          <w:p>
            <w:pPr>
              <w:spacing w:after="0"/>
              <w:rPr>
                <w:sz w:val="20"/>
                <w:szCs w:val="20"/>
                <w:color w:val="auto"/>
              </w:rPr>
            </w:pPr>
            <w:r>
              <w:rPr>
                <w:rFonts w:ascii="Arial" w:cs="Arial" w:eastAsia="Arial" w:hAnsi="Arial"/>
                <w:sz w:val="14"/>
                <w:szCs w:val="14"/>
                <w:color w:val="auto"/>
              </w:rPr>
              <w:t>Karl Blanchard</w:t>
            </w: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5060" w:type="dxa"/>
            <w:vAlign w:val="bottom"/>
          </w:tcPr>
          <w:p>
            <w:pPr>
              <w:spacing w:after="0"/>
              <w:rPr>
                <w:sz w:val="20"/>
                <w:szCs w:val="20"/>
                <w:color w:val="auto"/>
              </w:rPr>
            </w:pPr>
            <w:r>
              <w:rPr>
                <w:rFonts w:ascii="Arial" w:cs="Arial" w:eastAsia="Arial" w:hAnsi="Arial"/>
                <w:sz w:val="14"/>
                <w:szCs w:val="14"/>
                <w:color w:val="auto"/>
              </w:rPr>
              <w:t>David J. Butters(2)</w:t>
            </w:r>
          </w:p>
        </w:tc>
        <w:tc>
          <w:tcPr>
            <w:tcW w:w="1400" w:type="dxa"/>
            <w:vAlign w:val="bottom"/>
          </w:tcPr>
          <w:p>
            <w:pPr>
              <w:jc w:val="right"/>
              <w:spacing w:after="0"/>
              <w:rPr>
                <w:sz w:val="20"/>
                <w:szCs w:val="20"/>
                <w:color w:val="auto"/>
              </w:rPr>
            </w:pPr>
            <w:r>
              <w:rPr>
                <w:rFonts w:ascii="Arial" w:cs="Arial" w:eastAsia="Arial" w:hAnsi="Arial"/>
                <w:sz w:val="14"/>
                <w:szCs w:val="14"/>
                <w:color w:val="auto"/>
              </w:rPr>
              <w:t>500,458</w:t>
            </w: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500,458</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5060" w:type="dxa"/>
            <w:vAlign w:val="bottom"/>
          </w:tcPr>
          <w:p>
            <w:pPr>
              <w:spacing w:after="0"/>
              <w:rPr>
                <w:sz w:val="20"/>
                <w:szCs w:val="20"/>
                <w:color w:val="auto"/>
              </w:rPr>
            </w:pPr>
            <w:r>
              <w:rPr>
                <w:rFonts w:ascii="Arial" w:cs="Arial" w:eastAsia="Arial" w:hAnsi="Arial"/>
                <w:sz w:val="14"/>
                <w:szCs w:val="14"/>
                <w:color w:val="auto"/>
              </w:rPr>
              <w:t>Roxanne J. Decyk</w:t>
            </w: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5060" w:type="dxa"/>
            <w:vAlign w:val="bottom"/>
          </w:tcPr>
          <w:p>
            <w:pPr>
              <w:spacing w:after="0"/>
              <w:rPr>
                <w:sz w:val="20"/>
                <w:szCs w:val="20"/>
                <w:color w:val="auto"/>
              </w:rPr>
            </w:pPr>
            <w:r>
              <w:rPr>
                <w:rFonts w:ascii="Arial" w:cs="Arial" w:eastAsia="Arial" w:hAnsi="Arial"/>
                <w:sz w:val="14"/>
                <w:szCs w:val="14"/>
                <w:color w:val="auto"/>
              </w:rPr>
              <w:t>John D. Gass</w:t>
            </w:r>
          </w:p>
        </w:tc>
        <w:tc>
          <w:tcPr>
            <w:tcW w:w="1400" w:type="dxa"/>
            <w:vAlign w:val="bottom"/>
          </w:tcPr>
          <w:p>
            <w:pPr>
              <w:jc w:val="right"/>
              <w:spacing w:after="0"/>
              <w:rPr>
                <w:sz w:val="20"/>
                <w:szCs w:val="20"/>
                <w:color w:val="auto"/>
              </w:rPr>
            </w:pPr>
            <w:r>
              <w:rPr>
                <w:rFonts w:ascii="Arial" w:cs="Arial" w:eastAsia="Arial" w:hAnsi="Arial"/>
                <w:sz w:val="14"/>
                <w:szCs w:val="14"/>
                <w:color w:val="auto"/>
              </w:rPr>
              <w:t>68,423</w:t>
            </w: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68,423</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5060" w:type="dxa"/>
            <w:vAlign w:val="bottom"/>
          </w:tcPr>
          <w:p>
            <w:pPr>
              <w:spacing w:after="0"/>
              <w:rPr>
                <w:sz w:val="20"/>
                <w:szCs w:val="20"/>
                <w:color w:val="auto"/>
              </w:rPr>
            </w:pPr>
            <w:r>
              <w:rPr>
                <w:rFonts w:ascii="Arial" w:cs="Arial" w:eastAsia="Arial" w:hAnsi="Arial"/>
                <w:sz w:val="14"/>
                <w:szCs w:val="14"/>
                <w:color w:val="auto"/>
              </w:rPr>
              <w:t>Christina M. Ibrahim</w:t>
            </w:r>
          </w:p>
        </w:tc>
        <w:tc>
          <w:tcPr>
            <w:tcW w:w="1400" w:type="dxa"/>
            <w:vAlign w:val="bottom"/>
          </w:tcPr>
          <w:p>
            <w:pPr>
              <w:jc w:val="right"/>
              <w:spacing w:after="0"/>
              <w:rPr>
                <w:sz w:val="20"/>
                <w:szCs w:val="20"/>
                <w:color w:val="auto"/>
              </w:rPr>
            </w:pPr>
            <w:r>
              <w:rPr>
                <w:rFonts w:ascii="Arial" w:cs="Arial" w:eastAsia="Arial" w:hAnsi="Arial"/>
                <w:sz w:val="14"/>
                <w:szCs w:val="14"/>
                <w:color w:val="auto"/>
              </w:rPr>
              <w:t>174,014</w:t>
            </w: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174,014</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5060" w:type="dxa"/>
            <w:vAlign w:val="bottom"/>
          </w:tcPr>
          <w:p>
            <w:pPr>
              <w:spacing w:after="0"/>
              <w:rPr>
                <w:sz w:val="20"/>
                <w:szCs w:val="20"/>
                <w:color w:val="auto"/>
              </w:rPr>
            </w:pPr>
            <w:r>
              <w:rPr>
                <w:rFonts w:ascii="Arial" w:cs="Arial" w:eastAsia="Arial" w:hAnsi="Arial"/>
                <w:sz w:val="14"/>
                <w:szCs w:val="14"/>
                <w:color w:val="auto"/>
              </w:rPr>
              <w:t>Emyr Jones Parry</w:t>
            </w:r>
          </w:p>
        </w:tc>
        <w:tc>
          <w:tcPr>
            <w:tcW w:w="1400" w:type="dxa"/>
            <w:vAlign w:val="bottom"/>
          </w:tcPr>
          <w:p>
            <w:pPr>
              <w:jc w:val="right"/>
              <w:spacing w:after="0"/>
              <w:rPr>
                <w:sz w:val="20"/>
                <w:szCs w:val="20"/>
                <w:color w:val="auto"/>
              </w:rPr>
            </w:pPr>
            <w:r>
              <w:rPr>
                <w:rFonts w:ascii="Arial" w:cs="Arial" w:eastAsia="Arial" w:hAnsi="Arial"/>
                <w:sz w:val="14"/>
                <w:szCs w:val="14"/>
                <w:color w:val="auto"/>
              </w:rPr>
              <w:t>100,397</w:t>
            </w: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100,397</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5060" w:type="dxa"/>
            <w:vAlign w:val="bottom"/>
          </w:tcPr>
          <w:p>
            <w:pPr>
              <w:spacing w:after="0"/>
              <w:rPr>
                <w:sz w:val="20"/>
                <w:szCs w:val="20"/>
                <w:color w:val="auto"/>
              </w:rPr>
            </w:pPr>
            <w:r>
              <w:rPr>
                <w:rFonts w:ascii="Arial" w:cs="Arial" w:eastAsia="Arial" w:hAnsi="Arial"/>
                <w:sz w:val="14"/>
                <w:szCs w:val="14"/>
                <w:color w:val="auto"/>
              </w:rPr>
              <w:t>Francis S. Kalman</w:t>
            </w:r>
          </w:p>
        </w:tc>
        <w:tc>
          <w:tcPr>
            <w:tcW w:w="1400" w:type="dxa"/>
            <w:vAlign w:val="bottom"/>
          </w:tcPr>
          <w:p>
            <w:pPr>
              <w:jc w:val="right"/>
              <w:spacing w:after="0"/>
              <w:rPr>
                <w:sz w:val="20"/>
                <w:szCs w:val="20"/>
                <w:color w:val="auto"/>
              </w:rPr>
            </w:pPr>
            <w:r>
              <w:rPr>
                <w:rFonts w:ascii="Arial" w:cs="Arial" w:eastAsia="Arial" w:hAnsi="Arial"/>
                <w:sz w:val="14"/>
                <w:szCs w:val="14"/>
                <w:color w:val="auto"/>
              </w:rPr>
              <w:t>89,923</w:t>
            </w: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89,923</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5060" w:type="dxa"/>
            <w:vAlign w:val="bottom"/>
          </w:tcPr>
          <w:p>
            <w:pPr>
              <w:spacing w:after="0"/>
              <w:rPr>
                <w:sz w:val="20"/>
                <w:szCs w:val="20"/>
                <w:color w:val="auto"/>
              </w:rPr>
            </w:pPr>
            <w:r>
              <w:rPr>
                <w:rFonts w:ascii="Arial" w:cs="Arial" w:eastAsia="Arial" w:hAnsi="Arial"/>
                <w:sz w:val="14"/>
                <w:szCs w:val="14"/>
                <w:color w:val="auto"/>
              </w:rPr>
              <w:t>David S. King</w:t>
            </w: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5060" w:type="dxa"/>
            <w:vAlign w:val="bottom"/>
          </w:tcPr>
          <w:p>
            <w:pPr>
              <w:spacing w:after="0"/>
              <w:rPr>
                <w:sz w:val="20"/>
                <w:szCs w:val="20"/>
                <w:color w:val="auto"/>
              </w:rPr>
            </w:pPr>
            <w:r>
              <w:rPr>
                <w:rFonts w:ascii="Arial" w:cs="Arial" w:eastAsia="Arial" w:hAnsi="Arial"/>
                <w:sz w:val="14"/>
                <w:szCs w:val="14"/>
                <w:color w:val="auto"/>
              </w:rPr>
              <w:t>William E. Macaulay(3)</w:t>
            </w:r>
          </w:p>
        </w:tc>
        <w:tc>
          <w:tcPr>
            <w:tcW w:w="1400" w:type="dxa"/>
            <w:vAlign w:val="bottom"/>
          </w:tcPr>
          <w:p>
            <w:pPr>
              <w:jc w:val="right"/>
              <w:spacing w:after="0"/>
              <w:rPr>
                <w:sz w:val="20"/>
                <w:szCs w:val="20"/>
                <w:color w:val="auto"/>
              </w:rPr>
            </w:pPr>
            <w:r>
              <w:rPr>
                <w:rFonts w:ascii="Arial" w:cs="Arial" w:eastAsia="Arial" w:hAnsi="Arial"/>
                <w:sz w:val="14"/>
                <w:szCs w:val="14"/>
                <w:color w:val="auto"/>
              </w:rPr>
              <w:t>1,007,784</w:t>
            </w: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1,007,784</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5060" w:type="dxa"/>
            <w:vAlign w:val="bottom"/>
          </w:tcPr>
          <w:p>
            <w:pPr>
              <w:spacing w:after="0"/>
              <w:rPr>
                <w:sz w:val="20"/>
                <w:szCs w:val="20"/>
                <w:color w:val="auto"/>
              </w:rPr>
            </w:pPr>
            <w:r>
              <w:rPr>
                <w:rFonts w:ascii="Arial" w:cs="Arial" w:eastAsia="Arial" w:hAnsi="Arial"/>
                <w:sz w:val="14"/>
                <w:szCs w:val="14"/>
                <w:color w:val="auto"/>
              </w:rPr>
              <w:t>Mark A. McCollum</w:t>
            </w: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319,928</w:t>
            </w: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319,928</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5060" w:type="dxa"/>
            <w:vAlign w:val="bottom"/>
          </w:tcPr>
          <w:p>
            <w:pPr>
              <w:spacing w:after="0"/>
              <w:rPr>
                <w:sz w:val="20"/>
                <w:szCs w:val="20"/>
                <w:color w:val="auto"/>
              </w:rPr>
            </w:pPr>
            <w:r>
              <w:rPr>
                <w:rFonts w:ascii="Arial" w:cs="Arial" w:eastAsia="Arial" w:hAnsi="Arial"/>
                <w:sz w:val="14"/>
                <w:szCs w:val="14"/>
                <w:color w:val="auto"/>
              </w:rPr>
              <w:t>Douglas M. Mills</w:t>
            </w:r>
          </w:p>
        </w:tc>
        <w:tc>
          <w:tcPr>
            <w:tcW w:w="1400" w:type="dxa"/>
            <w:vAlign w:val="bottom"/>
          </w:tcPr>
          <w:p>
            <w:pPr>
              <w:jc w:val="right"/>
              <w:spacing w:after="0"/>
              <w:rPr>
                <w:sz w:val="20"/>
                <w:szCs w:val="20"/>
                <w:color w:val="auto"/>
              </w:rPr>
            </w:pPr>
            <w:r>
              <w:rPr>
                <w:rFonts w:ascii="Arial" w:cs="Arial" w:eastAsia="Arial" w:hAnsi="Arial"/>
                <w:sz w:val="14"/>
                <w:szCs w:val="14"/>
                <w:color w:val="auto"/>
              </w:rPr>
              <w:t>113,832</w:t>
            </w: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113,832</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5060" w:type="dxa"/>
            <w:vAlign w:val="bottom"/>
          </w:tcPr>
          <w:p>
            <w:pPr>
              <w:spacing w:after="0"/>
              <w:rPr>
                <w:sz w:val="20"/>
                <w:szCs w:val="20"/>
                <w:color w:val="auto"/>
              </w:rPr>
            </w:pPr>
            <w:r>
              <w:rPr>
                <w:rFonts w:ascii="Arial" w:cs="Arial" w:eastAsia="Arial" w:hAnsi="Arial"/>
                <w:sz w:val="14"/>
                <w:szCs w:val="14"/>
                <w:color w:val="auto"/>
              </w:rPr>
              <w:t>Angela A. Minas</w:t>
            </w: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5060" w:type="dxa"/>
            <w:vAlign w:val="bottom"/>
          </w:tcPr>
          <w:p>
            <w:pPr>
              <w:spacing w:after="0"/>
              <w:rPr>
                <w:sz w:val="20"/>
                <w:szCs w:val="20"/>
                <w:color w:val="auto"/>
              </w:rPr>
            </w:pPr>
            <w:r>
              <w:rPr>
                <w:rFonts w:ascii="Arial" w:cs="Arial" w:eastAsia="Arial" w:hAnsi="Arial"/>
                <w:sz w:val="14"/>
                <w:szCs w:val="14"/>
                <w:color w:val="auto"/>
              </w:rPr>
              <w:t>Robert K. Moses, Jr.(4)</w:t>
            </w:r>
          </w:p>
        </w:tc>
        <w:tc>
          <w:tcPr>
            <w:tcW w:w="1400" w:type="dxa"/>
            <w:vAlign w:val="bottom"/>
          </w:tcPr>
          <w:p>
            <w:pPr>
              <w:jc w:val="right"/>
              <w:spacing w:after="0"/>
              <w:rPr>
                <w:sz w:val="20"/>
                <w:szCs w:val="20"/>
                <w:color w:val="auto"/>
              </w:rPr>
            </w:pPr>
            <w:r>
              <w:rPr>
                <w:rFonts w:ascii="Arial" w:cs="Arial" w:eastAsia="Arial" w:hAnsi="Arial"/>
                <w:sz w:val="14"/>
                <w:szCs w:val="14"/>
                <w:color w:val="auto"/>
              </w:rPr>
              <w:t>675,048</w:t>
            </w: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675,048</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5060" w:type="dxa"/>
            <w:vAlign w:val="bottom"/>
          </w:tcPr>
          <w:p>
            <w:pPr>
              <w:spacing w:after="0"/>
              <w:rPr>
                <w:sz w:val="20"/>
                <w:szCs w:val="20"/>
                <w:color w:val="auto"/>
              </w:rPr>
            </w:pPr>
            <w:r>
              <w:rPr>
                <w:rFonts w:ascii="Arial" w:cs="Arial" w:eastAsia="Arial" w:hAnsi="Arial"/>
                <w:sz w:val="14"/>
                <w:szCs w:val="14"/>
                <w:color w:val="auto"/>
              </w:rPr>
              <w:t>Guillermo Ortiz</w:t>
            </w:r>
          </w:p>
        </w:tc>
        <w:tc>
          <w:tcPr>
            <w:tcW w:w="1400" w:type="dxa"/>
            <w:vAlign w:val="bottom"/>
          </w:tcPr>
          <w:p>
            <w:pPr>
              <w:jc w:val="right"/>
              <w:spacing w:after="0"/>
              <w:rPr>
                <w:sz w:val="20"/>
                <w:szCs w:val="20"/>
                <w:color w:val="auto"/>
              </w:rPr>
            </w:pPr>
            <w:r>
              <w:rPr>
                <w:rFonts w:ascii="Arial" w:cs="Arial" w:eastAsia="Arial" w:hAnsi="Arial"/>
                <w:sz w:val="14"/>
                <w:szCs w:val="14"/>
                <w:color w:val="auto"/>
              </w:rPr>
              <w:t>111,047</w:t>
            </w: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111,047</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5060" w:type="dxa"/>
            <w:vAlign w:val="bottom"/>
          </w:tcPr>
          <w:p>
            <w:pPr>
              <w:spacing w:after="0"/>
              <w:rPr>
                <w:sz w:val="20"/>
                <w:szCs w:val="20"/>
                <w:color w:val="auto"/>
              </w:rPr>
            </w:pPr>
            <w:r>
              <w:rPr>
                <w:rFonts w:ascii="Arial" w:cs="Arial" w:eastAsia="Arial" w:hAnsi="Arial"/>
                <w:sz w:val="14"/>
                <w:szCs w:val="14"/>
                <w:color w:val="auto"/>
              </w:rPr>
              <w:t>Mario Ruscev(5)</w:t>
            </w:r>
          </w:p>
        </w:tc>
        <w:tc>
          <w:tcPr>
            <w:tcW w:w="1400" w:type="dxa"/>
            <w:vAlign w:val="bottom"/>
          </w:tcPr>
          <w:p>
            <w:pPr>
              <w:jc w:val="right"/>
              <w:spacing w:after="0"/>
              <w:rPr>
                <w:sz w:val="20"/>
                <w:szCs w:val="20"/>
                <w:color w:val="auto"/>
              </w:rPr>
            </w:pPr>
            <w:r>
              <w:rPr>
                <w:rFonts w:ascii="Arial" w:cs="Arial" w:eastAsia="Arial" w:hAnsi="Arial"/>
                <w:sz w:val="14"/>
                <w:szCs w:val="14"/>
                <w:color w:val="auto"/>
              </w:rPr>
              <w:t>260,958</w:t>
            </w: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260,958</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5060" w:type="dxa"/>
            <w:vAlign w:val="bottom"/>
          </w:tcPr>
          <w:p>
            <w:pPr>
              <w:spacing w:after="0"/>
              <w:rPr>
                <w:sz w:val="20"/>
                <w:szCs w:val="20"/>
                <w:color w:val="auto"/>
              </w:rPr>
            </w:pPr>
            <w:r>
              <w:rPr>
                <w:rFonts w:ascii="Arial" w:cs="Arial" w:eastAsia="Arial" w:hAnsi="Arial"/>
                <w:sz w:val="14"/>
                <w:szCs w:val="14"/>
                <w:color w:val="auto"/>
              </w:rPr>
              <w:t>Krishna Shivram(6)</w:t>
            </w:r>
          </w:p>
        </w:tc>
        <w:tc>
          <w:tcPr>
            <w:tcW w:w="1400" w:type="dxa"/>
            <w:vAlign w:val="bottom"/>
          </w:tcPr>
          <w:p>
            <w:pPr>
              <w:jc w:val="right"/>
              <w:spacing w:after="0"/>
              <w:rPr>
                <w:sz w:val="20"/>
                <w:szCs w:val="20"/>
                <w:color w:val="auto"/>
              </w:rPr>
            </w:pPr>
            <w:r>
              <w:rPr>
                <w:rFonts w:ascii="Arial" w:cs="Arial" w:eastAsia="Arial" w:hAnsi="Arial"/>
                <w:sz w:val="14"/>
                <w:szCs w:val="14"/>
                <w:color w:val="auto"/>
              </w:rPr>
              <w:t>803,948</w:t>
            </w: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9"/>
              <w:spacing w:after="0"/>
              <w:rPr>
                <w:sz w:val="20"/>
                <w:szCs w:val="20"/>
                <w:color w:val="auto"/>
              </w:rPr>
            </w:pPr>
            <w:r>
              <w:rPr>
                <w:rFonts w:ascii="Arial" w:cs="Arial" w:eastAsia="Arial" w:hAnsi="Arial"/>
                <w:sz w:val="14"/>
                <w:szCs w:val="14"/>
                <w:color w:val="auto"/>
              </w:rPr>
              <w:t>803,948</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All directors and executive officers as a group (18 persons)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4,020,933</w:t>
            </w:r>
          </w:p>
        </w:tc>
        <w:tc>
          <w:tcPr>
            <w:tcW w:w="15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319,928</w:t>
            </w:r>
          </w:p>
        </w:tc>
        <w:tc>
          <w:tcPr>
            <w:tcW w:w="14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4,340,861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5060" w:type="dxa"/>
            <w:vAlign w:val="bottom"/>
          </w:tcPr>
          <w:p>
            <w:pPr>
              <w:spacing w:after="0"/>
              <w:rPr>
                <w:sz w:val="20"/>
                <w:szCs w:val="20"/>
                <w:color w:val="auto"/>
              </w:rPr>
            </w:pPr>
            <w:r>
              <w:rPr>
                <w:rFonts w:ascii="Arial" w:cs="Arial" w:eastAsia="Arial" w:hAnsi="Arial"/>
                <w:sz w:val="14"/>
                <w:szCs w:val="14"/>
                <w:color w:val="auto"/>
              </w:rPr>
              <w:t>*  Less than 1%.</w:t>
            </w: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r>
    </w:tbl>
    <w:p>
      <w:pPr>
        <w:spacing w:after="0" w:line="29" w:lineRule="exact"/>
        <w:rPr>
          <w:sz w:val="20"/>
          <w:szCs w:val="20"/>
          <w:color w:val="auto"/>
        </w:rPr>
      </w:pPr>
    </w:p>
    <w:p>
      <w:pPr>
        <w:ind w:left="480" w:hanging="213"/>
        <w:spacing w:after="0"/>
        <w:tabs>
          <w:tab w:leader="none" w:pos="4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Includes ordinary shares that can be acquired through RSUs that vest on or before, May 1, 2018.</w:t>
      </w:r>
    </w:p>
    <w:p>
      <w:pPr>
        <w:spacing w:after="0" w:line="39" w:lineRule="exact"/>
        <w:rPr>
          <w:rFonts w:ascii="Arial" w:cs="Arial" w:eastAsia="Arial" w:hAnsi="Arial"/>
          <w:sz w:val="14"/>
          <w:szCs w:val="14"/>
          <w:color w:val="auto"/>
        </w:rPr>
      </w:pPr>
    </w:p>
    <w:p>
      <w:pPr>
        <w:ind w:left="480" w:hanging="213"/>
        <w:spacing w:after="0"/>
        <w:tabs>
          <w:tab w:leader="none" w:pos="4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Includes 55,088 shares held by Mr. Butters’ wife, over which he has no voting or dispositive power and as to which he disclaims beneficial ownership.</w:t>
      </w:r>
    </w:p>
    <w:p>
      <w:pPr>
        <w:spacing w:after="0" w:line="39" w:lineRule="exact"/>
        <w:rPr>
          <w:rFonts w:ascii="Arial" w:cs="Arial" w:eastAsia="Arial" w:hAnsi="Arial"/>
          <w:sz w:val="14"/>
          <w:szCs w:val="14"/>
          <w:color w:val="auto"/>
        </w:rPr>
      </w:pPr>
    </w:p>
    <w:p>
      <w:pPr>
        <w:ind w:left="480" w:right="120" w:hanging="213"/>
        <w:spacing w:after="0" w:line="253" w:lineRule="auto"/>
        <w:tabs>
          <w:tab w:leader="none" w:pos="4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Includes 26,472 shares held by Mr. Macaulay’s wife and 15,504 shares held in the name of or in trust for Mr. Macaulay’s adult daughters, over which he has no voting or dispositive power and as to all of which he disclaims beneficial ownership.</w:t>
      </w:r>
    </w:p>
    <w:p>
      <w:pPr>
        <w:spacing w:after="0" w:line="21" w:lineRule="exact"/>
        <w:rPr>
          <w:rFonts w:ascii="Arial" w:cs="Arial" w:eastAsia="Arial" w:hAnsi="Arial"/>
          <w:sz w:val="14"/>
          <w:szCs w:val="14"/>
          <w:color w:val="auto"/>
        </w:rPr>
      </w:pPr>
    </w:p>
    <w:p>
      <w:pPr>
        <w:jc w:val="both"/>
        <w:ind w:left="480" w:right="220" w:hanging="213"/>
        <w:spacing w:after="0" w:line="246" w:lineRule="auto"/>
        <w:tabs>
          <w:tab w:leader="none" w:pos="4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number of shares owned by Mr. Moses includes 617,422 shares in a collateral account in a local institution with other securities that are pledged as collateral for a line of credit, primarily for short term working capital needs. In accordance with the Company’s insider trading policy, an exception was granted to Mr. Moses to pledge these shares based on the clear demonstration of his financial capacity to repay the loan.</w:t>
      </w:r>
    </w:p>
    <w:p>
      <w:pPr>
        <w:spacing w:after="0" w:line="25" w:lineRule="exact"/>
        <w:rPr>
          <w:rFonts w:ascii="Arial" w:cs="Arial" w:eastAsia="Arial" w:hAnsi="Arial"/>
          <w:sz w:val="14"/>
          <w:szCs w:val="14"/>
          <w:color w:val="auto"/>
        </w:rPr>
      </w:pPr>
    </w:p>
    <w:p>
      <w:pPr>
        <w:ind w:left="480" w:right="360" w:hanging="213"/>
        <w:spacing w:after="0" w:line="253" w:lineRule="auto"/>
        <w:tabs>
          <w:tab w:leader="none" w:pos="4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Share ownership information presented for Mr. Ruscev is based corporate records of shares distributed to him in connection with his departure from the Company in August 2017.</w:t>
      </w:r>
    </w:p>
    <w:p>
      <w:pPr>
        <w:spacing w:after="0" w:line="21" w:lineRule="exact"/>
        <w:rPr>
          <w:rFonts w:ascii="Arial" w:cs="Arial" w:eastAsia="Arial" w:hAnsi="Arial"/>
          <w:sz w:val="14"/>
          <w:szCs w:val="14"/>
          <w:color w:val="auto"/>
        </w:rPr>
      </w:pPr>
    </w:p>
    <w:p>
      <w:pPr>
        <w:ind w:left="480" w:right="520" w:hanging="213"/>
        <w:spacing w:after="0" w:line="253" w:lineRule="auto"/>
        <w:tabs>
          <w:tab w:leader="none" w:pos="4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Share ownership information presented for Mr. Shivram is based on his last Form 4 dated February 27, 2017,and corporate records of shares distributed to him in connection with his departure from the Company in March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95250</wp:posOffset>
            </wp:positionV>
            <wp:extent cx="69176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384" w:lineRule="exact"/>
        <w:rPr>
          <w:sz w:val="20"/>
          <w:szCs w:val="20"/>
          <w:color w:val="auto"/>
        </w:rPr>
      </w:pPr>
    </w:p>
    <w:p>
      <w:pPr>
        <w:ind w:left="7420"/>
        <w:spacing w:after="0"/>
        <w:tabs>
          <w:tab w:leader="none" w:pos="10980" w:val="left"/>
        </w:tabs>
        <w:rPr>
          <w:sz w:val="20"/>
          <w:szCs w:val="20"/>
          <w:color w:val="auto"/>
        </w:rPr>
      </w:pPr>
      <w:r>
        <w:rPr>
          <w:rFonts w:ascii="Arial" w:cs="Arial" w:eastAsia="Arial" w:hAnsi="Arial"/>
          <w:sz w:val="14"/>
          <w:szCs w:val="14"/>
          <w:color w:val="666666"/>
        </w:rPr>
        <w:t>Weatherford International plc – 2018 Proxy Statement</w:t>
      </w:r>
      <w:r>
        <w:rPr>
          <w:sz w:val="20"/>
          <w:szCs w:val="20"/>
          <w:color w:val="auto"/>
        </w:rPr>
        <w:tab/>
      </w:r>
      <w:r>
        <w:rPr>
          <w:rFonts w:ascii="Arial" w:cs="Arial" w:eastAsia="Arial" w:hAnsi="Arial"/>
          <w:sz w:val="14"/>
          <w:szCs w:val="14"/>
          <w:b w:val="1"/>
          <w:bCs w:val="1"/>
          <w:color w:val="666666"/>
        </w:rPr>
        <w:t>47</w:t>
      </w:r>
    </w:p>
    <w:p>
      <w:pPr>
        <w:sectPr>
          <w:pgSz w:w="11900" w:h="16838" w:orient="portrait"/>
          <w:cols w:equalWidth="0" w:num="1">
            <w:col w:w="11160"/>
          </w:cols>
          <w:pgMar w:left="240" w:top="455"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666666"/>
        </w:rPr>
        <w:t>OTHER INFORMATION</w:t>
      </w:r>
    </w:p>
    <w:p>
      <w:pPr>
        <w:spacing w:after="0" w:line="200" w:lineRule="exact"/>
        <w:rPr>
          <w:sz w:val="20"/>
          <w:szCs w:val="20"/>
          <w:color w:val="auto"/>
        </w:rPr>
      </w:pPr>
    </w:p>
    <w:p>
      <w:pPr>
        <w:spacing w:after="0" w:line="333" w:lineRule="exact"/>
        <w:rPr>
          <w:sz w:val="20"/>
          <w:szCs w:val="20"/>
          <w:color w:val="auto"/>
        </w:rPr>
      </w:pPr>
    </w:p>
    <w:p>
      <w:pPr>
        <w:ind w:left="260" w:right="1980"/>
        <w:spacing w:after="0" w:line="275" w:lineRule="auto"/>
        <w:rPr>
          <w:sz w:val="20"/>
          <w:szCs w:val="20"/>
          <w:color w:val="auto"/>
        </w:rPr>
      </w:pPr>
      <w:r>
        <w:rPr>
          <w:rFonts w:ascii="Arial" w:cs="Arial" w:eastAsia="Arial" w:hAnsi="Arial"/>
          <w:sz w:val="43"/>
          <w:szCs w:val="43"/>
          <w:b w:val="1"/>
          <w:bCs w:val="1"/>
          <w:color w:val="666666"/>
        </w:rPr>
        <w:t>SHARES OWNED BY CERTAIN BENEFICIAL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-718820</wp:posOffset>
            </wp:positionV>
            <wp:extent cx="8223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07" w:lineRule="exact"/>
        <w:rPr>
          <w:sz w:val="20"/>
          <w:szCs w:val="20"/>
          <w:color w:val="auto"/>
        </w:rPr>
      </w:pPr>
    </w:p>
    <w:p>
      <w:pPr>
        <w:ind w:left="260" w:right="200"/>
        <w:spacing w:after="0" w:line="253" w:lineRule="auto"/>
        <w:rPr>
          <w:sz w:val="20"/>
          <w:szCs w:val="20"/>
          <w:color w:val="auto"/>
        </w:rPr>
      </w:pPr>
      <w:r>
        <w:rPr>
          <w:rFonts w:ascii="Arial" w:cs="Arial" w:eastAsia="Arial" w:hAnsi="Arial"/>
          <w:sz w:val="14"/>
          <w:szCs w:val="14"/>
          <w:color w:val="auto"/>
        </w:rPr>
        <w:t>This table shows information for each person who may be deemed to beneficially own 5% or more of our outstanding ordinary shares as of March 2, 2018, as contained in filings made by the shareholder with the SEC.</w:t>
      </w:r>
    </w:p>
    <w:p>
      <w:pPr>
        <w:spacing w:after="0" w:line="194"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60" w:type="dxa"/>
            <w:vAlign w:val="bottom"/>
          </w:tcPr>
          <w:p>
            <w:pPr>
              <w:jc w:val="right"/>
              <w:ind w:right="109"/>
              <w:spacing w:after="0"/>
              <w:rPr>
                <w:sz w:val="20"/>
                <w:szCs w:val="20"/>
                <w:color w:val="auto"/>
              </w:rPr>
            </w:pPr>
            <w:r>
              <w:rPr>
                <w:rFonts w:ascii="Arial" w:cs="Arial" w:eastAsia="Arial" w:hAnsi="Arial"/>
                <w:sz w:val="14"/>
                <w:szCs w:val="14"/>
                <w:color w:val="auto"/>
              </w:rPr>
              <w:t>Percent of</w:t>
            </w:r>
          </w:p>
        </w:tc>
      </w:tr>
      <w:tr>
        <w:trPr>
          <w:trHeight w:val="160"/>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260" w:type="dxa"/>
            <w:vAlign w:val="bottom"/>
          </w:tcPr>
          <w:p>
            <w:pPr>
              <w:jc w:val="right"/>
              <w:ind w:right="109"/>
              <w:spacing w:after="0"/>
              <w:rPr>
                <w:sz w:val="20"/>
                <w:szCs w:val="20"/>
                <w:color w:val="auto"/>
              </w:rPr>
            </w:pPr>
            <w:r>
              <w:rPr>
                <w:rFonts w:ascii="Arial" w:cs="Arial" w:eastAsia="Arial" w:hAnsi="Arial"/>
                <w:sz w:val="14"/>
                <w:szCs w:val="14"/>
                <w:color w:val="auto"/>
              </w:rPr>
              <w:t>Outstanding</w:t>
            </w:r>
          </w:p>
        </w:tc>
      </w:tr>
      <w:tr>
        <w:trPr>
          <w:trHeight w:val="155"/>
        </w:trPr>
        <w:tc>
          <w:tcPr>
            <w:tcW w:w="55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Name and Address of Beneficial Owner</w:t>
            </w:r>
          </w:p>
        </w:tc>
        <w:tc>
          <w:tcPr>
            <w:tcW w:w="4120" w:type="dxa"/>
            <w:vAlign w:val="bottom"/>
            <w:tcBorders>
              <w:bottom w:val="single" w:sz="8" w:color="auto"/>
            </w:tcBorders>
          </w:tcPr>
          <w:p>
            <w:pPr>
              <w:jc w:val="right"/>
              <w:ind w:right="249"/>
              <w:spacing w:after="0" w:line="155" w:lineRule="exact"/>
              <w:rPr>
                <w:sz w:val="20"/>
                <w:szCs w:val="20"/>
                <w:color w:val="auto"/>
              </w:rPr>
            </w:pPr>
            <w:r>
              <w:rPr>
                <w:rFonts w:ascii="Arial" w:cs="Arial" w:eastAsia="Arial" w:hAnsi="Arial"/>
                <w:sz w:val="14"/>
                <w:szCs w:val="14"/>
                <w:color w:val="auto"/>
              </w:rPr>
              <w:t>Number of Shares</w:t>
            </w:r>
          </w:p>
        </w:tc>
        <w:tc>
          <w:tcPr>
            <w:tcW w:w="1260" w:type="dxa"/>
            <w:vAlign w:val="bottom"/>
            <w:tcBorders>
              <w:bottom w:val="single" w:sz="8" w:color="auto"/>
            </w:tcBorders>
          </w:tcPr>
          <w:p>
            <w:pPr>
              <w:jc w:val="right"/>
              <w:ind w:right="109"/>
              <w:spacing w:after="0" w:line="155" w:lineRule="exact"/>
              <w:rPr>
                <w:sz w:val="20"/>
                <w:szCs w:val="20"/>
                <w:color w:val="auto"/>
              </w:rPr>
            </w:pPr>
            <w:r>
              <w:rPr>
                <w:rFonts w:ascii="Arial" w:cs="Arial" w:eastAsia="Arial" w:hAnsi="Arial"/>
                <w:sz w:val="14"/>
                <w:szCs w:val="14"/>
                <w:color w:val="auto"/>
              </w:rPr>
              <w:t>Shares(1)</w:t>
            </w:r>
          </w:p>
        </w:tc>
      </w:tr>
      <w:tr>
        <w:trPr>
          <w:trHeight w:val="154"/>
        </w:trPr>
        <w:tc>
          <w:tcPr>
            <w:tcW w:w="5520" w:type="dxa"/>
            <w:vAlign w:val="bottom"/>
            <w:gridSpan w:val="2"/>
          </w:tcPr>
          <w:p>
            <w:pPr>
              <w:spacing w:after="0" w:line="153" w:lineRule="exact"/>
              <w:rPr>
                <w:sz w:val="20"/>
                <w:szCs w:val="20"/>
                <w:color w:val="auto"/>
              </w:rPr>
            </w:pPr>
            <w:r>
              <w:rPr>
                <w:rFonts w:ascii="Arial" w:cs="Arial" w:eastAsia="Arial" w:hAnsi="Arial"/>
                <w:sz w:val="14"/>
                <w:szCs w:val="14"/>
                <w:color w:val="auto"/>
              </w:rPr>
              <w:t>ClearBridge Investments, LLC</w:t>
            </w:r>
          </w:p>
        </w:tc>
        <w:tc>
          <w:tcPr>
            <w:tcW w:w="4120" w:type="dxa"/>
            <w:vAlign w:val="bottom"/>
          </w:tcPr>
          <w:p>
            <w:pPr>
              <w:jc w:val="right"/>
              <w:ind w:right="249"/>
              <w:spacing w:after="0" w:line="153" w:lineRule="exact"/>
              <w:rPr>
                <w:sz w:val="20"/>
                <w:szCs w:val="20"/>
                <w:color w:val="auto"/>
              </w:rPr>
            </w:pPr>
            <w:r>
              <w:rPr>
                <w:rFonts w:ascii="Arial" w:cs="Arial" w:eastAsia="Arial" w:hAnsi="Arial"/>
                <w:sz w:val="14"/>
                <w:szCs w:val="14"/>
                <w:color w:val="auto"/>
              </w:rPr>
              <w:t>131,419,398(2)</w:t>
            </w:r>
          </w:p>
        </w:tc>
        <w:tc>
          <w:tcPr>
            <w:tcW w:w="1260" w:type="dxa"/>
            <w:vAlign w:val="bottom"/>
          </w:tcPr>
          <w:p>
            <w:pPr>
              <w:jc w:val="right"/>
              <w:spacing w:after="0" w:line="153" w:lineRule="exact"/>
              <w:rPr>
                <w:sz w:val="20"/>
                <w:szCs w:val="20"/>
                <w:color w:val="auto"/>
              </w:rPr>
            </w:pPr>
            <w:r>
              <w:rPr>
                <w:rFonts w:ascii="Arial" w:cs="Arial" w:eastAsia="Arial" w:hAnsi="Arial"/>
                <w:sz w:val="14"/>
                <w:szCs w:val="14"/>
                <w:color w:val="auto"/>
              </w:rPr>
              <w:t>13.2%</w:t>
            </w:r>
          </w:p>
        </w:tc>
      </w:tr>
      <w:tr>
        <w:trPr>
          <w:trHeight w:val="154"/>
        </w:trPr>
        <w:tc>
          <w:tcPr>
            <w:tcW w:w="20" w:type="dxa"/>
            <w:vAlign w:val="bottom"/>
          </w:tcPr>
          <w:p>
            <w:pPr>
              <w:spacing w:after="0"/>
              <w:rPr>
                <w:sz w:val="13"/>
                <w:szCs w:val="13"/>
                <w:color w:val="auto"/>
              </w:rPr>
            </w:pPr>
          </w:p>
        </w:tc>
        <w:tc>
          <w:tcPr>
            <w:tcW w:w="5500" w:type="dxa"/>
            <w:vAlign w:val="bottom"/>
            <w:tcBorders>
              <w:top w:val="single" w:sz="8" w:color="666666"/>
              <w:bottom w:val="single" w:sz="8" w:color="auto"/>
            </w:tcBorders>
          </w:tcPr>
          <w:p>
            <w:pPr>
              <w:ind w:left="280"/>
              <w:spacing w:after="0" w:line="153" w:lineRule="exact"/>
              <w:rPr>
                <w:sz w:val="20"/>
                <w:szCs w:val="20"/>
                <w:color w:val="auto"/>
              </w:rPr>
            </w:pPr>
            <w:r>
              <w:rPr>
                <w:rFonts w:ascii="Arial" w:cs="Arial" w:eastAsia="Arial" w:hAnsi="Arial"/>
                <w:sz w:val="14"/>
                <w:szCs w:val="14"/>
                <w:color w:val="auto"/>
              </w:rPr>
              <w:t>620 8th Avenue</w:t>
            </w:r>
          </w:p>
        </w:tc>
        <w:tc>
          <w:tcPr>
            <w:tcW w:w="4120" w:type="dxa"/>
            <w:vAlign w:val="bottom"/>
            <w:tcBorders>
              <w:top w:val="single" w:sz="8" w:color="666666"/>
              <w:bottom w:val="single" w:sz="8" w:color="auto"/>
            </w:tcBorders>
          </w:tcPr>
          <w:p>
            <w:pPr>
              <w:spacing w:after="0"/>
              <w:rPr>
                <w:sz w:val="13"/>
                <w:szCs w:val="13"/>
                <w:color w:val="auto"/>
              </w:rPr>
            </w:pPr>
          </w:p>
        </w:tc>
        <w:tc>
          <w:tcPr>
            <w:tcW w:w="1260" w:type="dxa"/>
            <w:vAlign w:val="bottom"/>
            <w:tcBorders>
              <w:top w:val="single" w:sz="8" w:color="666666"/>
              <w:bottom w:val="single" w:sz="8" w:color="auto"/>
            </w:tcBorders>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500" w:type="dxa"/>
            <w:vAlign w:val="bottom"/>
            <w:tcBorders>
              <w:bottom w:val="single" w:sz="8" w:color="auto"/>
            </w:tcBorders>
          </w:tcPr>
          <w:p>
            <w:pPr>
              <w:ind w:left="280"/>
              <w:spacing w:after="0" w:line="153" w:lineRule="exact"/>
              <w:rPr>
                <w:sz w:val="20"/>
                <w:szCs w:val="20"/>
                <w:color w:val="auto"/>
              </w:rPr>
            </w:pPr>
            <w:r>
              <w:rPr>
                <w:rFonts w:ascii="Arial" w:cs="Arial" w:eastAsia="Arial" w:hAnsi="Arial"/>
                <w:sz w:val="14"/>
                <w:szCs w:val="14"/>
                <w:color w:val="auto"/>
              </w:rPr>
              <w:t>New York, New York 10018</w:t>
            </w:r>
          </w:p>
        </w:tc>
        <w:tc>
          <w:tcPr>
            <w:tcW w:w="4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154"/>
        </w:trPr>
        <w:tc>
          <w:tcPr>
            <w:tcW w:w="5520" w:type="dxa"/>
            <w:vAlign w:val="bottom"/>
            <w:gridSpan w:val="2"/>
          </w:tcPr>
          <w:p>
            <w:pPr>
              <w:spacing w:after="0" w:line="153" w:lineRule="exact"/>
              <w:rPr>
                <w:sz w:val="20"/>
                <w:szCs w:val="20"/>
                <w:color w:val="auto"/>
              </w:rPr>
            </w:pPr>
            <w:r>
              <w:rPr>
                <w:rFonts w:ascii="Arial" w:cs="Arial" w:eastAsia="Arial" w:hAnsi="Arial"/>
                <w:sz w:val="14"/>
                <w:szCs w:val="14"/>
                <w:color w:val="auto"/>
              </w:rPr>
              <w:t>Capital World Investors</w:t>
            </w:r>
          </w:p>
        </w:tc>
        <w:tc>
          <w:tcPr>
            <w:tcW w:w="4120" w:type="dxa"/>
            <w:vAlign w:val="bottom"/>
          </w:tcPr>
          <w:p>
            <w:pPr>
              <w:jc w:val="right"/>
              <w:ind w:right="249"/>
              <w:spacing w:after="0" w:line="153" w:lineRule="exact"/>
              <w:rPr>
                <w:sz w:val="20"/>
                <w:szCs w:val="20"/>
                <w:color w:val="auto"/>
              </w:rPr>
            </w:pPr>
            <w:r>
              <w:rPr>
                <w:rFonts w:ascii="Arial" w:cs="Arial" w:eastAsia="Arial" w:hAnsi="Arial"/>
                <w:sz w:val="14"/>
                <w:szCs w:val="14"/>
                <w:color w:val="auto"/>
              </w:rPr>
              <w:t>95,462,627(3)</w:t>
            </w:r>
          </w:p>
        </w:tc>
        <w:tc>
          <w:tcPr>
            <w:tcW w:w="1260" w:type="dxa"/>
            <w:vAlign w:val="bottom"/>
          </w:tcPr>
          <w:p>
            <w:pPr>
              <w:jc w:val="right"/>
              <w:spacing w:after="0" w:line="153" w:lineRule="exact"/>
              <w:rPr>
                <w:sz w:val="20"/>
                <w:szCs w:val="20"/>
                <w:color w:val="auto"/>
              </w:rPr>
            </w:pPr>
            <w:r>
              <w:rPr>
                <w:rFonts w:ascii="Arial" w:cs="Arial" w:eastAsia="Arial" w:hAnsi="Arial"/>
                <w:sz w:val="14"/>
                <w:szCs w:val="14"/>
                <w:color w:val="auto"/>
              </w:rPr>
              <w:t>9.6%</w:t>
            </w:r>
          </w:p>
        </w:tc>
      </w:tr>
      <w:tr>
        <w:trPr>
          <w:trHeight w:val="154"/>
        </w:trPr>
        <w:tc>
          <w:tcPr>
            <w:tcW w:w="20" w:type="dxa"/>
            <w:vAlign w:val="bottom"/>
          </w:tcPr>
          <w:p>
            <w:pPr>
              <w:spacing w:after="0"/>
              <w:rPr>
                <w:sz w:val="13"/>
                <w:szCs w:val="13"/>
                <w:color w:val="auto"/>
              </w:rPr>
            </w:pPr>
          </w:p>
        </w:tc>
        <w:tc>
          <w:tcPr>
            <w:tcW w:w="5500" w:type="dxa"/>
            <w:vAlign w:val="bottom"/>
            <w:tcBorders>
              <w:top w:val="single" w:sz="8" w:color="666666"/>
              <w:bottom w:val="single" w:sz="8" w:color="auto"/>
            </w:tcBorders>
          </w:tcPr>
          <w:p>
            <w:pPr>
              <w:ind w:left="280"/>
              <w:spacing w:after="0" w:line="153" w:lineRule="exact"/>
              <w:rPr>
                <w:sz w:val="20"/>
                <w:szCs w:val="20"/>
                <w:color w:val="auto"/>
              </w:rPr>
            </w:pPr>
            <w:r>
              <w:rPr>
                <w:rFonts w:ascii="Arial" w:cs="Arial" w:eastAsia="Arial" w:hAnsi="Arial"/>
                <w:sz w:val="14"/>
                <w:szCs w:val="14"/>
                <w:color w:val="auto"/>
              </w:rPr>
              <w:t>333 South Hope Street</w:t>
            </w:r>
          </w:p>
        </w:tc>
        <w:tc>
          <w:tcPr>
            <w:tcW w:w="4120" w:type="dxa"/>
            <w:vAlign w:val="bottom"/>
            <w:tcBorders>
              <w:top w:val="single" w:sz="8" w:color="666666"/>
              <w:bottom w:val="single" w:sz="8" w:color="auto"/>
            </w:tcBorders>
          </w:tcPr>
          <w:p>
            <w:pPr>
              <w:spacing w:after="0"/>
              <w:rPr>
                <w:sz w:val="13"/>
                <w:szCs w:val="13"/>
                <w:color w:val="auto"/>
              </w:rPr>
            </w:pPr>
          </w:p>
        </w:tc>
        <w:tc>
          <w:tcPr>
            <w:tcW w:w="1260" w:type="dxa"/>
            <w:vAlign w:val="bottom"/>
            <w:tcBorders>
              <w:top w:val="single" w:sz="8" w:color="666666"/>
              <w:bottom w:val="single" w:sz="8" w:color="auto"/>
            </w:tcBorders>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500" w:type="dxa"/>
            <w:vAlign w:val="bottom"/>
            <w:tcBorders>
              <w:bottom w:val="single" w:sz="8" w:color="auto"/>
            </w:tcBorders>
          </w:tcPr>
          <w:p>
            <w:pPr>
              <w:ind w:left="280"/>
              <w:spacing w:after="0" w:line="153" w:lineRule="exact"/>
              <w:rPr>
                <w:sz w:val="20"/>
                <w:szCs w:val="20"/>
                <w:color w:val="auto"/>
              </w:rPr>
            </w:pPr>
            <w:r>
              <w:rPr>
                <w:rFonts w:ascii="Arial" w:cs="Arial" w:eastAsia="Arial" w:hAnsi="Arial"/>
                <w:sz w:val="14"/>
                <w:szCs w:val="14"/>
                <w:color w:val="auto"/>
              </w:rPr>
              <w:t>Los Angeles, California 90071</w:t>
            </w:r>
          </w:p>
        </w:tc>
        <w:tc>
          <w:tcPr>
            <w:tcW w:w="4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154"/>
        </w:trPr>
        <w:tc>
          <w:tcPr>
            <w:tcW w:w="5520" w:type="dxa"/>
            <w:vAlign w:val="bottom"/>
            <w:gridSpan w:val="2"/>
          </w:tcPr>
          <w:p>
            <w:pPr>
              <w:spacing w:after="0" w:line="153" w:lineRule="exact"/>
              <w:rPr>
                <w:sz w:val="20"/>
                <w:szCs w:val="20"/>
                <w:color w:val="auto"/>
              </w:rPr>
            </w:pPr>
            <w:r>
              <w:rPr>
                <w:rFonts w:ascii="Arial" w:cs="Arial" w:eastAsia="Arial" w:hAnsi="Arial"/>
                <w:sz w:val="14"/>
                <w:szCs w:val="14"/>
                <w:color w:val="auto"/>
              </w:rPr>
              <w:t>CVI Investments, Inc.</w:t>
            </w:r>
          </w:p>
        </w:tc>
        <w:tc>
          <w:tcPr>
            <w:tcW w:w="4120" w:type="dxa"/>
            <w:vAlign w:val="bottom"/>
          </w:tcPr>
          <w:p>
            <w:pPr>
              <w:jc w:val="right"/>
              <w:ind w:right="249"/>
              <w:spacing w:after="0" w:line="153" w:lineRule="exact"/>
              <w:rPr>
                <w:sz w:val="20"/>
                <w:szCs w:val="20"/>
                <w:color w:val="auto"/>
              </w:rPr>
            </w:pPr>
            <w:r>
              <w:rPr>
                <w:rFonts w:ascii="Arial" w:cs="Arial" w:eastAsia="Arial" w:hAnsi="Arial"/>
                <w:sz w:val="14"/>
                <w:szCs w:val="14"/>
                <w:color w:val="auto"/>
              </w:rPr>
              <w:t>84,500,000(4)</w:t>
            </w:r>
          </w:p>
        </w:tc>
        <w:tc>
          <w:tcPr>
            <w:tcW w:w="1260" w:type="dxa"/>
            <w:vAlign w:val="bottom"/>
          </w:tcPr>
          <w:p>
            <w:pPr>
              <w:jc w:val="right"/>
              <w:spacing w:after="0" w:line="153" w:lineRule="exact"/>
              <w:rPr>
                <w:sz w:val="20"/>
                <w:szCs w:val="20"/>
                <w:color w:val="auto"/>
              </w:rPr>
            </w:pPr>
            <w:r>
              <w:rPr>
                <w:rFonts w:ascii="Arial" w:cs="Arial" w:eastAsia="Arial" w:hAnsi="Arial"/>
                <w:sz w:val="14"/>
                <w:szCs w:val="14"/>
                <w:color w:val="auto"/>
              </w:rPr>
              <w:t>8.5%</w:t>
            </w:r>
          </w:p>
        </w:tc>
      </w:tr>
      <w:tr>
        <w:trPr>
          <w:trHeight w:val="154"/>
        </w:trPr>
        <w:tc>
          <w:tcPr>
            <w:tcW w:w="20" w:type="dxa"/>
            <w:vAlign w:val="bottom"/>
          </w:tcPr>
          <w:p>
            <w:pPr>
              <w:spacing w:after="0"/>
              <w:rPr>
                <w:sz w:val="13"/>
                <w:szCs w:val="13"/>
                <w:color w:val="auto"/>
              </w:rPr>
            </w:pPr>
          </w:p>
        </w:tc>
        <w:tc>
          <w:tcPr>
            <w:tcW w:w="5500" w:type="dxa"/>
            <w:vAlign w:val="bottom"/>
            <w:tcBorders>
              <w:top w:val="single" w:sz="8" w:color="666666"/>
              <w:bottom w:val="single" w:sz="8" w:color="auto"/>
            </w:tcBorders>
          </w:tcPr>
          <w:p>
            <w:pPr>
              <w:ind w:left="280"/>
              <w:spacing w:after="0" w:line="153" w:lineRule="exact"/>
              <w:rPr>
                <w:sz w:val="20"/>
                <w:szCs w:val="20"/>
                <w:color w:val="auto"/>
              </w:rPr>
            </w:pPr>
            <w:r>
              <w:rPr>
                <w:rFonts w:ascii="Arial" w:cs="Arial" w:eastAsia="Arial" w:hAnsi="Arial"/>
                <w:sz w:val="14"/>
                <w:szCs w:val="14"/>
                <w:color w:val="auto"/>
              </w:rPr>
              <w:t>P.O. Box 309GT</w:t>
            </w:r>
          </w:p>
        </w:tc>
        <w:tc>
          <w:tcPr>
            <w:tcW w:w="4120" w:type="dxa"/>
            <w:vAlign w:val="bottom"/>
            <w:tcBorders>
              <w:top w:val="single" w:sz="8" w:color="666666"/>
              <w:bottom w:val="single" w:sz="8" w:color="auto"/>
            </w:tcBorders>
          </w:tcPr>
          <w:p>
            <w:pPr>
              <w:spacing w:after="0"/>
              <w:rPr>
                <w:sz w:val="13"/>
                <w:szCs w:val="13"/>
                <w:color w:val="auto"/>
              </w:rPr>
            </w:pPr>
          </w:p>
        </w:tc>
        <w:tc>
          <w:tcPr>
            <w:tcW w:w="1260" w:type="dxa"/>
            <w:vAlign w:val="bottom"/>
            <w:tcBorders>
              <w:top w:val="single" w:sz="8" w:color="666666"/>
              <w:bottom w:val="single" w:sz="8" w:color="auto"/>
            </w:tcBorders>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500" w:type="dxa"/>
            <w:vAlign w:val="bottom"/>
            <w:tcBorders>
              <w:bottom w:val="single" w:sz="8" w:color="auto"/>
            </w:tcBorders>
          </w:tcPr>
          <w:p>
            <w:pPr>
              <w:ind w:left="280"/>
              <w:spacing w:after="0" w:line="153" w:lineRule="exact"/>
              <w:rPr>
                <w:sz w:val="20"/>
                <w:szCs w:val="20"/>
                <w:color w:val="auto"/>
              </w:rPr>
            </w:pPr>
            <w:r>
              <w:rPr>
                <w:rFonts w:ascii="Arial" w:cs="Arial" w:eastAsia="Arial" w:hAnsi="Arial"/>
                <w:sz w:val="14"/>
                <w:szCs w:val="14"/>
                <w:color w:val="auto"/>
              </w:rPr>
              <w:t>Ugland House, South Church Street</w:t>
            </w:r>
          </w:p>
        </w:tc>
        <w:tc>
          <w:tcPr>
            <w:tcW w:w="4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500" w:type="dxa"/>
            <w:vAlign w:val="bottom"/>
            <w:tcBorders>
              <w:bottom w:val="single" w:sz="8" w:color="auto"/>
            </w:tcBorders>
          </w:tcPr>
          <w:p>
            <w:pPr>
              <w:ind w:left="280"/>
              <w:spacing w:after="0" w:line="153" w:lineRule="exact"/>
              <w:rPr>
                <w:sz w:val="20"/>
                <w:szCs w:val="20"/>
                <w:color w:val="auto"/>
              </w:rPr>
            </w:pPr>
            <w:r>
              <w:rPr>
                <w:rFonts w:ascii="Arial" w:cs="Arial" w:eastAsia="Arial" w:hAnsi="Arial"/>
                <w:sz w:val="14"/>
                <w:szCs w:val="14"/>
                <w:color w:val="auto"/>
              </w:rPr>
              <w:t>George Town, Grand Cayman KY1-1104</w:t>
            </w:r>
          </w:p>
        </w:tc>
        <w:tc>
          <w:tcPr>
            <w:tcW w:w="4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154"/>
        </w:trPr>
        <w:tc>
          <w:tcPr>
            <w:tcW w:w="5520" w:type="dxa"/>
            <w:vAlign w:val="bottom"/>
            <w:gridSpan w:val="2"/>
          </w:tcPr>
          <w:p>
            <w:pPr>
              <w:spacing w:after="0" w:line="153" w:lineRule="exact"/>
              <w:rPr>
                <w:sz w:val="20"/>
                <w:szCs w:val="20"/>
                <w:color w:val="auto"/>
              </w:rPr>
            </w:pPr>
            <w:r>
              <w:rPr>
                <w:rFonts w:ascii="Arial" w:cs="Arial" w:eastAsia="Arial" w:hAnsi="Arial"/>
                <w:sz w:val="14"/>
                <w:szCs w:val="14"/>
                <w:color w:val="auto"/>
              </w:rPr>
              <w:t>Dodge &amp; Cox</w:t>
            </w:r>
          </w:p>
        </w:tc>
        <w:tc>
          <w:tcPr>
            <w:tcW w:w="4120" w:type="dxa"/>
            <w:vAlign w:val="bottom"/>
          </w:tcPr>
          <w:p>
            <w:pPr>
              <w:jc w:val="right"/>
              <w:ind w:right="249"/>
              <w:spacing w:after="0" w:line="153" w:lineRule="exact"/>
              <w:rPr>
                <w:sz w:val="20"/>
                <w:szCs w:val="20"/>
                <w:color w:val="auto"/>
              </w:rPr>
            </w:pPr>
            <w:r>
              <w:rPr>
                <w:rFonts w:ascii="Arial" w:cs="Arial" w:eastAsia="Arial" w:hAnsi="Arial"/>
                <w:sz w:val="14"/>
                <w:szCs w:val="14"/>
                <w:color w:val="auto"/>
              </w:rPr>
              <w:t>83,005,521(5)</w:t>
            </w:r>
          </w:p>
        </w:tc>
        <w:tc>
          <w:tcPr>
            <w:tcW w:w="1260" w:type="dxa"/>
            <w:vAlign w:val="bottom"/>
          </w:tcPr>
          <w:p>
            <w:pPr>
              <w:jc w:val="right"/>
              <w:spacing w:after="0" w:line="153" w:lineRule="exact"/>
              <w:rPr>
                <w:sz w:val="20"/>
                <w:szCs w:val="20"/>
                <w:color w:val="auto"/>
              </w:rPr>
            </w:pPr>
            <w:r>
              <w:rPr>
                <w:rFonts w:ascii="Arial" w:cs="Arial" w:eastAsia="Arial" w:hAnsi="Arial"/>
                <w:sz w:val="14"/>
                <w:szCs w:val="14"/>
                <w:color w:val="auto"/>
              </w:rPr>
              <w:t>8.4%</w:t>
            </w:r>
          </w:p>
        </w:tc>
      </w:tr>
      <w:tr>
        <w:trPr>
          <w:trHeight w:val="154"/>
        </w:trPr>
        <w:tc>
          <w:tcPr>
            <w:tcW w:w="20" w:type="dxa"/>
            <w:vAlign w:val="bottom"/>
          </w:tcPr>
          <w:p>
            <w:pPr>
              <w:spacing w:after="0"/>
              <w:rPr>
                <w:sz w:val="13"/>
                <w:szCs w:val="13"/>
                <w:color w:val="auto"/>
              </w:rPr>
            </w:pPr>
          </w:p>
        </w:tc>
        <w:tc>
          <w:tcPr>
            <w:tcW w:w="5500" w:type="dxa"/>
            <w:vAlign w:val="bottom"/>
            <w:tcBorders>
              <w:top w:val="single" w:sz="8" w:color="666666"/>
              <w:bottom w:val="single" w:sz="8" w:color="auto"/>
            </w:tcBorders>
          </w:tcPr>
          <w:p>
            <w:pPr>
              <w:ind w:left="280"/>
              <w:spacing w:after="0" w:line="153" w:lineRule="exact"/>
              <w:rPr>
                <w:sz w:val="20"/>
                <w:szCs w:val="20"/>
                <w:color w:val="auto"/>
              </w:rPr>
            </w:pPr>
            <w:r>
              <w:rPr>
                <w:rFonts w:ascii="Arial" w:cs="Arial" w:eastAsia="Arial" w:hAnsi="Arial"/>
                <w:sz w:val="14"/>
                <w:szCs w:val="14"/>
                <w:color w:val="auto"/>
              </w:rPr>
              <w:t>555 California Street, 40th Floor</w:t>
            </w:r>
          </w:p>
        </w:tc>
        <w:tc>
          <w:tcPr>
            <w:tcW w:w="4120" w:type="dxa"/>
            <w:vAlign w:val="bottom"/>
            <w:tcBorders>
              <w:top w:val="single" w:sz="8" w:color="666666"/>
              <w:bottom w:val="single" w:sz="8" w:color="auto"/>
            </w:tcBorders>
          </w:tcPr>
          <w:p>
            <w:pPr>
              <w:spacing w:after="0"/>
              <w:rPr>
                <w:sz w:val="13"/>
                <w:szCs w:val="13"/>
                <w:color w:val="auto"/>
              </w:rPr>
            </w:pPr>
          </w:p>
        </w:tc>
        <w:tc>
          <w:tcPr>
            <w:tcW w:w="1260" w:type="dxa"/>
            <w:vAlign w:val="bottom"/>
            <w:tcBorders>
              <w:top w:val="single" w:sz="8" w:color="666666"/>
              <w:bottom w:val="single" w:sz="8" w:color="auto"/>
            </w:tcBorders>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500" w:type="dxa"/>
            <w:vAlign w:val="bottom"/>
            <w:tcBorders>
              <w:bottom w:val="single" w:sz="8" w:color="auto"/>
            </w:tcBorders>
          </w:tcPr>
          <w:p>
            <w:pPr>
              <w:ind w:left="280"/>
              <w:spacing w:after="0" w:line="153" w:lineRule="exact"/>
              <w:rPr>
                <w:sz w:val="20"/>
                <w:szCs w:val="20"/>
                <w:color w:val="auto"/>
              </w:rPr>
            </w:pPr>
            <w:r>
              <w:rPr>
                <w:rFonts w:ascii="Arial" w:cs="Arial" w:eastAsia="Arial" w:hAnsi="Arial"/>
                <w:sz w:val="14"/>
                <w:szCs w:val="14"/>
                <w:color w:val="auto"/>
              </w:rPr>
              <w:t>San Francisco, California 94104</w:t>
            </w:r>
          </w:p>
        </w:tc>
        <w:tc>
          <w:tcPr>
            <w:tcW w:w="4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154"/>
        </w:trPr>
        <w:tc>
          <w:tcPr>
            <w:tcW w:w="5520" w:type="dxa"/>
            <w:vAlign w:val="bottom"/>
            <w:gridSpan w:val="2"/>
          </w:tcPr>
          <w:p>
            <w:pPr>
              <w:spacing w:after="0" w:line="153" w:lineRule="exact"/>
              <w:rPr>
                <w:sz w:val="20"/>
                <w:szCs w:val="20"/>
                <w:color w:val="auto"/>
              </w:rPr>
            </w:pPr>
            <w:r>
              <w:rPr>
                <w:rFonts w:ascii="Arial" w:cs="Arial" w:eastAsia="Arial" w:hAnsi="Arial"/>
                <w:sz w:val="14"/>
                <w:szCs w:val="14"/>
                <w:color w:val="auto"/>
              </w:rPr>
              <w:t>The Vanguard Group</w:t>
            </w:r>
          </w:p>
        </w:tc>
        <w:tc>
          <w:tcPr>
            <w:tcW w:w="4120" w:type="dxa"/>
            <w:vAlign w:val="bottom"/>
          </w:tcPr>
          <w:p>
            <w:pPr>
              <w:jc w:val="right"/>
              <w:ind w:right="249"/>
              <w:spacing w:after="0" w:line="153" w:lineRule="exact"/>
              <w:rPr>
                <w:sz w:val="20"/>
                <w:szCs w:val="20"/>
                <w:color w:val="auto"/>
              </w:rPr>
            </w:pPr>
            <w:r>
              <w:rPr>
                <w:rFonts w:ascii="Arial" w:cs="Arial" w:eastAsia="Arial" w:hAnsi="Arial"/>
                <w:sz w:val="14"/>
                <w:szCs w:val="14"/>
                <w:color w:val="auto"/>
              </w:rPr>
              <w:t>82,163,758(6)</w:t>
            </w:r>
          </w:p>
        </w:tc>
        <w:tc>
          <w:tcPr>
            <w:tcW w:w="1260" w:type="dxa"/>
            <w:vAlign w:val="bottom"/>
          </w:tcPr>
          <w:p>
            <w:pPr>
              <w:jc w:val="right"/>
              <w:spacing w:after="0" w:line="153" w:lineRule="exact"/>
              <w:rPr>
                <w:sz w:val="20"/>
                <w:szCs w:val="20"/>
                <w:color w:val="auto"/>
              </w:rPr>
            </w:pPr>
            <w:r>
              <w:rPr>
                <w:rFonts w:ascii="Arial" w:cs="Arial" w:eastAsia="Arial" w:hAnsi="Arial"/>
                <w:sz w:val="14"/>
                <w:szCs w:val="14"/>
                <w:color w:val="auto"/>
              </w:rPr>
              <w:t>8.3%</w:t>
            </w:r>
          </w:p>
        </w:tc>
      </w:tr>
      <w:tr>
        <w:trPr>
          <w:trHeight w:val="154"/>
        </w:trPr>
        <w:tc>
          <w:tcPr>
            <w:tcW w:w="20" w:type="dxa"/>
            <w:vAlign w:val="bottom"/>
          </w:tcPr>
          <w:p>
            <w:pPr>
              <w:spacing w:after="0"/>
              <w:rPr>
                <w:sz w:val="13"/>
                <w:szCs w:val="13"/>
                <w:color w:val="auto"/>
              </w:rPr>
            </w:pPr>
          </w:p>
        </w:tc>
        <w:tc>
          <w:tcPr>
            <w:tcW w:w="5500" w:type="dxa"/>
            <w:vAlign w:val="bottom"/>
            <w:tcBorders>
              <w:top w:val="single" w:sz="8" w:color="666666"/>
              <w:bottom w:val="single" w:sz="8" w:color="auto"/>
            </w:tcBorders>
          </w:tcPr>
          <w:p>
            <w:pPr>
              <w:ind w:left="280"/>
              <w:spacing w:after="0" w:line="153" w:lineRule="exact"/>
              <w:rPr>
                <w:sz w:val="20"/>
                <w:szCs w:val="20"/>
                <w:color w:val="auto"/>
              </w:rPr>
            </w:pPr>
            <w:r>
              <w:rPr>
                <w:rFonts w:ascii="Arial" w:cs="Arial" w:eastAsia="Arial" w:hAnsi="Arial"/>
                <w:sz w:val="14"/>
                <w:szCs w:val="14"/>
                <w:color w:val="auto"/>
              </w:rPr>
              <w:t>100 Vanguard Blvd.</w:t>
            </w:r>
          </w:p>
        </w:tc>
        <w:tc>
          <w:tcPr>
            <w:tcW w:w="4120" w:type="dxa"/>
            <w:vAlign w:val="bottom"/>
            <w:tcBorders>
              <w:top w:val="single" w:sz="8" w:color="666666"/>
              <w:bottom w:val="single" w:sz="8" w:color="auto"/>
            </w:tcBorders>
          </w:tcPr>
          <w:p>
            <w:pPr>
              <w:spacing w:after="0"/>
              <w:rPr>
                <w:sz w:val="13"/>
                <w:szCs w:val="13"/>
                <w:color w:val="auto"/>
              </w:rPr>
            </w:pPr>
          </w:p>
        </w:tc>
        <w:tc>
          <w:tcPr>
            <w:tcW w:w="1260" w:type="dxa"/>
            <w:vAlign w:val="bottom"/>
            <w:tcBorders>
              <w:top w:val="single" w:sz="8" w:color="666666"/>
              <w:bottom w:val="single" w:sz="8" w:color="auto"/>
            </w:tcBorders>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500" w:type="dxa"/>
            <w:vAlign w:val="bottom"/>
            <w:tcBorders>
              <w:bottom w:val="single" w:sz="8" w:color="auto"/>
            </w:tcBorders>
          </w:tcPr>
          <w:p>
            <w:pPr>
              <w:ind w:left="280"/>
              <w:spacing w:after="0" w:line="153" w:lineRule="exact"/>
              <w:rPr>
                <w:sz w:val="20"/>
                <w:szCs w:val="20"/>
                <w:color w:val="auto"/>
              </w:rPr>
            </w:pPr>
            <w:r>
              <w:rPr>
                <w:rFonts w:ascii="Arial" w:cs="Arial" w:eastAsia="Arial" w:hAnsi="Arial"/>
                <w:sz w:val="14"/>
                <w:szCs w:val="14"/>
                <w:color w:val="auto"/>
              </w:rPr>
              <w:t>Malvern, Pennsylvania 19355</w:t>
            </w:r>
          </w:p>
        </w:tc>
        <w:tc>
          <w:tcPr>
            <w:tcW w:w="4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154"/>
        </w:trPr>
        <w:tc>
          <w:tcPr>
            <w:tcW w:w="5520" w:type="dxa"/>
            <w:vAlign w:val="bottom"/>
            <w:gridSpan w:val="2"/>
          </w:tcPr>
          <w:p>
            <w:pPr>
              <w:spacing w:after="0" w:line="153" w:lineRule="exact"/>
              <w:rPr>
                <w:sz w:val="20"/>
                <w:szCs w:val="20"/>
                <w:color w:val="auto"/>
              </w:rPr>
            </w:pPr>
            <w:r>
              <w:rPr>
                <w:rFonts w:ascii="Arial" w:cs="Arial" w:eastAsia="Arial" w:hAnsi="Arial"/>
                <w:sz w:val="14"/>
                <w:szCs w:val="14"/>
                <w:color w:val="auto"/>
              </w:rPr>
              <w:t>Harris Associates L.P.</w:t>
            </w:r>
          </w:p>
        </w:tc>
        <w:tc>
          <w:tcPr>
            <w:tcW w:w="4120" w:type="dxa"/>
            <w:vAlign w:val="bottom"/>
          </w:tcPr>
          <w:p>
            <w:pPr>
              <w:jc w:val="right"/>
              <w:ind w:right="249"/>
              <w:spacing w:after="0" w:line="153" w:lineRule="exact"/>
              <w:rPr>
                <w:sz w:val="20"/>
                <w:szCs w:val="20"/>
                <w:color w:val="auto"/>
              </w:rPr>
            </w:pPr>
            <w:r>
              <w:rPr>
                <w:rFonts w:ascii="Arial" w:cs="Arial" w:eastAsia="Arial" w:hAnsi="Arial"/>
                <w:sz w:val="14"/>
                <w:szCs w:val="14"/>
                <w:color w:val="auto"/>
              </w:rPr>
              <w:t>69,103,790(7)</w:t>
            </w:r>
          </w:p>
        </w:tc>
        <w:tc>
          <w:tcPr>
            <w:tcW w:w="1260" w:type="dxa"/>
            <w:vAlign w:val="bottom"/>
          </w:tcPr>
          <w:p>
            <w:pPr>
              <w:jc w:val="right"/>
              <w:spacing w:after="0" w:line="153" w:lineRule="exact"/>
              <w:rPr>
                <w:sz w:val="20"/>
                <w:szCs w:val="20"/>
                <w:color w:val="auto"/>
              </w:rPr>
            </w:pPr>
            <w:r>
              <w:rPr>
                <w:rFonts w:ascii="Arial" w:cs="Arial" w:eastAsia="Arial" w:hAnsi="Arial"/>
                <w:sz w:val="14"/>
                <w:szCs w:val="14"/>
                <w:color w:val="auto"/>
              </w:rPr>
              <w:t>7.0%</w:t>
            </w:r>
          </w:p>
        </w:tc>
      </w:tr>
      <w:tr>
        <w:trPr>
          <w:trHeight w:val="154"/>
        </w:trPr>
        <w:tc>
          <w:tcPr>
            <w:tcW w:w="20" w:type="dxa"/>
            <w:vAlign w:val="bottom"/>
          </w:tcPr>
          <w:p>
            <w:pPr>
              <w:spacing w:after="0"/>
              <w:rPr>
                <w:sz w:val="13"/>
                <w:szCs w:val="13"/>
                <w:color w:val="auto"/>
              </w:rPr>
            </w:pPr>
          </w:p>
        </w:tc>
        <w:tc>
          <w:tcPr>
            <w:tcW w:w="5500" w:type="dxa"/>
            <w:vAlign w:val="bottom"/>
            <w:tcBorders>
              <w:top w:val="single" w:sz="8" w:color="666666"/>
              <w:bottom w:val="single" w:sz="8" w:color="auto"/>
            </w:tcBorders>
          </w:tcPr>
          <w:p>
            <w:pPr>
              <w:ind w:left="280"/>
              <w:spacing w:after="0" w:line="153" w:lineRule="exact"/>
              <w:rPr>
                <w:sz w:val="20"/>
                <w:szCs w:val="20"/>
                <w:color w:val="auto"/>
              </w:rPr>
            </w:pPr>
            <w:r>
              <w:rPr>
                <w:rFonts w:ascii="Arial" w:cs="Arial" w:eastAsia="Arial" w:hAnsi="Arial"/>
                <w:sz w:val="14"/>
                <w:szCs w:val="14"/>
                <w:color w:val="auto"/>
              </w:rPr>
              <w:t>111 S. Wacker Drive, Suite 4600.</w:t>
            </w:r>
          </w:p>
        </w:tc>
        <w:tc>
          <w:tcPr>
            <w:tcW w:w="4120" w:type="dxa"/>
            <w:vAlign w:val="bottom"/>
            <w:tcBorders>
              <w:top w:val="single" w:sz="8" w:color="666666"/>
              <w:bottom w:val="single" w:sz="8" w:color="auto"/>
            </w:tcBorders>
          </w:tcPr>
          <w:p>
            <w:pPr>
              <w:spacing w:after="0"/>
              <w:rPr>
                <w:sz w:val="13"/>
                <w:szCs w:val="13"/>
                <w:color w:val="auto"/>
              </w:rPr>
            </w:pPr>
          </w:p>
        </w:tc>
        <w:tc>
          <w:tcPr>
            <w:tcW w:w="1260" w:type="dxa"/>
            <w:vAlign w:val="bottom"/>
            <w:tcBorders>
              <w:top w:val="single" w:sz="8" w:color="666666"/>
              <w:bottom w:val="single" w:sz="8" w:color="auto"/>
            </w:tcBorders>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500" w:type="dxa"/>
            <w:vAlign w:val="bottom"/>
            <w:tcBorders>
              <w:bottom w:val="single" w:sz="8" w:color="auto"/>
            </w:tcBorders>
          </w:tcPr>
          <w:p>
            <w:pPr>
              <w:ind w:left="280"/>
              <w:spacing w:after="0" w:line="153" w:lineRule="exact"/>
              <w:rPr>
                <w:sz w:val="20"/>
                <w:szCs w:val="20"/>
                <w:color w:val="auto"/>
              </w:rPr>
            </w:pPr>
            <w:r>
              <w:rPr>
                <w:rFonts w:ascii="Arial" w:cs="Arial" w:eastAsia="Arial" w:hAnsi="Arial"/>
                <w:sz w:val="14"/>
                <w:szCs w:val="14"/>
                <w:color w:val="auto"/>
              </w:rPr>
              <w:t>Chicago, Illinois 60606</w:t>
            </w:r>
          </w:p>
        </w:tc>
        <w:tc>
          <w:tcPr>
            <w:tcW w:w="4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bl>
    <w:p>
      <w:pPr>
        <w:spacing w:after="0" w:line="45" w:lineRule="exact"/>
        <w:rPr>
          <w:sz w:val="20"/>
          <w:szCs w:val="20"/>
          <w:color w:val="auto"/>
        </w:rPr>
      </w:pPr>
    </w:p>
    <w:p>
      <w:pPr>
        <w:ind w:left="480" w:hanging="213"/>
        <w:spacing w:after="0"/>
        <w:tabs>
          <w:tab w:leader="none" w:pos="4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percentage indicated is based on 993,680,800 outstanding shares as of March 2, 2018.</w:t>
      </w:r>
    </w:p>
    <w:p>
      <w:pPr>
        <w:spacing w:after="0" w:line="39" w:lineRule="exact"/>
        <w:rPr>
          <w:rFonts w:ascii="Arial" w:cs="Arial" w:eastAsia="Arial" w:hAnsi="Arial"/>
          <w:sz w:val="14"/>
          <w:szCs w:val="14"/>
          <w:color w:val="auto"/>
        </w:rPr>
      </w:pPr>
    </w:p>
    <w:p>
      <w:pPr>
        <w:jc w:val="both"/>
        <w:ind w:left="480" w:right="140" w:hanging="213"/>
        <w:spacing w:after="0" w:line="246" w:lineRule="auto"/>
        <w:tabs>
          <w:tab w:leader="none" w:pos="4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dated February 14, 2018 and filed with the SEC by ClearBridge Investments, LLC. According to the filing, (i) the beneficial owner has sole voting power over 126,855,004 shares and sole dispositive power over all shares, and (ii) the beneficial owner does not have shared voting or dispositive power over any of the shares.</w:t>
      </w:r>
    </w:p>
    <w:p>
      <w:pPr>
        <w:spacing w:after="0" w:line="25" w:lineRule="exact"/>
        <w:rPr>
          <w:rFonts w:ascii="Arial" w:cs="Arial" w:eastAsia="Arial" w:hAnsi="Arial"/>
          <w:sz w:val="14"/>
          <w:szCs w:val="14"/>
          <w:color w:val="auto"/>
        </w:rPr>
      </w:pPr>
    </w:p>
    <w:p>
      <w:pPr>
        <w:ind w:left="480" w:right="140" w:hanging="213"/>
        <w:spacing w:after="0" w:line="243" w:lineRule="auto"/>
        <w:tabs>
          <w:tab w:leader="none" w:pos="4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dated February 8, 2018 and filed with the SEC by Capital World Investors, a division of Capital Research and Management Company (“CRMC”). CRMC acts as investment adviser to various investment companies registered under Section 8 of the Investment Company Act of 1940 and disclaims beneficial ownership of the shares pursuant to Rule 13d-4. According to the filing, (i) the beneficial owner reports sole voting power over 93,480,839 shares and sole dispositive power over all shares, and (ii) the beneficial owner does not have shared voting or dispositive power over any of the shares.</w:t>
      </w:r>
    </w:p>
    <w:p>
      <w:pPr>
        <w:spacing w:after="0" w:line="28" w:lineRule="exact"/>
        <w:rPr>
          <w:rFonts w:ascii="Arial" w:cs="Arial" w:eastAsia="Arial" w:hAnsi="Arial"/>
          <w:sz w:val="14"/>
          <w:szCs w:val="14"/>
          <w:color w:val="auto"/>
        </w:rPr>
      </w:pPr>
    </w:p>
    <w:p>
      <w:pPr>
        <w:ind w:left="480" w:right="80" w:hanging="213"/>
        <w:spacing w:after="0" w:line="246" w:lineRule="auto"/>
        <w:tabs>
          <w:tab w:leader="none" w:pos="4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dated February 9, 2018 and jointly filed with the SEC by CVI Investments, Inc. and Heights Capital Management, Inc. According to the filing, (i) the beneficial owner reports sole voting and sole dispositive power over no shares, and (ii) the beneficial owner reports shared voting and dispositive power over all of the shares with Heights Capital Management Inc., the investment manager to CVI Investments, Inc.</w:t>
      </w:r>
    </w:p>
    <w:p>
      <w:pPr>
        <w:spacing w:after="0" w:line="25" w:lineRule="exact"/>
        <w:rPr>
          <w:rFonts w:ascii="Arial" w:cs="Arial" w:eastAsia="Arial" w:hAnsi="Arial"/>
          <w:sz w:val="14"/>
          <w:szCs w:val="14"/>
          <w:color w:val="auto"/>
        </w:rPr>
      </w:pPr>
    </w:p>
    <w:p>
      <w:pPr>
        <w:ind w:left="480" w:right="100" w:hanging="213"/>
        <w:spacing w:after="0" w:line="246" w:lineRule="auto"/>
        <w:tabs>
          <w:tab w:leader="none" w:pos="4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dated February 13, 2018 and filed with the SEC by Dodge &amp; Cox. According to the filing, (i) the beneficial reports sole voting power over 80,646,971 shares and sole dispositive power over all shares, and (ii) the beneficial owner reports shared voting and dispositive power over no shares.</w:t>
      </w:r>
    </w:p>
    <w:p>
      <w:pPr>
        <w:spacing w:after="0" w:line="25" w:lineRule="exact"/>
        <w:rPr>
          <w:rFonts w:ascii="Arial" w:cs="Arial" w:eastAsia="Arial" w:hAnsi="Arial"/>
          <w:sz w:val="14"/>
          <w:szCs w:val="14"/>
          <w:color w:val="auto"/>
        </w:rPr>
      </w:pPr>
    </w:p>
    <w:p>
      <w:pPr>
        <w:jc w:val="both"/>
        <w:ind w:left="480" w:right="140" w:hanging="213"/>
        <w:spacing w:after="0" w:line="246" w:lineRule="auto"/>
        <w:tabs>
          <w:tab w:leader="none" w:pos="4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dated February 7, 2018 and filed with the SEC by The Vanguard Group. According to the filing, (i) the beneficial owner reports sole voting power over 505,255 shares and sole dispositive power over 81,556,738 shares, and (ii) the beneficial owner reports shared voting power over 174,300 shares and has shared dispositive power over 607,020 of the shares.</w:t>
      </w:r>
    </w:p>
    <w:p>
      <w:pPr>
        <w:spacing w:after="0" w:line="26" w:lineRule="exact"/>
        <w:rPr>
          <w:sz w:val="20"/>
          <w:szCs w:val="20"/>
          <w:color w:val="auto"/>
        </w:rPr>
      </w:pPr>
    </w:p>
    <w:p>
      <w:pPr>
        <w:ind w:left="480" w:right="220" w:hanging="213"/>
        <w:spacing w:after="0" w:line="246" w:lineRule="auto"/>
        <w:tabs>
          <w:tab w:leader="none" w:pos="48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number of shares is based on the Schedule 13G dated February 14, 2018 and filed with the SEC by Harris Associates L.P. According to the filing, (i) the beneficial owner reports sole voting power over 67,855,580 shares and sole dispositive power over all shares, and (ii) the beneficial owner does not have shared voting or dispositive power over any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89535</wp:posOffset>
            </wp:positionV>
            <wp:extent cx="69176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620" w:hanging="353"/>
        <w:spacing w:after="0"/>
        <w:tabs>
          <w:tab w:leader="none" w:pos="620" w:val="left"/>
        </w:tabs>
        <w:numPr>
          <w:ilvl w:val="0"/>
          <w:numId w:val="106"/>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2018 Proxy Statement</w:t>
      </w:r>
    </w:p>
    <w:p>
      <w:pPr>
        <w:sectPr>
          <w:pgSz w:w="11900" w:h="16838" w:orient="portrait"/>
          <w:cols w:equalWidth="0" w:num="1">
            <w:col w:w="11160"/>
          </w:cols>
          <w:pgMar w:left="240" w:top="455"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OTHER INFORMATION</w:t>
      </w:r>
    </w:p>
    <w:p>
      <w:pPr>
        <w:spacing w:after="0" w:line="173" w:lineRule="exact"/>
        <w:rPr>
          <w:sz w:val="20"/>
          <w:szCs w:val="20"/>
          <w:color w:val="auto"/>
        </w:rPr>
      </w:pPr>
    </w:p>
    <w:p>
      <w:pPr>
        <w:ind w:left="260" w:right="1760"/>
        <w:spacing w:after="0" w:line="275" w:lineRule="auto"/>
        <w:rPr>
          <w:sz w:val="20"/>
          <w:szCs w:val="20"/>
          <w:color w:val="auto"/>
        </w:rPr>
      </w:pPr>
      <w:r>
        <w:rPr>
          <w:rFonts w:ascii="Arial" w:cs="Arial" w:eastAsia="Arial" w:hAnsi="Arial"/>
          <w:sz w:val="43"/>
          <w:szCs w:val="43"/>
          <w:b w:val="1"/>
          <w:bCs w:val="1"/>
          <w:color w:val="666666"/>
        </w:rPr>
        <w:t>MANDATORY MINIMUM SHARE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-718820</wp:posOffset>
            </wp:positionV>
            <wp:extent cx="8223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07" w:lineRule="exact"/>
        <w:rPr>
          <w:sz w:val="20"/>
          <w:szCs w:val="20"/>
          <w:color w:val="auto"/>
        </w:rPr>
      </w:pPr>
    </w:p>
    <w:p>
      <w:pPr>
        <w:ind w:left="260" w:right="60"/>
        <w:spacing w:after="0" w:line="243" w:lineRule="auto"/>
        <w:rPr>
          <w:sz w:val="20"/>
          <w:szCs w:val="20"/>
          <w:color w:val="auto"/>
        </w:rPr>
      </w:pPr>
      <w:r>
        <w:rPr>
          <w:rFonts w:ascii="Arial" w:cs="Arial" w:eastAsia="Arial" w:hAnsi="Arial"/>
          <w:sz w:val="14"/>
          <w:szCs w:val="14"/>
          <w:color w:val="auto"/>
        </w:rPr>
        <w:t>The Board believes that it is important to align the interests of management with the interests of our shareholders. In furtherance of this philosophy, the Company has adopted the following mandatory minimum share ownership guidelines. Share ownership includes shares owned directly as well as equity- based awards not yet fully vested and retirement plans (including our 401(k) plan). The minimum guidelines are based on a multiple of base salary or, in the case of directors, annual cash retainer. The guidelines are as follows:</w:t>
      </w:r>
    </w:p>
    <w:p>
      <w:pPr>
        <w:spacing w:after="0" w:line="178" w:lineRule="exact"/>
        <w:rPr>
          <w:sz w:val="20"/>
          <w:szCs w:val="20"/>
          <w:color w:val="auto"/>
        </w:rPr>
      </w:pPr>
    </w:p>
    <w:tbl>
      <w:tblPr>
        <w:tblLayout w:type="fixed"/>
        <w:tblInd w:w="260" w:type="dxa"/>
        <w:tblCellMar>
          <w:top w:w="0" w:type="dxa"/>
          <w:left w:w="0" w:type="dxa"/>
          <w:bottom w:w="0" w:type="dxa"/>
          <w:right w:w="0" w:type="dxa"/>
        </w:tblCellMar>
      </w:tblPr>
      <w:tr>
        <w:trPr>
          <w:trHeight w:val="178"/>
        </w:trPr>
        <w:tc>
          <w:tcPr>
            <w:tcW w:w="6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Chief Executive Officer</w:t>
            </w:r>
          </w:p>
        </w:tc>
        <w:tc>
          <w:tcPr>
            <w:tcW w:w="4780" w:type="dxa"/>
            <w:vAlign w:val="bottom"/>
            <w:tcBorders>
              <w:top w:val="single" w:sz="8" w:color="auto"/>
            </w:tcBorders>
          </w:tcPr>
          <w:p>
            <w:pPr>
              <w:ind w:left="4600"/>
              <w:spacing w:after="0"/>
              <w:rPr>
                <w:sz w:val="20"/>
                <w:szCs w:val="20"/>
                <w:color w:val="auto"/>
              </w:rPr>
            </w:pPr>
            <w:r>
              <w:rPr>
                <w:rFonts w:ascii="Arial" w:cs="Arial" w:eastAsia="Arial" w:hAnsi="Arial"/>
                <w:sz w:val="14"/>
                <w:szCs w:val="14"/>
                <w:color w:val="auto"/>
              </w:rPr>
              <w:t>6x</w:t>
            </w:r>
          </w:p>
        </w:tc>
      </w:tr>
      <w:tr>
        <w:trPr>
          <w:trHeight w:val="160"/>
        </w:trPr>
        <w:tc>
          <w:tcPr>
            <w:tcW w:w="6120" w:type="dxa"/>
            <w:vAlign w:val="bottom"/>
          </w:tcPr>
          <w:p>
            <w:pPr>
              <w:spacing w:after="0"/>
              <w:rPr>
                <w:sz w:val="20"/>
                <w:szCs w:val="20"/>
                <w:color w:val="auto"/>
              </w:rPr>
            </w:pPr>
            <w:r>
              <w:rPr>
                <w:rFonts w:ascii="Arial" w:cs="Arial" w:eastAsia="Arial" w:hAnsi="Arial"/>
                <w:sz w:val="14"/>
                <w:szCs w:val="14"/>
                <w:color w:val="auto"/>
              </w:rPr>
              <w:t>Other Executive Officers</w:t>
            </w:r>
          </w:p>
        </w:tc>
        <w:tc>
          <w:tcPr>
            <w:tcW w:w="4780" w:type="dxa"/>
            <w:vAlign w:val="bottom"/>
          </w:tcPr>
          <w:p>
            <w:pPr>
              <w:ind w:left="4600"/>
              <w:spacing w:after="0"/>
              <w:rPr>
                <w:sz w:val="20"/>
                <w:szCs w:val="20"/>
                <w:color w:val="auto"/>
              </w:rPr>
            </w:pPr>
            <w:r>
              <w:rPr>
                <w:rFonts w:ascii="Arial" w:cs="Arial" w:eastAsia="Arial" w:hAnsi="Arial"/>
                <w:sz w:val="14"/>
                <w:szCs w:val="14"/>
                <w:color w:val="auto"/>
              </w:rPr>
              <w:t>3x</w:t>
            </w:r>
          </w:p>
        </w:tc>
      </w:tr>
      <w:tr>
        <w:trPr>
          <w:trHeight w:val="155"/>
        </w:trPr>
        <w:tc>
          <w:tcPr>
            <w:tcW w:w="6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Directors</w:t>
            </w:r>
          </w:p>
        </w:tc>
        <w:tc>
          <w:tcPr>
            <w:tcW w:w="4780" w:type="dxa"/>
            <w:vAlign w:val="bottom"/>
            <w:tcBorders>
              <w:bottom w:val="single" w:sz="8" w:color="auto"/>
            </w:tcBorders>
          </w:tcPr>
          <w:p>
            <w:pPr>
              <w:ind w:left="4600"/>
              <w:spacing w:after="0" w:line="155" w:lineRule="exact"/>
              <w:rPr>
                <w:sz w:val="20"/>
                <w:szCs w:val="20"/>
                <w:color w:val="auto"/>
              </w:rPr>
            </w:pPr>
            <w:r>
              <w:rPr>
                <w:rFonts w:ascii="Arial" w:cs="Arial" w:eastAsia="Arial" w:hAnsi="Arial"/>
                <w:sz w:val="14"/>
                <w:szCs w:val="14"/>
                <w:color w:val="auto"/>
              </w:rPr>
              <w:t>5x</w:t>
            </w:r>
          </w:p>
        </w:tc>
      </w:tr>
    </w:tbl>
    <w:p>
      <w:pPr>
        <w:spacing w:after="0" w:line="178" w:lineRule="exact"/>
        <w:rPr>
          <w:sz w:val="20"/>
          <w:szCs w:val="20"/>
          <w:color w:val="auto"/>
        </w:rPr>
      </w:pPr>
    </w:p>
    <w:p>
      <w:pPr>
        <w:ind w:left="260" w:right="200"/>
        <w:spacing w:after="0" w:line="253" w:lineRule="auto"/>
        <w:rPr>
          <w:sz w:val="20"/>
          <w:szCs w:val="20"/>
          <w:color w:val="auto"/>
        </w:rPr>
      </w:pPr>
      <w:r>
        <w:rPr>
          <w:rFonts w:ascii="Arial" w:cs="Arial" w:eastAsia="Arial" w:hAnsi="Arial"/>
          <w:sz w:val="14"/>
          <w:szCs w:val="14"/>
          <w:color w:val="auto"/>
        </w:rPr>
        <w:t>A transition period of five years is allowed for new directors and executive officers in order to achieve the ownership amount, provided, however, that holding requirements are expected to be fulfilled through equity grants issued by Weatherford, not through open market transactions.</w:t>
      </w:r>
    </w:p>
    <w:p>
      <w:pPr>
        <w:spacing w:after="0" w:line="155" w:lineRule="exact"/>
        <w:rPr>
          <w:sz w:val="20"/>
          <w:szCs w:val="20"/>
          <w:color w:val="auto"/>
        </w:rPr>
      </w:pPr>
    </w:p>
    <w:p>
      <w:pPr>
        <w:ind w:left="260" w:right="60"/>
        <w:spacing w:after="0" w:line="242" w:lineRule="auto"/>
        <w:rPr>
          <w:sz w:val="20"/>
          <w:szCs w:val="20"/>
          <w:color w:val="auto"/>
        </w:rPr>
      </w:pPr>
      <w:r>
        <w:rPr>
          <w:rFonts w:ascii="Arial" w:cs="Arial" w:eastAsia="Arial" w:hAnsi="Arial"/>
          <w:sz w:val="14"/>
          <w:szCs w:val="14"/>
          <w:color w:val="auto"/>
        </w:rPr>
        <w:t>The Committee has reviewed the share ownership of our executive officers and directors and, subject to the transition periods and limitations described above, determined that other than Sir Emyr Jones Parry and Dr. Ortiz, they meet or exceed these share ownership guidelines. With respect to Sir Emyr Jones Parry and Dr. Ortiz, the Company notes that these directors have historically been in full compliance, however due to the extreme decline in the Company’s share price over the energy downturn, these directors are temporarily out of compliance. The Company does not expect, nor do our minimum share ownership guidelines require, additional open market purchases by our directors.</w:t>
      </w:r>
    </w:p>
    <w:p>
      <w:pPr>
        <w:spacing w:after="0" w:line="200" w:lineRule="exact"/>
        <w:rPr>
          <w:sz w:val="20"/>
          <w:szCs w:val="20"/>
          <w:color w:val="auto"/>
        </w:rPr>
      </w:pPr>
    </w:p>
    <w:p>
      <w:pPr>
        <w:spacing w:after="0" w:line="321" w:lineRule="exact"/>
        <w:rPr>
          <w:sz w:val="20"/>
          <w:szCs w:val="20"/>
          <w:color w:val="auto"/>
        </w:rPr>
      </w:pPr>
    </w:p>
    <w:p>
      <w:pPr>
        <w:ind w:left="260" w:right="2380"/>
        <w:spacing w:after="0" w:line="275" w:lineRule="auto"/>
        <w:rPr>
          <w:sz w:val="20"/>
          <w:szCs w:val="20"/>
          <w:color w:val="auto"/>
        </w:rPr>
      </w:pPr>
      <w:r>
        <w:rPr>
          <w:rFonts w:ascii="Arial" w:cs="Arial" w:eastAsia="Arial" w:hAnsi="Arial"/>
          <w:sz w:val="43"/>
          <w:szCs w:val="43"/>
          <w:b w:val="1"/>
          <w:bCs w:val="1"/>
          <w:color w:val="auto"/>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-710565</wp:posOffset>
            </wp:positionV>
            <wp:extent cx="8223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07" w:lineRule="exact"/>
        <w:rPr>
          <w:sz w:val="20"/>
          <w:szCs w:val="20"/>
          <w:color w:val="auto"/>
        </w:rPr>
      </w:pPr>
    </w:p>
    <w:p>
      <w:pPr>
        <w:ind w:left="260" w:right="60"/>
        <w:spacing w:after="0" w:line="253" w:lineRule="auto"/>
        <w:rPr>
          <w:sz w:val="20"/>
          <w:szCs w:val="20"/>
          <w:color w:val="auto"/>
        </w:rPr>
      </w:pPr>
      <w:r>
        <w:rPr>
          <w:rFonts w:ascii="Arial" w:cs="Arial" w:eastAsia="Arial" w:hAnsi="Arial"/>
          <w:sz w:val="14"/>
          <w:szCs w:val="14"/>
          <w:color w:val="auto"/>
        </w:rPr>
        <w:t>All of our executive officers and directors are required to file initial reports of share ownership and reports of changes in ownership with the SEC pursuant to Section 16(a) of the Exchange Act.</w:t>
      </w:r>
    </w:p>
    <w:p>
      <w:pPr>
        <w:spacing w:after="0" w:line="168" w:lineRule="exact"/>
        <w:rPr>
          <w:sz w:val="20"/>
          <w:szCs w:val="20"/>
          <w:color w:val="auto"/>
        </w:rPr>
      </w:pPr>
    </w:p>
    <w:p>
      <w:pPr>
        <w:ind w:left="260" w:right="60"/>
        <w:spacing w:after="0" w:line="253" w:lineRule="auto"/>
        <w:rPr>
          <w:sz w:val="20"/>
          <w:szCs w:val="20"/>
          <w:color w:val="auto"/>
        </w:rPr>
      </w:pPr>
      <w:r>
        <w:rPr>
          <w:rFonts w:ascii="Arial" w:cs="Arial" w:eastAsia="Arial" w:hAnsi="Arial"/>
          <w:sz w:val="14"/>
          <w:szCs w:val="14"/>
          <w:color w:val="auto"/>
        </w:rPr>
        <w:t>We have reviewed these reports, including any amendments, and written representations from the executive officers and directors of the Company. Based on this review, we believe that all 2017 filing requirements were met for each of our directors and executive officers subject to Section 16(a).</w:t>
      </w:r>
    </w:p>
    <w:p>
      <w:pPr>
        <w:spacing w:after="0" w:line="350"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140"/>
        <w:spacing w:after="0" w:line="243" w:lineRule="auto"/>
        <w:rPr>
          <w:sz w:val="20"/>
          <w:szCs w:val="20"/>
          <w:color w:val="auto"/>
        </w:rPr>
      </w:pPr>
      <w:r>
        <w:rPr>
          <w:rFonts w:ascii="Arial" w:cs="Arial" w:eastAsia="Arial" w:hAnsi="Arial"/>
          <w:sz w:val="14"/>
          <w:szCs w:val="14"/>
          <w:color w:val="auto"/>
        </w:rPr>
        <w:t>The Audit Committee Report and the Compensation Committee Report contained in this Proxy Statement are not deemed to be soliciting material or filed with the SEC and shall not be deemed incorporated by reference into any prior or future filings we make under the Securities Act of 1933, as amended, or the Exchange Act, except to the extent that we specifically incorporate any of this information by reference. Information contained in or connected to our website is not incorporated by reference into this Proxy Statement and should not be considered part of this Proxy Statement or any other filing that we make with the SEC.</w:t>
      </w:r>
    </w:p>
    <w:p>
      <w:pPr>
        <w:spacing w:after="0" w:line="358"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auto"/>
        </w:rPr>
        <w:t>PRESENTATION OF IRISH STATUTORY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80"/>
        <w:spacing w:after="0" w:line="242" w:lineRule="auto"/>
        <w:rPr>
          <w:sz w:val="20"/>
          <w:szCs w:val="20"/>
          <w:color w:val="auto"/>
        </w:rPr>
      </w:pPr>
      <w:r>
        <w:rPr>
          <w:rFonts w:ascii="Arial" w:cs="Arial" w:eastAsia="Arial" w:hAnsi="Arial"/>
          <w:sz w:val="14"/>
          <w:szCs w:val="14"/>
          <w:color w:val="auto"/>
        </w:rPr>
        <w:t xml:space="preserve">The Company’s Irish Statutory Accounts for the fiscal year ended December 31, 2017, including the reports of the directors and Irish statutory auditor thereon, will be presented at the Annual General Meeting, and there will be a review of the Company’s affairs. The Company’s Irish Statutory Accounts have been approved by the Board of Directors of the Company. There is no requirement under Irish law that such statements be approved by shareholders, and no such approval will be sought at the Annual General Meeting. The Company’s Irish Statutory Accounts are available with the Proxy Statement, and the Company’s Annual Report at www.weatherfordannualreport.com and in the Investor Relations section of the Company’s website at </w:t>
      </w:r>
      <w:r>
        <w:rPr>
          <w:rFonts w:ascii="Arial" w:cs="Arial" w:eastAsia="Arial" w:hAnsi="Arial"/>
          <w:sz w:val="14"/>
          <w:szCs w:val="14"/>
          <w:i w:val="1"/>
          <w:iCs w:val="1"/>
          <w:color w:val="auto"/>
        </w:rPr>
        <w:t>www.weatherford.com</w:t>
      </w:r>
      <w:r>
        <w:rPr>
          <w:rFonts w:ascii="Arial" w:cs="Arial" w:eastAsia="Arial" w:hAnsi="Arial"/>
          <w:sz w:val="14"/>
          <w:szCs w:val="14"/>
          <w:color w:val="auto"/>
        </w:rPr>
        <w:t>.</w:t>
      </w:r>
    </w:p>
    <w:p>
      <w:pPr>
        <w:spacing w:after="0" w:line="358"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auto"/>
        </w:rPr>
        <w:t>PROPOSALS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180"/>
        <w:spacing w:after="0" w:line="243" w:lineRule="auto"/>
        <w:rPr>
          <w:sz w:val="20"/>
          <w:szCs w:val="20"/>
          <w:color w:val="auto"/>
        </w:rPr>
      </w:pPr>
      <w:r>
        <w:rPr>
          <w:rFonts w:ascii="Arial" w:cs="Arial" w:eastAsia="Arial" w:hAnsi="Arial"/>
          <w:sz w:val="14"/>
          <w:szCs w:val="14"/>
          <w:color w:val="auto"/>
        </w:rPr>
        <w:t>Rule 14a-8 under the Exchange Act addresses when a company must include a shareholder’s proposal in its Proxy Statement and identify the proposal in its form of proxy when the company holds a meeting of shareholders. Under Rule 14a-8, in order for your proposals to be considered for inclusion in the Proxy Statement and proxy card relating to our 2019 annual general meeting, your proposals must be received by us by November 14, 2018 and must otherwise comply with Rule 14a-8. Any proposal received after such date will be considered untimely.</w:t>
      </w:r>
    </w:p>
    <w:p>
      <w:pPr>
        <w:spacing w:after="0" w:line="162" w:lineRule="exact"/>
        <w:rPr>
          <w:sz w:val="20"/>
          <w:szCs w:val="20"/>
          <w:color w:val="auto"/>
        </w:rPr>
      </w:pPr>
    </w:p>
    <w:p>
      <w:pPr>
        <w:ind w:left="260" w:right="40"/>
        <w:spacing w:after="0"/>
        <w:rPr>
          <w:sz w:val="20"/>
          <w:szCs w:val="20"/>
          <w:color w:val="auto"/>
        </w:rPr>
      </w:pPr>
      <w:r>
        <w:rPr>
          <w:rFonts w:ascii="Arial" w:cs="Arial" w:eastAsia="Arial" w:hAnsi="Arial"/>
          <w:sz w:val="14"/>
          <w:szCs w:val="14"/>
          <w:color w:val="auto"/>
        </w:rPr>
        <w:t>If you desire to bring a matter before the 2019 annual general meeting and the proposal is submitted outside the process of Rule 14a-8, you may use the procedures set forth in our Articles. Our Articles provide that any shareholders together representing not less than 860,000 shares may request for inclusion of an item on the agenda or a nominee. To be timely for an annual general meeting, a shareholder’s notice to the Corporate Secretary as to the business or nominations to be brought before the meeting must be delivered to or mailed and received by the Corporate Secretary at the address specified below not less than 60 calendar days nor more than 90 calendar days before the first anniversary of the Company’s annual general meeting for the prior year; provided, however, that in the event that no annual general meeting was held the previous year or the date of the annual general meeting is not within 30 calendar days before or after such anniversary date, a member’s notice in order to be timely must be so received not later than the close of business on the 10th calendar day after the date on which public announcement or other notification to the shareholders of the date of the contemplated annual general meeting is first made by the Company.</w:t>
      </w:r>
    </w:p>
    <w:p>
      <w:pPr>
        <w:spacing w:after="0" w:line="167" w:lineRule="exact"/>
        <w:rPr>
          <w:sz w:val="20"/>
          <w:szCs w:val="20"/>
          <w:color w:val="auto"/>
        </w:rPr>
      </w:pPr>
    </w:p>
    <w:p>
      <w:pPr>
        <w:jc w:val="both"/>
        <w:ind w:left="260"/>
        <w:spacing w:after="0" w:line="246" w:lineRule="auto"/>
        <w:rPr>
          <w:sz w:val="20"/>
          <w:szCs w:val="20"/>
          <w:color w:val="auto"/>
        </w:rPr>
      </w:pPr>
      <w:r>
        <w:rPr>
          <w:rFonts w:ascii="Arial" w:cs="Arial" w:eastAsia="Arial" w:hAnsi="Arial"/>
          <w:sz w:val="14"/>
          <w:szCs w:val="14"/>
          <w:color w:val="auto"/>
        </w:rPr>
        <w:t>In no event will the public announcement of an adjournment or postponement of an annual general meeting commence a new time period (or extend any time period) for the giving of a shareholder’s notice. The request must specify the relevant agenda items and motions, together with evidence of the required shareholdings recorded in the share register, as well as any other information that would be required to be included in a Proxy Statement pursuant to the rules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97790</wp:posOffset>
            </wp:positionV>
            <wp:extent cx="69176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ectPr>
          <w:pgSz w:w="11900" w:h="16838" w:orient="portrait"/>
          <w:cols w:equalWidth="0" w:num="1">
            <w:col w:w="11160"/>
          </w:cols>
          <w:pgMar w:left="240" w:top="456" w:right="499" w:bottom="99" w:gutter="0" w:footer="0" w:header="0"/>
        </w:sectPr>
      </w:pPr>
    </w:p>
    <w:p>
      <w:pPr>
        <w:spacing w:after="0" w:line="200" w:lineRule="exact"/>
        <w:rPr>
          <w:sz w:val="20"/>
          <w:szCs w:val="20"/>
          <w:color w:val="auto"/>
        </w:rPr>
      </w:pPr>
    </w:p>
    <w:p>
      <w:pPr>
        <w:spacing w:after="0" w:line="208" w:lineRule="exact"/>
        <w:rPr>
          <w:sz w:val="20"/>
          <w:szCs w:val="20"/>
          <w:color w:val="auto"/>
        </w:rPr>
      </w:pPr>
    </w:p>
    <w:p>
      <w:pPr>
        <w:ind w:left="7360"/>
        <w:spacing w:after="0"/>
        <w:tabs>
          <w:tab w:leader="none" w:pos="10980" w:val="left"/>
        </w:tabs>
        <w:rPr>
          <w:sz w:val="20"/>
          <w:szCs w:val="20"/>
          <w:color w:val="auto"/>
        </w:rPr>
      </w:pPr>
      <w:r>
        <w:rPr>
          <w:rFonts w:ascii="Arial" w:cs="Arial" w:eastAsia="Arial" w:hAnsi="Arial"/>
          <w:sz w:val="14"/>
          <w:szCs w:val="14"/>
          <w:color w:val="666666"/>
        </w:rPr>
        <w:t>Weatherford International plc — 2018 Proxy Statement</w:t>
      </w:r>
      <w:r>
        <w:rPr>
          <w:sz w:val="20"/>
          <w:szCs w:val="20"/>
          <w:color w:val="auto"/>
        </w:rPr>
        <w:tab/>
      </w:r>
      <w:r>
        <w:rPr>
          <w:rFonts w:ascii="Arial" w:cs="Arial" w:eastAsia="Arial" w:hAnsi="Arial"/>
          <w:sz w:val="14"/>
          <w:szCs w:val="14"/>
          <w:b w:val="1"/>
          <w:bCs w:val="1"/>
          <w:color w:val="666666"/>
        </w:rPr>
        <w:t>49</w:t>
      </w:r>
    </w:p>
    <w:p>
      <w:pPr>
        <w:sectPr>
          <w:pgSz w:w="11900" w:h="16838" w:orient="portrait"/>
          <w:cols w:equalWidth="0" w:num="1">
            <w:col w:w="11160"/>
          </w:cols>
          <w:pgMar w:left="240" w:top="456" w:right="499" w:bottom="99"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219075</wp:posOffset>
            </wp:positionV>
            <wp:extent cx="69176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666666"/>
        </w:rPr>
        <w:t>OTHER INFORMATION</w:t>
      </w:r>
    </w:p>
    <w:p>
      <w:pPr>
        <w:spacing w:after="0" w:line="164" w:lineRule="exact"/>
        <w:rPr>
          <w:sz w:val="20"/>
          <w:szCs w:val="20"/>
          <w:color w:val="auto"/>
        </w:rPr>
      </w:pPr>
    </w:p>
    <w:p>
      <w:pPr>
        <w:ind w:left="260" w:right="40"/>
        <w:spacing w:after="0" w:line="244" w:lineRule="auto"/>
        <w:rPr>
          <w:sz w:val="20"/>
          <w:szCs w:val="20"/>
          <w:color w:val="auto"/>
        </w:rPr>
      </w:pPr>
      <w:r>
        <w:rPr>
          <w:rFonts w:ascii="Arial" w:cs="Arial" w:eastAsia="Arial" w:hAnsi="Arial"/>
          <w:sz w:val="14"/>
          <w:szCs w:val="14"/>
          <w:color w:val="auto"/>
        </w:rPr>
        <w:t xml:space="preserve">We recommend that any shareholder desiring to make a nomination or submit a proposal for consideration obtain a copy of our Articles. They are available on our website at </w:t>
      </w:r>
      <w:r>
        <w:rPr>
          <w:rFonts w:ascii="Arial" w:cs="Arial" w:eastAsia="Arial" w:hAnsi="Arial"/>
          <w:sz w:val="14"/>
          <w:szCs w:val="14"/>
          <w:i w:val="1"/>
          <w:iCs w:val="1"/>
          <w:color w:val="auto"/>
        </w:rPr>
        <w:t xml:space="preserve">www.weatherford.com, </w:t>
      </w:r>
      <w:r>
        <w:rPr>
          <w:rFonts w:ascii="Arial" w:cs="Arial" w:eastAsia="Arial" w:hAnsi="Arial"/>
          <w:sz w:val="14"/>
          <w:szCs w:val="14"/>
          <w:color w:val="auto"/>
        </w:rPr>
        <w:t>by clicking on “Investor Relations,” then “Corporate Governance,” then “Corporate Documents,” then “Memorandum and Articles of Association.”</w:t>
      </w:r>
      <w:r>
        <w:rPr>
          <w:rFonts w:ascii="Arial" w:cs="Arial" w:eastAsia="Arial" w:hAnsi="Arial"/>
          <w:sz w:val="14"/>
          <w:szCs w:val="14"/>
          <w:i w:val="1"/>
          <w:iCs w:val="1"/>
          <w:color w:val="auto"/>
        </w:rPr>
        <w:t xml:space="preserve"> </w:t>
      </w:r>
      <w:r>
        <w:rPr>
          <w:rFonts w:ascii="Arial" w:cs="Arial" w:eastAsia="Arial" w:hAnsi="Arial"/>
          <w:sz w:val="14"/>
          <w:szCs w:val="14"/>
          <w:color w:val="auto"/>
        </w:rPr>
        <w:t>Shareholders also may obtain a copy of these documents free of charge by submitting a written request to our Corporate Secretary at Weststrasse 1, 6340 Baar, Switzerland.</w:t>
      </w:r>
    </w:p>
    <w:p>
      <w:pPr>
        <w:spacing w:after="0" w:line="363" w:lineRule="exact"/>
        <w:rPr>
          <w:sz w:val="20"/>
          <w:szCs w:val="20"/>
          <w:color w:val="auto"/>
        </w:rPr>
      </w:pPr>
    </w:p>
    <w:p>
      <w:pPr>
        <w:ind w:left="260" w:right="340"/>
        <w:spacing w:after="0" w:line="253" w:lineRule="auto"/>
        <w:rPr>
          <w:sz w:val="20"/>
          <w:szCs w:val="20"/>
          <w:color w:val="auto"/>
        </w:rPr>
      </w:pPr>
      <w:r>
        <w:rPr>
          <w:rFonts w:ascii="Arial" w:cs="Arial" w:eastAsia="Arial" w:hAnsi="Arial"/>
          <w:sz w:val="14"/>
          <w:szCs w:val="14"/>
          <w:color w:val="auto"/>
        </w:rPr>
        <w:t>Any shareholder proposal (including the nomination of any director), whether or not to be included in our proxy materials, must be sent to our Corporate Secretary at the Company’s registered office, 70 Sir John Rogerson’s Quay, Dublin 2, Ireland.</w:t>
      </w:r>
    </w:p>
    <w:p>
      <w:pPr>
        <w:spacing w:after="0" w:line="350"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auto"/>
        </w:rPr>
        <w:t>OTHER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80"/>
        <w:spacing w:after="0" w:line="246" w:lineRule="auto"/>
        <w:rPr>
          <w:sz w:val="20"/>
          <w:szCs w:val="20"/>
          <w:color w:val="auto"/>
        </w:rPr>
      </w:pPr>
      <w:r>
        <w:rPr>
          <w:rFonts w:ascii="Arial" w:cs="Arial" w:eastAsia="Arial" w:hAnsi="Arial"/>
          <w:sz w:val="14"/>
          <w:szCs w:val="14"/>
          <w:color w:val="auto"/>
        </w:rPr>
        <w:t>We know of no other business that will be brought before the Annual General Meeting. Under our Articles, shareholders may only bring business before a general meeting if it is requested within the time limits described above in the section entitled “Proposals by Shareholders” or if it is otherwise provided under Irish law or our Articles. If any other matters are properly presented, the persons named on the proxy card will vote the shares represented by proxies as they deem advisable.</w:t>
      </w:r>
    </w:p>
    <w:p>
      <w:pPr>
        <w:spacing w:after="0" w:line="355"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auto"/>
        </w:rPr>
        <w:t>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120"/>
        <w:spacing w:after="0" w:line="246" w:lineRule="auto"/>
        <w:rPr>
          <w:sz w:val="20"/>
          <w:szCs w:val="20"/>
          <w:color w:val="auto"/>
        </w:rPr>
      </w:pPr>
      <w:r>
        <w:rPr>
          <w:rFonts w:ascii="Arial" w:cs="Arial" w:eastAsia="Arial" w:hAnsi="Arial"/>
          <w:sz w:val="14"/>
          <w:szCs w:val="14"/>
          <w:color w:val="auto"/>
        </w:rPr>
        <w:t>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199" w:lineRule="exact"/>
        <w:rPr>
          <w:sz w:val="20"/>
          <w:szCs w:val="20"/>
          <w:color w:val="auto"/>
        </w:rPr>
      </w:pPr>
    </w:p>
    <w:p>
      <w:pPr>
        <w:ind w:left="260" w:right="20"/>
        <w:spacing w:after="0" w:line="241" w:lineRule="auto"/>
        <w:rPr>
          <w:sz w:val="20"/>
          <w:szCs w:val="20"/>
          <w:color w:val="auto"/>
        </w:rPr>
      </w:pPr>
      <w:r>
        <w:rPr>
          <w:rFonts w:ascii="Arial" w:cs="Arial" w:eastAsia="Arial" w:hAnsi="Arial"/>
          <w:sz w:val="14"/>
          <w:szCs w:val="14"/>
          <w:color w:val="auto"/>
        </w:rPr>
        <w:t>As a result, if you hold your shares through a broker and you reside at an address at which two or more shareholders reside, you will likely be receiving only one Proxy Statement or one Notice of Internet Availability unless any shareholder at that address has given the broker contrary instructions. However, if any such beneficial shareholder residing at such an address wishes to receive a separate Proxy Statement or Notice of Internet Availability in the future, or if any such beneficial shareholder that elected to continue to receive separate Proxy Statement or Notice of Internet Availability wishes to receive a single Proxy Statement or Notice of Internet Availability in the future, that shareholder should contact their broker or send a request to our U.S. Investor Relations Department at 2000 St. James Place, Houston, Texas 77056. Telephone requests may be directed to +1 (713) 836-4000. We will deliver, promptly upon written or oral request to our U.S. Investor Relations Department, a separate copy of this Proxy Statement or Notice of Internet Availability to a beneficial shareholder at a shared address to which a single copy of the documents was delivered.</w:t>
      </w:r>
    </w:p>
    <w:p>
      <w:pPr>
        <w:spacing w:after="0" w:line="359" w:lineRule="exact"/>
        <w:rPr>
          <w:sz w:val="20"/>
          <w:szCs w:val="20"/>
          <w:color w:val="auto"/>
        </w:rPr>
      </w:pPr>
    </w:p>
    <w:p>
      <w:pPr>
        <w:ind w:left="260"/>
        <w:spacing w:after="0"/>
        <w:rPr>
          <w:sz w:val="20"/>
          <w:szCs w:val="20"/>
          <w:color w:val="auto"/>
        </w:rPr>
      </w:pPr>
      <w:r>
        <w:rPr>
          <w:rFonts w:ascii="Arial" w:cs="Arial" w:eastAsia="Arial" w:hAnsi="Arial"/>
          <w:sz w:val="43"/>
          <w:szCs w:val="43"/>
          <w:b w:val="1"/>
          <w:bCs w:val="1"/>
          <w:color w:val="auto"/>
        </w:rPr>
        <w:t>ADDITIONAL INFORMATION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-313055</wp:posOffset>
            </wp:positionV>
            <wp:extent cx="8223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51" w:lineRule="exact"/>
        <w:rPr>
          <w:sz w:val="20"/>
          <w:szCs w:val="20"/>
          <w:color w:val="auto"/>
        </w:rPr>
      </w:pPr>
    </w:p>
    <w:p>
      <w:pPr>
        <w:ind w:left="260" w:right="120"/>
        <w:spacing w:after="0" w:line="241" w:lineRule="auto"/>
        <w:rPr>
          <w:sz w:val="20"/>
          <w:szCs w:val="20"/>
          <w:color w:val="auto"/>
        </w:rPr>
      </w:pPr>
      <w:r>
        <w:rPr>
          <w:rFonts w:ascii="Arial" w:cs="Arial" w:eastAsia="Arial" w:hAnsi="Arial"/>
          <w:sz w:val="14"/>
          <w:szCs w:val="14"/>
          <w:color w:val="auto"/>
        </w:rPr>
        <w:t xml:space="preserve">The 2017 Annual Report on Form 10-K and the audited consolidated financial statements of Weatherford for the year ended December 31, 2017 and accompanying directors’ auditor’s reports have been filed with the SEC. Complete copies of these materials are available on our website at </w:t>
      </w:r>
      <w:r>
        <w:rPr>
          <w:rFonts w:ascii="Arial" w:cs="Arial" w:eastAsia="Arial" w:hAnsi="Arial"/>
          <w:sz w:val="14"/>
          <w:szCs w:val="14"/>
          <w:i w:val="1"/>
          <w:iCs w:val="1"/>
          <w:color w:val="auto"/>
        </w:rPr>
        <w:t>www.weatherford.com</w:t>
      </w:r>
      <w:r>
        <w:rPr>
          <w:rFonts w:ascii="Arial" w:cs="Arial" w:eastAsia="Arial" w:hAnsi="Arial"/>
          <w:sz w:val="14"/>
          <w:szCs w:val="14"/>
          <w:color w:val="auto"/>
        </w:rPr>
        <w:t>. Any record shareholder may also obtain a copy of these documents free of charge by contacting our U.S. Investor Relations Department in writing at 2000 St. James Place, Houston, Texas 77056 or by telephone at +1 (713) 836-4000. Copies of any exhibits to Weatherford Annual Report on Form 10-K also are available upon written request subject to a charge for copying and mailing. If you have any other questions about us, please contact our U.S. Investor Relations Department at the address or phone number above or visit our website.</w:t>
      </w:r>
    </w:p>
    <w:p>
      <w:pPr>
        <w:spacing w:after="0" w:line="30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March 13, 2018</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4895850</wp:posOffset>
            </wp:positionH>
            <wp:positionV relativeFrom="paragraph">
              <wp:posOffset>38735</wp:posOffset>
            </wp:positionV>
            <wp:extent cx="2195830" cy="398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95830" cy="39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Christina M. Ibrahim</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Vice President, General Counsel,</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Chief Compliance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106680</wp:posOffset>
            </wp:positionV>
            <wp:extent cx="69176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620" w:hanging="353"/>
        <w:spacing w:after="0"/>
        <w:tabs>
          <w:tab w:leader="none" w:pos="620" w:val="left"/>
        </w:tabs>
        <w:numPr>
          <w:ilvl w:val="0"/>
          <w:numId w:val="107"/>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2018 Proxy Statement</w:t>
      </w:r>
    </w:p>
    <w:p>
      <w:pPr>
        <w:sectPr>
          <w:pgSz w:w="11900" w:h="16838" w:orient="portrait"/>
          <w:cols w:equalWidth="0" w:num="1">
            <w:col w:w="11160"/>
          </w:cols>
          <w:pgMar w:left="240" w:top="455"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201930</wp:posOffset>
            </wp:positionV>
            <wp:extent cx="7141210" cy="441642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1210" cy="441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44"/>
          <w:szCs w:val="44"/>
          <w:b w:val="1"/>
          <w:bCs w:val="1"/>
          <w:color w:val="auto"/>
        </w:rPr>
        <w:t>WEATHERFORD RECOGNIZED</w:t>
      </w:r>
    </w:p>
    <w:p>
      <w:pPr>
        <w:spacing w:after="0" w:line="38" w:lineRule="exact"/>
        <w:rPr>
          <w:sz w:val="20"/>
          <w:szCs w:val="20"/>
          <w:color w:val="auto"/>
        </w:rPr>
      </w:pPr>
    </w:p>
    <w:p>
      <w:pPr>
        <w:ind w:left="260"/>
        <w:spacing w:after="0"/>
        <w:rPr>
          <w:sz w:val="20"/>
          <w:szCs w:val="20"/>
          <w:color w:val="auto"/>
        </w:rPr>
      </w:pPr>
      <w:r>
        <w:rPr>
          <w:rFonts w:ascii="Arial" w:cs="Arial" w:eastAsia="Arial" w:hAnsi="Arial"/>
          <w:sz w:val="42"/>
          <w:szCs w:val="42"/>
          <w:color w:val="auto"/>
        </w:rPr>
        <w:t>FOR INDUSTRY-LEADING TECHNOLOGIES</w:t>
      </w:r>
    </w:p>
    <w:p>
      <w:pPr>
        <w:sectPr>
          <w:pgSz w:w="11900" w:h="16838" w:orient="portrait"/>
          <w:cols w:equalWidth="0" w:num="1">
            <w:col w:w="11140"/>
          </w:cols>
          <w:pgMar w:left="240" w:top="455" w:right="519" w:bottom="1440" w:gutter="0" w:footer="0" w:header="0"/>
        </w:sectPr>
      </w:pPr>
    </w:p>
    <w:p>
      <w:pPr>
        <w:spacing w:after="0" w:line="288" w:lineRule="exact"/>
        <w:rPr>
          <w:sz w:val="20"/>
          <w:szCs w:val="20"/>
          <w:color w:val="auto"/>
        </w:rPr>
      </w:pPr>
    </w:p>
    <w:p>
      <w:pPr>
        <w:ind w:left="280"/>
        <w:spacing w:after="0" w:line="270" w:lineRule="auto"/>
        <w:rPr>
          <w:sz w:val="20"/>
          <w:szCs w:val="20"/>
          <w:color w:val="auto"/>
        </w:rPr>
      </w:pPr>
      <w:r>
        <w:rPr>
          <w:rFonts w:ascii="Arial" w:cs="Arial" w:eastAsia="Arial" w:hAnsi="Arial"/>
          <w:sz w:val="17"/>
          <w:szCs w:val="17"/>
          <w:b w:val="1"/>
          <w:bCs w:val="1"/>
          <w:color w:val="auto"/>
        </w:rPr>
        <w:t>In 2017, we defined our values and sharpened our focus on the most essential aspects of Weatherford. Among those key attributes is our inspiration and drive to create technologies that deliver exceptional value to our customers. Our strong commitment to technology innovation is reflected in the awards and recognitions we won during the year.</w:t>
      </w:r>
    </w:p>
    <w:p>
      <w:pPr>
        <w:spacing w:after="0" w:line="180" w:lineRule="exact"/>
        <w:rPr>
          <w:sz w:val="20"/>
          <w:szCs w:val="20"/>
          <w:color w:val="auto"/>
        </w:rPr>
      </w:pPr>
    </w:p>
    <w:p>
      <w:pPr>
        <w:ind w:left="480" w:right="20" w:hanging="206"/>
        <w:spacing w:after="0" w:line="250" w:lineRule="auto"/>
        <w:tabs>
          <w:tab w:leader="none" w:pos="4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At the 2017 Offshore Technology Conference, we received a Spotlight on New Technology Award for our </w:t>
      </w:r>
      <w:r>
        <w:rPr>
          <w:rFonts w:ascii="Arial" w:cs="Arial" w:eastAsia="Arial" w:hAnsi="Arial"/>
          <w:sz w:val="18"/>
          <w:szCs w:val="18"/>
          <w:b w:val="1"/>
          <w:bCs w:val="1"/>
          <w:color w:val="auto"/>
        </w:rPr>
        <w:t>AutoFrac</w:t>
      </w:r>
      <w:r>
        <w:rPr>
          <w:rFonts w:ascii="Arial" w:cs="Arial" w:eastAsia="Arial" w:hAnsi="Arial"/>
          <w:sz w:val="15"/>
          <w:szCs w:val="15"/>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RFID-enabled stimulation system</w:t>
      </w:r>
      <w:r>
        <w:rPr>
          <w:rFonts w:ascii="Arial" w:cs="Arial" w:eastAsia="Arial" w:hAnsi="Arial"/>
          <w:sz w:val="18"/>
          <w:szCs w:val="18"/>
          <w:color w:val="auto"/>
        </w:rPr>
        <w:t>, which enables efficient stimulation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openhole sections of extended-reach offshore wells where traditional technologies have often failed to provide adequate reliability. The AutoFrac system is just one of the technologies in our portfolio of innovative drilling and completion tools that leverage radio-frequency identification.</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ind w:left="217" w:hanging="217"/>
        <w:spacing w:after="0" w:line="285" w:lineRule="auto"/>
        <w:tabs>
          <w:tab w:leader="none" w:pos="21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We also earned top honors in two categories at the 2017 World Oil Awards. </w:t>
      </w:r>
      <w:r>
        <w:rPr>
          <w:rFonts w:ascii="Arial" w:cs="Arial" w:eastAsia="Arial" w:hAnsi="Arial"/>
          <w:sz w:val="16"/>
          <w:szCs w:val="16"/>
          <w:b w:val="1"/>
          <w:bCs w:val="1"/>
          <w:color w:val="auto"/>
        </w:rPr>
        <w:t>The Raptor</w:t>
      </w:r>
      <w:r>
        <w:rPr>
          <w:rFonts w:ascii="Arial" w:cs="Arial" w:eastAsia="Arial" w:hAnsi="Arial"/>
          <w:sz w:val="13"/>
          <w:szCs w:val="13"/>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 cased-hole evaluation system</w:t>
      </w:r>
      <w:r>
        <w:rPr>
          <w:rFonts w:ascii="Arial" w:cs="Arial" w:eastAsia="Arial" w:hAnsi="Arial"/>
          <w:sz w:val="16"/>
          <w:szCs w:val="16"/>
          <w:color w:val="auto"/>
        </w:rPr>
        <w:t xml:space="preserve">, which detects bypassed reserves behind the casing, was named Best Production Technology for its capacity to help operators recover more hydrocarbons from existing wells. In the category of Best Well Integrity Technology, the </w:t>
      </w:r>
      <w:r>
        <w:rPr>
          <w:rFonts w:ascii="Arial" w:cs="Arial" w:eastAsia="Arial" w:hAnsi="Arial"/>
          <w:sz w:val="16"/>
          <w:szCs w:val="16"/>
          <w:b w:val="1"/>
          <w:bCs w:val="1"/>
          <w:color w:val="auto"/>
        </w:rPr>
        <w:t>Endura</w:t>
      </w:r>
      <w:r>
        <w:rPr>
          <w:rFonts w:ascii="Arial" w:cs="Arial" w:eastAsia="Arial" w:hAnsi="Arial"/>
          <w:sz w:val="13"/>
          <w:szCs w:val="13"/>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dual-string section mill</w:t>
      </w:r>
      <w:r>
        <w:rPr>
          <w:rFonts w:ascii="Arial" w:cs="Arial" w:eastAsia="Arial" w:hAnsi="Arial"/>
          <w:sz w:val="16"/>
          <w:szCs w:val="16"/>
          <w:color w:val="auto"/>
        </w:rPr>
        <w:t xml:space="preserve"> was recognized for its ability to create a stable and verifiable rock-to-rock barrier during plug and abandonment operations, thereby enhancing the integrity of the wellbore at the end of its productive life.</w:t>
      </w:r>
    </w:p>
    <w:p>
      <w:pPr>
        <w:sectPr>
          <w:pgSz w:w="11900" w:h="16838" w:orient="portrait"/>
          <w:cols w:equalWidth="0" w:num="2">
            <w:col w:w="5500" w:space="323"/>
            <w:col w:w="5317"/>
          </w:cols>
          <w:pgMar w:left="240" w:top="455" w:right="519" w:bottom="1440" w:gutter="0" w:footer="0" w:header="0"/>
          <w:type w:val="continuous"/>
        </w:sectPr>
      </w:pPr>
    </w:p>
    <w:bookmarkStart w:id="65" w:name="page66"/>
    <w:bookmarkEnd w:id="6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231140</wp:posOffset>
            </wp:positionV>
            <wp:extent cx="6951345" cy="89947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51345" cy="899477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1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ind w:left="480"/>
        <w:spacing w:after="0"/>
        <w:rPr>
          <w:sz w:val="20"/>
          <w:szCs w:val="20"/>
          <w:color w:val="auto"/>
        </w:rPr>
      </w:pPr>
      <w:r>
        <w:rPr>
          <w:rFonts w:ascii="Arial" w:cs="Arial" w:eastAsia="Arial" w:hAnsi="Arial"/>
          <w:sz w:val="15"/>
          <w:szCs w:val="15"/>
          <w:b w:val="1"/>
          <w:bCs w:val="1"/>
          <w:i w:val="1"/>
          <w:iCs w:val="1"/>
          <w:color w:val="auto"/>
        </w:rPr>
        <w:t>WEATHERFORD INTERNATIONAL PLC</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ATTN: CHRISTINA M. IBRAHIM</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WESTSTRASSE 1</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6340 BAAR, SWITZERLAND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VOTE BY INTERNET - </w:t>
      </w:r>
      <w:r>
        <w:rPr>
          <w:rFonts w:ascii="Arial" w:cs="Arial" w:eastAsia="Arial" w:hAnsi="Arial"/>
          <w:sz w:val="12"/>
          <w:szCs w:val="12"/>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-609600</wp:posOffset>
            </wp:positionV>
            <wp:extent cx="729043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p>
    <w:p>
      <w:pPr>
        <w:ind w:right="40"/>
        <w:spacing w:after="0" w:line="236" w:lineRule="auto"/>
        <w:rPr>
          <w:sz w:val="20"/>
          <w:szCs w:val="20"/>
          <w:color w:val="auto"/>
        </w:rPr>
      </w:pPr>
      <w:r>
        <w:rPr>
          <w:rFonts w:ascii="Arial" w:cs="Arial" w:eastAsia="Arial" w:hAnsi="Arial"/>
          <w:sz w:val="12"/>
          <w:szCs w:val="12"/>
          <w:color w:val="auto"/>
        </w:rPr>
        <w:t>Use the Internet to transmit your voting instructions and for electronic delivery of information. Vote by 5:59 A.M. Central European Time on April 26, 2018 (11:59 P.M. ET on April 25, 2018) for shares held directly and by 5:59 A.M. Central European Time on April 24, 2018 (11:59 P.M. ET on April 23, 2018) for shares held in a Plan. Have your proxy card in hand when you access the web site and follow the instructions to obtain your records and to create an electronic voting instruction form.</w:t>
      </w: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10" w:lineRule="exact"/>
        <w:rPr>
          <w:sz w:val="20"/>
          <w:szCs w:val="20"/>
          <w:color w:val="auto"/>
        </w:rPr>
      </w:pPr>
    </w:p>
    <w:p>
      <w:pPr>
        <w:ind w:right="200"/>
        <w:spacing w:after="0" w:line="266" w:lineRule="auto"/>
        <w:rPr>
          <w:sz w:val="20"/>
          <w:szCs w:val="20"/>
          <w:color w:val="auto"/>
        </w:rPr>
      </w:pPr>
      <w:r>
        <w:rPr>
          <w:rFonts w:ascii="Arial" w:cs="Arial" w:eastAsia="Arial" w:hAnsi="Arial"/>
          <w:sz w:val="11"/>
          <w:szCs w:val="11"/>
          <w:color w:val="auto"/>
        </w:rPr>
        <w:t>Use any touch-tone telephone to transmit your voting instructions. Vote by 5:59 A.M. Central European Time on April 26, 2018 (11:59 P.M. ET on April 25, 2018) for shares held directly and by 5:59 A.M. Central European Time on April 24, 2018 (11:59 P.M. ET on April 23, 2018) for shares held in a Plan. Have your proxy card in hand when you call and then follow the instructions.</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10" w:lineRule="exact"/>
        <w:rPr>
          <w:sz w:val="20"/>
          <w:szCs w:val="20"/>
          <w:color w:val="auto"/>
        </w:rPr>
      </w:pPr>
    </w:p>
    <w:p>
      <w:pPr>
        <w:ind w:right="80"/>
        <w:spacing w:after="0" w:line="247"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340" w:space="720"/>
            <w:col w:w="5380"/>
          </w:cols>
          <w:pgMar w:left="240" w:top="456"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10" w:type="dxa"/>
        <w:tblCellMar>
          <w:top w:w="0" w:type="dxa"/>
          <w:left w:w="0" w:type="dxa"/>
          <w:bottom w:w="0" w:type="dxa"/>
          <w:right w:w="0" w:type="dxa"/>
        </w:tblCellMar>
      </w:tblPr>
      <w:tr>
        <w:trPr>
          <w:trHeight w:val="157"/>
        </w:trPr>
        <w:tc>
          <w:tcPr>
            <w:tcW w:w="4280" w:type="dxa"/>
            <w:vAlign w:val="bottom"/>
            <w:gridSpan w:val="4"/>
          </w:tcPr>
          <w:p>
            <w:pPr>
              <w:spacing w:after="0"/>
              <w:rPr>
                <w:sz w:val="20"/>
                <w:szCs w:val="20"/>
                <w:color w:val="auto"/>
              </w:rPr>
            </w:pPr>
            <w:r>
              <w:rPr>
                <w:rFonts w:ascii="Arial" w:cs="Arial" w:eastAsia="Arial" w:hAnsi="Arial"/>
                <w:sz w:val="12"/>
                <w:szCs w:val="12"/>
                <w:color w:val="auto"/>
              </w:rPr>
              <w:t>TO VOTE, MARK BLOCKS BELOW IN BLUE OR BLACK INK AS FOLLOWS:</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00" w:type="dxa"/>
            <w:vAlign w:val="bottom"/>
            <w:vMerge w:val="restart"/>
          </w:tcPr>
          <w:p>
            <w:pPr>
              <w:ind w:left="740"/>
              <w:spacing w:after="0"/>
              <w:rPr>
                <w:sz w:val="20"/>
                <w:szCs w:val="20"/>
                <w:color w:val="auto"/>
              </w:rPr>
            </w:pPr>
            <w:r>
              <w:rPr>
                <w:rFonts w:ascii="Arial" w:cs="Arial" w:eastAsia="Arial" w:hAnsi="Arial"/>
                <w:sz w:val="12"/>
                <w:szCs w:val="12"/>
                <w:color w:val="auto"/>
              </w:rPr>
              <w:t>E39634-P04247</w:t>
            </w:r>
          </w:p>
        </w:tc>
        <w:tc>
          <w:tcPr>
            <w:tcW w:w="3120" w:type="dxa"/>
            <w:vAlign w:val="bottom"/>
            <w:gridSpan w:val="5"/>
            <w:vMerge w:val="restart"/>
          </w:tcPr>
          <w:p>
            <w:pPr>
              <w:ind w:left="100"/>
              <w:spacing w:after="0"/>
              <w:rPr>
                <w:sz w:val="20"/>
                <w:szCs w:val="20"/>
                <w:color w:val="auto"/>
              </w:rPr>
            </w:pPr>
            <w:r>
              <w:rPr>
                <w:rFonts w:ascii="Arial" w:cs="Arial" w:eastAsia="Arial" w:hAnsi="Arial"/>
                <w:sz w:val="12"/>
                <w:szCs w:val="12"/>
                <w:color w:val="auto"/>
              </w:rPr>
              <w:t>KEEP THIS PORTION FOR YOUR RECORDS</w:t>
            </w:r>
          </w:p>
        </w:tc>
        <w:tc>
          <w:tcPr>
            <w:tcW w:w="0" w:type="dxa"/>
            <w:vAlign w:val="bottom"/>
          </w:tcPr>
          <w:p>
            <w:pPr>
              <w:spacing w:after="0"/>
              <w:rPr>
                <w:sz w:val="1"/>
                <w:szCs w:val="1"/>
                <w:color w:val="auto"/>
              </w:rPr>
            </w:pPr>
          </w:p>
        </w:tc>
      </w:tr>
      <w:tr>
        <w:trPr>
          <w:trHeight w:val="124"/>
        </w:trPr>
        <w:tc>
          <w:tcPr>
            <w:tcW w:w="5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vMerge w:val="continue"/>
          </w:tcPr>
          <w:p>
            <w:pPr>
              <w:spacing w:after="0"/>
              <w:rPr>
                <w:sz w:val="10"/>
                <w:szCs w:val="10"/>
                <w:color w:val="auto"/>
              </w:rPr>
            </w:pPr>
          </w:p>
        </w:tc>
        <w:tc>
          <w:tcPr>
            <w:tcW w:w="3120" w:type="dxa"/>
            <w:vAlign w:val="bottom"/>
            <w:tcBorders>
              <w:bottom w:val="single" w:sz="8" w:color="auto"/>
            </w:tcBorders>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800" w:type="dxa"/>
            <w:vAlign w:val="bottom"/>
            <w:gridSpan w:val="4"/>
          </w:tcPr>
          <w:p>
            <w:pPr>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120" w:type="dxa"/>
            <w:vAlign w:val="bottom"/>
            <w:gridSpan w:val="5"/>
          </w:tcPr>
          <w:p>
            <w:pPr>
              <w:ind w:left="100"/>
              <w:spacing w:after="0"/>
              <w:rPr>
                <w:sz w:val="20"/>
                <w:szCs w:val="20"/>
                <w:color w:val="auto"/>
              </w:rPr>
            </w:pPr>
            <w:r>
              <w:rPr>
                <w:rFonts w:ascii="Arial" w:cs="Arial" w:eastAsia="Arial" w:hAnsi="Arial"/>
                <w:sz w:val="12"/>
                <w:szCs w:val="12"/>
                <w:color w:val="auto"/>
              </w:rPr>
              <w:t>DETACH AND RETURN THIS PORTION ONLY</w:t>
            </w:r>
          </w:p>
        </w:tc>
        <w:tc>
          <w:tcPr>
            <w:tcW w:w="0" w:type="dxa"/>
            <w:vAlign w:val="bottom"/>
          </w:tcPr>
          <w:p>
            <w:pPr>
              <w:spacing w:after="0"/>
              <w:rPr>
                <w:sz w:val="1"/>
                <w:szCs w:val="1"/>
                <w:color w:val="auto"/>
              </w:rPr>
            </w:pPr>
          </w:p>
        </w:tc>
      </w:tr>
      <w:tr>
        <w:trPr>
          <w:trHeight w:val="118"/>
        </w:trPr>
        <w:tc>
          <w:tcPr>
            <w:tcW w:w="3520" w:type="dxa"/>
            <w:vAlign w:val="bottom"/>
            <w:tcBorders>
              <w:bottom w:val="single" w:sz="8" w:color="auto"/>
            </w:tcBorders>
            <w:gridSpan w:val="3"/>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520" w:type="dxa"/>
            <w:vAlign w:val="bottom"/>
            <w:tcBorders>
              <w:left w:val="single" w:sz="8" w:color="auto"/>
            </w:tcBorders>
            <w:gridSpan w:val="3"/>
          </w:tcPr>
          <w:p>
            <w:pPr>
              <w:ind w:left="300"/>
              <w:spacing w:after="0"/>
              <w:rPr>
                <w:sz w:val="20"/>
                <w:szCs w:val="20"/>
                <w:color w:val="auto"/>
              </w:rPr>
            </w:pPr>
            <w:r>
              <w:rPr>
                <w:rFonts w:ascii="Arial" w:cs="Arial" w:eastAsia="Arial" w:hAnsi="Arial"/>
                <w:sz w:val="12"/>
                <w:szCs w:val="12"/>
                <w:b w:val="1"/>
                <w:bCs w:val="1"/>
                <w:color w:val="auto"/>
              </w:rPr>
              <w:t>WEATHERFORD INTERNATIONAL PLC</w:t>
            </w: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60" w:type="dxa"/>
            <w:vAlign w:val="bottom"/>
            <w:tcBorders>
              <w:left w:val="single" w:sz="8" w:color="auto"/>
            </w:tcBorders>
          </w:tcPr>
          <w:p>
            <w:pPr>
              <w:spacing w:after="0"/>
              <w:rPr>
                <w:sz w:val="14"/>
                <w:szCs w:val="14"/>
                <w:color w:val="auto"/>
              </w:rPr>
            </w:pPr>
          </w:p>
        </w:tc>
        <w:tc>
          <w:tcPr>
            <w:tcW w:w="3720" w:type="dxa"/>
            <w:vAlign w:val="bottom"/>
            <w:gridSpan w:val="3"/>
          </w:tcPr>
          <w:p>
            <w:pPr>
              <w:ind w:left="100"/>
              <w:spacing w:after="0"/>
              <w:rPr>
                <w:sz w:val="20"/>
                <w:szCs w:val="20"/>
                <w:color w:val="auto"/>
              </w:rPr>
            </w:pPr>
            <w:r>
              <w:rPr>
                <w:rFonts w:ascii="Arial" w:cs="Arial" w:eastAsia="Arial" w:hAnsi="Arial"/>
                <w:sz w:val="12"/>
                <w:szCs w:val="12"/>
                <w:b w:val="1"/>
                <w:bCs w:val="1"/>
                <w:color w:val="auto"/>
              </w:rPr>
              <w:t>The Board of Directors recommends you vote FOR the</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0" w:type="dxa"/>
            <w:vAlign w:val="bottom"/>
            <w:tcBorders>
              <w:left w:val="single" w:sz="8" w:color="auto"/>
            </w:tcBorders>
          </w:tcPr>
          <w:p>
            <w:pPr>
              <w:spacing w:after="0"/>
              <w:rPr>
                <w:sz w:val="13"/>
                <w:szCs w:val="13"/>
                <w:color w:val="auto"/>
              </w:rPr>
            </w:pPr>
          </w:p>
        </w:tc>
        <w:tc>
          <w:tcPr>
            <w:tcW w:w="2960" w:type="dxa"/>
            <w:vAlign w:val="bottom"/>
            <w:gridSpan w:val="2"/>
          </w:tcPr>
          <w:p>
            <w:pPr>
              <w:ind w:left="100"/>
              <w:spacing w:after="0"/>
              <w:rPr>
                <w:sz w:val="20"/>
                <w:szCs w:val="20"/>
                <w:color w:val="auto"/>
              </w:rPr>
            </w:pPr>
            <w:r>
              <w:rPr>
                <w:rFonts w:ascii="Arial" w:cs="Arial" w:eastAsia="Arial" w:hAnsi="Arial"/>
                <w:sz w:val="12"/>
                <w:szCs w:val="12"/>
                <w:b w:val="1"/>
                <w:bCs w:val="1"/>
                <w:color w:val="auto"/>
              </w:rPr>
              <w:t>following proposals:</w:t>
            </w: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560" w:type="dxa"/>
            <w:vAlign w:val="bottom"/>
            <w:tcBorders>
              <w:left w:val="single" w:sz="8" w:color="auto"/>
            </w:tcBorders>
          </w:tcPr>
          <w:p>
            <w:pPr>
              <w:spacing w:after="0"/>
              <w:rPr>
                <w:sz w:val="20"/>
                <w:szCs w:val="20"/>
                <w:color w:val="auto"/>
              </w:rPr>
            </w:pPr>
          </w:p>
        </w:tc>
        <w:tc>
          <w:tcPr>
            <w:tcW w:w="2960" w:type="dxa"/>
            <w:vAlign w:val="bottom"/>
            <w:gridSpan w:val="2"/>
          </w:tcPr>
          <w:p>
            <w:pPr>
              <w:ind w:left="100"/>
              <w:spacing w:after="0"/>
              <w:rPr>
                <w:sz w:val="20"/>
                <w:szCs w:val="20"/>
                <w:color w:val="auto"/>
              </w:rPr>
            </w:pPr>
            <w:r>
              <w:rPr>
                <w:rFonts w:ascii="Arial" w:cs="Arial" w:eastAsia="Arial" w:hAnsi="Arial"/>
                <w:sz w:val="12"/>
                <w:szCs w:val="12"/>
                <w:color w:val="auto"/>
              </w:rPr>
              <w:t>1.  Election of Directors</w:t>
            </w: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0" w:type="dxa"/>
            <w:vAlign w:val="bottom"/>
            <w:tcBorders>
              <w:left w:val="single" w:sz="8" w:color="auto"/>
            </w:tcBorders>
          </w:tcPr>
          <w:p>
            <w:pPr>
              <w:spacing w:after="0"/>
              <w:rPr>
                <w:sz w:val="21"/>
                <w:szCs w:val="21"/>
                <w:color w:val="auto"/>
              </w:rPr>
            </w:pPr>
          </w:p>
        </w:tc>
        <w:tc>
          <w:tcPr>
            <w:tcW w:w="2960" w:type="dxa"/>
            <w:vAlign w:val="bottom"/>
            <w:gridSpan w:val="2"/>
          </w:tcPr>
          <w:p>
            <w:pPr>
              <w:ind w:left="320"/>
              <w:spacing w:after="0"/>
              <w:rPr>
                <w:sz w:val="20"/>
                <w:szCs w:val="20"/>
                <w:color w:val="auto"/>
              </w:rPr>
            </w:pPr>
            <w:r>
              <w:rPr>
                <w:rFonts w:ascii="Arial" w:cs="Arial" w:eastAsia="Arial" w:hAnsi="Arial"/>
                <w:sz w:val="12"/>
                <w:szCs w:val="12"/>
                <w:b w:val="1"/>
                <w:bCs w:val="1"/>
                <w:color w:val="auto"/>
              </w:rPr>
              <w:t>Nominees:</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rPr>
              <w:t>For</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5"/>
              </w:rPr>
              <w:t>Against</w:t>
            </w: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0"/>
              </w:rPr>
              <w:t>Abstain</w:t>
            </w:r>
          </w:p>
        </w:tc>
        <w:tc>
          <w:tcPr>
            <w:tcW w:w="2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60" w:type="dxa"/>
            <w:vAlign w:val="bottom"/>
            <w:tcBorders>
              <w:left w:val="single" w:sz="8" w:color="auto"/>
            </w:tcBorders>
          </w:tcPr>
          <w:p>
            <w:pPr>
              <w:spacing w:after="0"/>
              <w:rPr>
                <w:sz w:val="23"/>
                <w:szCs w:val="23"/>
                <w:color w:val="auto"/>
              </w:rPr>
            </w:pPr>
          </w:p>
        </w:tc>
        <w:tc>
          <w:tcPr>
            <w:tcW w:w="500" w:type="dxa"/>
            <w:vAlign w:val="bottom"/>
          </w:tcPr>
          <w:p>
            <w:pPr>
              <w:ind w:left="320"/>
              <w:spacing w:after="0"/>
              <w:rPr>
                <w:sz w:val="20"/>
                <w:szCs w:val="20"/>
                <w:color w:val="auto"/>
              </w:rPr>
            </w:pPr>
            <w:r>
              <w:rPr>
                <w:rFonts w:ascii="Arial" w:cs="Arial" w:eastAsia="Arial" w:hAnsi="Arial"/>
                <w:sz w:val="12"/>
                <w:szCs w:val="12"/>
                <w:color w:val="auto"/>
                <w:w w:val="95"/>
              </w:rPr>
              <w:t>1a.</w:t>
            </w:r>
          </w:p>
        </w:tc>
        <w:tc>
          <w:tcPr>
            <w:tcW w:w="2460" w:type="dxa"/>
            <w:vAlign w:val="bottom"/>
          </w:tcPr>
          <w:p>
            <w:pPr>
              <w:ind w:left="60"/>
              <w:spacing w:after="0"/>
              <w:rPr>
                <w:sz w:val="20"/>
                <w:szCs w:val="20"/>
                <w:color w:val="auto"/>
              </w:rPr>
            </w:pPr>
            <w:r>
              <w:rPr>
                <w:rFonts w:ascii="Arial" w:cs="Arial" w:eastAsia="Arial" w:hAnsi="Arial"/>
                <w:sz w:val="12"/>
                <w:szCs w:val="12"/>
                <w:color w:val="auto"/>
              </w:rPr>
              <w:t>Mohamed A. Awad</w:t>
            </w:r>
          </w:p>
        </w:tc>
        <w:tc>
          <w:tcPr>
            <w:tcW w:w="7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60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2900" w:type="dxa"/>
            <w:vAlign w:val="bottom"/>
            <w:vMerge w:val="restart"/>
          </w:tcPr>
          <w:p>
            <w:pPr>
              <w:ind w:left="80"/>
              <w:spacing w:after="0"/>
              <w:rPr>
                <w:sz w:val="20"/>
                <w:szCs w:val="20"/>
                <w:color w:val="auto"/>
              </w:rPr>
            </w:pPr>
            <w:r>
              <w:rPr>
                <w:rFonts w:ascii="Arial" w:cs="Arial" w:eastAsia="Arial" w:hAnsi="Arial"/>
                <w:sz w:val="12"/>
                <w:szCs w:val="12"/>
                <w:color w:val="auto"/>
              </w:rPr>
              <w:t>2.  To ratify the appointment of KPMG LLP as our</w:t>
            </w:r>
          </w:p>
        </w:tc>
        <w:tc>
          <w:tcPr>
            <w:tcW w:w="96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2"/>
              </w:rPr>
              <w:t>For</w:t>
            </w:r>
          </w:p>
        </w:tc>
        <w:tc>
          <w:tcPr>
            <w:tcW w:w="500" w:type="dxa"/>
            <w:vAlign w:val="bottom"/>
          </w:tcPr>
          <w:p>
            <w:pPr>
              <w:jc w:val="center"/>
              <w:ind w:left="18"/>
              <w:spacing w:after="0"/>
              <w:rPr>
                <w:sz w:val="20"/>
                <w:szCs w:val="20"/>
                <w:color w:val="auto"/>
              </w:rPr>
            </w:pPr>
            <w:r>
              <w:rPr>
                <w:rFonts w:ascii="Arial" w:cs="Arial" w:eastAsia="Arial" w:hAnsi="Arial"/>
                <w:sz w:val="12"/>
                <w:szCs w:val="12"/>
                <w:b w:val="1"/>
                <w:bCs w:val="1"/>
                <w:color w:val="auto"/>
                <w:w w:val="95"/>
              </w:rPr>
              <w:t>Against</w:t>
            </w:r>
          </w:p>
        </w:tc>
        <w:tc>
          <w:tcPr>
            <w:tcW w:w="860" w:type="dxa"/>
            <w:vAlign w:val="bottom"/>
            <w:tcBorders>
              <w:right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Abstain</w:t>
            </w:r>
          </w:p>
        </w:tc>
        <w:tc>
          <w:tcPr>
            <w:tcW w:w="0" w:type="dxa"/>
            <w:vAlign w:val="bottom"/>
          </w:tcPr>
          <w:p>
            <w:pPr>
              <w:spacing w:after="0"/>
              <w:rPr>
                <w:sz w:val="1"/>
                <w:szCs w:val="1"/>
                <w:color w:val="auto"/>
              </w:rPr>
            </w:pPr>
          </w:p>
        </w:tc>
      </w:tr>
      <w:tr>
        <w:trPr>
          <w:trHeight w:val="96"/>
        </w:trPr>
        <w:tc>
          <w:tcPr>
            <w:tcW w:w="560" w:type="dxa"/>
            <w:vAlign w:val="bottom"/>
            <w:tcBorders>
              <w:lef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76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60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29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vMerge w:val="restart"/>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c>
          <w:tcPr>
            <w:tcW w:w="500" w:type="dxa"/>
            <w:vAlign w:val="bottom"/>
            <w:vMerge w:val="restart"/>
          </w:tcPr>
          <w:p>
            <w:pPr>
              <w:jc w:val="center"/>
              <w:ind w:left="38"/>
              <w:spacing w:after="0" w:line="121" w:lineRule="exact"/>
              <w:rPr>
                <w:sz w:val="20"/>
                <w:szCs w:val="20"/>
                <w:color w:val="auto"/>
              </w:rPr>
            </w:pPr>
            <w:r>
              <w:rPr>
                <w:rFonts w:ascii="MS PGothic" w:cs="MS PGothic" w:eastAsia="MS PGothic" w:hAnsi="MS PGothic"/>
                <w:sz w:val="12"/>
                <w:szCs w:val="12"/>
                <w:color w:val="auto"/>
                <w:w w:val="99"/>
              </w:rPr>
              <w:t>☐</w:t>
            </w:r>
          </w:p>
        </w:tc>
        <w:tc>
          <w:tcPr>
            <w:tcW w:w="860" w:type="dxa"/>
            <w:vAlign w:val="bottom"/>
            <w:tcBorders>
              <w:right w:val="single" w:sz="8" w:color="auto"/>
            </w:tcBorders>
            <w:gridSpan w:val="2"/>
            <w:vMerge w:val="restart"/>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147"/>
        </w:trPr>
        <w:tc>
          <w:tcPr>
            <w:tcW w:w="560" w:type="dxa"/>
            <w:vAlign w:val="bottom"/>
            <w:tcBorders>
              <w:left w:val="single" w:sz="8" w:color="auto"/>
            </w:tcBorders>
          </w:tcPr>
          <w:p>
            <w:pPr>
              <w:spacing w:after="0"/>
              <w:rPr>
                <w:sz w:val="12"/>
                <w:szCs w:val="12"/>
                <w:color w:val="auto"/>
              </w:rPr>
            </w:pPr>
          </w:p>
        </w:tc>
        <w:tc>
          <w:tcPr>
            <w:tcW w:w="500" w:type="dxa"/>
            <w:vAlign w:val="bottom"/>
          </w:tcPr>
          <w:p>
            <w:pPr>
              <w:ind w:left="320"/>
              <w:spacing w:after="0"/>
              <w:rPr>
                <w:sz w:val="20"/>
                <w:szCs w:val="20"/>
                <w:color w:val="auto"/>
              </w:rPr>
            </w:pPr>
            <w:r>
              <w:rPr>
                <w:rFonts w:ascii="Arial" w:cs="Arial" w:eastAsia="Arial" w:hAnsi="Arial"/>
                <w:sz w:val="12"/>
                <w:szCs w:val="12"/>
                <w:color w:val="auto"/>
                <w:w w:val="95"/>
              </w:rPr>
              <w:t>1b.</w:t>
            </w:r>
          </w:p>
        </w:tc>
        <w:tc>
          <w:tcPr>
            <w:tcW w:w="2460" w:type="dxa"/>
            <w:vAlign w:val="bottom"/>
          </w:tcPr>
          <w:p>
            <w:pPr>
              <w:ind w:left="60"/>
              <w:spacing w:after="0"/>
              <w:rPr>
                <w:sz w:val="20"/>
                <w:szCs w:val="20"/>
                <w:color w:val="auto"/>
              </w:rPr>
            </w:pPr>
            <w:r>
              <w:rPr>
                <w:rFonts w:ascii="Arial" w:cs="Arial" w:eastAsia="Arial" w:hAnsi="Arial"/>
                <w:sz w:val="12"/>
                <w:szCs w:val="12"/>
                <w:color w:val="auto"/>
              </w:rPr>
              <w:t>Roxanne J. Decyk</w:t>
            </w:r>
          </w:p>
        </w:tc>
        <w:tc>
          <w:tcPr>
            <w:tcW w:w="7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900" w:type="dxa"/>
            <w:vAlign w:val="bottom"/>
          </w:tcPr>
          <w:p>
            <w:pPr>
              <w:ind w:left="300"/>
              <w:spacing w:after="0"/>
              <w:rPr>
                <w:sz w:val="20"/>
                <w:szCs w:val="20"/>
                <w:color w:val="auto"/>
              </w:rPr>
            </w:pPr>
            <w:r>
              <w:rPr>
                <w:rFonts w:ascii="Arial" w:cs="Arial" w:eastAsia="Arial" w:hAnsi="Arial"/>
                <w:sz w:val="12"/>
                <w:szCs w:val="12"/>
                <w:color w:val="auto"/>
                <w:w w:val="97"/>
              </w:rPr>
              <w:t>independent registered public accounting firm and</w:t>
            </w:r>
          </w:p>
        </w:tc>
        <w:tc>
          <w:tcPr>
            <w:tcW w:w="9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60" w:type="dxa"/>
            <w:vAlign w:val="bottom"/>
            <w:tcBorders>
              <w:lef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6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60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2900" w:type="dxa"/>
            <w:vAlign w:val="bottom"/>
          </w:tcPr>
          <w:p>
            <w:pPr>
              <w:ind w:left="300"/>
              <w:spacing w:after="0" w:line="134" w:lineRule="exact"/>
              <w:rPr>
                <w:sz w:val="20"/>
                <w:szCs w:val="20"/>
                <w:color w:val="auto"/>
              </w:rPr>
            </w:pPr>
            <w:r>
              <w:rPr>
                <w:rFonts w:ascii="Arial" w:cs="Arial" w:eastAsia="Arial" w:hAnsi="Arial"/>
                <w:sz w:val="12"/>
                <w:szCs w:val="12"/>
                <w:color w:val="auto"/>
              </w:rPr>
              <w:t>auditor for the fiscal year ending December 31,</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60" w:type="dxa"/>
            <w:vAlign w:val="bottom"/>
            <w:tcBorders>
              <w:left w:val="single" w:sz="8" w:color="auto"/>
            </w:tcBorders>
          </w:tcPr>
          <w:p>
            <w:pPr>
              <w:spacing w:after="0"/>
              <w:rPr>
                <w:sz w:val="11"/>
                <w:szCs w:val="11"/>
                <w:color w:val="auto"/>
              </w:rPr>
            </w:pPr>
          </w:p>
        </w:tc>
        <w:tc>
          <w:tcPr>
            <w:tcW w:w="500" w:type="dxa"/>
            <w:vAlign w:val="bottom"/>
          </w:tcPr>
          <w:p>
            <w:pPr>
              <w:ind w:left="320"/>
              <w:spacing w:after="0" w:line="134" w:lineRule="exact"/>
              <w:rPr>
                <w:sz w:val="20"/>
                <w:szCs w:val="20"/>
                <w:color w:val="auto"/>
              </w:rPr>
            </w:pPr>
            <w:r>
              <w:rPr>
                <w:rFonts w:ascii="Arial" w:cs="Arial" w:eastAsia="Arial" w:hAnsi="Arial"/>
                <w:sz w:val="12"/>
                <w:szCs w:val="12"/>
                <w:color w:val="auto"/>
                <w:w w:val="99"/>
              </w:rPr>
              <w:t>1c.</w:t>
            </w:r>
          </w:p>
        </w:tc>
        <w:tc>
          <w:tcPr>
            <w:tcW w:w="2460" w:type="dxa"/>
            <w:vAlign w:val="bottom"/>
          </w:tcPr>
          <w:p>
            <w:pPr>
              <w:ind w:left="60"/>
              <w:spacing w:after="0" w:line="134" w:lineRule="exact"/>
              <w:rPr>
                <w:sz w:val="20"/>
                <w:szCs w:val="20"/>
                <w:color w:val="auto"/>
              </w:rPr>
            </w:pPr>
            <w:r>
              <w:rPr>
                <w:rFonts w:ascii="Arial" w:cs="Arial" w:eastAsia="Arial" w:hAnsi="Arial"/>
                <w:sz w:val="12"/>
                <w:szCs w:val="12"/>
                <w:color w:val="auto"/>
              </w:rPr>
              <w:t>John D. Gass</w:t>
            </w:r>
          </w:p>
        </w:tc>
        <w:tc>
          <w:tcPr>
            <w:tcW w:w="7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900" w:type="dxa"/>
            <w:vAlign w:val="bottom"/>
          </w:tcPr>
          <w:p>
            <w:pPr>
              <w:ind w:left="300"/>
              <w:spacing w:after="0" w:line="134" w:lineRule="exact"/>
              <w:rPr>
                <w:sz w:val="20"/>
                <w:szCs w:val="20"/>
                <w:color w:val="auto"/>
              </w:rPr>
            </w:pPr>
            <w:r>
              <w:rPr>
                <w:rFonts w:ascii="Arial" w:cs="Arial" w:eastAsia="Arial" w:hAnsi="Arial"/>
                <w:sz w:val="12"/>
                <w:szCs w:val="12"/>
                <w:color w:val="auto"/>
              </w:rPr>
              <w:t>2018 and KPMG Chartered Accountants,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60" w:type="dxa"/>
            <w:vAlign w:val="bottom"/>
            <w:tcBorders>
              <w:lef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6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60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2900" w:type="dxa"/>
            <w:vAlign w:val="bottom"/>
          </w:tcPr>
          <w:p>
            <w:pPr>
              <w:ind w:left="300"/>
              <w:spacing w:after="0"/>
              <w:rPr>
                <w:sz w:val="20"/>
                <w:szCs w:val="20"/>
                <w:color w:val="auto"/>
              </w:rPr>
            </w:pPr>
            <w:r>
              <w:rPr>
                <w:rFonts w:ascii="Arial" w:cs="Arial" w:eastAsia="Arial" w:hAnsi="Arial"/>
                <w:sz w:val="12"/>
                <w:szCs w:val="12"/>
                <w:color w:val="auto"/>
              </w:rPr>
              <w:t>Dublin as the Company’s statutory auditor under</w:t>
            </w: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Borders>
              <w:left w:val="single" w:sz="8" w:color="auto"/>
            </w:tcBorders>
          </w:tcPr>
          <w:p>
            <w:pPr>
              <w:spacing w:after="0"/>
              <w:rPr>
                <w:sz w:val="12"/>
                <w:szCs w:val="12"/>
                <w:color w:val="auto"/>
              </w:rPr>
            </w:pPr>
          </w:p>
        </w:tc>
        <w:tc>
          <w:tcPr>
            <w:tcW w:w="500" w:type="dxa"/>
            <w:vAlign w:val="bottom"/>
          </w:tcPr>
          <w:p>
            <w:pPr>
              <w:ind w:left="320"/>
              <w:spacing w:after="0"/>
              <w:rPr>
                <w:sz w:val="20"/>
                <w:szCs w:val="20"/>
                <w:color w:val="auto"/>
              </w:rPr>
            </w:pPr>
            <w:r>
              <w:rPr>
                <w:rFonts w:ascii="Arial" w:cs="Arial" w:eastAsia="Arial" w:hAnsi="Arial"/>
                <w:sz w:val="12"/>
                <w:szCs w:val="12"/>
                <w:color w:val="auto"/>
                <w:w w:val="95"/>
              </w:rPr>
              <w:t>1d.</w:t>
            </w:r>
          </w:p>
        </w:tc>
        <w:tc>
          <w:tcPr>
            <w:tcW w:w="2460" w:type="dxa"/>
            <w:vAlign w:val="bottom"/>
          </w:tcPr>
          <w:p>
            <w:pPr>
              <w:ind w:left="60"/>
              <w:spacing w:after="0"/>
              <w:rPr>
                <w:sz w:val="20"/>
                <w:szCs w:val="20"/>
                <w:color w:val="auto"/>
              </w:rPr>
            </w:pPr>
            <w:r>
              <w:rPr>
                <w:rFonts w:ascii="Arial" w:cs="Arial" w:eastAsia="Arial" w:hAnsi="Arial"/>
                <w:sz w:val="12"/>
                <w:szCs w:val="12"/>
                <w:color w:val="auto"/>
              </w:rPr>
              <w:t>Emyr Jones Parry</w:t>
            </w:r>
          </w:p>
        </w:tc>
        <w:tc>
          <w:tcPr>
            <w:tcW w:w="7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900" w:type="dxa"/>
            <w:vAlign w:val="bottom"/>
          </w:tcPr>
          <w:p>
            <w:pPr>
              <w:ind w:left="300"/>
              <w:spacing w:after="0"/>
              <w:rPr>
                <w:sz w:val="20"/>
                <w:szCs w:val="20"/>
                <w:color w:val="auto"/>
              </w:rPr>
            </w:pPr>
            <w:r>
              <w:rPr>
                <w:rFonts w:ascii="Arial" w:cs="Arial" w:eastAsia="Arial" w:hAnsi="Arial"/>
                <w:sz w:val="12"/>
                <w:szCs w:val="12"/>
                <w:color w:val="auto"/>
              </w:rPr>
              <w:t>Irish law to hold office until the close of the 2019</w:t>
            </w: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60" w:type="dxa"/>
            <w:vAlign w:val="bottom"/>
            <w:tcBorders>
              <w:lef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6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60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2900" w:type="dxa"/>
            <w:vAlign w:val="bottom"/>
          </w:tcPr>
          <w:p>
            <w:pPr>
              <w:ind w:left="300"/>
              <w:spacing w:after="0" w:line="134" w:lineRule="exact"/>
              <w:rPr>
                <w:sz w:val="20"/>
                <w:szCs w:val="20"/>
                <w:color w:val="auto"/>
              </w:rPr>
            </w:pPr>
            <w:r>
              <w:rPr>
                <w:rFonts w:ascii="Arial" w:cs="Arial" w:eastAsia="Arial" w:hAnsi="Arial"/>
                <w:sz w:val="12"/>
                <w:szCs w:val="12"/>
                <w:color w:val="auto"/>
              </w:rPr>
              <w:t>AGM, and to authorize the Board of Directors,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560" w:type="dxa"/>
            <w:vAlign w:val="bottom"/>
            <w:tcBorders>
              <w:left w:val="single" w:sz="8" w:color="auto"/>
            </w:tcBorders>
          </w:tcPr>
          <w:p>
            <w:pPr>
              <w:spacing w:after="0"/>
              <w:rPr>
                <w:sz w:val="12"/>
                <w:szCs w:val="12"/>
                <w:color w:val="auto"/>
              </w:rPr>
            </w:pPr>
          </w:p>
        </w:tc>
        <w:tc>
          <w:tcPr>
            <w:tcW w:w="500" w:type="dxa"/>
            <w:vAlign w:val="bottom"/>
          </w:tcPr>
          <w:p>
            <w:pPr>
              <w:ind w:left="320"/>
              <w:spacing w:after="0"/>
              <w:rPr>
                <w:sz w:val="20"/>
                <w:szCs w:val="20"/>
                <w:color w:val="auto"/>
              </w:rPr>
            </w:pPr>
            <w:r>
              <w:rPr>
                <w:rFonts w:ascii="Arial" w:cs="Arial" w:eastAsia="Arial" w:hAnsi="Arial"/>
                <w:sz w:val="12"/>
                <w:szCs w:val="12"/>
                <w:color w:val="auto"/>
                <w:w w:val="95"/>
              </w:rPr>
              <w:t>1e.</w:t>
            </w:r>
          </w:p>
        </w:tc>
        <w:tc>
          <w:tcPr>
            <w:tcW w:w="2460" w:type="dxa"/>
            <w:vAlign w:val="bottom"/>
          </w:tcPr>
          <w:p>
            <w:pPr>
              <w:ind w:left="60"/>
              <w:spacing w:after="0"/>
              <w:rPr>
                <w:sz w:val="20"/>
                <w:szCs w:val="20"/>
                <w:color w:val="auto"/>
              </w:rPr>
            </w:pPr>
            <w:r>
              <w:rPr>
                <w:rFonts w:ascii="Arial" w:cs="Arial" w:eastAsia="Arial" w:hAnsi="Arial"/>
                <w:sz w:val="12"/>
                <w:szCs w:val="12"/>
                <w:color w:val="auto"/>
              </w:rPr>
              <w:t>Francis S. Kalman</w:t>
            </w:r>
          </w:p>
        </w:tc>
        <w:tc>
          <w:tcPr>
            <w:tcW w:w="7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900" w:type="dxa"/>
            <w:vAlign w:val="bottom"/>
          </w:tcPr>
          <w:p>
            <w:pPr>
              <w:ind w:left="300"/>
              <w:spacing w:after="0"/>
              <w:rPr>
                <w:sz w:val="20"/>
                <w:szCs w:val="20"/>
                <w:color w:val="auto"/>
              </w:rPr>
            </w:pPr>
            <w:r>
              <w:rPr>
                <w:rFonts w:ascii="Arial" w:cs="Arial" w:eastAsia="Arial" w:hAnsi="Arial"/>
                <w:sz w:val="12"/>
                <w:szCs w:val="12"/>
                <w:color w:val="auto"/>
              </w:rPr>
              <w:t>acting through the Audit Committee, to</w:t>
            </w: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60" w:type="dxa"/>
            <w:vAlign w:val="bottom"/>
            <w:tcBorders>
              <w:left w:val="single" w:sz="8" w:color="auto"/>
            </w:tcBorders>
          </w:tcPr>
          <w:p>
            <w:pPr>
              <w:spacing w:after="0"/>
              <w:rPr>
                <w:sz w:val="13"/>
                <w:szCs w:val="13"/>
                <w:color w:val="auto"/>
              </w:rPr>
            </w:pPr>
          </w:p>
        </w:tc>
        <w:tc>
          <w:tcPr>
            <w:tcW w:w="500" w:type="dxa"/>
            <w:vAlign w:val="bottom"/>
            <w:vMerge w:val="restart"/>
          </w:tcPr>
          <w:p>
            <w:pPr>
              <w:ind w:left="320"/>
              <w:spacing w:after="0"/>
              <w:rPr>
                <w:sz w:val="20"/>
                <w:szCs w:val="20"/>
                <w:color w:val="auto"/>
              </w:rPr>
            </w:pPr>
            <w:r>
              <w:rPr>
                <w:rFonts w:ascii="Arial" w:cs="Arial" w:eastAsia="Arial" w:hAnsi="Arial"/>
                <w:sz w:val="12"/>
                <w:szCs w:val="12"/>
                <w:color w:val="auto"/>
              </w:rPr>
              <w:t>1f.</w:t>
            </w:r>
          </w:p>
        </w:tc>
        <w:tc>
          <w:tcPr>
            <w:tcW w:w="2460" w:type="dxa"/>
            <w:vAlign w:val="bottom"/>
            <w:vMerge w:val="restart"/>
          </w:tcPr>
          <w:p>
            <w:pPr>
              <w:ind w:left="40"/>
              <w:spacing w:after="0"/>
              <w:rPr>
                <w:sz w:val="20"/>
                <w:szCs w:val="20"/>
                <w:color w:val="auto"/>
              </w:rPr>
            </w:pPr>
            <w:r>
              <w:rPr>
                <w:rFonts w:ascii="Arial" w:cs="Arial" w:eastAsia="Arial" w:hAnsi="Arial"/>
                <w:sz w:val="12"/>
                <w:szCs w:val="12"/>
                <w:color w:val="auto"/>
              </w:rPr>
              <w:t>David S. King</w:t>
            </w:r>
          </w:p>
        </w:tc>
        <w:tc>
          <w:tcPr>
            <w:tcW w:w="76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60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2900" w:type="dxa"/>
            <w:vAlign w:val="bottom"/>
          </w:tcPr>
          <w:p>
            <w:pPr>
              <w:ind w:left="300"/>
              <w:spacing w:after="0"/>
              <w:rPr>
                <w:sz w:val="20"/>
                <w:szCs w:val="20"/>
                <w:color w:val="auto"/>
              </w:rPr>
            </w:pPr>
            <w:r>
              <w:rPr>
                <w:rFonts w:ascii="Arial" w:cs="Arial" w:eastAsia="Arial" w:hAnsi="Arial"/>
                <w:sz w:val="12"/>
                <w:szCs w:val="12"/>
                <w:color w:val="auto"/>
              </w:rPr>
              <w:t>determine the auditors’ remuneration.</w:t>
            </w: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60" w:type="dxa"/>
            <w:vAlign w:val="bottom"/>
            <w:tcBorders>
              <w:left w:val="single" w:sz="8" w:color="auto"/>
            </w:tcBorders>
          </w:tcPr>
          <w:p>
            <w:pPr>
              <w:spacing w:after="0"/>
              <w:rPr>
                <w:sz w:val="13"/>
                <w:szCs w:val="13"/>
                <w:color w:val="auto"/>
              </w:rPr>
            </w:pPr>
          </w:p>
        </w:tc>
        <w:tc>
          <w:tcPr>
            <w:tcW w:w="500" w:type="dxa"/>
            <w:vAlign w:val="bottom"/>
            <w:vMerge w:val="continue"/>
          </w:tcPr>
          <w:p>
            <w:pPr>
              <w:spacing w:after="0"/>
              <w:rPr>
                <w:sz w:val="13"/>
                <w:szCs w:val="13"/>
                <w:color w:val="auto"/>
              </w:rPr>
            </w:pPr>
          </w:p>
        </w:tc>
        <w:tc>
          <w:tcPr>
            <w:tcW w:w="24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900" w:type="dxa"/>
            <w:vAlign w:val="bottom"/>
            <w:vMerge w:val="restart"/>
          </w:tcPr>
          <w:p>
            <w:pPr>
              <w:ind w:left="80"/>
              <w:spacing w:after="0"/>
              <w:rPr>
                <w:sz w:val="20"/>
                <w:szCs w:val="20"/>
                <w:color w:val="auto"/>
              </w:rPr>
            </w:pPr>
            <w:r>
              <w:rPr>
                <w:rFonts w:ascii="Arial" w:cs="Arial" w:eastAsia="Arial" w:hAnsi="Arial"/>
                <w:sz w:val="12"/>
                <w:szCs w:val="12"/>
                <w:color w:val="auto"/>
              </w:rPr>
              <w:t>3.  To approve, in an advisory vote, the</w:t>
            </w:r>
          </w:p>
        </w:tc>
        <w:tc>
          <w:tcPr>
            <w:tcW w:w="960" w:type="dxa"/>
            <w:vAlign w:val="bottom"/>
          </w:tcPr>
          <w:p>
            <w:pPr>
              <w:spacing w:after="0"/>
              <w:rPr>
                <w:sz w:val="13"/>
                <w:szCs w:val="13"/>
                <w:color w:val="auto"/>
              </w:rPr>
            </w:pPr>
          </w:p>
        </w:tc>
        <w:tc>
          <w:tcPr>
            <w:tcW w:w="800" w:type="dxa"/>
            <w:vAlign w:val="bottom"/>
            <w:vMerge w:val="restart"/>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c>
          <w:tcPr>
            <w:tcW w:w="500" w:type="dxa"/>
            <w:vAlign w:val="bottom"/>
            <w:vMerge w:val="restart"/>
          </w:tcPr>
          <w:p>
            <w:pPr>
              <w:jc w:val="center"/>
              <w:ind w:left="38"/>
              <w:spacing w:after="0" w:line="121" w:lineRule="exact"/>
              <w:rPr>
                <w:sz w:val="20"/>
                <w:szCs w:val="20"/>
                <w:color w:val="auto"/>
              </w:rPr>
            </w:pPr>
            <w:r>
              <w:rPr>
                <w:rFonts w:ascii="MS PGothic" w:cs="MS PGothic" w:eastAsia="MS PGothic" w:hAnsi="MS PGothic"/>
                <w:sz w:val="12"/>
                <w:szCs w:val="12"/>
                <w:color w:val="auto"/>
                <w:w w:val="99"/>
              </w:rPr>
              <w:t>☐</w:t>
            </w:r>
          </w:p>
        </w:tc>
        <w:tc>
          <w:tcPr>
            <w:tcW w:w="860" w:type="dxa"/>
            <w:vAlign w:val="bottom"/>
            <w:tcBorders>
              <w:right w:val="single" w:sz="8" w:color="auto"/>
            </w:tcBorders>
            <w:gridSpan w:val="2"/>
            <w:vMerge w:val="restart"/>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96"/>
        </w:trPr>
        <w:tc>
          <w:tcPr>
            <w:tcW w:w="560" w:type="dxa"/>
            <w:vAlign w:val="bottom"/>
            <w:tcBorders>
              <w:lef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76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60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29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560" w:type="dxa"/>
            <w:vAlign w:val="bottom"/>
            <w:tcBorders>
              <w:left w:val="single" w:sz="8" w:color="auto"/>
            </w:tcBorders>
          </w:tcPr>
          <w:p>
            <w:pPr>
              <w:spacing w:after="0"/>
              <w:rPr>
                <w:sz w:val="16"/>
                <w:szCs w:val="16"/>
                <w:color w:val="auto"/>
              </w:rPr>
            </w:pPr>
          </w:p>
        </w:tc>
        <w:tc>
          <w:tcPr>
            <w:tcW w:w="500" w:type="dxa"/>
            <w:vAlign w:val="bottom"/>
          </w:tcPr>
          <w:p>
            <w:pPr>
              <w:ind w:left="320"/>
              <w:spacing w:after="0"/>
              <w:rPr>
                <w:sz w:val="20"/>
                <w:szCs w:val="20"/>
                <w:color w:val="auto"/>
              </w:rPr>
            </w:pPr>
            <w:r>
              <w:rPr>
                <w:rFonts w:ascii="Arial" w:cs="Arial" w:eastAsia="Arial" w:hAnsi="Arial"/>
                <w:sz w:val="12"/>
                <w:szCs w:val="12"/>
                <w:color w:val="auto"/>
                <w:w w:val="95"/>
              </w:rPr>
              <w:t>1g.</w:t>
            </w:r>
          </w:p>
        </w:tc>
        <w:tc>
          <w:tcPr>
            <w:tcW w:w="2460" w:type="dxa"/>
            <w:vAlign w:val="bottom"/>
          </w:tcPr>
          <w:p>
            <w:pPr>
              <w:ind w:left="60"/>
              <w:spacing w:after="0"/>
              <w:rPr>
                <w:sz w:val="20"/>
                <w:szCs w:val="20"/>
                <w:color w:val="auto"/>
              </w:rPr>
            </w:pPr>
            <w:r>
              <w:rPr>
                <w:rFonts w:ascii="Arial" w:cs="Arial" w:eastAsia="Arial" w:hAnsi="Arial"/>
                <w:sz w:val="12"/>
                <w:szCs w:val="12"/>
                <w:color w:val="auto"/>
              </w:rPr>
              <w:t>William E. Macaulay</w:t>
            </w:r>
          </w:p>
        </w:tc>
        <w:tc>
          <w:tcPr>
            <w:tcW w:w="7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2900" w:type="dxa"/>
            <w:vAlign w:val="bottom"/>
          </w:tcPr>
          <w:p>
            <w:pPr>
              <w:ind w:left="300"/>
              <w:spacing w:after="0"/>
              <w:rPr>
                <w:sz w:val="20"/>
                <w:szCs w:val="20"/>
                <w:color w:val="auto"/>
              </w:rPr>
            </w:pPr>
            <w:r>
              <w:rPr>
                <w:rFonts w:ascii="Arial" w:cs="Arial" w:eastAsia="Arial" w:hAnsi="Arial"/>
                <w:sz w:val="12"/>
                <w:szCs w:val="12"/>
                <w:color w:val="auto"/>
              </w:rPr>
              <w:t>compensation of our named executive officers.</w:t>
            </w: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Borders>
              <w:left w:val="single" w:sz="8" w:color="auto"/>
            </w:tcBorders>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2"/>
                <w:szCs w:val="12"/>
                <w:color w:val="auto"/>
                <w:w w:val="95"/>
              </w:rPr>
              <w:t>1h.</w:t>
            </w:r>
          </w:p>
        </w:tc>
        <w:tc>
          <w:tcPr>
            <w:tcW w:w="2460" w:type="dxa"/>
            <w:vAlign w:val="bottom"/>
          </w:tcPr>
          <w:p>
            <w:pPr>
              <w:ind w:left="60"/>
              <w:spacing w:after="0"/>
              <w:rPr>
                <w:sz w:val="20"/>
                <w:szCs w:val="20"/>
                <w:color w:val="auto"/>
              </w:rPr>
            </w:pPr>
            <w:r>
              <w:rPr>
                <w:rFonts w:ascii="Arial" w:cs="Arial" w:eastAsia="Arial" w:hAnsi="Arial"/>
                <w:sz w:val="12"/>
                <w:szCs w:val="12"/>
                <w:color w:val="auto"/>
              </w:rPr>
              <w:t>Mark A. McCollum</w:t>
            </w:r>
          </w:p>
        </w:tc>
        <w:tc>
          <w:tcPr>
            <w:tcW w:w="7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60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2900" w:type="dxa"/>
            <w:vAlign w:val="bottom"/>
          </w:tcPr>
          <w:p>
            <w:pPr>
              <w:ind w:left="80"/>
              <w:spacing w:after="0"/>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Such other business as may properly come</w:t>
            </w: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560" w:type="dxa"/>
            <w:vAlign w:val="bottom"/>
            <w:tcBorders>
              <w:left w:val="single" w:sz="8" w:color="auto"/>
            </w:tcBorders>
          </w:tcPr>
          <w:p>
            <w:pPr>
              <w:spacing w:after="0"/>
              <w:rPr>
                <w:sz w:val="13"/>
                <w:szCs w:val="13"/>
                <w:color w:val="auto"/>
              </w:rPr>
            </w:pPr>
          </w:p>
        </w:tc>
        <w:tc>
          <w:tcPr>
            <w:tcW w:w="500" w:type="dxa"/>
            <w:vAlign w:val="bottom"/>
            <w:vMerge w:val="restart"/>
          </w:tcPr>
          <w:p>
            <w:pPr>
              <w:ind w:left="320"/>
              <w:spacing w:after="0"/>
              <w:rPr>
                <w:sz w:val="20"/>
                <w:szCs w:val="20"/>
                <w:color w:val="auto"/>
              </w:rPr>
            </w:pPr>
            <w:r>
              <w:rPr>
                <w:rFonts w:ascii="Arial" w:cs="Arial" w:eastAsia="Arial" w:hAnsi="Arial"/>
                <w:sz w:val="12"/>
                <w:szCs w:val="12"/>
                <w:color w:val="auto"/>
              </w:rPr>
              <w:t>1i.</w:t>
            </w:r>
          </w:p>
        </w:tc>
        <w:tc>
          <w:tcPr>
            <w:tcW w:w="2460" w:type="dxa"/>
            <w:vAlign w:val="bottom"/>
            <w:vMerge w:val="restart"/>
          </w:tcPr>
          <w:p>
            <w:pPr>
              <w:ind w:left="20"/>
              <w:spacing w:after="0"/>
              <w:rPr>
                <w:sz w:val="20"/>
                <w:szCs w:val="20"/>
                <w:color w:val="auto"/>
              </w:rPr>
            </w:pPr>
            <w:r>
              <w:rPr>
                <w:rFonts w:ascii="Arial" w:cs="Arial" w:eastAsia="Arial" w:hAnsi="Arial"/>
                <w:sz w:val="12"/>
                <w:szCs w:val="12"/>
                <w:color w:val="auto"/>
              </w:rPr>
              <w:t>Angela A. Minas</w:t>
            </w:r>
          </w:p>
        </w:tc>
        <w:tc>
          <w:tcPr>
            <w:tcW w:w="76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60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2900" w:type="dxa"/>
            <w:vAlign w:val="bottom"/>
          </w:tcPr>
          <w:p>
            <w:pPr>
              <w:ind w:left="80"/>
              <w:spacing w:after="0"/>
              <w:rPr>
                <w:sz w:val="20"/>
                <w:szCs w:val="20"/>
                <w:color w:val="auto"/>
              </w:rPr>
            </w:pPr>
            <w:r>
              <w:rPr>
                <w:rFonts w:ascii="Arial" w:cs="Arial" w:eastAsia="Arial" w:hAnsi="Arial"/>
                <w:sz w:val="12"/>
                <w:szCs w:val="12"/>
                <w:color w:val="auto"/>
              </w:rPr>
              <w:t>before the meeting or any adjournment thereof.</w:t>
            </w: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60" w:type="dxa"/>
            <w:vAlign w:val="bottom"/>
            <w:tcBorders>
              <w:left w:val="single" w:sz="8" w:color="auto"/>
            </w:tcBorders>
          </w:tcPr>
          <w:p>
            <w:pPr>
              <w:spacing w:after="0"/>
              <w:rPr>
                <w:sz w:val="13"/>
                <w:szCs w:val="13"/>
                <w:color w:val="auto"/>
              </w:rPr>
            </w:pPr>
          </w:p>
        </w:tc>
        <w:tc>
          <w:tcPr>
            <w:tcW w:w="500" w:type="dxa"/>
            <w:vAlign w:val="bottom"/>
            <w:vMerge w:val="continue"/>
          </w:tcPr>
          <w:p>
            <w:pPr>
              <w:spacing w:after="0"/>
              <w:rPr>
                <w:sz w:val="13"/>
                <w:szCs w:val="13"/>
                <w:color w:val="auto"/>
              </w:rPr>
            </w:pPr>
          </w:p>
        </w:tc>
        <w:tc>
          <w:tcPr>
            <w:tcW w:w="24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560" w:type="dxa"/>
            <w:vAlign w:val="bottom"/>
            <w:tcBorders>
              <w:left w:val="single" w:sz="8" w:color="auto"/>
            </w:tcBorders>
          </w:tcPr>
          <w:p>
            <w:pPr>
              <w:spacing w:after="0"/>
              <w:rPr>
                <w:sz w:val="24"/>
                <w:szCs w:val="24"/>
                <w:color w:val="auto"/>
              </w:rPr>
            </w:pPr>
          </w:p>
        </w:tc>
        <w:tc>
          <w:tcPr>
            <w:tcW w:w="500" w:type="dxa"/>
            <w:vAlign w:val="bottom"/>
          </w:tcPr>
          <w:p>
            <w:pPr>
              <w:ind w:left="320"/>
              <w:spacing w:after="0"/>
              <w:rPr>
                <w:sz w:val="20"/>
                <w:szCs w:val="20"/>
                <w:color w:val="auto"/>
              </w:rPr>
            </w:pPr>
            <w:r>
              <w:rPr>
                <w:rFonts w:ascii="Arial" w:cs="Arial" w:eastAsia="Arial" w:hAnsi="Arial"/>
                <w:sz w:val="12"/>
                <w:szCs w:val="12"/>
                <w:color w:val="auto"/>
              </w:rPr>
              <w:t>1j.</w:t>
            </w:r>
          </w:p>
        </w:tc>
        <w:tc>
          <w:tcPr>
            <w:tcW w:w="2460" w:type="dxa"/>
            <w:vAlign w:val="bottom"/>
          </w:tcPr>
          <w:p>
            <w:pPr>
              <w:ind w:left="40"/>
              <w:spacing w:after="0"/>
              <w:rPr>
                <w:sz w:val="20"/>
                <w:szCs w:val="20"/>
                <w:color w:val="auto"/>
              </w:rPr>
            </w:pPr>
            <w:r>
              <w:rPr>
                <w:rFonts w:ascii="Arial" w:cs="Arial" w:eastAsia="Arial" w:hAnsi="Arial"/>
                <w:sz w:val="12"/>
                <w:szCs w:val="12"/>
                <w:color w:val="auto"/>
              </w:rPr>
              <w:t>Guillermo Ortiz</w:t>
            </w:r>
          </w:p>
        </w:tc>
        <w:tc>
          <w:tcPr>
            <w:tcW w:w="7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60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2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7"/>
        </w:trPr>
        <w:tc>
          <w:tcPr>
            <w:tcW w:w="560" w:type="dxa"/>
            <w:vAlign w:val="bottom"/>
            <w:tcBorders>
              <w:left w:val="single" w:sz="8" w:color="auto"/>
            </w:tcBorders>
          </w:tcPr>
          <w:p>
            <w:pPr>
              <w:spacing w:after="0"/>
              <w:rPr>
                <w:sz w:val="24"/>
                <w:szCs w:val="24"/>
                <w:color w:val="auto"/>
              </w:rPr>
            </w:pPr>
          </w:p>
        </w:tc>
        <w:tc>
          <w:tcPr>
            <w:tcW w:w="9520" w:type="dxa"/>
            <w:vAlign w:val="bottom"/>
            <w:gridSpan w:val="8"/>
          </w:tcPr>
          <w:p>
            <w:pPr>
              <w:ind w:left="100"/>
              <w:spacing w:after="0"/>
              <w:rPr>
                <w:sz w:val="20"/>
                <w:szCs w:val="20"/>
                <w:color w:val="auto"/>
              </w:rPr>
            </w:pPr>
            <w:r>
              <w:rPr>
                <w:rFonts w:ascii="Arial" w:cs="Arial" w:eastAsia="Arial" w:hAnsi="Arial"/>
                <w:sz w:val="12"/>
                <w:szCs w:val="12"/>
                <w:color w:val="auto"/>
                <w:w w:val="96"/>
              </w:rPr>
              <w:t>Please sign exactly as your name(s) appear(s) hereon. When signing as attorney, executor, administrator, or other fiduciary, please give full title as such. Joint owners should each sign</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560" w:type="dxa"/>
            <w:vAlign w:val="bottom"/>
            <w:tcBorders>
              <w:left w:val="single" w:sz="8" w:color="auto"/>
            </w:tcBorders>
          </w:tcPr>
          <w:p>
            <w:pPr>
              <w:spacing w:after="0"/>
              <w:rPr>
                <w:sz w:val="13"/>
                <w:szCs w:val="13"/>
                <w:color w:val="auto"/>
              </w:rPr>
            </w:pPr>
          </w:p>
        </w:tc>
        <w:tc>
          <w:tcPr>
            <w:tcW w:w="7760" w:type="dxa"/>
            <w:vAlign w:val="bottom"/>
            <w:gridSpan w:val="6"/>
          </w:tcPr>
          <w:p>
            <w:pPr>
              <w:ind w:left="100"/>
              <w:spacing w:after="0"/>
              <w:rPr>
                <w:sz w:val="20"/>
                <w:szCs w:val="20"/>
                <w:color w:val="auto"/>
              </w:rPr>
            </w:pPr>
            <w:r>
              <w:rPr>
                <w:rFonts w:ascii="Arial" w:cs="Arial" w:eastAsia="Arial" w:hAnsi="Arial"/>
                <w:sz w:val="12"/>
                <w:szCs w:val="12"/>
                <w:color w:val="auto"/>
              </w:rPr>
              <w:t>personally. All holders must sign. If a corporation or partnership, please sign in full corporate or partnership name by authorized officer.</w:t>
            </w: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560" w:type="dxa"/>
            <w:vAlign w:val="bottom"/>
            <w:tcBorders>
              <w:left w:val="single" w:sz="8" w:color="auto"/>
            </w:tcBorders>
          </w:tcPr>
          <w:p>
            <w:pPr>
              <w:spacing w:after="0"/>
              <w:rPr>
                <w:sz w:val="10"/>
                <w:szCs w:val="10"/>
                <w:color w:val="auto"/>
              </w:rPr>
            </w:pPr>
          </w:p>
        </w:tc>
        <w:tc>
          <w:tcPr>
            <w:tcW w:w="2960" w:type="dxa"/>
            <w:vAlign w:val="bottom"/>
            <w:tcBorders>
              <w:bottom w:val="single" w:sz="8" w:color="auto"/>
            </w:tcBorders>
            <w:gridSpan w:val="2"/>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7"/>
        </w:trPr>
        <w:tc>
          <w:tcPr>
            <w:tcW w:w="560" w:type="dxa"/>
            <w:vAlign w:val="bottom"/>
            <w:tcBorders>
              <w:left w:val="single" w:sz="8" w:color="auto"/>
            </w:tcBorders>
            <w:vMerge w:val="restart"/>
          </w:tcPr>
          <w:p>
            <w:pPr>
              <w:spacing w:after="0"/>
              <w:rPr>
                <w:sz w:val="24"/>
                <w:szCs w:val="24"/>
                <w:color w:val="auto"/>
              </w:rPr>
            </w:pPr>
          </w:p>
        </w:tc>
        <w:tc>
          <w:tcPr>
            <w:tcW w:w="500" w:type="dxa"/>
            <w:vAlign w:val="bottom"/>
            <w:tcBorders>
              <w:left w:val="single" w:sz="8" w:color="auto"/>
              <w:bottom w:val="single" w:sz="8" w:color="auto"/>
            </w:tcBorders>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60" w:type="dxa"/>
            <w:vAlign w:val="bottom"/>
            <w:tcBorders>
              <w:left w:val="single" w:sz="8" w:color="auto"/>
            </w:tcBorders>
            <w:vMerge w:val="continue"/>
          </w:tcPr>
          <w:p>
            <w:pPr>
              <w:spacing w:after="0"/>
              <w:rPr>
                <w:sz w:val="13"/>
                <w:szCs w:val="13"/>
                <w:color w:val="auto"/>
              </w:rPr>
            </w:pPr>
          </w:p>
        </w:tc>
        <w:tc>
          <w:tcPr>
            <w:tcW w:w="2960" w:type="dxa"/>
            <w:vAlign w:val="bottom"/>
            <w:gridSpan w:val="2"/>
          </w:tcPr>
          <w:p>
            <w:pPr>
              <w:ind w:left="100"/>
              <w:spacing w:after="0"/>
              <w:rPr>
                <w:sz w:val="20"/>
                <w:szCs w:val="20"/>
                <w:color w:val="auto"/>
              </w:rPr>
            </w:pPr>
            <w:r>
              <w:rPr>
                <w:rFonts w:ascii="Arial" w:cs="Arial" w:eastAsia="Arial" w:hAnsi="Arial"/>
                <w:sz w:val="12"/>
                <w:szCs w:val="12"/>
                <w:color w:val="auto"/>
              </w:rPr>
              <w:t>Signature [PLEASE SIGN WITHIN BOX]</w:t>
            </w:r>
          </w:p>
        </w:tc>
        <w:tc>
          <w:tcPr>
            <w:tcW w:w="760" w:type="dxa"/>
            <w:vAlign w:val="bottom"/>
          </w:tcPr>
          <w:p>
            <w:pPr>
              <w:ind w:left="80"/>
              <w:spacing w:after="0"/>
              <w:rPr>
                <w:sz w:val="20"/>
                <w:szCs w:val="20"/>
                <w:color w:val="auto"/>
              </w:rPr>
            </w:pPr>
            <w:r>
              <w:rPr>
                <w:rFonts w:ascii="Arial" w:cs="Arial" w:eastAsia="Arial" w:hAnsi="Arial"/>
                <w:sz w:val="12"/>
                <w:szCs w:val="12"/>
                <w:color w:val="auto"/>
              </w:rPr>
              <w:t>Date</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00" w:type="dxa"/>
            <w:vAlign w:val="bottom"/>
          </w:tcPr>
          <w:p>
            <w:pPr>
              <w:ind w:left="80"/>
              <w:spacing w:after="0"/>
              <w:rPr>
                <w:sz w:val="20"/>
                <w:szCs w:val="20"/>
                <w:color w:val="auto"/>
              </w:rPr>
            </w:pPr>
            <w:r>
              <w:rPr>
                <w:rFonts w:ascii="Arial" w:cs="Arial" w:eastAsia="Arial" w:hAnsi="Arial"/>
                <w:sz w:val="12"/>
                <w:szCs w:val="12"/>
                <w:color w:val="auto"/>
              </w:rPr>
              <w:t>Signature (Joint Owners)</w:t>
            </w:r>
          </w:p>
        </w:tc>
        <w:tc>
          <w:tcPr>
            <w:tcW w:w="960" w:type="dxa"/>
            <w:vAlign w:val="bottom"/>
          </w:tcPr>
          <w:p>
            <w:pPr>
              <w:spacing w:after="0"/>
              <w:rPr>
                <w:sz w:val="13"/>
                <w:szCs w:val="13"/>
                <w:color w:val="auto"/>
              </w:rPr>
            </w:pPr>
          </w:p>
        </w:tc>
        <w:tc>
          <w:tcPr>
            <w:tcW w:w="800" w:type="dxa"/>
            <w:vAlign w:val="bottom"/>
          </w:tcPr>
          <w:p>
            <w:pPr>
              <w:ind w:left="120"/>
              <w:spacing w:after="0"/>
              <w:rPr>
                <w:sz w:val="20"/>
                <w:szCs w:val="20"/>
                <w:color w:val="auto"/>
              </w:rPr>
            </w:pPr>
            <w:r>
              <w:rPr>
                <w:rFonts w:ascii="Arial" w:cs="Arial" w:eastAsia="Arial" w:hAnsi="Arial"/>
                <w:sz w:val="12"/>
                <w:szCs w:val="12"/>
                <w:color w:val="auto"/>
              </w:rPr>
              <w:t>Date</w:t>
            </w: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56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6" w:right="21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w:t>
      </w:r>
    </w:p>
    <w:p>
      <w:pPr>
        <w:spacing w:after="0" w:line="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The Notice and Proxy Statement, Annual Report and Irish Statutory Accounts are available at</w:t>
      </w:r>
    </w:p>
    <w:p>
      <w:pPr>
        <w:spacing w:after="0" w:line="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 — — — — — —— — — — — — — — — — — — — — — — — — — — — — — — — — — — — — — — — — —</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E39635-P04247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265035" cy="3331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5035" cy="33318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left="320"/>
        <w:spacing w:after="0"/>
        <w:rPr>
          <w:sz w:val="20"/>
          <w:szCs w:val="20"/>
          <w:color w:val="auto"/>
        </w:rPr>
      </w:pPr>
      <w:r>
        <w:rPr>
          <w:rFonts w:ascii="Arial" w:cs="Arial" w:eastAsia="Arial" w:hAnsi="Arial"/>
          <w:sz w:val="21"/>
          <w:szCs w:val="21"/>
          <w:b w:val="1"/>
          <w:bCs w:val="1"/>
          <w:color w:val="auto"/>
        </w:rPr>
        <w:t>WEATHERFORD INTERNATIONAL PLC</w:t>
      </w:r>
    </w:p>
    <w:p>
      <w:pPr>
        <w:spacing w:after="0" w:line="22" w:lineRule="exact"/>
        <w:rPr>
          <w:sz w:val="20"/>
          <w:szCs w:val="20"/>
          <w:color w:val="auto"/>
        </w:rPr>
      </w:pPr>
    </w:p>
    <w:p>
      <w:pPr>
        <w:jc w:val="center"/>
        <w:ind w:left="320"/>
        <w:spacing w:after="0"/>
        <w:rPr>
          <w:sz w:val="20"/>
          <w:szCs w:val="20"/>
          <w:color w:val="auto"/>
        </w:rPr>
      </w:pPr>
      <w:r>
        <w:rPr>
          <w:rFonts w:ascii="Arial" w:cs="Arial" w:eastAsia="Arial" w:hAnsi="Arial"/>
          <w:sz w:val="21"/>
          <w:szCs w:val="21"/>
          <w:b w:val="1"/>
          <w:bCs w:val="1"/>
          <w:color w:val="auto"/>
        </w:rPr>
        <w:t>Annual General Meeting of Shareholders</w:t>
      </w:r>
    </w:p>
    <w:p>
      <w:pPr>
        <w:jc w:val="center"/>
        <w:ind w:left="320"/>
        <w:spacing w:after="0" w:line="238" w:lineRule="auto"/>
        <w:rPr>
          <w:sz w:val="20"/>
          <w:szCs w:val="20"/>
          <w:color w:val="auto"/>
        </w:rPr>
      </w:pPr>
      <w:r>
        <w:rPr>
          <w:rFonts w:ascii="Arial" w:cs="Arial" w:eastAsia="Arial" w:hAnsi="Arial"/>
          <w:sz w:val="21"/>
          <w:szCs w:val="21"/>
          <w:b w:val="1"/>
          <w:bCs w:val="1"/>
          <w:color w:val="auto"/>
        </w:rPr>
        <w:t>April 27, 2018 10:00 AM</w:t>
      </w:r>
    </w:p>
    <w:p>
      <w:pPr>
        <w:spacing w:after="0" w:line="1" w:lineRule="exact"/>
        <w:rPr>
          <w:sz w:val="20"/>
          <w:szCs w:val="20"/>
          <w:color w:val="auto"/>
        </w:rPr>
      </w:pPr>
    </w:p>
    <w:p>
      <w:pPr>
        <w:jc w:val="center"/>
        <w:ind w:left="320"/>
        <w:spacing w:after="0"/>
        <w:rPr>
          <w:sz w:val="20"/>
          <w:szCs w:val="20"/>
          <w:color w:val="auto"/>
        </w:rPr>
      </w:pPr>
      <w:r>
        <w:rPr>
          <w:rFonts w:ascii="Arial" w:cs="Arial" w:eastAsia="Arial" w:hAnsi="Arial"/>
          <w:sz w:val="21"/>
          <w:szCs w:val="21"/>
          <w:b w:val="1"/>
          <w:bCs w:val="1"/>
          <w:color w:val="auto"/>
        </w:rPr>
        <w:t>This proxy is solicited by the Board of Directors</w:t>
      </w:r>
    </w:p>
    <w:p>
      <w:pPr>
        <w:spacing w:after="0" w:line="242" w:lineRule="exact"/>
        <w:rPr>
          <w:sz w:val="20"/>
          <w:szCs w:val="20"/>
          <w:color w:val="auto"/>
        </w:rPr>
      </w:pPr>
    </w:p>
    <w:p>
      <w:pPr>
        <w:ind w:left="300" w:right="20"/>
        <w:spacing w:after="0" w:line="289" w:lineRule="auto"/>
        <w:rPr>
          <w:sz w:val="20"/>
          <w:szCs w:val="20"/>
          <w:color w:val="auto"/>
        </w:rPr>
      </w:pPr>
      <w:r>
        <w:rPr>
          <w:rFonts w:ascii="Arial" w:cs="Arial" w:eastAsia="Arial" w:hAnsi="Arial"/>
          <w:sz w:val="16"/>
          <w:szCs w:val="16"/>
          <w:color w:val="auto"/>
        </w:rPr>
        <w:t>The shareholder(s) hereby appoint(s) Christina M. Ibrahim and Mark A. McCollum, or either of them, as proxies, each with the power to appoint his/her substitute, and hereby authorizes them to represent and to vote, as designated on the reverse side of this ballot, all of the ordinary shares of WEATHERFORD INTERNATIONAL PLC that the shareholder(s) is/are entitled to vote if personally present at the Annual General Meeting of Shareholders, to be held at 10:00 AM, Central European Time, on April 27, 2018, at The Lorzensaal Cham, Cham, Canton of Zug, Switzerland, and any adjournment or postponement thereof on the matters more particularly described in the Proxy Statement for the 2018 Annual General Meeting of Shareholders. The undersigned hereby revokes all proxies previously given by the undersigned to vote at the Annual General Meeting of Shareholders.</w:t>
      </w:r>
    </w:p>
    <w:p>
      <w:pPr>
        <w:spacing w:after="0" w:line="202" w:lineRule="exact"/>
        <w:rPr>
          <w:sz w:val="20"/>
          <w:szCs w:val="20"/>
          <w:color w:val="auto"/>
        </w:rPr>
      </w:pPr>
    </w:p>
    <w:p>
      <w:pPr>
        <w:ind w:left="300" w:right="40"/>
        <w:spacing w:after="0" w:line="293" w:lineRule="auto"/>
        <w:rPr>
          <w:sz w:val="20"/>
          <w:szCs w:val="20"/>
          <w:color w:val="auto"/>
        </w:rPr>
      </w:pPr>
      <w:r>
        <w:rPr>
          <w:rFonts w:ascii="Arial" w:cs="Arial" w:eastAsia="Arial" w:hAnsi="Arial"/>
          <w:sz w:val="16"/>
          <w:szCs w:val="16"/>
          <w:b w:val="1"/>
          <w:bCs w:val="1"/>
          <w:color w:val="auto"/>
        </w:rPr>
        <w:t>This proxy card, when properly executed, will be voted in the manner directed by the undersigned shareholder on the reverse side of this proxy card. IF NO DIRECTION IS MADE, THESE SHARES WILL BE VOTED "FOR" EACH OF THE PROPOSALS TO BE CONSIDERED AT THE ANNUAL GENERAL MEETING. In the event other matters properly come before, or are raised at, the Annual General Meeting on which a vote is or may be taken, you instruct and authorize the Proxy Holders to vote the shares in their own discretion on such other matters. The undersigned hereby acknowledges receipt of Notice of, and the Proxy Statement for, the Annual General Meeting.</w:t>
      </w:r>
    </w:p>
    <w:p>
      <w:pPr>
        <w:spacing w:after="0" w:line="200" w:lineRule="exact"/>
        <w:rPr>
          <w:sz w:val="20"/>
          <w:szCs w:val="20"/>
          <w:color w:val="auto"/>
        </w:rPr>
      </w:pPr>
    </w:p>
    <w:p>
      <w:pPr>
        <w:spacing w:after="0" w:line="21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180"/>
      </w:cols>
      <w:pgMar w:left="240" w:top="4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lvl w:ilvl="1">
      <w:lvlJc w:val="left"/>
      <w:lvlText w:val="%2)"/>
      <w:numFmt w:val="decimal"/>
      <w:start w:val="1"/>
    </w:lvl>
  </w:abstractNum>
  <w:abstractNum w:abstractNumId="5">
    <w:nsid w:val="180115BE"/>
    <w:multiLevelType w:val="hybridMultilevel"/>
    <w:lvl w:ilvl="0">
      <w:lvlJc w:val="left"/>
      <w:lvlText w:val="%1)"/>
      <w:numFmt w:val="decimal"/>
      <w:start w:val="2"/>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emdash "/>
      <w:numFmt w:val="bullet"/>
      <w:start w:val="1"/>
    </w:lvl>
  </w:abstractNum>
  <w:abstractNum w:abstractNumId="9">
    <w:nsid w:val="15B5AF5C"/>
    <w:multiLevelType w:val="hybridMultilevel"/>
    <w:lvl w:ilvl="0">
      <w:lvlJc w:val="left"/>
      <w:lvlText w:val="3"/>
      <w:numFmt w:val="bullet"/>
      <w:start w:val="1"/>
    </w:lvl>
  </w:abstractNum>
  <w:abstractNum w:abstractNumId="10">
    <w:nsid w:val="741226BB"/>
    <w:multiLevelType w:val="hybridMultilevel"/>
    <w:lvl w:ilvl="0">
      <w:lvlJc w:val="left"/>
      <w:lvlText w:val="%1."/>
      <w:numFmt w:val="decimal"/>
      <w:start w:val="1"/>
    </w:lvl>
  </w:abstractNum>
  <w:abstractNum w:abstractNumId="11">
    <w:nsid w:val="D34B6A8"/>
    <w:multiLevelType w:val="hybridMultilevel"/>
    <w:lvl w:ilvl="0">
      <w:lvlJc w:val="left"/>
      <w:lvlText w:val="%1"/>
      <w:numFmt w:val="decimal"/>
      <w:start w:val="10"/>
    </w:lvl>
  </w:abstractNum>
  <w:abstractNum w:abstractNumId="12">
    <w:nsid w:val="10233C99"/>
    <w:multiLevelType w:val="hybridMultilevel"/>
    <w:lvl w:ilvl="0">
      <w:lvlJc w:val="left"/>
      <w:lvlText w:val="%1"/>
      <w:numFmt w:val="decimal"/>
      <w:start w:val="14"/>
    </w:lvl>
  </w:abstractNum>
  <w:abstractNum w:abstractNumId="13">
    <w:nsid w:val="3F6AB60F"/>
    <w:multiLevelType w:val="hybridMultilevel"/>
    <w:lvl w:ilvl="0">
      <w:lvlJc w:val="left"/>
      <w:lvlText w:val="%1"/>
      <w:numFmt w:val="decimal"/>
      <w:start w:val="16"/>
    </w:lvl>
  </w:abstractNum>
  <w:abstractNum w:abstractNumId="14">
    <w:nsid w:val="61574095"/>
    <w:multiLevelType w:val="hybridMultilevel"/>
    <w:lvl w:ilvl="0">
      <w:lvlJc w:val="left"/>
      <w:lvlText w:val="%1"/>
      <w:numFmt w:val="decimal"/>
      <w:start w:val="16"/>
    </w:lvl>
  </w:abstractNum>
  <w:abstractNum w:abstractNumId="15">
    <w:nsid w:val="7E0C57B1"/>
    <w:multiLevelType w:val="hybridMultilevel"/>
    <w:lvl w:ilvl="0">
      <w:lvlJc w:val="left"/>
      <w:lvlText w:val="%1"/>
      <w:numFmt w:val="decimal"/>
      <w:start w:val="24"/>
    </w:lvl>
  </w:abstractNum>
  <w:abstractNum w:abstractNumId="16">
    <w:nsid w:val="77AE35EB"/>
    <w:multiLevelType w:val="hybridMultilevel"/>
    <w:lvl w:ilvl="0">
      <w:lvlJc w:val="left"/>
      <w:lvlText w:val="%1"/>
      <w:numFmt w:val="decimal"/>
      <w:start w:val="24"/>
    </w:lvl>
  </w:abstractNum>
  <w:abstractNum w:abstractNumId="17">
    <w:nsid w:val="579BE4F1"/>
    <w:multiLevelType w:val="hybridMultilevel"/>
    <w:lvl w:ilvl="0">
      <w:lvlJc w:val="left"/>
      <w:lvlText w:val="%1"/>
      <w:numFmt w:val="decimal"/>
      <w:start w:val="35"/>
    </w:lvl>
  </w:abstractNum>
  <w:abstractNum w:abstractNumId="18">
    <w:nsid w:val="310C50B3"/>
    <w:multiLevelType w:val="hybridMultilevel"/>
    <w:lvl w:ilvl="0">
      <w:lvlJc w:val="left"/>
      <w:lvlText w:val="%1"/>
      <w:numFmt w:val="decimal"/>
      <w:start w:val="49"/>
    </w:lvl>
  </w:abstractNum>
  <w:abstractNum w:abstractNumId="19">
    <w:nsid w:val="5FF87E05"/>
    <w:multiLevelType w:val="hybridMultilevel"/>
    <w:lvl w:ilvl="0">
      <w:lvlJc w:val="left"/>
      <w:lvlText w:val="%1"/>
      <w:numFmt w:val="decimal"/>
      <w:start w:val="49"/>
    </w:lvl>
  </w:abstractNum>
  <w:abstractNum w:abstractNumId="20">
    <w:nsid w:val="2F305DEF"/>
    <w:multiLevelType w:val="hybridMultilevel"/>
    <w:lvl w:ilvl="0">
      <w:lvlJc w:val="left"/>
      <w:lvlText w:val="%1"/>
      <w:numFmt w:val="decimal"/>
      <w:start w:val="49"/>
    </w:lvl>
  </w:abstractNum>
  <w:abstractNum w:abstractNumId="21">
    <w:nsid w:val="25A70BF7"/>
    <w:multiLevelType w:val="hybridMultilevel"/>
    <w:lvl w:ilvl="0">
      <w:lvlJc w:val="left"/>
      <w:lvlText w:val="%1"/>
      <w:numFmt w:val="decimal"/>
      <w:start w:val="49"/>
    </w:lvl>
  </w:abstractNum>
  <w:abstractNum w:abstractNumId="22">
    <w:nsid w:val="1DBABF00"/>
    <w:multiLevelType w:val="hybridMultilevel"/>
    <w:lvl w:ilvl="0">
      <w:lvlJc w:val="left"/>
      <w:lvlText w:val="%1"/>
      <w:numFmt w:val="decimal"/>
      <w:start w:val="50"/>
    </w:lvl>
  </w:abstractNum>
  <w:abstractNum w:abstractNumId="23">
    <w:nsid w:val="4AD084E9"/>
    <w:multiLevelType w:val="hybridMultilevel"/>
    <w:lvl w:ilvl="0">
      <w:lvlJc w:val="left"/>
      <w:lvlText w:val="%1"/>
      <w:numFmt w:val="decimal"/>
      <w:start w:val="50"/>
    </w:lvl>
  </w:abstractNum>
  <w:abstractNum w:abstractNumId="24">
    <w:nsid w:val="1F48EAA1"/>
    <w:multiLevelType w:val="hybridMultilevel"/>
    <w:lvl w:ilvl="0">
      <w:lvlJc w:val="left"/>
      <w:lvlText w:val="(%1)"/>
      <w:numFmt w:val="lowerRoman"/>
      <w:start w:val="1"/>
    </w:lvl>
  </w:abstractNum>
  <w:abstractNum w:abstractNumId="25">
    <w:nsid w:val="1381823A"/>
    <w:multiLevelType w:val="hybridMultilevel"/>
    <w:lvl w:ilvl="0">
      <w:lvlJc w:val="left"/>
      <w:lvlText w:val="2"/>
      <w:numFmt w:val="bullet"/>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4"/>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6"/>
      <w:numFmt w:val="bullet"/>
      <w:start w:val="1"/>
    </w:lvl>
  </w:abstractNum>
  <w:abstractNum w:abstractNumId="33">
    <w:nsid w:val="6B94764"/>
    <w:multiLevelType w:val="hybridMultilevel"/>
    <w:lvl w:ilvl="0">
      <w:lvlJc w:val="left"/>
      <w:lvlText w:val="•"/>
      <w:numFmt w:val="bullet"/>
      <w:start w:val="1"/>
    </w:lvl>
  </w:abstractNum>
  <w:abstractNum w:abstractNumId="34">
    <w:nsid w:val="42C296BD"/>
    <w:multiLevelType w:val="hybridMultilevel"/>
    <w:lvl w:ilvl="0">
      <w:lvlJc w:val="left"/>
      <w:lvlText w:val="•"/>
      <w:numFmt w:val="bullet"/>
      <w:start w:val="1"/>
    </w:lvl>
  </w:abstractNum>
  <w:abstractNum w:abstractNumId="35">
    <w:nsid w:val="168E121F"/>
    <w:multiLevelType w:val="hybridMultilevel"/>
    <w:lvl w:ilvl="0">
      <w:lvlJc w:val="left"/>
      <w:lvlText w:val="•"/>
      <w:numFmt w:val="bullet"/>
      <w:start w:val="1"/>
    </w:lvl>
  </w:abstractNum>
  <w:abstractNum w:abstractNumId="36">
    <w:nsid w:val="1EBA5D23"/>
    <w:multiLevelType w:val="hybridMultilevel"/>
    <w:lvl w:ilvl="0">
      <w:lvlJc w:val="left"/>
      <w:lvlText w:val="•"/>
      <w:numFmt w:val="bullet"/>
      <w:start w:val="1"/>
    </w:lvl>
  </w:abstractNum>
  <w:abstractNum w:abstractNumId="37">
    <w:nsid w:val="661E3F1E"/>
    <w:multiLevelType w:val="hybridMultilevel"/>
    <w:lvl w:ilvl="0">
      <w:lvlJc w:val="left"/>
      <w:lvlText w:val="8"/>
      <w:numFmt w:val="bullet"/>
      <w:start w:val="1"/>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
      <w:numFmt w:val="bullet"/>
      <w:start w:val="1"/>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
      <w:numFmt w:val="bullet"/>
      <w:start w:val="1"/>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
      <w:numFmt w:val="bullet"/>
      <w:start w:val="1"/>
    </w:lvl>
  </w:abstractNum>
  <w:abstractNum w:abstractNumId="44">
    <w:nsid w:val="11447B73"/>
    <w:multiLevelType w:val="hybridMultilevel"/>
    <w:lvl w:ilvl="0">
      <w:lvlJc w:val="left"/>
      <w:lvlText w:val="%1"/>
      <w:numFmt w:val="decimal"/>
      <w:start w:val="10"/>
    </w:lvl>
  </w:abstractNum>
  <w:abstractNum w:abstractNumId="45">
    <w:nsid w:val="42963E5A"/>
    <w:multiLevelType w:val="hybridMultilevel"/>
    <w:lvl w:ilvl="0">
      <w:lvlJc w:val="left"/>
      <w:lvlText w:val="%1"/>
      <w:numFmt w:val="decimal"/>
      <w:start w:val="12"/>
    </w:lvl>
  </w:abstractNum>
  <w:abstractNum w:abstractNumId="46">
    <w:nsid w:val="A0382C5"/>
    <w:multiLevelType w:val="hybridMultilevel"/>
    <w:lvl w:ilvl="0">
      <w:lvlJc w:val="left"/>
      <w:lvlText w:val="%1"/>
      <w:numFmt w:val="decimal"/>
      <w:start w:val="14"/>
    </w:lvl>
  </w:abstractNum>
  <w:abstractNum w:abstractNumId="47">
    <w:nsid w:val="8F2B15E"/>
    <w:multiLevelType w:val="hybridMultilevel"/>
    <w:lvl w:ilvl="0">
      <w:lvlJc w:val="left"/>
      <w:lvlText w:val="(%1)"/>
      <w:numFmt w:val="decimal"/>
      <w:start w:val="1"/>
    </w:lvl>
  </w:abstractNum>
  <w:abstractNum w:abstractNumId="48">
    <w:nsid w:val="1A32234B"/>
    <w:multiLevelType w:val="hybridMultilevel"/>
    <w:lvl w:ilvl="0">
      <w:lvlJc w:val="left"/>
      <w:lvlText w:val="(%1)"/>
      <w:numFmt w:val="decimal"/>
      <w:start w:val="3"/>
    </w:lvl>
  </w:abstractNum>
  <w:abstractNum w:abstractNumId="49">
    <w:nsid w:val="3B0FD379"/>
    <w:multiLevelType w:val="hybridMultilevel"/>
    <w:lvl w:ilvl="0">
      <w:lvlJc w:val="left"/>
      <w:lvlText w:val="(%1)"/>
      <w:numFmt w:val="decimal"/>
      <w:start w:val="1"/>
    </w:lvl>
  </w:abstractNum>
  <w:abstractNum w:abstractNumId="50">
    <w:nsid w:val="68EB2F63"/>
    <w:multiLevelType w:val="hybridMultilevel"/>
    <w:lvl w:ilvl="0">
      <w:lvlJc w:val="left"/>
      <w:lvlText w:val="%1"/>
      <w:numFmt w:val="decimal"/>
      <w:start w:val="16"/>
    </w:lvl>
  </w:abstractNum>
  <w:abstractNum w:abstractNumId="51">
    <w:nsid w:val="4962813B"/>
    <w:multiLevelType w:val="hybridMultilevel"/>
    <w:lvl w:ilvl="0">
      <w:lvlJc w:val="left"/>
      <w:lvlText w:val="•"/>
      <w:numFmt w:val="bullet"/>
      <w:start w:val="1"/>
    </w:lvl>
  </w:abstractNum>
  <w:abstractNum w:abstractNumId="52">
    <w:nsid w:val="60B6DF70"/>
    <w:multiLevelType w:val="hybridMultilevel"/>
    <w:lvl w:ilvl="0">
      <w:lvlJc w:val="left"/>
      <w:lvlText w:val="•"/>
      <w:numFmt w:val="bullet"/>
      <w:start w:val="1"/>
    </w:lvl>
  </w:abstractNum>
  <w:abstractNum w:abstractNumId="53">
    <w:nsid w:val="6A5EE64"/>
    <w:multiLevelType w:val="hybridMultilevel"/>
    <w:lvl w:ilvl="0">
      <w:lvlJc w:val="left"/>
      <w:lvlText w:val="%1"/>
      <w:numFmt w:val="decimal"/>
      <w:start w:val="18"/>
    </w:lvl>
  </w:abstractNum>
  <w:abstractNum w:abstractNumId="54">
    <w:nsid w:val="14330624"/>
    <w:multiLevelType w:val="hybridMultilevel"/>
    <w:lvl w:ilvl="0">
      <w:lvlJc w:val="left"/>
      <w:lvlText w:val="•"/>
      <w:numFmt w:val="bullet"/>
      <w:start w:val="1"/>
    </w:lvl>
  </w:abstractNum>
  <w:abstractNum w:abstractNumId="55">
    <w:nsid w:val="7FFFCA11"/>
    <w:multiLevelType w:val="hybridMultilevel"/>
    <w:lvl w:ilvl="0">
      <w:lvlJc w:val="left"/>
      <w:lvlText w:val="✓"/>
      <w:numFmt w:val="bullet"/>
      <w:start w:val="1"/>
    </w:lvl>
  </w:abstractNum>
  <w:abstractNum w:abstractNumId="56">
    <w:nsid w:val="1A27709E"/>
    <w:multiLevelType w:val="hybridMultilevel"/>
    <w:lvl w:ilvl="0">
      <w:lvlJc w:val="left"/>
      <w:lvlText w:val="X"/>
      <w:numFmt w:val="bullet"/>
      <w:start w:val="1"/>
    </w:lvl>
  </w:abstractNum>
  <w:abstractNum w:abstractNumId="57">
    <w:nsid w:val="71EA1109"/>
    <w:multiLevelType w:val="hybridMultilevel"/>
    <w:lvl w:ilvl="0">
      <w:lvlJc w:val="left"/>
      <w:lvlText w:val="%1"/>
      <w:numFmt w:val="decimal"/>
      <w:start w:val="20"/>
    </w:lvl>
  </w:abstractNum>
  <w:abstractNum w:abstractNumId="58">
    <w:nsid w:val="100F59DC"/>
    <w:multiLevelType w:val="hybridMultilevel"/>
    <w:lvl w:ilvl="0">
      <w:lvlJc w:val="left"/>
      <w:lvlText w:val="●"/>
      <w:numFmt w:val="bullet"/>
      <w:start w:val="1"/>
    </w:lvl>
  </w:abstractNum>
  <w:abstractNum w:abstractNumId="59">
    <w:nsid w:val="7FB7E0AA"/>
    <w:multiLevelType w:val="hybridMultilevel"/>
    <w:lvl w:ilvl="0">
      <w:lvlJc w:val="left"/>
      <w:lvlText w:val="»"/>
      <w:numFmt w:val="bullet"/>
      <w:start w:val="1"/>
    </w:lvl>
  </w:abstractNum>
  <w:abstractNum w:abstractNumId="60">
    <w:nsid w:val="6EB5BD4"/>
    <w:multiLevelType w:val="hybridMultilevel"/>
    <w:lvl w:ilvl="0">
      <w:lvlJc w:val="left"/>
      <w:lvlText w:val="%1"/>
      <w:numFmt w:val="decimal"/>
      <w:start w:val="22"/>
    </w:lvl>
  </w:abstractNum>
  <w:abstractNum w:abstractNumId="61">
    <w:nsid w:val="6F6DD9AC"/>
    <w:multiLevelType w:val="hybridMultilevel"/>
    <w:lvl w:ilvl="0">
      <w:lvlJc w:val="left"/>
      <w:lvlText w:val="•"/>
      <w:numFmt w:val="bullet"/>
      <w:start w:val="1"/>
    </w:lvl>
  </w:abstractNum>
  <w:abstractNum w:abstractNumId="62">
    <w:nsid w:val="94211F2"/>
    <w:multiLevelType w:val="hybridMultilevel"/>
    <w:lvl w:ilvl="0">
      <w:lvlJc w:val="left"/>
      <w:lvlText w:val="•"/>
      <w:numFmt w:val="bullet"/>
      <w:start w:val="1"/>
    </w:lvl>
  </w:abstractNum>
  <w:abstractNum w:abstractNumId="63">
    <w:nsid w:val="885E1B"/>
    <w:multiLevelType w:val="hybridMultilevel"/>
    <w:lvl w:ilvl="0">
      <w:lvlJc w:val="left"/>
      <w:lvlText w:val="%1"/>
      <w:numFmt w:val="decimal"/>
      <w:start w:val="24"/>
    </w:lvl>
  </w:abstractNum>
  <w:abstractNum w:abstractNumId="64">
    <w:nsid w:val="76272110"/>
    <w:multiLevelType w:val="hybridMultilevel"/>
    <w:lvl w:ilvl="0">
      <w:lvlJc w:val="left"/>
      <w:lvlText w:val="*"/>
      <w:numFmt w:val="bullet"/>
      <w:start w:val="1"/>
    </w:lvl>
  </w:abstractNum>
  <w:abstractNum w:abstractNumId="65">
    <w:nsid w:val="4C04A8AF"/>
    <w:multiLevelType w:val="hybridMultilevel"/>
    <w:lvl w:ilvl="0">
      <w:lvlJc w:val="left"/>
      <w:lvlText w:val="**"/>
      <w:numFmt w:val="bullet"/>
      <w:start w:val="1"/>
    </w:lvl>
  </w:abstractNum>
  <w:abstractNum w:abstractNumId="66">
    <w:nsid w:val="1716703B"/>
    <w:multiLevelType w:val="hybridMultilevel"/>
    <w:lvl w:ilvl="0">
      <w:lvlJc w:val="left"/>
      <w:lvlText w:val="•"/>
      <w:numFmt w:val="bullet"/>
      <w:start w:val="1"/>
    </w:lvl>
  </w:abstractNum>
  <w:abstractNum w:abstractNumId="67">
    <w:nsid w:val="14E17E33"/>
    <w:multiLevelType w:val="hybridMultilevel"/>
    <w:lvl w:ilvl="0">
      <w:lvlJc w:val="left"/>
      <w:lvlText w:val="%1"/>
      <w:numFmt w:val="decimal"/>
      <w:start w:val="26"/>
    </w:lvl>
  </w:abstractNum>
  <w:abstractNum w:abstractNumId="68">
    <w:nsid w:val="3222E7CD"/>
    <w:multiLevelType w:val="hybridMultilevel"/>
    <w:lvl w:ilvl="0">
      <w:lvlJc w:val="left"/>
      <w:lvlText w:val="•"/>
      <w:numFmt w:val="bullet"/>
      <w:start w:val="1"/>
    </w:lvl>
  </w:abstractNum>
  <w:abstractNum w:abstractNumId="69">
    <w:nsid w:val="74DE0EE3"/>
    <w:multiLevelType w:val="hybridMultilevel"/>
    <w:lvl w:ilvl="0">
      <w:lvlJc w:val="left"/>
      <w:lvlText w:val="•"/>
      <w:numFmt w:val="bullet"/>
      <w:start w:val="1"/>
    </w:lvl>
  </w:abstractNum>
  <w:abstractNum w:abstractNumId="70">
    <w:nsid w:val="68EBC550"/>
    <w:multiLevelType w:val="hybridMultilevel"/>
    <w:lvl w:ilvl="0">
      <w:lvlJc w:val="left"/>
      <w:lvlText w:val="%1"/>
      <w:numFmt w:val="decimal"/>
      <w:start w:val="28"/>
    </w:lvl>
  </w:abstractNum>
  <w:abstractNum w:abstractNumId="71">
    <w:nsid w:val="2DF6D648"/>
    <w:multiLevelType w:val="hybridMultilevel"/>
    <w:lvl w:ilvl="0">
      <w:lvlJc w:val="left"/>
      <w:lvlText w:val="•"/>
      <w:numFmt w:val="bullet"/>
      <w:start w:val="1"/>
    </w:lvl>
  </w:abstractNum>
  <w:abstractNum w:abstractNumId="72">
    <w:nsid w:val="46B7D447"/>
    <w:multiLevelType w:val="hybridMultilevel"/>
    <w:lvl w:ilvl="0">
      <w:lvlJc w:val="left"/>
      <w:lvlText w:val="%1"/>
      <w:numFmt w:val="decimal"/>
      <w:start w:val="30"/>
    </w:lvl>
  </w:abstractNum>
  <w:abstractNum w:abstractNumId="73">
    <w:nsid w:val="4A2AC315"/>
    <w:multiLevelType w:val="hybridMultilevel"/>
    <w:lvl w:ilvl="0">
      <w:lvlJc w:val="left"/>
      <w:lvlText w:val="(%1)"/>
      <w:numFmt w:val="lowerLetter"/>
      <w:start w:val="1"/>
    </w:lvl>
  </w:abstractNum>
  <w:abstractNum w:abstractNumId="74">
    <w:nsid w:val="39EE015C"/>
    <w:multiLevelType w:val="hybridMultilevel"/>
    <w:lvl w:ilvl="0">
      <w:lvlJc w:val="left"/>
      <w:lvlText w:val="(%1)"/>
      <w:numFmt w:val="lowerLetter"/>
      <w:start w:val="1"/>
    </w:lvl>
  </w:abstractNum>
  <w:abstractNum w:abstractNumId="75">
    <w:nsid w:val="57FC4FBB"/>
    <w:multiLevelType w:val="hybridMultilevel"/>
    <w:lvl w:ilvl="0">
      <w:lvlJc w:val="left"/>
      <w:lvlText w:val="(%1)"/>
      <w:numFmt w:val="lowerRoman"/>
      <w:start w:val="3"/>
    </w:lvl>
  </w:abstractNum>
  <w:abstractNum w:abstractNumId="76">
    <w:nsid w:val="CC1016F"/>
    <w:multiLevelType w:val="hybridMultilevel"/>
    <w:lvl w:ilvl="0">
      <w:lvlJc w:val="left"/>
      <w:lvlText w:val="•"/>
      <w:numFmt w:val="bullet"/>
      <w:start w:val="1"/>
    </w:lvl>
  </w:abstractNum>
  <w:abstractNum w:abstractNumId="77">
    <w:nsid w:val="43F18422"/>
    <w:multiLevelType w:val="hybridMultilevel"/>
    <w:lvl w:ilvl="0">
      <w:lvlJc w:val="left"/>
      <w:lvlText w:val="%1"/>
      <w:numFmt w:val="decimal"/>
      <w:start w:val="32"/>
    </w:lvl>
  </w:abstractNum>
  <w:abstractNum w:abstractNumId="78">
    <w:nsid w:val="60EF0119"/>
    <w:multiLevelType w:val="hybridMultilevel"/>
    <w:lvl w:ilvl="0">
      <w:lvlJc w:val="left"/>
      <w:lvlText w:val="•"/>
      <w:numFmt w:val="bullet"/>
      <w:start w:val="1"/>
    </w:lvl>
  </w:abstractNum>
  <w:abstractNum w:abstractNumId="79">
    <w:nsid w:val="26F324BA"/>
    <w:multiLevelType w:val="hybridMultilevel"/>
    <w:lvl w:ilvl="0">
      <w:lvlJc w:val="left"/>
      <w:lvlText w:val="•"/>
      <w:numFmt w:val="bullet"/>
      <w:start w:val="1"/>
    </w:lvl>
  </w:abstractNum>
  <w:abstractNum w:abstractNumId="80">
    <w:nsid w:val="7F01579B"/>
    <w:multiLevelType w:val="hybridMultilevel"/>
    <w:lvl w:ilvl="0">
      <w:lvlJc w:val="left"/>
      <w:lvlText w:val="•"/>
      <w:numFmt w:val="bullet"/>
      <w:start w:val="1"/>
    </w:lvl>
  </w:abstractNum>
  <w:abstractNum w:abstractNumId="81">
    <w:nsid w:val="49DA307D"/>
    <w:multiLevelType w:val="hybridMultilevel"/>
    <w:lvl w:ilvl="0">
      <w:lvlJc w:val="left"/>
      <w:lvlText w:val="%1"/>
      <w:numFmt w:val="decimal"/>
      <w:start w:val="34"/>
    </w:lvl>
  </w:abstractNum>
  <w:abstractNum w:abstractNumId="82">
    <w:nsid w:val="7055A5F5"/>
    <w:multiLevelType w:val="hybridMultilevel"/>
    <w:lvl w:ilvl="0">
      <w:lvlJc w:val="left"/>
      <w:lvlText w:val="•"/>
      <w:numFmt w:val="bullet"/>
      <w:start w:val="1"/>
    </w:lvl>
  </w:abstractNum>
  <w:abstractNum w:abstractNumId="83">
    <w:nsid w:val="5FB8370B"/>
    <w:multiLevelType w:val="hybridMultilevel"/>
    <w:lvl w:ilvl="0">
      <w:lvlJc w:val="left"/>
      <w:lvlText w:val="%1"/>
      <w:numFmt w:val="decimal"/>
      <w:start w:val="36"/>
    </w:lvl>
  </w:abstractNum>
  <w:abstractNum w:abstractNumId="84">
    <w:nsid w:val="50801EE1"/>
    <w:multiLevelType w:val="hybridMultilevel"/>
    <w:lvl w:ilvl="0">
      <w:lvlJc w:val="left"/>
      <w:lvlText w:val="(%1)"/>
      <w:numFmt w:val="lowerLetter"/>
      <w:start w:val="1"/>
    </w:lvl>
  </w:abstractNum>
  <w:abstractNum w:abstractNumId="85">
    <w:nsid w:val="488AC1A"/>
    <w:multiLevelType w:val="hybridMultilevel"/>
    <w:lvl w:ilvl="0">
      <w:lvlJc w:val="left"/>
      <w:lvlText w:val="(%1)"/>
      <w:numFmt w:val="lowerLetter"/>
      <w:start w:val="7"/>
    </w:lvl>
  </w:abstractNum>
  <w:abstractNum w:abstractNumId="86">
    <w:nsid w:val="5FB8011C"/>
    <w:multiLevelType w:val="hybridMultilevel"/>
    <w:lvl w:ilvl="0">
      <w:lvlJc w:val="left"/>
      <w:lvlText w:val="(%1)"/>
      <w:numFmt w:val="lowerLetter"/>
      <w:start w:val="8"/>
    </w:lvl>
  </w:abstractNum>
  <w:abstractNum w:abstractNumId="87">
    <w:nsid w:val="6AA78F7F"/>
    <w:multiLevelType w:val="hybridMultilevel"/>
    <w:lvl w:ilvl="0">
      <w:lvlJc w:val="left"/>
      <w:lvlText w:val="(%1)"/>
      <w:numFmt w:val="decimal"/>
      <w:start w:val="1"/>
    </w:lvl>
  </w:abstractNum>
  <w:abstractNum w:abstractNumId="88">
    <w:nsid w:val="7672BD23"/>
    <w:multiLevelType w:val="hybridMultilevel"/>
    <w:lvl w:ilvl="0">
      <w:lvlJc w:val="left"/>
      <w:lvlText w:val="%1"/>
      <w:numFmt w:val="decimal"/>
      <w:start w:val="38"/>
    </w:lvl>
  </w:abstractNum>
  <w:abstractNum w:abstractNumId="89">
    <w:nsid w:val="6FC75AF8"/>
    <w:multiLevelType w:val="hybridMultilevel"/>
    <w:lvl w:ilvl="0">
      <w:lvlJc w:val="left"/>
      <w:lvlText w:val="(%1)"/>
      <w:numFmt w:val="decimal"/>
      <w:start w:val="1"/>
    </w:lvl>
  </w:abstractNum>
  <w:abstractNum w:abstractNumId="90">
    <w:nsid w:val="6A5F7029"/>
    <w:multiLevelType w:val="hybridMultilevel"/>
    <w:lvl w:ilvl="0">
      <w:lvlJc w:val="left"/>
      <w:lvlText w:val="(%1)"/>
      <w:numFmt w:val="decimal"/>
      <w:start w:val="1"/>
    </w:lvl>
  </w:abstractNum>
  <w:abstractNum w:abstractNumId="91">
    <w:nsid w:val="7D5E18F8"/>
    <w:multiLevelType w:val="hybridMultilevel"/>
    <w:lvl w:ilvl="0">
      <w:lvlJc w:val="left"/>
      <w:lvlText w:val="%1"/>
      <w:numFmt w:val="decimal"/>
      <w:start w:val="40"/>
    </w:lvl>
  </w:abstractNum>
  <w:abstractNum w:abstractNumId="92">
    <w:nsid w:val="5F3534A4"/>
    <w:multiLevelType w:val="hybridMultilevel"/>
    <w:lvl w:ilvl="0">
      <w:lvlJc w:val="left"/>
      <w:lvlText w:val="(%1)"/>
      <w:numFmt w:val="lowerLetter"/>
      <w:start w:val="1"/>
    </w:lvl>
  </w:abstractNum>
  <w:abstractNum w:abstractNumId="93">
    <w:nsid w:val="73A1821B"/>
    <w:multiLevelType w:val="hybridMultilevel"/>
    <w:lvl w:ilvl="0">
      <w:lvlJc w:val="left"/>
      <w:lvlText w:val="•"/>
      <w:numFmt w:val="bullet"/>
      <w:start w:val="1"/>
    </w:lvl>
  </w:abstractNum>
  <w:abstractNum w:abstractNumId="94">
    <w:nsid w:val="7DE67713"/>
    <w:multiLevelType w:val="hybridMultilevel"/>
    <w:lvl w:ilvl="0">
      <w:lvlJc w:val="left"/>
      <w:lvlText w:val="(%1)"/>
      <w:numFmt w:val="decimal"/>
      <w:start w:val="1"/>
    </w:lvl>
  </w:abstractNum>
  <w:abstractNum w:abstractNumId="95">
    <w:nsid w:val="555C55B5"/>
    <w:multiLevelType w:val="hybridMultilevel"/>
    <w:lvl w:ilvl="0">
      <w:lvlJc w:val="left"/>
      <w:lvlText w:val="%1"/>
      <w:numFmt w:val="decimal"/>
      <w:start w:val="42"/>
    </w:lvl>
  </w:abstractNum>
  <w:abstractNum w:abstractNumId="96">
    <w:nsid w:val="3FA62ACA"/>
    <w:multiLevelType w:val="hybridMultilevel"/>
    <w:lvl w:ilvl="0">
      <w:lvlJc w:val="left"/>
      <w:lvlText w:val="(%1)"/>
      <w:numFmt w:val="decimal"/>
      <w:start w:val="4"/>
    </w:lvl>
  </w:abstractNum>
  <w:abstractNum w:abstractNumId="97">
    <w:nsid w:val="14FCE74E"/>
    <w:multiLevelType w:val="hybridMultilevel"/>
    <w:lvl w:ilvl="0">
      <w:lvlJc w:val="left"/>
      <w:lvlText w:val="(%1)"/>
      <w:numFmt w:val="decimal"/>
      <w:start w:val="5"/>
    </w:lvl>
  </w:abstractNum>
  <w:abstractNum w:abstractNumId="98">
    <w:nsid w:val="6A3DD3E8"/>
    <w:multiLevelType w:val="hybridMultilevel"/>
    <w:lvl w:ilvl="0">
      <w:lvlJc w:val="left"/>
      <w:lvlText w:val="(%1)"/>
      <w:numFmt w:val="decimal"/>
      <w:start w:val="1"/>
    </w:lvl>
  </w:abstractNum>
  <w:abstractNum w:abstractNumId="99">
    <w:nsid w:val="71C91298"/>
    <w:multiLevelType w:val="hybridMultilevel"/>
    <w:lvl w:ilvl="0">
      <w:lvlJc w:val="left"/>
      <w:lvlText w:val="%1"/>
      <w:numFmt w:val="decimal"/>
      <w:start w:val="44"/>
    </w:lvl>
  </w:abstractNum>
  <w:abstractNum w:abstractNumId="100">
    <w:nsid w:val="9DAF632"/>
    <w:multiLevelType w:val="hybridMultilevel"/>
    <w:lvl w:ilvl="0">
      <w:lvlJc w:val="left"/>
      <w:lvlText w:val="(%1)"/>
      <w:numFmt w:val="decimal"/>
      <w:start w:val="4"/>
    </w:lvl>
  </w:abstractNum>
  <w:abstractNum w:abstractNumId="101">
    <w:nsid w:val="53299938"/>
    <w:multiLevelType w:val="hybridMultilevel"/>
    <w:lvl w:ilvl="0">
      <w:lvlJc w:val="left"/>
      <w:lvlText w:val="%1"/>
      <w:numFmt w:val="decimal"/>
      <w:start w:val="46"/>
    </w:lvl>
  </w:abstractNum>
  <w:abstractNum w:abstractNumId="102">
    <w:nsid w:val="1FBFE8E0"/>
    <w:multiLevelType w:val="hybridMultilevel"/>
    <w:lvl w:ilvl="0">
      <w:lvlJc w:val="left"/>
      <w:lvlText w:val="(%1)"/>
      <w:numFmt w:val="decimal"/>
      <w:start w:val="1"/>
    </w:lvl>
  </w:abstractNum>
  <w:abstractNum w:abstractNumId="103">
    <w:nsid w:val="5092CA79"/>
    <w:multiLevelType w:val="hybridMultilevel"/>
    <w:lvl w:ilvl="0">
      <w:lvlJc w:val="left"/>
      <w:lvlText w:val="(%1)"/>
      <w:numFmt w:val="decimal"/>
      <w:start w:val="1"/>
    </w:lvl>
  </w:abstractNum>
  <w:abstractNum w:abstractNumId="104">
    <w:nsid w:val="1D545C4D"/>
    <w:multiLevelType w:val="hybridMultilevel"/>
    <w:lvl w:ilvl="0">
      <w:lvlJc w:val="left"/>
      <w:lvlText w:val="(%1)"/>
      <w:numFmt w:val="decimal"/>
      <w:start w:val="6"/>
    </w:lvl>
  </w:abstractNum>
  <w:abstractNum w:abstractNumId="105">
    <w:nsid w:val="59ADEA3D"/>
    <w:multiLevelType w:val="hybridMultilevel"/>
    <w:lvl w:ilvl="0">
      <w:lvlJc w:val="left"/>
      <w:lvlText w:val="%1"/>
      <w:numFmt w:val="decimal"/>
      <w:start w:val="48"/>
    </w:lvl>
  </w:abstractNum>
  <w:abstractNum w:abstractNumId="106">
    <w:nsid w:val="288F1A34"/>
    <w:multiLevelType w:val="hybridMultilevel"/>
    <w:lvl w:ilvl="0">
      <w:lvlJc w:val="left"/>
      <w:lvlText w:val="%1"/>
      <w:numFmt w:val="decimal"/>
      <w:start w:val="50"/>
    </w:lvl>
  </w:abstractNum>
  <w:abstractNum w:abstractNumId="107">
    <w:nsid w:val="2A155DBC"/>
    <w:multiLevelType w:val="hybridMultilevel"/>
    <w:lvl w:ilvl="0">
      <w:lvlJc w:val="left"/>
      <w:lvlText w:val="•"/>
      <w:numFmt w:val="bullet"/>
      <w:start w:val="1"/>
    </w:lvl>
  </w:abstractNum>
  <w:abstractNum w:abstractNumId="108">
    <w:nsid w:val="1D9F6E5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2019-12-08T09:55:25Z</dcterms:created>
  <dcterms:modified xsi:type="dcterms:W3CDTF">2019-12-08T09:55:25Z</dcterms:modified>
</cp:coreProperties>
</file>