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Weatherford International plc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Common Shares</w:t>
      </w:r>
    </w:p>
    <w:p>
      <w:pPr>
        <w:ind w:left="232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BLNN369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2015</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95,432,392</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95,432,392</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95,432,392</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12.2%</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BLNN369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38" w:orient="portrait"/>
          <w:cols w:equalWidth="0" w:num="1">
            <w:col w:w="10219"/>
          </w:cols>
          <w:pgMar w:left="240" w:top="142" w:right="1440"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Weatherford International plc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2000 St James Place</w:t>
      </w:r>
    </w:p>
    <w:p>
      <w:pPr>
        <w:ind w:left="740"/>
        <w:spacing w:after="0"/>
        <w:rPr>
          <w:sz w:val="20"/>
          <w:szCs w:val="20"/>
          <w:color w:val="auto"/>
        </w:rPr>
      </w:pPr>
      <w:r>
        <w:rPr>
          <w:rFonts w:ascii="Courier New" w:cs="Courier New" w:eastAsia="Courier New" w:hAnsi="Courier New"/>
          <w:sz w:val="18"/>
          <w:szCs w:val="18"/>
          <w:color w:val="auto"/>
        </w:rPr>
        <w:t>Houston, TX 77056</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BLNN369</w:t>
            </w: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8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[X]</w:t>
            </w:r>
          </w:p>
        </w:tc>
        <w:tc>
          <w:tcPr>
            <w:tcW w:w="5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95,432,392 shares or 12.2% of the 779,042,745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10,</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2016</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Berro***</w:t>
            </w:r>
          </w:p>
        </w:tc>
        <w:tc>
          <w:tcPr>
            <w:tcW w:w="2220" w:type="dxa"/>
            <w:vAlign w:val="bottom"/>
          </w:tcPr>
          <w:p>
            <w:pPr>
              <w:spacing w:after="0"/>
              <w:rPr>
                <w:sz w:val="24"/>
                <w:szCs w:val="24"/>
                <w:color w:val="auto"/>
              </w:rPr>
            </w:pP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Berro -</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Senior Vice President</w:t>
            </w:r>
          </w:p>
        </w:tc>
      </w:tr>
      <w:tr>
        <w:trPr>
          <w:trHeight w:val="203"/>
        </w:trPr>
        <w:tc>
          <w:tcPr>
            <w:tcW w:w="1360" w:type="dxa"/>
            <w:vAlign w:val="bottom"/>
          </w:tcPr>
          <w:p>
            <w:pPr>
              <w:spacing w:after="0"/>
              <w:rPr>
                <w:sz w:val="17"/>
                <w:szCs w:val="17"/>
                <w:color w:val="auto"/>
              </w:rPr>
            </w:pPr>
          </w:p>
        </w:tc>
        <w:tc>
          <w:tcPr>
            <w:tcW w:w="38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Triessl</w:t>
      </w:r>
    </w:p>
    <w:p>
      <w:pPr>
        <w:ind w:left="1580"/>
        <w:spacing w:after="0" w:line="238" w:lineRule="auto"/>
        <w:rPr>
          <w:sz w:val="20"/>
          <w:szCs w:val="20"/>
          <w:color w:val="auto"/>
        </w:rPr>
      </w:pPr>
      <w:r>
        <w:rPr>
          <w:rFonts w:ascii="Courier New" w:cs="Courier New" w:eastAsia="Courier New" w:hAnsi="Courier New"/>
          <w:sz w:val="18"/>
          <w:szCs w:val="18"/>
          <w:color w:val="auto"/>
        </w:rPr>
        <w:t>Michael J.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19, 2014 included as an Exhibit to Schedule 13G filed with the Securities and Exchange Commission by Capital World Investors on February 6, 2015 with respect to Hudbay Minerals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2019-12-21T04:28:58Z</dcterms:created>
  <dcterms:modified xsi:type="dcterms:W3CDTF">2019-12-21T04:28:58Z</dcterms:modified>
</cp:coreProperties>
</file>