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333-194431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333-194431-01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333-194431-02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5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4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4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4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security</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4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1"/>
              </w:rPr>
              <w:t>registration fee(1)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7.750% Senior Notes due 2021 of Weatherford International Ltd.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$750,000,000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4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2"/>
              </w:rPr>
              <w:t>$75,525</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8.250% Senior Notes due 2023 of Weatherford International Ltd.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$750,000,000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$750,000,000</w:t>
            </w:r>
          </w:p>
        </w:tc>
        <w:tc>
          <w:tcPr>
            <w:tcW w:w="14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2"/>
              </w:rPr>
              <w:t>$75,525</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Guarantees of Senior Notes (the “Guarantees”)(2)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(3)</w:t>
            </w:r>
          </w:p>
        </w:tc>
        <w:tc>
          <w:tcPr>
            <w:tcW w:w="14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rPr>
              <w:t>— (3)</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c>
          <w:tcPr>
            <w:tcW w:w="14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c>
          <w:tcPr>
            <w:tcW w:w="14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0"/>
              </w:rPr>
              <w:t>$151,050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 (the “Securities Act”).</w:t>
      </w:r>
    </w:p>
    <w:p>
      <w:pPr>
        <w:spacing w:after="0" w:line="22"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full and unconditional guarantees by Weatherford International plc and Weatherford International, LLC of the Seniors Notes due 2021 and the Senior Notes due 2023.</w:t>
      </w:r>
    </w:p>
    <w:p>
      <w:pPr>
        <w:ind w:left="460" w:right="5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consideration will be received for the Guarantees, and, pursuant to Rule 457(n) under the Securities Act, no additional filing fee is required with respect to the Guarantees.</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Prospectus Supplement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prospectus dated June 17, 2014)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86360</wp:posOffset>
            </wp:positionV>
            <wp:extent cx="875030"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Weatherford International Ltd.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Bermuda exempted company)</w:t>
      </w:r>
    </w:p>
    <w:p>
      <w:pPr>
        <w:jc w:val="center"/>
        <w:spacing w:after="0"/>
        <w:rPr>
          <w:sz w:val="20"/>
          <w:szCs w:val="20"/>
          <w:color w:val="auto"/>
        </w:rPr>
      </w:pPr>
      <w:r>
        <w:rPr>
          <w:rFonts w:ascii="Arial" w:cs="Arial" w:eastAsia="Arial" w:hAnsi="Arial"/>
          <w:sz w:val="16"/>
          <w:szCs w:val="16"/>
          <w:b w:val="1"/>
          <w:bCs w:val="1"/>
          <w:color w:val="auto"/>
        </w:rPr>
        <w:t>$750,000,000 7.750% Senior Notes due 2021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$750,000,000 8.250% Senior Notes due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Fully and unconditionally guaranteed by</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Weatherford International plc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Weatherford International, LLC</w:t>
      </w:r>
    </w:p>
    <w:p>
      <w:pPr>
        <w:spacing w:after="0" w:line="49" w:lineRule="exact"/>
        <w:rPr>
          <w:sz w:val="20"/>
          <w:szCs w:val="20"/>
          <w:color w:val="auto"/>
        </w:rPr>
      </w:pPr>
    </w:p>
    <w:p>
      <w:pPr>
        <w:sectPr>
          <w:pgSz w:w="11900" w:h="16838" w:orient="portrait"/>
          <w:cols w:equalWidth="0" w:num="2">
            <w:col w:w="6680" w:space="720"/>
            <w:col w:w="4020"/>
          </w:cols>
          <w:pgMar w:left="240" w:top="459" w:right="239" w:bottom="1440" w:gutter="0" w:footer="0" w:header="0"/>
          <w:type w:val="continuous"/>
        </w:sectPr>
      </w:pPr>
    </w:p>
    <w:p>
      <w:pPr>
        <w:ind w:left="1820"/>
        <w:spacing w:after="0"/>
        <w:rPr>
          <w:sz w:val="20"/>
          <w:szCs w:val="20"/>
          <w:color w:val="auto"/>
        </w:rPr>
      </w:pPr>
      <w:r>
        <w:rPr>
          <w:rFonts w:ascii="Arial" w:cs="Arial" w:eastAsia="Arial" w:hAnsi="Arial"/>
          <w:sz w:val="12"/>
          <w:szCs w:val="12"/>
          <w:b w:val="1"/>
          <w:bCs w:val="1"/>
          <w:color w:val="auto"/>
        </w:rPr>
        <w:t>(an Irish public limited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76835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6760" w:space="720"/>
            <w:col w:w="3940"/>
          </w:cols>
          <w:pgMar w:left="240" w:top="459" w:right="239" w:bottom="1440" w:gutter="0" w:footer="0" w:header="0"/>
          <w:type w:val="continuous"/>
        </w:sectPr>
      </w:pPr>
    </w:p>
    <w:p>
      <w:pPr>
        <w:ind w:firstLine="342"/>
        <w:spacing w:after="0" w:line="224" w:lineRule="auto"/>
        <w:rPr>
          <w:sz w:val="20"/>
          <w:szCs w:val="20"/>
          <w:color w:val="auto"/>
        </w:rPr>
      </w:pPr>
      <w:r>
        <w:rPr>
          <w:rFonts w:ascii="Arial" w:cs="Arial" w:eastAsia="Arial" w:hAnsi="Arial"/>
          <w:sz w:val="14"/>
          <w:szCs w:val="14"/>
          <w:color w:val="auto"/>
        </w:rPr>
        <w:t>Weatherford International Ltd., a Bermuda exempted company (“Weatherford Bermuda”) and an indirect, wholly owned subsidiary of Weatherford International plc, an Irish public limited company (“Weatherford Ireland”), is offering a total of $1,500,000,000 aggregate principal amount of senior notes, consisting of $750,000,000 aggregate principal amount of its 7.750% senior notes due 2021 (the “2021 notes”) and $750,000,000 aggregate principal amount of its 8.250% senior notes due 2023 (the “2023 notes” and, together with the 2021 notes, the “notes”). The 2021 notes and the 2023 notes will each be issued as a separate series, but, except as otherwise described herein, will have the same terms and be subject to the same covenants. The notes will bear cash interest from June 17, 2016, payable semi-annually on June 15 and December 15 each year, beginning on December 15, 2016. The 2021 notes will mature on June 15, 2021 and the 2023 notes will mature on June 15, 2023. The notes will be fully and unconditionally guaranteed, on a senior, unsecured basis, by Weatherford Ireland and by Weatherford International, LLC, a Delaware limited liability company (“Weatherford Delaware”) and an indirect, wholly owned subsidiary of Weatherford Ireland and an indirect subsidiary of Weatherford Bermuda. We refer to Weatherford Ireland and Weatherford Delaware together as the guarantors.</w:t>
      </w:r>
    </w:p>
    <w:p>
      <w:pPr>
        <w:spacing w:after="0" w:line="40"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color w:val="auto"/>
        </w:rPr>
        <w:t>Weatherford Bermuda may redeem some or all of the notes at any time at the redemption prices set forth in this prospectus supplement, plus accrued and unpaid interest. See “Description of Notes—Optional Redemption.” If Weatherford Bermuda undergoes certain change of control transactions, Weatherford Bermuda may be required to offer to purchase the notes from holders.</w:t>
      </w:r>
    </w:p>
    <w:p>
      <w:pPr>
        <w:spacing w:after="0" w:line="41" w:lineRule="exact"/>
        <w:rPr>
          <w:sz w:val="20"/>
          <w:szCs w:val="20"/>
          <w:color w:val="auto"/>
        </w:rPr>
      </w:pPr>
    </w:p>
    <w:p>
      <w:pPr>
        <w:ind w:firstLine="342"/>
        <w:spacing w:after="0" w:line="224" w:lineRule="auto"/>
        <w:rPr>
          <w:sz w:val="20"/>
          <w:szCs w:val="20"/>
          <w:color w:val="auto"/>
        </w:rPr>
      </w:pPr>
      <w:r>
        <w:rPr>
          <w:rFonts w:ascii="Arial" w:cs="Arial" w:eastAsia="Arial" w:hAnsi="Arial"/>
          <w:sz w:val="14"/>
          <w:szCs w:val="14"/>
          <w:color w:val="auto"/>
        </w:rPr>
        <w:t>The notes and the guarantees will be senior, unsecured obligations of Weatherford Bermuda and the guarantors, respectively, and will be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notes and the guarantees, as applicable; and (3) effectively subordinated to existing and future secured indebtedness of Weatherford Bermuda and the guarantors, respectively, to the extent of the value of the collateral securing that indebtedness. Your right to payment under the notes and the guarantees is also structurally subordinated to all existing and future indebtedness and other liabilities, including trade payables, and (to the extent Weatherford Bermuda, Weatherford Ireland or Weatherford Delaware, as applicable, is not a holder thereof) preferred equity, if any, of Weatherford Ireland’s subsidiaries, other than Weatherford Bermuda and Weatherford Delaware. See “Description of Other Indebtedness,” “Description of Notes—General” and “Description of Notes—The Guarantees.”</w:t>
      </w:r>
    </w:p>
    <w:p>
      <w:pPr>
        <w:spacing w:after="0" w:line="26" w:lineRule="exact"/>
        <w:rPr>
          <w:sz w:val="20"/>
          <w:szCs w:val="20"/>
          <w:color w:val="auto"/>
        </w:rPr>
      </w:pPr>
    </w:p>
    <w:p>
      <w:pPr>
        <w:ind w:right="120" w:firstLine="342"/>
        <w:spacing w:after="0" w:line="247"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risks. Before buying our notes, you should read the discussion of material risks described in “</w:t>
      </w:r>
      <w:hyperlink w:anchor="page23">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S-17 of this prospectus supplement and page 5 of the accompanying prospectus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57150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Per 2021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Total 2021</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Per 2023</w:t>
            </w: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Total 2023</w:t>
            </w:r>
          </w:p>
        </w:tc>
      </w:tr>
      <w:tr>
        <w:trPr>
          <w:trHeight w:val="165"/>
        </w:trPr>
        <w:tc>
          <w:tcPr>
            <w:tcW w:w="71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note</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note</w:t>
            </w: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notes</w:t>
            </w:r>
          </w:p>
        </w:tc>
      </w:tr>
      <w:tr>
        <w:trPr>
          <w:trHeight w:val="142"/>
        </w:trPr>
        <w:tc>
          <w:tcPr>
            <w:tcW w:w="7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Price(1)</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480" w:type="dxa"/>
            <w:vAlign w:val="bottom"/>
            <w:tcBorders>
              <w:top w:val="single" w:sz="8" w:color="CCEEFF"/>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750,000,000</w:t>
            </w:r>
          </w:p>
        </w:tc>
        <w:tc>
          <w:tcPr>
            <w:tcW w:w="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w:t>
            </w:r>
          </w:p>
        </w:tc>
        <w:tc>
          <w:tcPr>
            <w:tcW w:w="300" w:type="dxa"/>
            <w:vAlign w:val="bottom"/>
            <w:tcBorders>
              <w:top w:val="single" w:sz="8" w:color="CCEEFF"/>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750,000,000</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716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104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11,250,000</w:t>
            </w:r>
          </w:p>
        </w:tc>
        <w:tc>
          <w:tcPr>
            <w:tcW w:w="400" w:type="dxa"/>
            <w:vAlign w:val="bottom"/>
          </w:tcPr>
          <w:p>
            <w:pPr>
              <w:spacing w:after="0"/>
              <w:rPr>
                <w:sz w:val="12"/>
                <w:szCs w:val="12"/>
                <w:color w:val="auto"/>
              </w:rPr>
            </w:pP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1.50%</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11,250,000</w:t>
            </w:r>
          </w:p>
        </w:tc>
        <w:tc>
          <w:tcPr>
            <w:tcW w:w="80" w:type="dxa"/>
            <w:vAlign w:val="bottom"/>
          </w:tcPr>
          <w:p>
            <w:pPr>
              <w:spacing w:after="0"/>
              <w:rPr>
                <w:sz w:val="12"/>
                <w:szCs w:val="12"/>
                <w:color w:val="auto"/>
              </w:rPr>
            </w:pPr>
          </w:p>
        </w:tc>
      </w:tr>
      <w:tr>
        <w:trPr>
          <w:trHeight w:val="149"/>
        </w:trPr>
        <w:tc>
          <w:tcPr>
            <w:tcW w:w="7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w:t>
            </w:r>
          </w:p>
        </w:tc>
        <w:tc>
          <w:tcPr>
            <w:tcW w:w="1040" w:type="dxa"/>
            <w:vAlign w:val="bottom"/>
            <w:gridSpan w:val="2"/>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98.50%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738,750,000</w:t>
            </w:r>
          </w:p>
        </w:tc>
        <w:tc>
          <w:tcPr>
            <w:tcW w:w="4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98.50%</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738,750,000</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Plus accrued interest from June 17, 2016, if settlement occurs after that date.</w:t>
      </w:r>
    </w:p>
    <w:p>
      <w:pPr>
        <w:spacing w:after="0" w:line="26" w:lineRule="exact"/>
        <w:rPr>
          <w:sz w:val="20"/>
          <w:szCs w:val="20"/>
          <w:color w:val="auto"/>
        </w:rPr>
      </w:pPr>
    </w:p>
    <w:p>
      <w:pPr>
        <w:ind w:right="100" w:firstLine="342"/>
        <w:spacing w:after="0" w:line="247"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20" w:lineRule="exact"/>
        <w:rPr>
          <w:sz w:val="20"/>
          <w:szCs w:val="20"/>
          <w:color w:val="auto"/>
        </w:rPr>
      </w:pPr>
    </w:p>
    <w:p>
      <w:pPr>
        <w:ind w:right="60" w:firstLine="342"/>
        <w:spacing w:after="0" w:line="236" w:lineRule="auto"/>
        <w:rPr>
          <w:sz w:val="20"/>
          <w:szCs w:val="20"/>
          <w:color w:val="auto"/>
        </w:rPr>
      </w:pPr>
      <w:r>
        <w:rPr>
          <w:rFonts w:ascii="Arial" w:cs="Arial" w:eastAsia="Arial" w:hAnsi="Arial"/>
          <w:sz w:val="14"/>
          <w:szCs w:val="14"/>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25"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b w:val="1"/>
          <w:bCs w:val="1"/>
          <w:color w:val="auto"/>
        </w:rPr>
        <w:t>The permission of the Bermuda Monetary Authority is required, pursuant to the provisions of the Exchange Control Act 1972 and related regulations, for all issuances and transfers of securities (which includes the notes) of Bermuda companies to or from a non-resident of Bermuda for exchange control purposes, other than in cases where the Bermuda Monetary Authority has granted a general permission. The Bermuda Monetary Authority, in its notice to the public dated June 1, 2005, has granted a general permission for the issue and subsequent transfer of any securities (which includes the notes) of a Bermuda company from and/or to a non-resident of Bermuda for exchange control purposes, other than “Equity Securities” (which the notes are not) of such company. In granting the general permission, the Bermuda Monetary Authority does not accept any responsibility for our financial soundness or the correctness of any of the statements made or opinions expressed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0"/>
          <w:szCs w:val="20"/>
          <w:color w:val="auto"/>
        </w:rPr>
      </w:pPr>
    </w:p>
    <w:p>
      <w:pPr>
        <w:ind w:right="280" w:firstLine="342"/>
        <w:spacing w:after="0" w:line="231" w:lineRule="auto"/>
        <w:rPr>
          <w:sz w:val="20"/>
          <w:szCs w:val="20"/>
          <w:color w:val="auto"/>
        </w:rPr>
      </w:pPr>
      <w:r>
        <w:rPr>
          <w:rFonts w:ascii="Arial" w:cs="Arial" w:eastAsia="Arial" w:hAnsi="Arial"/>
          <w:sz w:val="14"/>
          <w:szCs w:val="14"/>
          <w:color w:val="auto"/>
        </w:rPr>
        <w:t>It is expected that delivery of the notes offered hereby will be made to investors in registered book-entry form only through the facilities of The Depository Trust Company on or about June 17,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Joint Global Coordinators and Bookrunners</w:t>
      </w:r>
    </w:p>
    <w:p>
      <w:pPr>
        <w:sectPr>
          <w:pgSz w:w="11900" w:h="16838" w:orient="portrait"/>
          <w:cols w:equalWidth="0" w:num="1">
            <w:col w:w="11420"/>
          </w:cols>
          <w:pgMar w:left="240" w:top="459" w:right="239" w:bottom="1440" w:gutter="0" w:footer="0" w:header="0"/>
          <w:type w:val="continuous"/>
        </w:sectPr>
      </w:pPr>
    </w:p>
    <w:p>
      <w:pPr>
        <w:spacing w:after="0" w:line="51" w:lineRule="exact"/>
        <w:rPr>
          <w:sz w:val="20"/>
          <w:szCs w:val="20"/>
          <w:color w:val="auto"/>
        </w:rPr>
      </w:pPr>
    </w:p>
    <w:p>
      <w:pPr>
        <w:ind w:left="1480"/>
        <w:spacing w:after="0"/>
        <w:rPr>
          <w:sz w:val="20"/>
          <w:szCs w:val="20"/>
          <w:color w:val="auto"/>
        </w:rPr>
      </w:pP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Wells Fargo Securities</w:t>
      </w:r>
    </w:p>
    <w:p>
      <w:pPr>
        <w:spacing w:after="0" w:line="100" w:lineRule="exact"/>
        <w:rPr>
          <w:sz w:val="20"/>
          <w:szCs w:val="20"/>
          <w:color w:val="auto"/>
        </w:rPr>
      </w:pPr>
    </w:p>
    <w:p>
      <w:pPr>
        <w:sectPr>
          <w:pgSz w:w="11900" w:h="16838" w:orient="portrait"/>
          <w:cols w:equalWidth="0" w:num="2">
            <w:col w:w="6800" w:space="720"/>
            <w:col w:w="39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Joint Book-Running Managers</w:t>
      </w:r>
    </w:p>
    <w:p>
      <w:pPr>
        <w:sectPr>
          <w:pgSz w:w="11900" w:h="16838" w:orient="portrait"/>
          <w:cols w:equalWidth="0" w:num="1">
            <w:col w:w="11420"/>
          </w:cols>
          <w:pgMar w:left="240" w:top="459" w:right="239" w:bottom="1440" w:gutter="0" w:footer="0" w:header="0"/>
          <w:type w:val="continuous"/>
        </w:sectPr>
      </w:pPr>
    </w:p>
    <w:p>
      <w:pPr>
        <w:spacing w:after="0" w:line="8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MUFG</w:t>
      </w:r>
    </w:p>
    <w:p>
      <w:pPr>
        <w:spacing w:after="0" w:line="104" w:lineRule="exact"/>
        <w:rPr>
          <w:sz w:val="20"/>
          <w:szCs w:val="20"/>
          <w:color w:val="auto"/>
        </w:rPr>
      </w:pPr>
    </w:p>
    <w:p>
      <w:pPr>
        <w:sectPr>
          <w:pgSz w:w="11900" w:h="16838" w:orient="portrait"/>
          <w:cols w:equalWidth="0" w:num="4">
            <w:col w:w="2820" w:space="720"/>
            <w:col w:w="2860" w:space="720"/>
            <w:col w:w="3060" w:space="720"/>
            <w:col w:w="5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2"/>
          <w:szCs w:val="12"/>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Standard Chartered Bank</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SEB</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TD Securities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Barclays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UniCredit Capital Markets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BBVA</w:t>
      </w:r>
    </w:p>
    <w:p>
      <w:pPr>
        <w:spacing w:after="0" w:line="108" w:lineRule="exact"/>
        <w:rPr>
          <w:sz w:val="20"/>
          <w:szCs w:val="20"/>
          <w:color w:val="auto"/>
        </w:rPr>
      </w:pPr>
    </w:p>
    <w:p>
      <w:pPr>
        <w:sectPr>
          <w:pgSz w:w="11900" w:h="16838" w:orient="portrait"/>
          <w:cols w:equalWidth="0" w:num="7">
            <w:col w:w="1860" w:space="720"/>
            <w:col w:w="280" w:space="380"/>
            <w:col w:w="880" w:space="700"/>
            <w:col w:w="560" w:space="580"/>
            <w:col w:w="1540" w:space="720"/>
            <w:col w:w="2100" w:space="720"/>
            <w:col w:w="3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Prospectus Supplement dated June 10,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60" w:type="dxa"/>
            <w:vAlign w:val="bottom"/>
            <w:gridSpan w:val="19"/>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ABOUT THIS PROSPECTUS SUPPLEMENT</w:t>
              </w:r>
            </w:hyperlink>
          </w:p>
        </w:tc>
        <w:tc>
          <w:tcPr>
            <w:tcW w:w="7220" w:type="dxa"/>
            <w:vAlign w:val="bottom"/>
            <w:gridSpan w:val="8"/>
            <w:vMerge w:val="restart"/>
          </w:tcPr>
          <w:p>
            <w:pPr>
              <w:spacing w:after="0"/>
              <w:rPr>
                <w:sz w:val="14"/>
                <w:szCs w:val="14"/>
                <w:color w:val="auto"/>
              </w:rPr>
            </w:pPr>
          </w:p>
        </w:tc>
        <w:tc>
          <w:tcPr>
            <w:tcW w:w="5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560" w:type="dxa"/>
            <w:vAlign w:val="bottom"/>
            <w:tcBorders>
              <w:bottom w:val="single" w:sz="8" w:color="0000EE"/>
            </w:tcBorders>
            <w:gridSpan w:val="19"/>
            <w:vMerge w:val="continue"/>
          </w:tcPr>
          <w:p>
            <w:pPr>
              <w:spacing w:after="0"/>
              <w:rPr>
                <w:sz w:val="13"/>
                <w:szCs w:val="13"/>
                <w:color w:val="auto"/>
              </w:rPr>
            </w:pPr>
          </w:p>
        </w:tc>
        <w:tc>
          <w:tcPr>
            <w:tcW w:w="7220" w:type="dxa"/>
            <w:vAlign w:val="bottom"/>
            <w:gridSpan w:val="8"/>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S-ii</w:t>
            </w:r>
          </w:p>
        </w:tc>
        <w:tc>
          <w:tcPr>
            <w:tcW w:w="0" w:type="dxa"/>
            <w:vAlign w:val="bottom"/>
          </w:tcPr>
          <w:p>
            <w:pPr>
              <w:spacing w:after="0"/>
              <w:rPr>
                <w:sz w:val="1"/>
                <w:szCs w:val="1"/>
                <w:color w:val="auto"/>
              </w:rPr>
            </w:pPr>
          </w:p>
        </w:tc>
      </w:tr>
      <w:tr>
        <w:trPr>
          <w:trHeight w:val="196"/>
        </w:trPr>
        <w:tc>
          <w:tcPr>
            <w:tcW w:w="10780" w:type="dxa"/>
            <w:vAlign w:val="bottom"/>
            <w:gridSpan w:val="2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NOTICE TO INVESTORS</w:t>
              </w:r>
            </w:hyperlink>
          </w:p>
        </w:tc>
        <w:tc>
          <w:tcPr>
            <w:tcW w:w="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20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83"/>
        </w:trPr>
        <w:tc>
          <w:tcPr>
            <w:tcW w:w="340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PROSPECTUS SUPPLEMENT SUMMARY</w:t>
              </w:r>
            </w:hyperlink>
          </w:p>
        </w:tc>
        <w:tc>
          <w:tcPr>
            <w:tcW w:w="2960" w:type="dxa"/>
            <w:vAlign w:val="bottom"/>
            <w:tcBorders>
              <w:top w:val="single" w:sz="8" w:color="0000EE"/>
            </w:tcBorders>
            <w:gridSpan w:val="8"/>
          </w:tcPr>
          <w:p>
            <w:pPr>
              <w:spacing w:after="0"/>
              <w:rPr>
                <w:sz w:val="15"/>
                <w:szCs w:val="15"/>
                <w:color w:val="auto"/>
              </w:rPr>
            </w:pPr>
          </w:p>
        </w:tc>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THE OFFERING</w:t>
              </w:r>
            </w:hyperlink>
          </w:p>
        </w:tc>
        <w:tc>
          <w:tcPr>
            <w:tcW w:w="9460" w:type="dxa"/>
            <w:vAlign w:val="bottom"/>
            <w:gridSpan w:val="23"/>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0000EE"/>
            </w:tcBorders>
            <w:gridSpan w:val="24"/>
          </w:tcPr>
          <w:p>
            <w:pPr>
              <w:spacing w:after="0" w:line="182"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SUMMARY FINANCIAL DATA OF WEATHERFORD IRELAND</w:t>
              </w:r>
            </w:hyperlink>
          </w:p>
        </w:tc>
        <w:tc>
          <w:tcPr>
            <w:tcW w:w="5900" w:type="dxa"/>
            <w:vAlign w:val="bottom"/>
            <w:gridSpan w:val="3"/>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RISK FACTORS</w:t>
              </w:r>
            </w:hyperlink>
          </w:p>
        </w:tc>
        <w:tc>
          <w:tcPr>
            <w:tcW w:w="9480" w:type="dxa"/>
            <w:vAlign w:val="bottom"/>
            <w:gridSpan w:val="24"/>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USE OF PROCEEDS</w:t>
              </w:r>
            </w:hyperlink>
          </w:p>
        </w:tc>
        <w:tc>
          <w:tcPr>
            <w:tcW w:w="9080" w:type="dxa"/>
            <w:vAlign w:val="bottom"/>
            <w:gridSpan w:val="20"/>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CAPITALIZATION</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83"/>
        </w:trPr>
        <w:tc>
          <w:tcPr>
            <w:tcW w:w="21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DESCRIPTION OF NOTES</w:t>
              </w:r>
            </w:hyperlink>
          </w:p>
        </w:tc>
        <w:tc>
          <w:tcPr>
            <w:tcW w:w="1400" w:type="dxa"/>
            <w:vAlign w:val="bottom"/>
            <w:tcBorders>
              <w:top w:val="single" w:sz="8" w:color="0000EE"/>
            </w:tcBorders>
            <w:gridSpan w:val="9"/>
          </w:tcPr>
          <w:p>
            <w:pPr>
              <w:spacing w:after="0"/>
              <w:rPr>
                <w:sz w:val="15"/>
                <w:szCs w:val="15"/>
                <w:color w:val="auto"/>
              </w:rPr>
            </w:pPr>
          </w:p>
        </w:tc>
        <w:tc>
          <w:tcPr>
            <w:tcW w:w="7220" w:type="dxa"/>
            <w:vAlign w:val="bottom"/>
            <w:gridSpan w:val="8"/>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183"/>
        </w:trPr>
        <w:tc>
          <w:tcPr>
            <w:tcW w:w="35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94">
              <w:r>
                <w:rPr>
                  <w:rFonts w:ascii="Arial" w:cs="Arial" w:eastAsia="Arial" w:hAnsi="Arial"/>
                  <w:sz w:val="18"/>
                  <w:szCs w:val="18"/>
                  <w:color w:val="0000EE"/>
                  <w:w w:val="97"/>
                </w:rPr>
                <w:t>DESCRIPTION OF OTHER INDEBTEDNESS</w:t>
              </w:r>
            </w:hyperlink>
          </w:p>
        </w:tc>
        <w:tc>
          <w:tcPr>
            <w:tcW w:w="7200" w:type="dxa"/>
            <w:vAlign w:val="bottom"/>
            <w:gridSpan w:val="7"/>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S-88</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MATERIAL UNITED STATES FEDERAL INCOME TAX CONSIDERATIONS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S-91</w:t>
            </w:r>
          </w:p>
        </w:tc>
        <w:tc>
          <w:tcPr>
            <w:tcW w:w="0" w:type="dxa"/>
            <w:vAlign w:val="bottom"/>
          </w:tcPr>
          <w:p>
            <w:pPr>
              <w:spacing w:after="0"/>
              <w:rPr>
                <w:sz w:val="1"/>
                <w:szCs w:val="1"/>
                <w:color w:val="auto"/>
              </w:rPr>
            </w:pPr>
          </w:p>
        </w:tc>
      </w:tr>
      <w:tr>
        <w:trPr>
          <w:trHeight w:val="183"/>
        </w:trPr>
        <w:tc>
          <w:tcPr>
            <w:tcW w:w="32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CERTAIN IRISH TAX CONSIDERATIONS</w:t>
              </w:r>
            </w:hyperlink>
          </w:p>
        </w:tc>
        <w:tc>
          <w:tcPr>
            <w:tcW w:w="2600" w:type="dxa"/>
            <w:vAlign w:val="bottom"/>
            <w:tcBorders>
              <w:top w:val="single" w:sz="8" w:color="0000EE"/>
            </w:tcBorders>
            <w:gridSpan w:val="9"/>
          </w:tcPr>
          <w:p>
            <w:pPr>
              <w:spacing w:after="0"/>
              <w:rPr>
                <w:sz w:val="15"/>
                <w:szCs w:val="15"/>
                <w:color w:val="auto"/>
              </w:rPr>
            </w:pPr>
          </w:p>
        </w:tc>
        <w:tc>
          <w:tcPr>
            <w:tcW w:w="4900" w:type="dxa"/>
            <w:vAlign w:val="bottom"/>
            <w:gridSpan w:val="2"/>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S-94</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CERTAIN BERMUDA TAX CONSIDERATIONS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S-95</w:t>
            </w:r>
          </w:p>
        </w:tc>
        <w:tc>
          <w:tcPr>
            <w:tcW w:w="0" w:type="dxa"/>
            <w:vAlign w:val="bottom"/>
          </w:tcPr>
          <w:p>
            <w:pPr>
              <w:spacing w:after="0"/>
              <w:rPr>
                <w:sz w:val="1"/>
                <w:szCs w:val="1"/>
                <w:color w:val="auto"/>
              </w:rPr>
            </w:pPr>
          </w:p>
        </w:tc>
      </w:tr>
      <w:tr>
        <w:trPr>
          <w:trHeight w:val="183"/>
        </w:trPr>
        <w:tc>
          <w:tcPr>
            <w:tcW w:w="33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6"/>
              </w:rPr>
            </w:pPr>
            <w:hyperlink w:anchor="page102">
              <w:r>
                <w:rPr>
                  <w:rFonts w:ascii="Arial" w:cs="Arial" w:eastAsia="Arial" w:hAnsi="Arial"/>
                  <w:sz w:val="18"/>
                  <w:szCs w:val="18"/>
                  <w:color w:val="0000EE"/>
                  <w:w w:val="96"/>
                </w:rPr>
                <w:t>CERTAIN SWISS TAX CONSIDERATIONS</w:t>
              </w:r>
            </w:hyperlink>
          </w:p>
        </w:tc>
        <w:tc>
          <w:tcPr>
            <w:tcW w:w="300" w:type="dxa"/>
            <w:vAlign w:val="bottom"/>
            <w:tcBorders>
              <w:top w:val="single" w:sz="8" w:color="0000EE"/>
            </w:tcBorders>
            <w:gridSpan w:val="4"/>
          </w:tcPr>
          <w:p>
            <w:pPr>
              <w:spacing w:after="0"/>
              <w:rPr>
                <w:sz w:val="15"/>
                <w:szCs w:val="15"/>
                <w:color w:val="auto"/>
              </w:rPr>
            </w:pPr>
          </w:p>
        </w:tc>
        <w:tc>
          <w:tcPr>
            <w:tcW w:w="7100" w:type="dxa"/>
            <w:vAlign w:val="bottom"/>
            <w:gridSpan w:val="6"/>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S-96</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UNDERWRITING</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S-98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LEGAL MATTERS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S-104</w:t>
            </w:r>
          </w:p>
        </w:tc>
        <w:tc>
          <w:tcPr>
            <w:tcW w:w="0" w:type="dxa"/>
            <w:vAlign w:val="bottom"/>
          </w:tcPr>
          <w:p>
            <w:pPr>
              <w:spacing w:after="0"/>
              <w:rPr>
                <w:sz w:val="1"/>
                <w:szCs w:val="1"/>
                <w:color w:val="auto"/>
              </w:rPr>
            </w:pPr>
          </w:p>
        </w:tc>
      </w:tr>
      <w:tr>
        <w:trPr>
          <w:trHeight w:val="183"/>
        </w:trPr>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EXPERTS</w:t>
              </w:r>
            </w:hyperlink>
          </w:p>
        </w:tc>
        <w:tc>
          <w:tcPr>
            <w:tcW w:w="9340" w:type="dxa"/>
            <w:vAlign w:val="bottom"/>
            <w:gridSpan w:val="21"/>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S-104</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4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110">
              <w:r>
                <w:rPr>
                  <w:rFonts w:ascii="Arial" w:cs="Arial" w:eastAsia="Arial" w:hAnsi="Arial"/>
                  <w:sz w:val="18"/>
                  <w:szCs w:val="18"/>
                  <w:color w:val="0000EE"/>
                  <w:w w:val="97"/>
                </w:rPr>
                <w:t>WHERE YOU CAN FIND ADDITIONAL INFORMATION</w:t>
              </w:r>
            </w:hyperlink>
          </w:p>
        </w:tc>
        <w:tc>
          <w:tcPr>
            <w:tcW w:w="6440" w:type="dxa"/>
            <w:vAlign w:val="bottom"/>
            <w:gridSpan w:val="4"/>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S-104</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INCORPORATION BY REFERENCE</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S-104</w:t>
            </w:r>
          </w:p>
        </w:tc>
        <w:tc>
          <w:tcPr>
            <w:tcW w:w="0" w:type="dxa"/>
            <w:vAlign w:val="bottom"/>
          </w:tcPr>
          <w:p>
            <w:pPr>
              <w:spacing w:after="0"/>
              <w:rPr>
                <w:sz w:val="1"/>
                <w:szCs w:val="1"/>
                <w:color w:val="auto"/>
              </w:rPr>
            </w:pPr>
          </w:p>
        </w:tc>
      </w:tr>
      <w:tr>
        <w:trPr>
          <w:trHeight w:val="383"/>
        </w:trPr>
        <w:tc>
          <w:tcPr>
            <w:tcW w:w="8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00" w:type="dxa"/>
            <w:vAlign w:val="bottom"/>
            <w:gridSpan w:val="3"/>
          </w:tcPr>
          <w:p>
            <w:pPr>
              <w:ind w:left="360"/>
              <w:spacing w:after="0"/>
              <w:rPr>
                <w:sz w:val="20"/>
                <w:szCs w:val="20"/>
                <w:color w:val="auto"/>
              </w:rPr>
            </w:pPr>
            <w:r>
              <w:rPr>
                <w:rFonts w:ascii="Arial" w:cs="Arial" w:eastAsia="Arial" w:hAnsi="Arial"/>
                <w:sz w:val="18"/>
                <w:szCs w:val="18"/>
                <w:b w:val="1"/>
                <w:bCs w:val="1"/>
                <w:color w:val="auto"/>
              </w:rPr>
              <w:t>Prospectus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320" w:type="dxa"/>
            <w:vAlign w:val="bottom"/>
            <w:gridSpan w:val="11"/>
            <w:vMerge w:val="restart"/>
          </w:tcPr>
          <w:p>
            <w:pPr>
              <w:spacing w:after="0"/>
              <w:rPr>
                <w:rFonts w:ascii="Arial" w:cs="Arial" w:eastAsia="Arial" w:hAnsi="Arial"/>
                <w:sz w:val="18"/>
                <w:szCs w:val="18"/>
                <w:color w:val="0000EE"/>
                <w:w w:val="97"/>
              </w:rPr>
            </w:pPr>
            <w:hyperlink w:anchor="page114">
              <w:r>
                <w:rPr>
                  <w:rFonts w:ascii="Arial" w:cs="Arial" w:eastAsia="Arial" w:hAnsi="Arial"/>
                  <w:sz w:val="18"/>
                  <w:szCs w:val="18"/>
                  <w:color w:val="0000EE"/>
                  <w:w w:val="97"/>
                </w:rPr>
                <w:t>ABOUT THIS PROSPECTUS</w:t>
              </w:r>
            </w:hyperlink>
          </w:p>
        </w:tc>
        <w:tc>
          <w:tcPr>
            <w:tcW w:w="8460" w:type="dxa"/>
            <w:vAlign w:val="bottom"/>
            <w:gridSpan w:val="16"/>
            <w:vMerge w:val="restart"/>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0000EE"/>
            </w:tcBorders>
            <w:gridSpan w:val="11"/>
            <w:vMerge w:val="continue"/>
          </w:tcPr>
          <w:p>
            <w:pPr>
              <w:spacing w:after="0"/>
              <w:rPr>
                <w:sz w:val="13"/>
                <w:szCs w:val="13"/>
                <w:color w:val="auto"/>
              </w:rPr>
            </w:pPr>
          </w:p>
        </w:tc>
        <w:tc>
          <w:tcPr>
            <w:tcW w:w="8460" w:type="dxa"/>
            <w:vAlign w:val="bottom"/>
            <w:gridSpan w:val="16"/>
            <w:vMerge w:val="continue"/>
          </w:tcPr>
          <w:p>
            <w:pPr>
              <w:spacing w:after="0"/>
              <w:rPr>
                <w:sz w:val="13"/>
                <w:szCs w:val="13"/>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10780" w:type="dxa"/>
            <w:vAlign w:val="bottom"/>
            <w:gridSpan w:val="27"/>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ABOUT US</w:t>
              </w:r>
            </w:hyperlink>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69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WHERE YOU CAN FIND MORE INFORMATION</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8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FORWARD-LOOKING STATEMENTS</w:t>
              </w:r>
            </w:hyperlink>
          </w:p>
        </w:tc>
        <w:tc>
          <w:tcPr>
            <w:tcW w:w="6980" w:type="dxa"/>
            <w:vAlign w:val="bottom"/>
            <w:gridSpan w:val="5"/>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3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RISK FACTORS</w:t>
              </w:r>
            </w:hyperlink>
          </w:p>
        </w:tc>
        <w:tc>
          <w:tcPr>
            <w:tcW w:w="1660" w:type="dxa"/>
            <w:vAlign w:val="bottom"/>
            <w:tcBorders>
              <w:top w:val="single" w:sz="8" w:color="0000EE"/>
            </w:tcBorders>
            <w:gridSpan w:val="12"/>
          </w:tcPr>
          <w:p>
            <w:pPr>
              <w:spacing w:after="0"/>
              <w:rPr>
                <w:sz w:val="15"/>
                <w:szCs w:val="15"/>
                <w:color w:val="auto"/>
              </w:rPr>
            </w:pPr>
          </w:p>
        </w:tc>
        <w:tc>
          <w:tcPr>
            <w:tcW w:w="7820" w:type="dxa"/>
            <w:vAlign w:val="bottom"/>
            <w:gridSpan w:val="12"/>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19">
              <w:r>
                <w:rPr>
                  <w:rFonts w:ascii="Arial" w:cs="Arial" w:eastAsia="Arial" w:hAnsi="Arial"/>
                  <w:sz w:val="18"/>
                  <w:szCs w:val="18"/>
                  <w:color w:val="0000EE"/>
                  <w:w w:val="97"/>
                </w:rPr>
                <w:t>USE OF PROCEEDS</w:t>
              </w:r>
            </w:hyperlink>
          </w:p>
        </w:tc>
        <w:tc>
          <w:tcPr>
            <w:tcW w:w="9080" w:type="dxa"/>
            <w:vAlign w:val="bottom"/>
            <w:gridSpan w:val="20"/>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19">
              <w:r>
                <w:rPr>
                  <w:rFonts w:ascii="Arial" w:cs="Arial" w:eastAsia="Arial" w:hAnsi="Arial"/>
                  <w:sz w:val="18"/>
                  <w:szCs w:val="18"/>
                  <w:color w:val="0000EE"/>
                </w:rPr>
                <w:t>RATIO OF EARNINGS TO FIXED CHARGES</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5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20">
              <w:r>
                <w:rPr>
                  <w:rFonts w:ascii="Arial" w:cs="Arial" w:eastAsia="Arial" w:hAnsi="Arial"/>
                  <w:sz w:val="18"/>
                  <w:szCs w:val="18"/>
                  <w:color w:val="0000EE"/>
                </w:rPr>
                <w:t>DESCRIPTION OF SECURITIES</w:t>
              </w:r>
            </w:hyperlink>
          </w:p>
        </w:tc>
        <w:tc>
          <w:tcPr>
            <w:tcW w:w="7220" w:type="dxa"/>
            <w:vAlign w:val="bottom"/>
            <w:gridSpan w:val="8"/>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5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120">
              <w:r>
                <w:rPr>
                  <w:rFonts w:ascii="Arial" w:cs="Arial" w:eastAsia="Arial" w:hAnsi="Arial"/>
                  <w:sz w:val="18"/>
                  <w:szCs w:val="18"/>
                  <w:color w:val="0000EE"/>
                  <w:w w:val="97"/>
                </w:rPr>
                <w:t>SELLING SECURITYHOLDERS</w:t>
              </w:r>
            </w:hyperlink>
          </w:p>
        </w:tc>
        <w:tc>
          <w:tcPr>
            <w:tcW w:w="60" w:type="dxa"/>
            <w:vAlign w:val="bottom"/>
            <w:tcBorders>
              <w:top w:val="single" w:sz="8" w:color="0000EE"/>
            </w:tcBorders>
          </w:tcPr>
          <w:p>
            <w:pPr>
              <w:spacing w:after="0"/>
              <w:rPr>
                <w:sz w:val="15"/>
                <w:szCs w:val="15"/>
                <w:color w:val="auto"/>
              </w:rPr>
            </w:pPr>
          </w:p>
        </w:tc>
        <w:tc>
          <w:tcPr>
            <w:tcW w:w="8180" w:type="dxa"/>
            <w:vAlign w:val="bottom"/>
            <w:gridSpan w:val="14"/>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0780" w:type="dxa"/>
            <w:vAlign w:val="bottom"/>
            <w:gridSpan w:val="27"/>
          </w:tcPr>
          <w:p>
            <w:pPr>
              <w:spacing w:after="0" w:line="182" w:lineRule="exact"/>
              <w:rPr>
                <w:rFonts w:ascii="Arial" w:cs="Arial" w:eastAsia="Arial" w:hAnsi="Arial"/>
                <w:sz w:val="18"/>
                <w:szCs w:val="18"/>
                <w:color w:val="0000EE"/>
              </w:rPr>
            </w:pPr>
            <w:hyperlink w:anchor="page120">
              <w:r>
                <w:rPr>
                  <w:rFonts w:ascii="Arial" w:cs="Arial" w:eastAsia="Arial" w:hAnsi="Arial"/>
                  <w:sz w:val="18"/>
                  <w:szCs w:val="18"/>
                  <w:color w:val="0000EE"/>
                </w:rPr>
                <w:t>PLAN OF DISTRIBUTION</w:t>
              </w:r>
            </w:hyperlink>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LEGAL MATTERS</w:t>
              </w:r>
            </w:hyperlink>
          </w:p>
        </w:tc>
        <w:tc>
          <w:tcPr>
            <w:tcW w:w="8740" w:type="dxa"/>
            <w:vAlign w:val="bottom"/>
            <w:gridSpan w:val="18"/>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EXPERTS</w:t>
              </w:r>
            </w:hyperlink>
          </w:p>
        </w:tc>
        <w:tc>
          <w:tcPr>
            <w:tcW w:w="9340" w:type="dxa"/>
            <w:vAlign w:val="bottom"/>
            <w:gridSpan w:val="21"/>
          </w:tcPr>
          <w:p>
            <w:pPr>
              <w:spacing w:after="0"/>
              <w:rPr>
                <w:sz w:val="15"/>
                <w:szCs w:val="15"/>
                <w:color w:val="auto"/>
              </w:rPr>
            </w:pPr>
          </w:p>
        </w:tc>
        <w:tc>
          <w:tcPr>
            <w:tcW w:w="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b w:val="1"/>
          <w:bCs w:val="1"/>
          <w:color w:val="auto"/>
        </w:rPr>
        <w:t>You should rely solely on the information contained in this prospectus supplement, the accompanying prospectus, or in any related free writing prospectus issued by us (which we refer to as an “issuer free writing prospectus”)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or soliciting an offer to purchase these securities, in any jurisdiction where the offer or sale is not permitted. You should assume that the information contained or incorporated by reference in this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auto"/>
        </w:rPr>
        <w:t>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document contains two parts. The first part consists of this prospectus supplement, which describes the specific terms of this offering. The second part, the accompanying prospectus, provides more general information, some of which may not apply to this offering. If the description of the offering varies between this prospectus supplement and the accompanying prospectus, you should rely on the information in this prospectus supplement.</w:t>
      </w:r>
    </w:p>
    <w:p>
      <w:pPr>
        <w:spacing w:after="0" w:line="155"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herein, as used in this prospectus supplement:</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76" w:lineRule="exact"/>
        <w:rPr>
          <w:rFonts w:ascii="Arial" w:cs="Arial" w:eastAsia="Arial" w:hAnsi="Arial"/>
          <w:sz w:val="18"/>
          <w:szCs w:val="18"/>
          <w:color w:val="auto"/>
        </w:rPr>
      </w:pPr>
    </w:p>
    <w:p>
      <w:pPr>
        <w:ind w:left="780" w:right="2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3" w:lineRule="exact"/>
        <w:rPr>
          <w:rFonts w:ascii="Arial" w:cs="Arial" w:eastAsia="Arial" w:hAnsi="Arial"/>
          <w:sz w:val="18"/>
          <w:szCs w:val="18"/>
          <w:color w:val="auto"/>
        </w:rPr>
      </w:pPr>
    </w:p>
    <w:p>
      <w:pPr>
        <w:ind w:left="780" w:right="60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 and an indirect subsidiary of Weatherford Bermuda.</w:t>
      </w:r>
    </w:p>
    <w:p>
      <w:pPr>
        <w:spacing w:after="0" w:line="73" w:lineRule="exact"/>
        <w:rPr>
          <w:rFonts w:ascii="Arial" w:cs="Arial" w:eastAsia="Arial" w:hAnsi="Arial"/>
          <w:sz w:val="18"/>
          <w:szCs w:val="18"/>
          <w:color w:val="auto"/>
        </w:rPr>
      </w:pPr>
    </w:p>
    <w:p>
      <w:pPr>
        <w:ind w:left="780" w:right="20" w:hanging="326"/>
        <w:spacing w:after="0" w:line="23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 unless in relation to the terms of the notes and this offering, in which case such terms refer to Weatherford Bermuda, as the issuer of the notes.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TO INVESTORS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document is not a prospectus within the meaning of the Irish Companies Act, the Prospectus (Directive 2003/71/EC) Regulations 2005 of Ireland (as amended) or the Prospectus Rules issued by the Central Bank of Ireland. No offer of notes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Financial Instruments) Regulations 2007 of Ireland (as amended) or the Markets in Financial Instruments Directive (2004/39/EC). Weatherford Ireland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information in this prospectus supplement and the accompanying prospectus, including in the documents incorporated by reference herein and therein,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80" w:lineRule="exact"/>
        <w:rPr>
          <w:sz w:val="20"/>
          <w:szCs w:val="20"/>
          <w:color w:val="auto"/>
        </w:rPr>
      </w:pPr>
    </w:p>
    <w:p>
      <w:pPr>
        <w:ind w:left="780" w:right="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recent and significant decline in the price of crude oil;</w:t>
      </w:r>
    </w:p>
    <w:p>
      <w:pPr>
        <w:spacing w:after="0" w:line="73" w:lineRule="exact"/>
        <w:rPr>
          <w:rFonts w:ascii="Arial" w:cs="Arial" w:eastAsia="Arial" w:hAnsi="Arial"/>
          <w:sz w:val="18"/>
          <w:szCs w:val="18"/>
          <w:color w:val="auto"/>
        </w:rPr>
      </w:pPr>
    </w:p>
    <w:p>
      <w:pPr>
        <w:ind w:left="780" w:right="56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3" w:lineRule="exact"/>
        <w:rPr>
          <w:rFonts w:ascii="Arial" w:cs="Arial" w:eastAsia="Arial" w:hAnsi="Arial"/>
          <w:sz w:val="18"/>
          <w:szCs w:val="18"/>
          <w:color w:val="auto"/>
        </w:rPr>
      </w:pPr>
    </w:p>
    <w:p>
      <w:pPr>
        <w:ind w:left="780" w:right="5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such acquisitions and dispositions;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76"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76" w:lineRule="exact"/>
        <w:rPr>
          <w:rFonts w:ascii="Arial" w:cs="Arial" w:eastAsia="Arial" w:hAnsi="Arial"/>
          <w:sz w:val="18"/>
          <w:szCs w:val="18"/>
          <w:color w:val="auto"/>
        </w:rPr>
      </w:pPr>
    </w:p>
    <w:p>
      <w:pPr>
        <w:ind w:left="780" w:right="140" w:hanging="326"/>
        <w:spacing w:after="0" w:line="23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investigation into the circumstances surrounding the prior material weakness in our internal control over financial reporting for income taxes and the restatements of our historical financial statements in 2011 and 2012;</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76" w:lineRule="exact"/>
        <w:rPr>
          <w:rFonts w:ascii="Arial" w:cs="Arial" w:eastAsia="Arial" w:hAnsi="Arial"/>
          <w:sz w:val="18"/>
          <w:szCs w:val="18"/>
          <w:color w:val="auto"/>
        </w:rPr>
      </w:pPr>
    </w:p>
    <w:p>
      <w:pPr>
        <w:ind w:left="780" w:right="4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expected benefits from our 2014 redomestication from Switzerland to Ireland and to maintain our Swiss tax residency;</w:t>
      </w:r>
    </w:p>
    <w:p>
      <w:pPr>
        <w:spacing w:after="0" w:line="73" w:lineRule="exact"/>
        <w:rPr>
          <w:rFonts w:ascii="Arial" w:cs="Arial" w:eastAsia="Arial" w:hAnsi="Arial"/>
          <w:sz w:val="18"/>
          <w:szCs w:val="18"/>
          <w:color w:val="auto"/>
        </w:rPr>
      </w:pPr>
    </w:p>
    <w:p>
      <w:pPr>
        <w:ind w:left="780" w:right="114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158"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200" w:firstLine="443"/>
        <w:spacing w:after="0" w:line="238"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of Weatherford International plc incorporated by reference in this prospectus supplement and the accompanying prospectus. See “Risk Factors” and “Cautionary Statement Regarding Forward-Looking Statements” in this prospectus supplement and “Risk Factors” in Weatherford International plc’s Annual Report on Form 10-K for the year ended December 31, 2015 for more information about important risks that you should consider before investing in the notes.</w:t>
      </w: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left="200" w:right="140" w:firstLine="443"/>
        <w:spacing w:after="0" w:line="269" w:lineRule="auto"/>
        <w:rPr>
          <w:sz w:val="20"/>
          <w:szCs w:val="20"/>
          <w:color w:val="auto"/>
        </w:rPr>
      </w:pPr>
      <w:r>
        <w:rPr>
          <w:rFonts w:ascii="Arial" w:cs="Arial" w:eastAsia="Arial" w:hAnsi="Arial"/>
          <w:sz w:val="16"/>
          <w:szCs w:val="16"/>
          <w:color w:val="auto"/>
        </w:rPr>
        <w:t>Weatherford International Ltd., a Bermuda exempted company (“Weatherford Bermuda”), and Weatherford International, LLC, a Delaware limited liability company and indirect subsidiary of Weatherford Bermuda (“Weatherford Delaware”), are wholly owned, indirect subsidiaries of Weatherford International plc, an Irish public limited company (“Weatherford Ireland” and, together with its subsidiaries, including Weatherford Bermuda and Weatherford Delaware, “we,” “us” and “our”). We are a multinational oilfield service company and one of the world’s leading providers of equipment and services used in the drilling, evaluation, completion, production and intervention of oil and natural gas wells. Many of our businesses, including those of our predecessor companies, have been operating for more than 50 years. We conduct operations in over 100 countries and have service and sales locations in nearly all of the oil and natural gas producing regions in the world. See “Summary Financial Data of Weatherford Ireland” for information regarding our historical financial results.</w:t>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Strategy</w:t>
      </w:r>
    </w:p>
    <w:p>
      <w:pPr>
        <w:spacing w:after="0" w:line="180" w:lineRule="exact"/>
        <w:rPr>
          <w:sz w:val="20"/>
          <w:szCs w:val="20"/>
          <w:color w:val="auto"/>
        </w:rPr>
      </w:pPr>
    </w:p>
    <w:p>
      <w:pPr>
        <w:ind w:left="200" w:firstLine="443"/>
        <w:spacing w:after="0" w:line="239"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Principal components of our strategy include:</w:t>
      </w:r>
    </w:p>
    <w:p>
      <w:pPr>
        <w:spacing w:after="0" w:line="77" w:lineRule="exact"/>
        <w:rPr>
          <w:sz w:val="20"/>
          <w:szCs w:val="20"/>
          <w:color w:val="auto"/>
        </w:rPr>
      </w:pPr>
    </w:p>
    <w:p>
      <w:pPr>
        <w:ind w:left="960" w:hanging="331"/>
        <w:spacing w:after="0" w:line="23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Continuously improving the efficiency, productivity and quality of our products and services and their respective delivery to our customers, in order to grow revenues and operating margins and generate free cash flow from our core operations (Formation Evaluation and Well Construction and Completion and Production) and Land Drilling Rigs operations in all of our geographic markets at a rate exceeding underlying market activity;</w:t>
      </w:r>
    </w:p>
    <w:p>
      <w:pPr>
        <w:spacing w:after="0" w:line="73" w:lineRule="exact"/>
        <w:rPr>
          <w:rFonts w:ascii="Arial" w:cs="Arial" w:eastAsia="Arial" w:hAnsi="Arial"/>
          <w:sz w:val="18"/>
          <w:szCs w:val="18"/>
          <w:color w:val="auto"/>
        </w:rPr>
      </w:pPr>
    </w:p>
    <w:p>
      <w:pPr>
        <w:ind w:left="960" w:right="260" w:hanging="331"/>
        <w:spacing w:after="0" w:line="23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commitment to the innovation, invention and integration, development and commercialization of new products and services that meet the evolving needs of our customers across the reservoir lifecycle; and</w:t>
      </w:r>
    </w:p>
    <w:p>
      <w:pPr>
        <w:spacing w:after="0" w:line="73" w:lineRule="exact"/>
        <w:rPr>
          <w:rFonts w:ascii="Arial" w:cs="Arial" w:eastAsia="Arial" w:hAnsi="Arial"/>
          <w:sz w:val="18"/>
          <w:szCs w:val="18"/>
          <w:color w:val="auto"/>
        </w:rPr>
      </w:pPr>
    </w:p>
    <w:p>
      <w:pPr>
        <w:ind w:left="960" w:right="160" w:hanging="331"/>
        <w:spacing w:after="0" w:line="23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extending the process, productivity, quality, safety and competency across our global infrastructure to meet client demands for our core products and services in an operationally efficient manner.</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34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634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Markets</w:t>
      </w:r>
    </w:p>
    <w:p>
      <w:pPr>
        <w:spacing w:after="0" w:line="180" w:lineRule="exact"/>
        <w:rPr>
          <w:sz w:val="20"/>
          <w:szCs w:val="20"/>
          <w:color w:val="auto"/>
        </w:rPr>
      </w:pPr>
    </w:p>
    <w:p>
      <w:pPr>
        <w:ind w:left="200" w:right="40" w:firstLine="443"/>
        <w:spacing w:after="0" w:line="281" w:lineRule="auto"/>
        <w:rPr>
          <w:sz w:val="20"/>
          <w:szCs w:val="20"/>
          <w:color w:val="auto"/>
        </w:rPr>
      </w:pPr>
      <w:r>
        <w:rPr>
          <w:rFonts w:ascii="Arial" w:cs="Arial" w:eastAsia="Arial" w:hAnsi="Arial"/>
          <w:sz w:val="16"/>
          <w:szCs w:val="16"/>
          <w:color w:val="auto"/>
        </w:rPr>
        <w:t>We are a leading provider of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24" w:lineRule="exact"/>
        <w:rPr>
          <w:sz w:val="20"/>
          <w:szCs w:val="20"/>
          <w:color w:val="auto"/>
        </w:rPr>
      </w:pPr>
    </w:p>
    <w:p>
      <w:pPr>
        <w:ind w:left="200" w:right="80" w:firstLine="443"/>
        <w:spacing w:after="0" w:line="271" w:lineRule="auto"/>
        <w:rPr>
          <w:sz w:val="20"/>
          <w:szCs w:val="20"/>
          <w:color w:val="auto"/>
        </w:rPr>
      </w:pPr>
      <w:r>
        <w:rPr>
          <w:rFonts w:ascii="Arial" w:cs="Arial" w:eastAsia="Arial" w:hAnsi="Arial"/>
          <w:sz w:val="16"/>
          <w:szCs w:val="16"/>
          <w:color w:val="auto"/>
        </w:rPr>
        <w:t>Technology has become increasingly critical to the oil and natural gas marketplace as a result of the maturity of the world’s oil and natural gas reservoirs, accelerating production decline rates and the focus on complex well designs, including deep-water prospects. Clients continue to seek, test and use production-enabling technologies at an increasing rate. We have invested a substantial amount of our time and resources into building our technology offerings, which help us provide our clients with more efficient tools to find and produce oil and natural gas. We believe our products and services enable our clients to reduce their costs of drilling and production and/or increase production rates. Furthermore, these offerings afford us additional opportunities to sell our core products and services to our clients.</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Outlook</w:t>
      </w:r>
    </w:p>
    <w:p>
      <w:pPr>
        <w:spacing w:after="0" w:line="180" w:lineRule="exact"/>
        <w:rPr>
          <w:sz w:val="20"/>
          <w:szCs w:val="20"/>
          <w:color w:val="auto"/>
        </w:rPr>
      </w:pPr>
    </w:p>
    <w:p>
      <w:pPr>
        <w:ind w:left="200" w:right="140" w:firstLine="443"/>
        <w:spacing w:after="0" w:line="270" w:lineRule="auto"/>
        <w:rPr>
          <w:sz w:val="20"/>
          <w:szCs w:val="20"/>
          <w:color w:val="auto"/>
        </w:rPr>
      </w:pPr>
      <w:r>
        <w:rPr>
          <w:rFonts w:ascii="Arial" w:cs="Arial" w:eastAsia="Arial" w:hAnsi="Arial"/>
          <w:sz w:val="16"/>
          <w:szCs w:val="16"/>
          <w:color w:val="auto"/>
        </w:rPr>
        <w:t>We believe the remainder of 2016 will continue to be challenged by the continued weakness in oil prices and severe market contraction for our services. The market weakness and contraction has materially reduced capital spending by our customers, which has reduced our revenue, both through lower activity levels and pricing. In response to the continued weakness in the price of crude oil and the continued decline in the anticipated level of exploration and production spending in 2016, we initiated another plan to continue reducing our cost structure through a workforce reduction totaling 8,000 employees and expect these headcount reductions to be completed by the end of the first half of 2016. In addition, we plan to close nine manufacturing and service facilities during 2016, of which four were completed in the first quarter 2016. We project to close over 50 of our operating and non-operating facilities in 2016 and closed over 25 in the first quarter of 2016.</w:t>
      </w:r>
    </w:p>
    <w:p>
      <w:pPr>
        <w:spacing w:after="0" w:line="131" w:lineRule="exact"/>
        <w:rPr>
          <w:sz w:val="20"/>
          <w:szCs w:val="20"/>
          <w:color w:val="auto"/>
        </w:rPr>
      </w:pPr>
    </w:p>
    <w:p>
      <w:pPr>
        <w:ind w:left="200" w:firstLine="443"/>
        <w:spacing w:after="0" w:line="236" w:lineRule="auto"/>
        <w:rPr>
          <w:sz w:val="20"/>
          <w:szCs w:val="20"/>
          <w:color w:val="auto"/>
        </w:rPr>
      </w:pPr>
      <w:r>
        <w:rPr>
          <w:rFonts w:ascii="Arial" w:cs="Arial" w:eastAsia="Arial" w:hAnsi="Arial"/>
          <w:sz w:val="18"/>
          <w:szCs w:val="18"/>
          <w:color w:val="auto"/>
        </w:rPr>
        <w:t>We expect market conditions to continue to weaken during the remainder of the first half of 2016 with the potential for a slight recovery during the second half of the year from seasonal improvements and if commodity prices continue to stabilize. North America will continue to be severely impacted by both lower volume and pricing pressure as our customers continue to respond to the decline in commodity prices. We expect Latin America to show contraction in Mexico, Colombia and Brazil from lower activity levels as well as self-imposed reductions in Ecuador and Venezuela. We expect the Eastern Hemisphere to begin showing improvements before North America, with some opportunity for revenue and profitability increases during the second half of 2016.</w:t>
      </w:r>
    </w:p>
    <w:p>
      <w:pPr>
        <w:spacing w:after="0" w:line="156" w:lineRule="exact"/>
        <w:rPr>
          <w:sz w:val="20"/>
          <w:szCs w:val="20"/>
          <w:color w:val="auto"/>
        </w:rPr>
      </w:pPr>
    </w:p>
    <w:p>
      <w:pPr>
        <w:ind w:left="200" w:right="220" w:firstLine="443"/>
        <w:spacing w:after="0" w:line="236" w:lineRule="auto"/>
        <w:rPr>
          <w:sz w:val="20"/>
          <w:szCs w:val="20"/>
          <w:color w:val="auto"/>
        </w:rPr>
      </w:pPr>
      <w:r>
        <w:rPr>
          <w:rFonts w:ascii="Arial" w:cs="Arial" w:eastAsia="Arial" w:hAnsi="Arial"/>
          <w:sz w:val="18"/>
          <w:szCs w:val="18"/>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will depend heavily on pricing, volume of work and our ability to offer solutions to more efficiently extract hydrocarbons, control costs and penetrate new and existing markets with our newly developed technologies.</w:t>
      </w:r>
    </w:p>
    <w:p>
      <w:pPr>
        <w:spacing w:after="0" w:line="155"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when market conditions improve. Upon completion, the cash proceeds from any divestitures are expected to be used to repay or repurchase debt in accordance with the terms of our credit facilities and may also include the repurchase of our outstanding senior notes prior to their maturity in the open market, through a privately negotiated transaction or otherwise.</w:t>
      </w:r>
    </w:p>
    <w:p>
      <w:pPr>
        <w:spacing w:after="0" w:line="156" w:lineRule="exact"/>
        <w:rPr>
          <w:sz w:val="20"/>
          <w:szCs w:val="20"/>
          <w:color w:val="auto"/>
        </w:rPr>
      </w:pPr>
    </w:p>
    <w:p>
      <w:pPr>
        <w:ind w:left="200" w:right="60" w:firstLine="443"/>
        <w:spacing w:after="0" w:line="237"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the Petroleum Exporting Countries and weather conditions and other factors, including those described in the section entitled “Cautionary Statement Regarding Forward-Looking Statements.”</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Opportunities and Challenges</w:t>
      </w:r>
    </w:p>
    <w:p>
      <w:pPr>
        <w:spacing w:after="0" w:line="180" w:lineRule="exact"/>
        <w:rPr>
          <w:sz w:val="20"/>
          <w:szCs w:val="20"/>
          <w:color w:val="auto"/>
        </w:rPr>
      </w:pPr>
    </w:p>
    <w:p>
      <w:pPr>
        <w:ind w:left="200" w:right="40" w:firstLine="443"/>
        <w:spacing w:after="0" w:line="236" w:lineRule="auto"/>
        <w:rPr>
          <w:sz w:val="20"/>
          <w:szCs w:val="20"/>
          <w:color w:val="auto"/>
        </w:rPr>
      </w:pPr>
      <w:r>
        <w:rPr>
          <w:rFonts w:ascii="Arial" w:cs="Arial" w:eastAsia="Arial" w:hAnsi="Arial"/>
          <w:sz w:val="18"/>
          <w:szCs w:val="18"/>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Product Offerings</w:t>
      </w:r>
    </w:p>
    <w:p>
      <w:pPr>
        <w:spacing w:after="0" w:line="180" w:lineRule="exact"/>
        <w:rPr>
          <w:sz w:val="20"/>
          <w:szCs w:val="20"/>
          <w:color w:val="auto"/>
        </w:rPr>
      </w:pPr>
    </w:p>
    <w:p>
      <w:pPr>
        <w:ind w:left="200" w:firstLine="443"/>
        <w:spacing w:after="0" w:line="238"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53" w:lineRule="exact"/>
        <w:rPr>
          <w:sz w:val="20"/>
          <w:szCs w:val="20"/>
          <w:color w:val="auto"/>
        </w:rPr>
      </w:pPr>
    </w:p>
    <w:p>
      <w:pPr>
        <w:ind w:left="960" w:right="240" w:hanging="331"/>
        <w:spacing w:after="0" w:line="248"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Wireline Services, Testing and Production Services, Re-entry and Fishing Services, Cementing, Liner Systems, Integrated Laboratory Services and Surface Logging Systems.</w:t>
      </w:r>
    </w:p>
    <w:p>
      <w:pPr>
        <w:spacing w:after="0" w:line="47" w:lineRule="exact"/>
        <w:rPr>
          <w:rFonts w:ascii="Arial" w:cs="Arial" w:eastAsia="Arial" w:hAnsi="Arial"/>
          <w:sz w:val="18"/>
          <w:szCs w:val="18"/>
          <w:color w:val="auto"/>
        </w:rPr>
      </w:pPr>
    </w:p>
    <w:p>
      <w:pPr>
        <w:ind w:left="960" w:hanging="331"/>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76" w:lineRule="exact"/>
        <w:rPr>
          <w:rFonts w:ascii="Arial" w:cs="Arial" w:eastAsia="Arial" w:hAnsi="Arial"/>
          <w:sz w:val="18"/>
          <w:szCs w:val="18"/>
          <w:color w:val="auto"/>
        </w:rPr>
      </w:pPr>
    </w:p>
    <w:p>
      <w:pPr>
        <w:ind w:left="960" w:hanging="331"/>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Formation Evaluation and Well Construction</w:t>
      </w:r>
    </w:p>
    <w:p>
      <w:pPr>
        <w:spacing w:after="0" w:line="99" w:lineRule="exact"/>
        <w:rPr>
          <w:sz w:val="20"/>
          <w:szCs w:val="20"/>
          <w:color w:val="auto"/>
        </w:rPr>
      </w:pPr>
    </w:p>
    <w:p>
      <w:pPr>
        <w:ind w:left="200" w:firstLine="443"/>
        <w:spacing w:after="0" w:line="236" w:lineRule="auto"/>
        <w:rPr>
          <w:sz w:val="20"/>
          <w:szCs w:val="20"/>
          <w:color w:val="auto"/>
        </w:rPr>
      </w:pPr>
      <w:r>
        <w:rPr>
          <w:rFonts w:ascii="Arial" w:cs="Arial" w:eastAsia="Arial" w:hAnsi="Arial"/>
          <w:sz w:val="18"/>
          <w:szCs w:val="18"/>
          <w:color w:val="auto"/>
        </w:rPr>
        <w:t>Within the Formation Evaluation and Well Construction business group we provide formation evaluation services from early well planning to reservoir management services, including core analysis, surface logging, well site geochemistry, logging while drilling and wireline services. Our full suite of formation evaluation services has broad applications across all types of reservoirs. We also provide well construction services to help clients ensure well integrity for the full life cycle of the well using reliable casing and tubing strings, cementation design, reliable liner top isolation and methods that ensure the well reaches total depth in the best condition possible. Further descriptions of our product lines are as follows:</w:t>
      </w:r>
    </w:p>
    <w:p>
      <w:pPr>
        <w:spacing w:after="0" w:line="136" w:lineRule="exact"/>
        <w:rPr>
          <w:sz w:val="20"/>
          <w:szCs w:val="20"/>
          <w:color w:val="auto"/>
        </w:rPr>
      </w:pPr>
    </w:p>
    <w:p>
      <w:pPr>
        <w:ind w:left="200" w:right="200" w:firstLine="443"/>
        <w:spacing w:after="0" w:line="262" w:lineRule="auto"/>
        <w:rPr>
          <w:sz w:val="20"/>
          <w:szCs w:val="20"/>
          <w:color w:val="auto"/>
        </w:rPr>
      </w:pPr>
      <w:r>
        <w:rPr>
          <w:rFonts w:ascii="Arial" w:cs="Arial" w:eastAsia="Arial" w:hAnsi="Arial"/>
          <w:sz w:val="18"/>
          <w:szCs w:val="18"/>
          <w:b w:val="1"/>
          <w:bCs w:val="1"/>
          <w:i w:val="1"/>
          <w:iCs w:val="1"/>
          <w:color w:val="auto"/>
        </w:rPr>
        <w:t xml:space="preserve">Managed-Pressure Drilling </w:t>
      </w:r>
      <w:r>
        <w:rPr>
          <w:rFonts w:ascii="Arial" w:cs="Arial" w:eastAsia="Arial" w:hAnsi="Arial"/>
          <w:sz w:val="18"/>
          <w:szCs w:val="18"/>
          <w:color w:val="auto"/>
        </w:rPr>
        <w:t>consists of several drilling techniques including closed-loop drilling, air drilling, managed-pressure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underbalanced drilling.</w:t>
      </w:r>
    </w:p>
    <w:p>
      <w:pPr>
        <w:spacing w:after="0" w:line="115" w:lineRule="exact"/>
        <w:rPr>
          <w:sz w:val="20"/>
          <w:szCs w:val="20"/>
          <w:color w:val="auto"/>
        </w:rPr>
      </w:pPr>
    </w:p>
    <w:p>
      <w:pPr>
        <w:ind w:left="200" w:right="200" w:firstLine="443"/>
        <w:spacing w:after="0" w:line="248" w:lineRule="auto"/>
        <w:rPr>
          <w:sz w:val="20"/>
          <w:szCs w:val="20"/>
          <w:color w:val="auto"/>
        </w:rPr>
      </w:pPr>
      <w:r>
        <w:rPr>
          <w:rFonts w:ascii="Arial" w:cs="Arial" w:eastAsia="Arial" w:hAnsi="Arial"/>
          <w:sz w:val="18"/>
          <w:szCs w:val="18"/>
          <w:b w:val="1"/>
          <w:bCs w:val="1"/>
          <w:i w:val="1"/>
          <w:iCs w:val="1"/>
          <w:color w:val="auto"/>
        </w:rPr>
        <w:t xml:space="preserve">Drilling Services </w:t>
      </w:r>
      <w:r>
        <w:rPr>
          <w:rFonts w:ascii="Arial" w:cs="Arial" w:eastAsia="Arial" w:hAnsi="Arial"/>
          <w:sz w:val="18"/>
          <w:szCs w:val="18"/>
          <w:color w:val="auto"/>
        </w:rPr>
        <w:t>includes directional drilling, logging while drilling, measurement while drilling and rotary steerable systems.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line also includes our full range of downhole equipment including high temperature motors, wireline steering tools, air rotary hammer drills, casing exit systems, downhole deployment valves and downhole data acquisition equipment.</w:t>
      </w:r>
    </w:p>
    <w:p>
      <w:pPr>
        <w:spacing w:after="0" w:line="128" w:lineRule="exact"/>
        <w:rPr>
          <w:sz w:val="20"/>
          <w:szCs w:val="20"/>
          <w:color w:val="auto"/>
        </w:rPr>
      </w:pPr>
    </w:p>
    <w:p>
      <w:pPr>
        <w:ind w:left="200" w:right="440" w:firstLine="443"/>
        <w:spacing w:after="0" w:line="248" w:lineRule="auto"/>
        <w:rPr>
          <w:sz w:val="20"/>
          <w:szCs w:val="20"/>
          <w:color w:val="auto"/>
        </w:rPr>
      </w:pPr>
      <w:r>
        <w:rPr>
          <w:rFonts w:ascii="Arial" w:cs="Arial" w:eastAsia="Arial" w:hAnsi="Arial"/>
          <w:sz w:val="18"/>
          <w:szCs w:val="18"/>
          <w:b w:val="1"/>
          <w:bCs w:val="1"/>
          <w:i w:val="1"/>
          <w:iCs w:val="1"/>
          <w:color w:val="auto"/>
        </w:rPr>
        <w:t xml:space="preserve">Tubular Running Services </w:t>
      </w:r>
      <w:r>
        <w:rPr>
          <w:rFonts w:ascii="Arial" w:cs="Arial" w:eastAsia="Arial" w:hAnsi="Arial"/>
          <w:sz w:val="18"/>
          <w:szCs w:val="18"/>
          <w:color w:val="auto"/>
        </w:rPr>
        <w:t>consists of a wide variety of tubular connection and installation services for the drilling, completion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workover of an oil or natural gas well, including liner systems, solid expandable systems, zonal isolation products and swellable well-construction technologies. We also specialize in critical-service installations.</w:t>
      </w:r>
    </w:p>
    <w:p>
      <w:pPr>
        <w:spacing w:after="0" w:line="128" w:lineRule="exact"/>
        <w:rPr>
          <w:sz w:val="20"/>
          <w:szCs w:val="20"/>
          <w:color w:val="auto"/>
        </w:rPr>
      </w:pPr>
    </w:p>
    <w:p>
      <w:pPr>
        <w:ind w:left="200" w:right="100" w:firstLine="443"/>
        <w:spacing w:after="0" w:line="244" w:lineRule="auto"/>
        <w:rPr>
          <w:sz w:val="20"/>
          <w:szCs w:val="20"/>
          <w:color w:val="auto"/>
        </w:rPr>
      </w:pPr>
      <w:r>
        <w:rPr>
          <w:rFonts w:ascii="Arial" w:cs="Arial" w:eastAsia="Arial" w:hAnsi="Arial"/>
          <w:sz w:val="18"/>
          <w:szCs w:val="18"/>
          <w:b w:val="1"/>
          <w:bCs w:val="1"/>
          <w:i w:val="1"/>
          <w:iCs w:val="1"/>
          <w:color w:val="auto"/>
        </w:rPr>
        <w:t xml:space="preserve">Drilling Tools </w:t>
      </w:r>
      <w:r>
        <w:rPr>
          <w:rFonts w:ascii="Arial" w:cs="Arial" w:eastAsia="Arial" w:hAnsi="Arial"/>
          <w:sz w:val="18"/>
          <w:szCs w:val="18"/>
          <w:color w:val="auto"/>
        </w:rPr>
        <w:t>includes our patented drilling jars, underreamers, rotating control devices, downhole tools, drillpipe and related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tubular handling equipment and other pressure-control equipment used in drilling oil and natural gas wells. We also offer wellhead systems to reduce time in changing wellhead sizes while increasing safety procedures, production monitoring and optimization, and flow measurement which measures how much oil, water and gas is flowing in a well.</w:t>
      </w:r>
    </w:p>
    <w:p>
      <w:pPr>
        <w:spacing w:after="0" w:line="131" w:lineRule="exact"/>
        <w:rPr>
          <w:sz w:val="20"/>
          <w:szCs w:val="20"/>
          <w:color w:val="auto"/>
        </w:rPr>
      </w:pPr>
    </w:p>
    <w:p>
      <w:pPr>
        <w:ind w:left="200" w:right="240" w:firstLine="443"/>
        <w:spacing w:after="0" w:line="244" w:lineRule="auto"/>
        <w:rPr>
          <w:sz w:val="20"/>
          <w:szCs w:val="20"/>
          <w:color w:val="auto"/>
        </w:rPr>
      </w:pPr>
      <w:r>
        <w:rPr>
          <w:rFonts w:ascii="Arial" w:cs="Arial" w:eastAsia="Arial" w:hAnsi="Arial"/>
          <w:sz w:val="18"/>
          <w:szCs w:val="18"/>
          <w:b w:val="1"/>
          <w:bCs w:val="1"/>
          <w:i w:val="1"/>
          <w:iCs w:val="1"/>
          <w:color w:val="auto"/>
        </w:rPr>
        <w:t>Wireline Service</w:t>
      </w:r>
      <w:r>
        <w:rPr>
          <w:rFonts w:ascii="Arial" w:cs="Arial" w:eastAsia="Arial" w:hAnsi="Arial"/>
          <w:sz w:val="18"/>
          <w:szCs w:val="18"/>
          <w:color w:val="auto"/>
        </w:rPr>
        <w:t>s includes open hole and cased-hole logging services to measure the physical properties of underground 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help determine the location and potential deliverability of oil and gas from a reservoir. It also includes production and produced water systems for fracturing, production disposal and enhanced oil recovery operations. We also offer global petroleum consulting services in the geoscience and engineering domain.</w:t>
      </w:r>
    </w:p>
    <w:p>
      <w:pPr>
        <w:spacing w:after="0" w:line="131" w:lineRule="exact"/>
        <w:rPr>
          <w:sz w:val="20"/>
          <w:szCs w:val="20"/>
          <w:color w:val="auto"/>
        </w:rPr>
      </w:pPr>
    </w:p>
    <w:p>
      <w:pPr>
        <w:ind w:left="200" w:right="40" w:firstLine="443"/>
        <w:spacing w:after="0" w:line="262"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include drillstem test tools, early production facilities, life-of-field production facilities, produced-water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tubing conveyed perforating systems and well testing systems.</w:t>
      </w:r>
    </w:p>
    <w:p>
      <w:pPr>
        <w:spacing w:after="0" w:line="115" w:lineRule="exact"/>
        <w:rPr>
          <w:sz w:val="20"/>
          <w:szCs w:val="20"/>
          <w:color w:val="auto"/>
        </w:rPr>
      </w:pPr>
    </w:p>
    <w:p>
      <w:pPr>
        <w:ind w:left="200" w:right="540" w:firstLine="443"/>
        <w:spacing w:after="0" w:line="262" w:lineRule="auto"/>
        <w:rPr>
          <w:sz w:val="20"/>
          <w:szCs w:val="20"/>
          <w:color w:val="auto"/>
        </w:rPr>
      </w:pPr>
      <w:r>
        <w:rPr>
          <w:rFonts w:ascii="Arial" w:cs="Arial" w:eastAsia="Arial" w:hAnsi="Arial"/>
          <w:sz w:val="18"/>
          <w:szCs w:val="18"/>
          <w:b w:val="1"/>
          <w:bCs w:val="1"/>
          <w:i w:val="1"/>
          <w:iCs w:val="1"/>
          <w:color w:val="auto"/>
        </w:rPr>
        <w:t xml:space="preserve">Re-entry and Fishing Services </w:t>
      </w:r>
      <w:r>
        <w:rPr>
          <w:rFonts w:ascii="Arial" w:cs="Arial" w:eastAsia="Arial" w:hAnsi="Arial"/>
          <w:sz w:val="18"/>
          <w:szCs w:val="18"/>
          <w:color w:val="auto"/>
        </w:rPr>
        <w:t>provides re-entry services, fishing services, thru-tubing services, well abandonment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wellbore cleaning services.</w:t>
      </w:r>
    </w:p>
    <w:p>
      <w:pPr>
        <w:spacing w:after="0" w:line="115" w:lineRule="exact"/>
        <w:rPr>
          <w:sz w:val="20"/>
          <w:szCs w:val="20"/>
          <w:color w:val="auto"/>
        </w:rPr>
      </w:pPr>
    </w:p>
    <w:p>
      <w:pPr>
        <w:jc w:val="both"/>
        <w:ind w:left="200" w:right="200" w:firstLine="443"/>
        <w:spacing w:after="0" w:line="294" w:lineRule="auto"/>
        <w:rPr>
          <w:sz w:val="20"/>
          <w:szCs w:val="20"/>
          <w:color w:val="auto"/>
        </w:rPr>
      </w:pPr>
      <w:r>
        <w:rPr>
          <w:rFonts w:ascii="Arial" w:cs="Arial" w:eastAsia="Arial" w:hAnsi="Arial"/>
          <w:sz w:val="16"/>
          <w:szCs w:val="16"/>
          <w:b w:val="1"/>
          <w:bCs w:val="1"/>
          <w:i w:val="1"/>
          <w:iCs w:val="1"/>
          <w:color w:val="auto"/>
        </w:rPr>
        <w:t xml:space="preserve">Cementing </w:t>
      </w:r>
      <w:r>
        <w:rPr>
          <w:rFonts w:ascii="Arial" w:cs="Arial" w:eastAsia="Arial" w:hAnsi="Arial"/>
          <w:sz w:val="16"/>
          <w:szCs w:val="16"/>
          <w:color w:val="auto"/>
        </w:rPr>
        <w:t>operations comprise one of the most expensive phases of well completion. We produce specialized equipment that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operators to centralize the casing throughout the wellbore and control the displacement of cement and other fluids for proper zonal isolation. Our cementing engineers also analyze complex wells and provide all job requirements from pre-job planning to installation.</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300" w:firstLine="443"/>
        <w:spacing w:after="0" w:line="244"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which allow suspension of strings of casing within a wellbore without the need to extend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casing to the surface. Most directional wells include one or more liners to optimize casing programs. Drilling liners are used to isolate areas within the well during drilling operations. Production liners are used in the producing area of the well to support the wellbore and to isolate various sections of the well.</w:t>
      </w:r>
    </w:p>
    <w:p>
      <w:pPr>
        <w:spacing w:after="0" w:line="131" w:lineRule="exact"/>
        <w:rPr>
          <w:sz w:val="20"/>
          <w:szCs w:val="20"/>
          <w:color w:val="auto"/>
        </w:rPr>
      </w:pPr>
    </w:p>
    <w:p>
      <w:pPr>
        <w:ind w:left="200" w:right="320" w:firstLine="443"/>
        <w:spacing w:after="0" w:line="325" w:lineRule="auto"/>
        <w:rPr>
          <w:sz w:val="20"/>
          <w:szCs w:val="20"/>
          <w:color w:val="auto"/>
        </w:rPr>
      </w:pPr>
      <w:r>
        <w:rPr>
          <w:rFonts w:ascii="Arial" w:cs="Arial" w:eastAsia="Arial" w:hAnsi="Arial"/>
          <w:sz w:val="16"/>
          <w:szCs w:val="16"/>
          <w:b w:val="1"/>
          <w:bCs w:val="1"/>
          <w:i w:val="1"/>
          <w:iCs w:val="1"/>
          <w:color w:val="auto"/>
        </w:rPr>
        <w:t xml:space="preserve">Integrated Laboratory Services </w:t>
      </w:r>
      <w:r>
        <w:rPr>
          <w:rFonts w:ascii="Arial" w:cs="Arial" w:eastAsia="Arial" w:hAnsi="Arial"/>
          <w:sz w:val="16"/>
          <w:szCs w:val="16"/>
          <w:color w:val="auto"/>
        </w:rPr>
        <w:t>provides support for fluid reservoir characterization, specialized core and fluid testing, enhanced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recovery, rock strength and characterization, sour richness and maturity, sorption properties assessment and reservoir flow studies.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Surface Logging Systems </w:t>
      </w:r>
      <w:r>
        <w:rPr>
          <w:rFonts w:ascii="Arial" w:cs="Arial" w:eastAsia="Arial" w:hAnsi="Arial"/>
          <w:sz w:val="18"/>
          <w:szCs w:val="18"/>
          <w:color w:val="auto"/>
        </w:rPr>
        <w:t>provide advanced gas analysis, drilling instrumentation, mud logging services and wellsite consultants.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Completion and Production</w:t>
      </w:r>
    </w:p>
    <w:p>
      <w:pPr>
        <w:spacing w:after="0" w:line="99"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The Completion and Production business group provides a comprehensive line of products and services, plus specialized technologies, for stimulating and completing wells effectively in all types of reservoirs. Our completion products, reservoir stimulation design and engineering capabilities are delivered to unlock reserves in deepwater, unconventional and aging reservoirs. Our suite of production optimization services boosts field productivity and profitability through our artificial lift portfolio as well as production workflows and optimization software. Further descriptions are as follows:</w:t>
      </w:r>
    </w:p>
    <w:p>
      <w:pPr>
        <w:spacing w:after="0" w:line="137" w:lineRule="exact"/>
        <w:rPr>
          <w:sz w:val="20"/>
          <w:szCs w:val="20"/>
          <w:color w:val="auto"/>
        </w:rPr>
      </w:pPr>
    </w:p>
    <w:p>
      <w:pPr>
        <w:ind w:left="200" w:firstLine="443"/>
        <w:spacing w:after="0" w:line="241"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are installed in oil and gas wells without sufficient reservoir pressure to produce oil or natural gas from the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most forms of lift, including reciprocating rod lift systems which create a pumping action via a downhole rod pump, progressing cavity pumping for predominantly heavy oil, coal-bed methane and medium crude oil applications, gas lift systems for producing reservoirs or in wells that have stopped working, hydraulic lift systems to operate a downhole hydraulic pump (jet or piston), plunger lift systems primarily for dewatering liquid loaded gas wells and hybrid lift systems for special applications.</w:t>
      </w:r>
    </w:p>
    <w:p>
      <w:pPr>
        <w:spacing w:after="0" w:line="136" w:lineRule="exact"/>
        <w:rPr>
          <w:sz w:val="20"/>
          <w:szCs w:val="20"/>
          <w:color w:val="auto"/>
        </w:rPr>
      </w:pPr>
    </w:p>
    <w:p>
      <w:pPr>
        <w:ind w:left="200" w:right="220" w:firstLine="443"/>
        <w:spacing w:after="0" w:line="244" w:lineRule="auto"/>
        <w:rPr>
          <w:sz w:val="20"/>
          <w:szCs w:val="20"/>
          <w:color w:val="auto"/>
        </w:rPr>
      </w:pPr>
      <w:r>
        <w:rPr>
          <w:rFonts w:ascii="Arial" w:cs="Arial" w:eastAsia="Arial" w:hAnsi="Arial"/>
          <w:sz w:val="18"/>
          <w:szCs w:val="18"/>
          <w:b w:val="1"/>
          <w:bCs w:val="1"/>
          <w:i w:val="1"/>
          <w:iCs w:val="1"/>
          <w:color w:val="auto"/>
        </w:rPr>
        <w:t xml:space="preserve">Stimulation </w:t>
      </w:r>
      <w:r>
        <w:rPr>
          <w:rFonts w:ascii="Arial" w:cs="Arial" w:eastAsia="Arial" w:hAnsi="Arial"/>
          <w:sz w:val="18"/>
          <w:szCs w:val="18"/>
          <w:color w:val="auto"/>
        </w:rPr>
        <w:t>offers clients advanced chemical technology and services for safer and more effective production enhancement.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include: a full fleet of pressure pumping services, which include cementing services, coiled tubing services equipment designed to ensure effective results during operations that require coiled tubing intervention, and reservoir stimulation hydraulic fracturing services for oil and natural gas wells in low-permeability reservoirs.</w:t>
      </w:r>
    </w:p>
    <w:p>
      <w:pPr>
        <w:spacing w:after="0" w:line="131" w:lineRule="exact"/>
        <w:rPr>
          <w:sz w:val="20"/>
          <w:szCs w:val="20"/>
          <w:color w:val="auto"/>
        </w:rPr>
      </w:pPr>
    </w:p>
    <w:p>
      <w:pPr>
        <w:ind w:left="200" w:firstLine="443"/>
        <w:spacing w:after="0" w:line="248"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clients a comprehensive line of completion tools such as cased hole and flow control systems, well screens,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screens and sand screens. We also offer a full range of completion services including upper completions, lower completions and reservoir monitoring.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Land Drilling Rigs</w:t>
      </w:r>
    </w:p>
    <w:p>
      <w:pPr>
        <w:spacing w:after="0" w:line="99" w:lineRule="exact"/>
        <w:rPr>
          <w:sz w:val="20"/>
          <w:szCs w:val="20"/>
          <w:color w:val="auto"/>
        </w:rPr>
      </w:pPr>
    </w:p>
    <w:p>
      <w:pPr>
        <w:ind w:left="200" w:right="120" w:firstLine="443"/>
        <w:spacing w:after="0" w:line="275" w:lineRule="auto"/>
        <w:rPr>
          <w:sz w:val="20"/>
          <w:szCs w:val="20"/>
          <w:color w:val="auto"/>
        </w:rPr>
      </w:pPr>
      <w:r>
        <w:rPr>
          <w:rFonts w:ascii="Arial" w:cs="Arial" w:eastAsia="Arial" w:hAnsi="Arial"/>
          <w:sz w:val="16"/>
          <w:szCs w:val="16"/>
          <w:color w:val="auto"/>
        </w:rPr>
        <w:t>The Land Drilling Rigs business group provides onshore contract drilling services and related operations globally for the oil and gas industry. We operate a fleet of land drilling and workover rigs in most major oil and gas producing regions with the concentration in the Middle East and North Africa. With our technologically diverse fleet, we have the capabilities to perform a broad range of advanced drilling projects that include multi-well pad drilling, high pressure high temperature drilling, deep gas drilling, special well design and other unconventional</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66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drilling methods in various climatic conditions. It is our intention, however, to divest our remaining land drilling rigs when market conditions improve. Upon completion, the cash proceeds from any divestitures are expected to be used to repay or repurchase debt, however there can be no assurances as to the likelihood or the terms of any such divestitures or debt repayments or repurchases. See “—Outlook.”</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Business Data</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left="200" w:right="180" w:firstLine="443"/>
        <w:spacing w:after="0" w:line="236" w:lineRule="auto"/>
        <w:rPr>
          <w:sz w:val="20"/>
          <w:szCs w:val="20"/>
          <w:color w:val="auto"/>
        </w:rPr>
      </w:pPr>
      <w:r>
        <w:rPr>
          <w:rFonts w:ascii="Arial" w:cs="Arial" w:eastAsia="Arial" w:hAnsi="Arial"/>
          <w:sz w:val="18"/>
          <w:szCs w:val="18"/>
          <w:color w:val="auto"/>
        </w:rPr>
        <w:t>We provide our products and services worldwide and compete in a variety of distinct segments with a number of competitors. Our principal competitors include Schlumberger, Halliburton, Baker Hughes, National Oilwell Varco, Noble Energy, Nabors Industries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Materials</w:t>
      </w:r>
    </w:p>
    <w:p>
      <w:pPr>
        <w:spacing w:after="0" w:line="99" w:lineRule="exact"/>
        <w:rPr>
          <w:sz w:val="20"/>
          <w:szCs w:val="20"/>
          <w:color w:val="auto"/>
        </w:rPr>
      </w:pPr>
    </w:p>
    <w:p>
      <w:pPr>
        <w:ind w:left="200" w:right="60" w:firstLine="443"/>
        <w:spacing w:after="0" w:line="238"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99" w:lineRule="exact"/>
        <w:rPr>
          <w:sz w:val="20"/>
          <w:szCs w:val="20"/>
          <w:color w:val="auto"/>
        </w:rPr>
      </w:pPr>
    </w:p>
    <w:p>
      <w:pPr>
        <w:ind w:left="200" w:right="40" w:firstLine="443"/>
        <w:spacing w:after="0" w:line="236" w:lineRule="auto"/>
        <w:rPr>
          <w:sz w:val="20"/>
          <w:szCs w:val="20"/>
          <w:color w:val="auto"/>
        </w:rPr>
      </w:pPr>
      <w:r>
        <w:rPr>
          <w:rFonts w:ascii="Arial" w:cs="Arial" w:eastAsia="Arial" w:hAnsi="Arial"/>
          <w:sz w:val="18"/>
          <w:szCs w:val="18"/>
          <w:color w:val="auto"/>
        </w:rPr>
        <w:t>Substantially all of our customers are engaged in the energy industry. Most of our international sales are to large international or national oil companies and these sales have resulted in a concentration of receivables from certain national oil companies worldwide, especially in Latin America. As of December 31, 2015, for example, our receivables from Latin America customers accounted for 38% of our net outstanding accounts receivable balance with $205 million due from Petroleos de Venezuela, S.A. and $47 million from Petroleos Mexicanos. During 2015, 2014 and 2013, no individual customer accounted for 10% or more of our consolidated revenues.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Development and Patents</w:t>
      </w:r>
    </w:p>
    <w:p>
      <w:pPr>
        <w:spacing w:after="0" w:line="99" w:lineRule="exact"/>
        <w:rPr>
          <w:sz w:val="20"/>
          <w:szCs w:val="20"/>
          <w:color w:val="auto"/>
        </w:rPr>
      </w:pPr>
    </w:p>
    <w:p>
      <w:pPr>
        <w:ind w:left="200" w:right="60" w:firstLine="443"/>
        <w:spacing w:after="0" w:line="237"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Our expenditures for research and development totaled $231 million in 2015, $290 million in 2014 and $265 million in 2013.</w:t>
      </w:r>
    </w:p>
    <w:p>
      <w:pPr>
        <w:spacing w:after="0" w:line="155" w:lineRule="exact"/>
        <w:rPr>
          <w:sz w:val="20"/>
          <w:szCs w:val="20"/>
          <w:color w:val="auto"/>
        </w:rPr>
      </w:pPr>
    </w:p>
    <w:p>
      <w:pPr>
        <w:ind w:left="200" w:firstLine="443"/>
        <w:spacing w:after="0" w:line="238"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is limited by the life of the patent, and ranges from three to 20 years.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46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04698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firstLine="443"/>
        <w:spacing w:after="0" w:line="239"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loss of any one of our patents would have a material adverse effect on our business.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99"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impact of climate changes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21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Credit Agreement and Term Loan Agreement</w:t>
      </w:r>
    </w:p>
    <w:p>
      <w:pPr>
        <w:spacing w:after="0" w:line="99" w:lineRule="exact"/>
        <w:rPr>
          <w:sz w:val="20"/>
          <w:szCs w:val="20"/>
          <w:color w:val="auto"/>
        </w:rPr>
      </w:pPr>
    </w:p>
    <w:p>
      <w:pPr>
        <w:ind w:left="200" w:right="100" w:firstLine="443"/>
        <w:spacing w:after="0" w:line="271" w:lineRule="auto"/>
        <w:rPr>
          <w:sz w:val="20"/>
          <w:szCs w:val="20"/>
          <w:color w:val="auto"/>
        </w:rPr>
      </w:pPr>
      <w:r>
        <w:rPr>
          <w:rFonts w:ascii="Arial" w:cs="Arial" w:eastAsia="Arial" w:hAnsi="Arial"/>
          <w:sz w:val="16"/>
          <w:szCs w:val="16"/>
          <w:color w:val="auto"/>
        </w:rPr>
        <w:t>On May 4, 2016, Weatherford Bermuda entered into (i) an amended and restated credit agreement with, among others, JPMorgan Chase Bank, N.A., as administrative agent and lender, in the amount of $1.38 billion (the “Revolving Credit Agreement”) and (ii) a term loan agreement with, among others, JPMorgan Chase Bank, N.A., as administrative agent and lender, in the amount of $500 million (the “Term Loan Agreement”). Obligations under the Revolving Credit Agreement and Term Loan Agreement are guaranteed by Weatherford Ireland and a material portion of its subsidiaries. Obligations under the Term Loan Agreement are secured by substantially all of Weatherford Ireland’s assets, including the equity and assets of a material portion of its subsidiaries. See “Description of Other Indebtedness—Credit Agreements.”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Exchangeable Notes Offering and Tender Offers</w:t>
      </w:r>
    </w:p>
    <w:p>
      <w:pPr>
        <w:spacing w:after="0" w:line="99" w:lineRule="exact"/>
        <w:rPr>
          <w:sz w:val="20"/>
          <w:szCs w:val="20"/>
          <w:color w:val="auto"/>
        </w:rPr>
      </w:pPr>
    </w:p>
    <w:p>
      <w:pPr>
        <w:ind w:left="200" w:right="20" w:firstLine="443"/>
        <w:spacing w:after="0" w:line="235" w:lineRule="auto"/>
        <w:rPr>
          <w:sz w:val="20"/>
          <w:szCs w:val="20"/>
          <w:color w:val="auto"/>
        </w:rPr>
      </w:pPr>
      <w:r>
        <w:rPr>
          <w:rFonts w:ascii="Arial" w:cs="Arial" w:eastAsia="Arial" w:hAnsi="Arial"/>
          <w:sz w:val="18"/>
          <w:szCs w:val="18"/>
          <w:color w:val="auto"/>
        </w:rPr>
        <w:t>On June 7, 2016, Weatherford Bermuda closed the sale of its previously announced underwritten public offering (the “Exchangeable Notes Offering”) of $1.265 billion aggregate principal amount of 5.875% Exchangeable Senior Notes due 2021 (the “Exchangeable Notes”). Except as indicated under “Capitalization,” Weatherford Bermuda intends to use the net proceeds from the Exchangeable Notes Offering to fund a portion of certain tender offers (the “Tender Offers”) by Weatherford Bermuda and Weatherford Delaware to purchase for cash, subject to certain conditions, up to $2.6 billion (the “Maximum Purchase Amount”) aggregate purchase price, excluding accrued interest, of Weatherford Delaware’s 6.35% senior notes due 2017 (the “2017 Notes”) and Weatherford Bermuda’s 6.00% senior notes due 2018 (the “2018 Notes”), 9.625% senior notes due 2019 (the “2019 Notes”) and 5.125% senior notes due 2020 (the “2020 Notes” and, together with the 2017 Notes, 2018 Notes and 2019 Notes, the “Target Notes”). Subject to the Maximum Purchase Amount, the aggregate purchase price of a series of Target Notes that is purchased in the Tender Offers will be based on the order of priority assigned to such series of Target Notes. The Tender Offers commenced on June 1, 2016 and will expire on June 30, 2016.</w:t>
      </w:r>
    </w:p>
    <w:p>
      <w:pPr>
        <w:spacing w:after="0" w:line="161" w:lineRule="exact"/>
        <w:rPr>
          <w:sz w:val="20"/>
          <w:szCs w:val="20"/>
          <w:color w:val="auto"/>
        </w:rPr>
      </w:pPr>
    </w:p>
    <w:p>
      <w:pPr>
        <w:ind w:left="200" w:right="160" w:firstLine="443"/>
        <w:spacing w:after="0" w:line="237" w:lineRule="auto"/>
        <w:rPr>
          <w:sz w:val="20"/>
          <w:szCs w:val="20"/>
          <w:color w:val="auto"/>
        </w:rPr>
      </w:pPr>
      <w:r>
        <w:rPr>
          <w:rFonts w:ascii="Arial" w:cs="Arial" w:eastAsia="Arial" w:hAnsi="Arial"/>
          <w:sz w:val="18"/>
          <w:szCs w:val="18"/>
          <w:color w:val="auto"/>
        </w:rPr>
        <w:t>In connection with this offering, on June 8, 2016 and June 10, 2016, we amended certain terms of the Tender Offers, including an increase of the Maximum Purchase Amount for the Tender Offers from $1.1 billion to $2.6 billion, an increase in the consideration offered per $1,000 principal amount of the 2018 Notes, the 2019 Notes and the 2020 Notes and removal of the caps on the 2019 Notes and the 2020 Notes. See “Use of Proceeds.”</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79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26797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20" w:firstLine="443"/>
        <w:spacing w:after="0" w:line="270" w:lineRule="auto"/>
        <w:rPr>
          <w:sz w:val="20"/>
          <w:szCs w:val="20"/>
          <w:color w:val="auto"/>
        </w:rPr>
      </w:pPr>
      <w:r>
        <w:rPr>
          <w:rFonts w:ascii="Arial" w:cs="Arial" w:eastAsia="Arial" w:hAnsi="Arial"/>
          <w:sz w:val="16"/>
          <w:szCs w:val="16"/>
          <w:color w:val="auto"/>
        </w:rPr>
        <w:t>Each Tender Offer may be amended, extended or terminated individually. The Tender Offers are being made pursuant to an amended Offer to Purchase. This prospectus supplement is not an offer to purchase or a solicitation of an offer to sell any of the Target Notes, and the Tender Offers are not offers to sell or solicitations of offers to purchase the notes. The increase in the Maximum Purchase Amount and the removal of the caps on the 2019 Notes and the 2020 Notes are conditioned on, among other things, the consummation of this offering. This offering, however, is not conditioned on the consummation of the Tender Offers or the tender of any specified amount of 2017 Notes, 2018 Notes, 2019 Notes or 2020 Notes. There can be no assurance as to the amount of Target Notes that will be tendered in the Tender Offers or that we will consummate the Tender Offers, which are subject to market conditions and other factors.</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w:t>
      </w:r>
    </w:p>
    <w:p>
      <w:pPr>
        <w:ind w:left="200"/>
        <w:spacing w:after="0" w:line="234" w:lineRule="auto"/>
        <w:rPr>
          <w:sz w:val="20"/>
          <w:szCs w:val="20"/>
          <w:color w:val="auto"/>
        </w:rPr>
      </w:pPr>
      <w:r>
        <w:rPr>
          <w:rFonts w:ascii="Arial" w:cs="Arial" w:eastAsia="Arial" w:hAnsi="Arial"/>
          <w:sz w:val="18"/>
          <w:szCs w:val="18"/>
          <w:color w:val="auto"/>
        </w:rPr>
        <w:t>+41.22.816.1500. We are incorporated in Ireland; however, we are a Swiss tax resident. Our internet address is www.weatherford.com.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General information about us, including our corporate governance policies, code of business conduct and charters for the committees of our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 can be found on our web site under the “Investor Relations” section. On our website we make available, free of charge,</w:t>
      </w:r>
    </w:p>
    <w:p>
      <w:pPr>
        <w:ind w:left="200"/>
        <w:spacing w:after="0"/>
        <w:rPr>
          <w:sz w:val="20"/>
          <w:szCs w:val="20"/>
          <w:color w:val="auto"/>
        </w:rPr>
      </w:pPr>
      <w:r>
        <w:rPr>
          <w:rFonts w:ascii="Arial" w:cs="Arial" w:eastAsia="Arial" w:hAnsi="Arial"/>
          <w:sz w:val="16"/>
          <w:szCs w:val="16"/>
          <w:color w:val="auto"/>
        </w:rPr>
        <w:t>Weatherford Ireland’s annual reports on Form 10-K, quarterly reports on Form 10-Q, current reports on Form 8-K, and amendments to those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reports filed or furnished pursuant to Section 13(a) or 15(d) of the Exchange Act as soon as reasonably practicable after we electronically file</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furnish them to the SEC. Except for information specifically incorporated by reference into this prospectus supplement that may be</w:t>
      </w:r>
    </w:p>
    <w:p>
      <w:pPr>
        <w:ind w:left="200"/>
        <w:spacing w:after="0"/>
        <w:rPr>
          <w:sz w:val="20"/>
          <w:szCs w:val="20"/>
          <w:color w:val="auto"/>
        </w:rPr>
      </w:pPr>
      <w:r>
        <w:rPr>
          <w:rFonts w:ascii="Arial" w:cs="Arial" w:eastAsia="Arial" w:hAnsi="Arial"/>
          <w:sz w:val="16"/>
          <w:szCs w:val="16"/>
          <w:color w:val="auto"/>
        </w:rPr>
        <w:t>accessed from our website, however, the information on, or otherwise accessible through, our website or any other website does not constitute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part of this prospectus supplement.</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32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4324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200" w:right="300" w:firstLine="443"/>
        <w:spacing w:after="0" w:line="274" w:lineRule="auto"/>
        <w:rPr>
          <w:sz w:val="20"/>
          <w:szCs w:val="20"/>
          <w:color w:val="auto"/>
        </w:rPr>
      </w:pPr>
      <w:r>
        <w:rPr>
          <w:rFonts w:ascii="Arial" w:cs="Arial" w:eastAsia="Arial" w:hAnsi="Arial"/>
          <w:sz w:val="16"/>
          <w:szCs w:val="16"/>
          <w:i w:val="1"/>
          <w:iCs w:val="1"/>
          <w:color w:val="auto"/>
        </w:rPr>
        <w:t>The following summary contains basic information about the offering of the notes and is not intended to be complete. It does not contain all the information that is important to you. For a more complete understanding of the notes, see the section entitled “Description of Notes” in this prospectus supplement. For purposes of the following summary, references to “Weatherford Bermuda,” “we,” “our” and “us” refer only to Weatherford International Ltd. and not to its parent company, Weatherford International plc, or any of Weatherford International plc’s other subsidiaries, including Weatherford International, LLC; references to “Weatherford Ireland” refer only to Weatherford International plc and not to any of its subsidiaries; references to “Weatherford Delaware” refer only to Weatherford International, LLC and not to any of its subsidiaries; and references to “guarantors” refer to Weatherford Ireland and Weatherford Delaware together.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Issuer</w:t>
            </w:r>
          </w:p>
        </w:tc>
        <w:tc>
          <w:tcPr>
            <w:tcW w:w="8580" w:type="dxa"/>
            <w:vAlign w:val="bottom"/>
          </w:tcPr>
          <w:p>
            <w:pPr>
              <w:ind w:left="1520"/>
              <w:spacing w:after="0"/>
              <w:rPr>
                <w:sz w:val="20"/>
                <w:szCs w:val="20"/>
                <w:color w:val="auto"/>
              </w:rPr>
            </w:pPr>
            <w:r>
              <w:rPr>
                <w:rFonts w:ascii="Arial" w:cs="Arial" w:eastAsia="Arial" w:hAnsi="Arial"/>
                <w:sz w:val="18"/>
                <w:szCs w:val="18"/>
                <w:color w:val="auto"/>
              </w:rPr>
              <w:t>Weatherford International Ltd.</w:t>
            </w:r>
          </w:p>
        </w:tc>
      </w:tr>
      <w:tr>
        <w:trPr>
          <w:trHeight w:val="410"/>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Guarantors</w:t>
            </w:r>
          </w:p>
        </w:tc>
        <w:tc>
          <w:tcPr>
            <w:tcW w:w="8580" w:type="dxa"/>
            <w:vAlign w:val="bottom"/>
          </w:tcPr>
          <w:p>
            <w:pPr>
              <w:ind w:left="1520"/>
              <w:spacing w:after="0"/>
              <w:rPr>
                <w:sz w:val="20"/>
                <w:szCs w:val="20"/>
                <w:color w:val="auto"/>
              </w:rPr>
            </w:pPr>
            <w:r>
              <w:rPr>
                <w:rFonts w:ascii="Arial" w:cs="Arial" w:eastAsia="Arial" w:hAnsi="Arial"/>
                <w:sz w:val="18"/>
                <w:szCs w:val="18"/>
                <w:color w:val="auto"/>
              </w:rPr>
              <w:t>Each of Weatherford Ireland and Weatherford Delaware will fully and unconditionally</w:t>
            </w:r>
          </w:p>
        </w:tc>
      </w:tr>
      <w:tr>
        <w:trPr>
          <w:trHeight w:val="203"/>
        </w:trPr>
        <w:tc>
          <w:tcPr>
            <w:tcW w:w="2880" w:type="dxa"/>
            <w:vAlign w:val="bottom"/>
          </w:tcPr>
          <w:p>
            <w:pPr>
              <w:spacing w:after="0"/>
              <w:rPr>
                <w:sz w:val="17"/>
                <w:szCs w:val="17"/>
                <w:color w:val="auto"/>
              </w:rPr>
            </w:pPr>
          </w:p>
        </w:tc>
        <w:tc>
          <w:tcPr>
            <w:tcW w:w="8580" w:type="dxa"/>
            <w:vAlign w:val="bottom"/>
          </w:tcPr>
          <w:p>
            <w:pPr>
              <w:ind w:left="1520"/>
              <w:spacing w:after="0" w:line="202" w:lineRule="exact"/>
              <w:rPr>
                <w:sz w:val="20"/>
                <w:szCs w:val="20"/>
                <w:color w:val="auto"/>
              </w:rPr>
            </w:pPr>
            <w:r>
              <w:rPr>
                <w:rFonts w:ascii="Arial" w:cs="Arial" w:eastAsia="Arial" w:hAnsi="Arial"/>
                <w:sz w:val="18"/>
                <w:szCs w:val="18"/>
                <w:color w:val="auto"/>
              </w:rPr>
              <w:t>guarantee the notes on a senior, unsecured basis. See “Description of Notes—The</w:t>
            </w:r>
          </w:p>
        </w:tc>
      </w:tr>
      <w:tr>
        <w:trPr>
          <w:trHeight w:val="211"/>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Guarantees.”</w:t>
            </w:r>
          </w:p>
        </w:tc>
      </w:tr>
      <w:tr>
        <w:trPr>
          <w:trHeight w:val="397"/>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Notes Offered</w:t>
            </w:r>
          </w:p>
        </w:tc>
        <w:tc>
          <w:tcPr>
            <w:tcW w:w="8580" w:type="dxa"/>
            <w:vAlign w:val="bottom"/>
          </w:tcPr>
          <w:p>
            <w:pPr>
              <w:ind w:left="1520"/>
              <w:spacing w:after="0"/>
              <w:rPr>
                <w:sz w:val="20"/>
                <w:szCs w:val="20"/>
                <w:color w:val="auto"/>
              </w:rPr>
            </w:pPr>
            <w:r>
              <w:rPr>
                <w:rFonts w:ascii="Arial" w:cs="Arial" w:eastAsia="Arial" w:hAnsi="Arial"/>
                <w:sz w:val="18"/>
                <w:szCs w:val="18"/>
                <w:color w:val="auto"/>
              </w:rPr>
              <w:t>$750 million aggregate principal amount of 7.750% senior notes due 2021, the “2021</w:t>
            </w:r>
          </w:p>
        </w:tc>
      </w:tr>
      <w:tr>
        <w:trPr>
          <w:trHeight w:val="211"/>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notes.”</w:t>
            </w:r>
          </w:p>
        </w:tc>
      </w:tr>
      <w:tr>
        <w:trPr>
          <w:trHeight w:val="397"/>
        </w:trPr>
        <w:tc>
          <w:tcPr>
            <w:tcW w:w="2880" w:type="dxa"/>
            <w:vAlign w:val="bottom"/>
          </w:tcPr>
          <w:p>
            <w:pPr>
              <w:spacing w:after="0"/>
              <w:rPr>
                <w:sz w:val="24"/>
                <w:szCs w:val="24"/>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$750 million aggregate principal amount of 8.250% senior notes due 2023, the “2023</w:t>
            </w:r>
          </w:p>
        </w:tc>
      </w:tr>
      <w:tr>
        <w:trPr>
          <w:trHeight w:val="211"/>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notes.”</w:t>
            </w:r>
          </w:p>
        </w:tc>
      </w:tr>
      <w:tr>
        <w:trPr>
          <w:trHeight w:val="405"/>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Maturity Date</w:t>
            </w:r>
          </w:p>
        </w:tc>
        <w:tc>
          <w:tcPr>
            <w:tcW w:w="8580" w:type="dxa"/>
            <w:vAlign w:val="bottom"/>
          </w:tcPr>
          <w:p>
            <w:pPr>
              <w:ind w:left="1520"/>
              <w:spacing w:after="0"/>
              <w:rPr>
                <w:sz w:val="20"/>
                <w:szCs w:val="20"/>
                <w:color w:val="auto"/>
              </w:rPr>
            </w:pPr>
            <w:r>
              <w:rPr>
                <w:rFonts w:ascii="Arial" w:cs="Arial" w:eastAsia="Arial" w:hAnsi="Arial"/>
                <w:sz w:val="18"/>
                <w:szCs w:val="18"/>
                <w:color w:val="auto"/>
              </w:rPr>
              <w:t>The 2021 notes will mature on June 15, 2021, unless earlier redeemed.</w:t>
            </w:r>
          </w:p>
        </w:tc>
      </w:tr>
      <w:tr>
        <w:trPr>
          <w:trHeight w:val="419"/>
        </w:trPr>
        <w:tc>
          <w:tcPr>
            <w:tcW w:w="2880" w:type="dxa"/>
            <w:vAlign w:val="bottom"/>
          </w:tcPr>
          <w:p>
            <w:pPr>
              <w:spacing w:after="0"/>
              <w:rPr>
                <w:sz w:val="24"/>
                <w:szCs w:val="24"/>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The 2023 notes will mature on June 15, 2023, unless earlier redeemed.</w:t>
            </w:r>
          </w:p>
        </w:tc>
      </w:tr>
      <w:tr>
        <w:trPr>
          <w:trHeight w:val="405"/>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Interest Rate</w:t>
            </w:r>
          </w:p>
        </w:tc>
        <w:tc>
          <w:tcPr>
            <w:tcW w:w="8580" w:type="dxa"/>
            <w:vAlign w:val="bottom"/>
          </w:tcPr>
          <w:p>
            <w:pPr>
              <w:ind w:left="1520"/>
              <w:spacing w:after="0"/>
              <w:rPr>
                <w:sz w:val="20"/>
                <w:szCs w:val="20"/>
                <w:color w:val="auto"/>
              </w:rPr>
            </w:pPr>
            <w:r>
              <w:rPr>
                <w:rFonts w:ascii="Arial" w:cs="Arial" w:eastAsia="Arial" w:hAnsi="Arial"/>
                <w:sz w:val="18"/>
                <w:szCs w:val="18"/>
                <w:color w:val="auto"/>
              </w:rPr>
              <w:t>The 2021 notes will bear interest at 7.750% per year, accruing from June 17, 2016.</w:t>
            </w:r>
          </w:p>
        </w:tc>
      </w:tr>
      <w:tr>
        <w:trPr>
          <w:trHeight w:val="419"/>
        </w:trPr>
        <w:tc>
          <w:tcPr>
            <w:tcW w:w="2880" w:type="dxa"/>
            <w:vAlign w:val="bottom"/>
          </w:tcPr>
          <w:p>
            <w:pPr>
              <w:spacing w:after="0"/>
              <w:rPr>
                <w:sz w:val="24"/>
                <w:szCs w:val="24"/>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The 2023 notes will bear interest at 8.250% per year, accruing from June 17, 2016.</w:t>
            </w:r>
          </w:p>
        </w:tc>
      </w:tr>
      <w:tr>
        <w:trPr>
          <w:trHeight w:val="397"/>
        </w:trPr>
        <w:tc>
          <w:tcPr>
            <w:tcW w:w="2880" w:type="dxa"/>
            <w:vAlign w:val="bottom"/>
          </w:tcPr>
          <w:p>
            <w:pPr>
              <w:spacing w:after="0"/>
              <w:rPr>
                <w:sz w:val="24"/>
                <w:szCs w:val="24"/>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Interest on the notes will be payable semi-annually on June 15 and December 15 of</w:t>
            </w:r>
          </w:p>
        </w:tc>
      </w:tr>
      <w:tr>
        <w:trPr>
          <w:trHeight w:val="211"/>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each year, beginning on December 15, 2016.</w:t>
            </w:r>
          </w:p>
        </w:tc>
      </w:tr>
      <w:tr>
        <w:trPr>
          <w:trHeight w:val="397"/>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Covenants</w:t>
            </w:r>
          </w:p>
        </w:tc>
        <w:tc>
          <w:tcPr>
            <w:tcW w:w="8580" w:type="dxa"/>
            <w:vAlign w:val="bottom"/>
          </w:tcPr>
          <w:p>
            <w:pPr>
              <w:ind w:left="1520"/>
              <w:spacing w:after="0"/>
              <w:rPr>
                <w:sz w:val="20"/>
                <w:szCs w:val="20"/>
                <w:color w:val="auto"/>
              </w:rPr>
            </w:pPr>
            <w:r>
              <w:rPr>
                <w:rFonts w:ascii="Arial" w:cs="Arial" w:eastAsia="Arial" w:hAnsi="Arial"/>
                <w:sz w:val="18"/>
                <w:szCs w:val="18"/>
                <w:color w:val="auto"/>
              </w:rPr>
              <w:t>Weatherford Bermuda will issue the notes under an indenture entered into with</w:t>
            </w:r>
          </w:p>
        </w:tc>
      </w:tr>
      <w:tr>
        <w:trPr>
          <w:trHeight w:val="203"/>
        </w:trPr>
        <w:tc>
          <w:tcPr>
            <w:tcW w:w="2880" w:type="dxa"/>
            <w:vAlign w:val="bottom"/>
          </w:tcPr>
          <w:p>
            <w:pPr>
              <w:spacing w:after="0"/>
              <w:rPr>
                <w:sz w:val="17"/>
                <w:szCs w:val="17"/>
                <w:color w:val="auto"/>
              </w:rPr>
            </w:pPr>
          </w:p>
        </w:tc>
        <w:tc>
          <w:tcPr>
            <w:tcW w:w="8580" w:type="dxa"/>
            <w:vAlign w:val="bottom"/>
          </w:tcPr>
          <w:p>
            <w:pPr>
              <w:ind w:left="1520"/>
              <w:spacing w:after="0" w:line="202" w:lineRule="exact"/>
              <w:rPr>
                <w:sz w:val="20"/>
                <w:szCs w:val="20"/>
                <w:color w:val="auto"/>
              </w:rPr>
            </w:pPr>
            <w:r>
              <w:rPr>
                <w:rFonts w:ascii="Arial" w:cs="Arial" w:eastAsia="Arial" w:hAnsi="Arial"/>
                <w:sz w:val="18"/>
                <w:szCs w:val="18"/>
                <w:color w:val="auto"/>
              </w:rPr>
              <w:t>Deutsche Bank Trust Company Americas, as trustee, dated October 1, 2003, as</w:t>
            </w:r>
          </w:p>
        </w:tc>
      </w:tr>
      <w:tr>
        <w:trPr>
          <w:trHeight w:val="203"/>
        </w:trPr>
        <w:tc>
          <w:tcPr>
            <w:tcW w:w="2880" w:type="dxa"/>
            <w:vAlign w:val="bottom"/>
          </w:tcPr>
          <w:p>
            <w:pPr>
              <w:spacing w:after="0"/>
              <w:rPr>
                <w:sz w:val="17"/>
                <w:szCs w:val="17"/>
                <w:color w:val="auto"/>
              </w:rPr>
            </w:pPr>
          </w:p>
        </w:tc>
        <w:tc>
          <w:tcPr>
            <w:tcW w:w="8580" w:type="dxa"/>
            <w:vAlign w:val="bottom"/>
          </w:tcPr>
          <w:p>
            <w:pPr>
              <w:ind w:left="1520"/>
              <w:spacing w:after="0" w:line="202" w:lineRule="exact"/>
              <w:rPr>
                <w:sz w:val="20"/>
                <w:szCs w:val="20"/>
                <w:color w:val="auto"/>
              </w:rPr>
            </w:pPr>
            <w:r>
              <w:rPr>
                <w:rFonts w:ascii="Arial" w:cs="Arial" w:eastAsia="Arial" w:hAnsi="Arial"/>
                <w:sz w:val="18"/>
                <w:szCs w:val="18"/>
                <w:color w:val="auto"/>
              </w:rPr>
              <w:t>amended and supplemented, which we refer to as the “indenture.” The indenture will</w:t>
            </w:r>
          </w:p>
        </w:tc>
      </w:tr>
      <w:tr>
        <w:trPr>
          <w:trHeight w:val="203"/>
        </w:trPr>
        <w:tc>
          <w:tcPr>
            <w:tcW w:w="2880" w:type="dxa"/>
            <w:vAlign w:val="bottom"/>
          </w:tcPr>
          <w:p>
            <w:pPr>
              <w:spacing w:after="0"/>
              <w:rPr>
                <w:sz w:val="17"/>
                <w:szCs w:val="17"/>
                <w:color w:val="auto"/>
              </w:rPr>
            </w:pPr>
          </w:p>
        </w:tc>
        <w:tc>
          <w:tcPr>
            <w:tcW w:w="8580" w:type="dxa"/>
            <w:vAlign w:val="bottom"/>
          </w:tcPr>
          <w:p>
            <w:pPr>
              <w:ind w:left="1520"/>
              <w:spacing w:after="0" w:line="202" w:lineRule="exact"/>
              <w:rPr>
                <w:sz w:val="20"/>
                <w:szCs w:val="20"/>
                <w:color w:val="auto"/>
              </w:rPr>
            </w:pPr>
            <w:r>
              <w:rPr>
                <w:rFonts w:ascii="Arial" w:cs="Arial" w:eastAsia="Arial" w:hAnsi="Arial"/>
                <w:sz w:val="18"/>
                <w:szCs w:val="18"/>
                <w:color w:val="auto"/>
              </w:rPr>
              <w:t>contain limitations on, among other things, Weatherford Ireland’s and its restricted</w:t>
            </w:r>
          </w:p>
        </w:tc>
      </w:tr>
      <w:tr>
        <w:trPr>
          <w:trHeight w:val="211"/>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subsidiaries’ ability to:</w:t>
            </w:r>
          </w:p>
        </w:tc>
      </w:tr>
      <w:tr>
        <w:trPr>
          <w:trHeight w:val="275"/>
        </w:trPr>
        <w:tc>
          <w:tcPr>
            <w:tcW w:w="2880" w:type="dxa"/>
            <w:vAlign w:val="bottom"/>
          </w:tcPr>
          <w:p>
            <w:pPr>
              <w:spacing w:after="0"/>
              <w:rPr>
                <w:sz w:val="23"/>
                <w:szCs w:val="23"/>
                <w:color w:val="auto"/>
              </w:rPr>
            </w:pPr>
          </w:p>
        </w:tc>
        <w:tc>
          <w:tcPr>
            <w:tcW w:w="8580" w:type="dxa"/>
            <w:vAlign w:val="bottom"/>
          </w:tcPr>
          <w:p>
            <w:pPr>
              <w:ind w:left="1780"/>
              <w:spacing w:after="0"/>
              <w:rPr>
                <w:sz w:val="20"/>
                <w:szCs w:val="20"/>
                <w:color w:val="auto"/>
              </w:rPr>
            </w:pPr>
            <w:r>
              <w:rPr>
                <w:rFonts w:ascii="Arial" w:cs="Arial" w:eastAsia="Arial" w:hAnsi="Arial"/>
                <w:sz w:val="18"/>
                <w:szCs w:val="18"/>
                <w:color w:val="auto"/>
              </w:rPr>
              <w:t>• incur or guarantee additional indebtedness or issue certain types of equity</w:t>
            </w:r>
          </w:p>
        </w:tc>
      </w:tr>
      <w:tr>
        <w:trPr>
          <w:trHeight w:val="211"/>
        </w:trPr>
        <w:tc>
          <w:tcPr>
            <w:tcW w:w="2880" w:type="dxa"/>
            <w:vAlign w:val="bottom"/>
          </w:tcPr>
          <w:p>
            <w:pPr>
              <w:spacing w:after="0"/>
              <w:rPr>
                <w:sz w:val="18"/>
                <w:szCs w:val="18"/>
                <w:color w:val="auto"/>
              </w:rPr>
            </w:pPr>
          </w:p>
        </w:tc>
        <w:tc>
          <w:tcPr>
            <w:tcW w:w="8580" w:type="dxa"/>
            <w:vAlign w:val="bottom"/>
          </w:tcPr>
          <w:p>
            <w:pPr>
              <w:ind w:left="1940"/>
              <w:spacing w:after="0"/>
              <w:rPr>
                <w:sz w:val="20"/>
                <w:szCs w:val="20"/>
                <w:color w:val="auto"/>
              </w:rPr>
            </w:pPr>
            <w:r>
              <w:rPr>
                <w:rFonts w:ascii="Arial" w:cs="Arial" w:eastAsia="Arial" w:hAnsi="Arial"/>
                <w:sz w:val="18"/>
                <w:szCs w:val="18"/>
                <w:color w:val="auto"/>
              </w:rPr>
              <w:t>securities;</w:t>
            </w:r>
          </w:p>
        </w:tc>
      </w:tr>
      <w:tr>
        <w:trPr>
          <w:trHeight w:val="147"/>
        </w:trPr>
        <w:tc>
          <w:tcPr>
            <w:tcW w:w="2880" w:type="dxa"/>
            <w:vAlign w:val="bottom"/>
            <w:tcBorders>
              <w:bottom w:val="single" w:sz="8" w:color="auto"/>
            </w:tcBorders>
          </w:tcPr>
          <w:p>
            <w:pPr>
              <w:spacing w:after="0"/>
              <w:rPr>
                <w:sz w:val="12"/>
                <w:szCs w:val="12"/>
                <w:color w:val="auto"/>
              </w:rPr>
            </w:pPr>
          </w:p>
        </w:tc>
        <w:tc>
          <w:tcPr>
            <w:tcW w:w="8580" w:type="dxa"/>
            <w:vAlign w:val="bottom"/>
            <w:tcBorders>
              <w:bottom w:val="single" w:sz="8" w:color="auto"/>
            </w:tcBorders>
          </w:tcPr>
          <w:p>
            <w:pPr>
              <w:spacing w:after="0"/>
              <w:rPr>
                <w:sz w:val="12"/>
                <w:szCs w:val="12"/>
                <w:color w:val="auto"/>
              </w:rPr>
            </w:pPr>
          </w:p>
        </w:tc>
      </w:tr>
      <w:tr>
        <w:trPr>
          <w:trHeight w:val="359"/>
        </w:trPr>
        <w:tc>
          <w:tcPr>
            <w:tcW w:w="2880" w:type="dxa"/>
            <w:vAlign w:val="bottom"/>
          </w:tcPr>
          <w:p>
            <w:pPr>
              <w:spacing w:after="0"/>
              <w:rPr>
                <w:sz w:val="24"/>
                <w:szCs w:val="24"/>
                <w:color w:val="auto"/>
              </w:rPr>
            </w:pPr>
          </w:p>
        </w:tc>
        <w:tc>
          <w:tcPr>
            <w:tcW w:w="8580" w:type="dxa"/>
            <w:vAlign w:val="bottom"/>
          </w:tcPr>
          <w:p>
            <w:pPr>
              <w:ind w:left="2700"/>
              <w:spacing w:after="0"/>
              <w:rPr>
                <w:sz w:val="20"/>
                <w:szCs w:val="20"/>
                <w:color w:val="auto"/>
              </w:rPr>
            </w:pPr>
            <w:r>
              <w:rPr>
                <w:rFonts w:ascii="Arial" w:cs="Arial" w:eastAsia="Arial" w:hAnsi="Arial"/>
                <w:sz w:val="18"/>
                <w:szCs w:val="18"/>
                <w:color w:val="auto"/>
              </w:rPr>
              <w:t>S-9</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pay dividends or repurchase equity or subordinated debt;</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investments or loans;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make unscheduled payments on subordinated indebtedness;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transactions with affiliates;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certain liens;</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create unrestricted subsidiaries;</w:t>
      </w:r>
    </w:p>
    <w:p>
      <w:pPr>
        <w:spacing w:after="0" w:line="77" w:lineRule="exact"/>
        <w:rPr>
          <w:sz w:val="20"/>
          <w:szCs w:val="20"/>
          <w:color w:val="auto"/>
        </w:rPr>
      </w:pPr>
    </w:p>
    <w:p>
      <w:pPr>
        <w:ind w:left="4820" w:right="260" w:hanging="159"/>
        <w:spacing w:after="0" w:line="239" w:lineRule="auto"/>
        <w:tabs>
          <w:tab w:leader="none" w:pos="4800" w:val="left"/>
        </w:tabs>
        <w:rPr>
          <w:sz w:val="20"/>
          <w:szCs w:val="20"/>
          <w:color w:val="auto"/>
        </w:rPr>
      </w:pPr>
      <w:r>
        <w:rPr>
          <w:rFonts w:ascii="Arial" w:cs="Arial" w:eastAsia="Arial" w:hAnsi="Arial"/>
          <w:sz w:val="18"/>
          <w:szCs w:val="18"/>
          <w:color w:val="auto"/>
        </w:rPr>
        <w:t>•</w:t>
        <w:tab/>
        <w:t>consolidate, amalgamate, merge or transfer their assets as, or substantially as, an entirety; and</w:t>
      </w:r>
    </w:p>
    <w:p>
      <w:pPr>
        <w:spacing w:after="0" w:line="7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certain sale-leaseback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Pr>
          <w:p>
            <w:pPr>
              <w:spacing w:after="0"/>
              <w:rPr>
                <w:sz w:val="18"/>
                <w:szCs w:val="18"/>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These covenants are subject to a number of important limitations and exceptions.</w:t>
            </w:r>
          </w:p>
        </w:tc>
      </w:tr>
      <w:tr>
        <w:trPr>
          <w:trHeight w:val="397"/>
        </w:trPr>
        <w:tc>
          <w:tcPr>
            <w:tcW w:w="3720" w:type="dxa"/>
            <w:vAlign w:val="bottom"/>
          </w:tcPr>
          <w:p>
            <w:pPr>
              <w:spacing w:after="0"/>
              <w:rPr>
                <w:sz w:val="24"/>
                <w:szCs w:val="24"/>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If the notes are assigned investment grade ratings by both Moody’s and S&amp;P and no</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default or event of default has occurred and is continuing under the indenture that will</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govern the notes, upon our election, we and our restricted subsidiaries will no longer be</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subject to many of the foregoing covenants. See “Description of Notes—Certain</w:t>
            </w:r>
          </w:p>
        </w:tc>
      </w:tr>
      <w:tr>
        <w:trPr>
          <w:trHeight w:val="211"/>
        </w:trPr>
        <w:tc>
          <w:tcPr>
            <w:tcW w:w="3720" w:type="dxa"/>
            <w:vAlign w:val="bottom"/>
          </w:tcPr>
          <w:p>
            <w:pPr>
              <w:spacing w:after="0"/>
              <w:rPr>
                <w:sz w:val="18"/>
                <w:szCs w:val="18"/>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Covenants—Termination of Covenants.”</w:t>
            </w:r>
          </w:p>
        </w:tc>
      </w:tr>
      <w:tr>
        <w:trPr>
          <w:trHeight w:val="405"/>
        </w:trPr>
        <w:tc>
          <w:tcPr>
            <w:tcW w:w="3720" w:type="dxa"/>
            <w:vAlign w:val="bottom"/>
          </w:tcPr>
          <w:p>
            <w:pPr>
              <w:spacing w:after="0"/>
              <w:rPr>
                <w:sz w:val="24"/>
                <w:szCs w:val="24"/>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The notes will contain certain events of default.</w:t>
            </w:r>
          </w:p>
        </w:tc>
      </w:tr>
      <w:tr>
        <w:trPr>
          <w:trHeight w:val="397"/>
        </w:trPr>
        <w:tc>
          <w:tcPr>
            <w:tcW w:w="3720" w:type="dxa"/>
            <w:vAlign w:val="bottom"/>
          </w:tcPr>
          <w:p>
            <w:pPr>
              <w:ind w:left="200"/>
              <w:spacing w:after="0"/>
              <w:rPr>
                <w:sz w:val="20"/>
                <w:szCs w:val="20"/>
                <w:color w:val="auto"/>
              </w:rPr>
            </w:pPr>
            <w:r>
              <w:rPr>
                <w:rFonts w:ascii="Arial" w:cs="Arial" w:eastAsia="Arial" w:hAnsi="Arial"/>
                <w:sz w:val="18"/>
                <w:szCs w:val="18"/>
                <w:b w:val="1"/>
                <w:bCs w:val="1"/>
                <w:color w:val="auto"/>
              </w:rPr>
              <w:t>Optional Redemption of the Notes</w:t>
            </w:r>
          </w:p>
        </w:tc>
        <w:tc>
          <w:tcPr>
            <w:tcW w:w="7740" w:type="dxa"/>
            <w:vAlign w:val="bottom"/>
          </w:tcPr>
          <w:p>
            <w:pPr>
              <w:ind w:left="680"/>
              <w:spacing w:after="0"/>
              <w:rPr>
                <w:sz w:val="20"/>
                <w:szCs w:val="20"/>
                <w:color w:val="auto"/>
              </w:rPr>
            </w:pPr>
            <w:r>
              <w:rPr>
                <w:rFonts w:ascii="Arial" w:cs="Arial" w:eastAsia="Arial" w:hAnsi="Arial"/>
                <w:sz w:val="18"/>
                <w:szCs w:val="18"/>
                <w:color w:val="auto"/>
              </w:rPr>
              <w:t>We may redeem, at our option, all or part of the 2021 notes at any time prior to May 15,</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2021 (one month prior to their maturity date) (the “2021 Notes Par Call Date”) at the</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applicable redemption price described under “Description of Notes—Optional</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Redemption—Make-Whole Redemption” plus accrued and unpaid interest to the</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redemption date. We may also redeem, at our option, all or part of the 2021 notes at any</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time on or after the 2021 Notes Par Call Date at a price of 100% of the principal amount</w:t>
            </w:r>
          </w:p>
        </w:tc>
      </w:tr>
      <w:tr>
        <w:trPr>
          <w:trHeight w:val="211"/>
        </w:trPr>
        <w:tc>
          <w:tcPr>
            <w:tcW w:w="3720" w:type="dxa"/>
            <w:vAlign w:val="bottom"/>
          </w:tcPr>
          <w:p>
            <w:pPr>
              <w:spacing w:after="0"/>
              <w:rPr>
                <w:sz w:val="18"/>
                <w:szCs w:val="18"/>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thereof plus accrued and unpaid interest to the redemption date.</w:t>
            </w:r>
          </w:p>
        </w:tc>
      </w:tr>
      <w:tr>
        <w:trPr>
          <w:trHeight w:val="397"/>
        </w:trPr>
        <w:tc>
          <w:tcPr>
            <w:tcW w:w="3720" w:type="dxa"/>
            <w:vAlign w:val="bottom"/>
          </w:tcPr>
          <w:p>
            <w:pPr>
              <w:spacing w:after="0"/>
              <w:rPr>
                <w:sz w:val="24"/>
                <w:szCs w:val="24"/>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We may redeem, at our option, all or part of the 2023 notes at any time prior to March</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15, 2023 (three months prior to their maturity date) (the “2023 Notes Par Call Date”) at</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the applicable redemption price described under “Description of Notes—Optional</w:t>
            </w:r>
          </w:p>
        </w:tc>
      </w:tr>
      <w:tr>
        <w:trPr>
          <w:trHeight w:val="203"/>
        </w:trPr>
        <w:tc>
          <w:tcPr>
            <w:tcW w:w="3720" w:type="dxa"/>
            <w:vAlign w:val="bottom"/>
          </w:tcPr>
          <w:p>
            <w:pPr>
              <w:spacing w:after="0"/>
              <w:rPr>
                <w:sz w:val="17"/>
                <w:szCs w:val="17"/>
                <w:color w:val="auto"/>
              </w:rPr>
            </w:pPr>
          </w:p>
        </w:tc>
        <w:tc>
          <w:tcPr>
            <w:tcW w:w="7740" w:type="dxa"/>
            <w:vAlign w:val="bottom"/>
          </w:tcPr>
          <w:p>
            <w:pPr>
              <w:ind w:left="680"/>
              <w:spacing w:after="0" w:line="202" w:lineRule="exact"/>
              <w:rPr>
                <w:sz w:val="20"/>
                <w:szCs w:val="20"/>
                <w:color w:val="auto"/>
              </w:rPr>
            </w:pPr>
            <w:r>
              <w:rPr>
                <w:rFonts w:ascii="Arial" w:cs="Arial" w:eastAsia="Arial" w:hAnsi="Arial"/>
                <w:sz w:val="18"/>
                <w:szCs w:val="18"/>
                <w:color w:val="auto"/>
              </w:rPr>
              <w:t>Redemption—Make-Whole Redemption” plus accrued and unpaid interest to the</w:t>
            </w:r>
          </w:p>
        </w:tc>
      </w:tr>
      <w:tr>
        <w:trPr>
          <w:trHeight w:val="211"/>
        </w:trPr>
        <w:tc>
          <w:tcPr>
            <w:tcW w:w="3720" w:type="dxa"/>
            <w:vAlign w:val="bottom"/>
          </w:tcPr>
          <w:p>
            <w:pPr>
              <w:spacing w:after="0"/>
              <w:rPr>
                <w:sz w:val="18"/>
                <w:szCs w:val="18"/>
                <w:color w:val="auto"/>
              </w:rPr>
            </w:pPr>
          </w:p>
        </w:tc>
        <w:tc>
          <w:tcPr>
            <w:tcW w:w="7740" w:type="dxa"/>
            <w:vAlign w:val="bottom"/>
          </w:tcPr>
          <w:p>
            <w:pPr>
              <w:ind w:left="680"/>
              <w:spacing w:after="0"/>
              <w:rPr>
                <w:sz w:val="20"/>
                <w:szCs w:val="20"/>
                <w:color w:val="auto"/>
              </w:rPr>
            </w:pPr>
            <w:r>
              <w:rPr>
                <w:rFonts w:ascii="Arial" w:cs="Arial" w:eastAsia="Arial" w:hAnsi="Arial"/>
                <w:sz w:val="18"/>
                <w:szCs w:val="18"/>
                <w:color w:val="auto"/>
              </w:rPr>
              <w:t>redemption date. We may also redeem, at our option, all or</w:t>
            </w:r>
          </w:p>
        </w:tc>
      </w:tr>
      <w:tr>
        <w:trPr>
          <w:trHeight w:val="147"/>
        </w:trPr>
        <w:tc>
          <w:tcPr>
            <w:tcW w:w="3720" w:type="dxa"/>
            <w:vAlign w:val="bottom"/>
            <w:tcBorders>
              <w:bottom w:val="single" w:sz="8" w:color="auto"/>
            </w:tcBorders>
          </w:tcPr>
          <w:p>
            <w:pPr>
              <w:spacing w:after="0"/>
              <w:rPr>
                <w:sz w:val="12"/>
                <w:szCs w:val="12"/>
                <w:color w:val="auto"/>
              </w:rPr>
            </w:pPr>
          </w:p>
        </w:tc>
        <w:tc>
          <w:tcPr>
            <w:tcW w:w="7740" w:type="dxa"/>
            <w:vAlign w:val="bottom"/>
            <w:tcBorders>
              <w:bottom w:val="single" w:sz="8" w:color="auto"/>
            </w:tcBorders>
          </w:tcPr>
          <w:p>
            <w:pPr>
              <w:spacing w:after="0"/>
              <w:rPr>
                <w:sz w:val="12"/>
                <w:szCs w:val="12"/>
                <w:color w:val="auto"/>
              </w:rPr>
            </w:pPr>
          </w:p>
        </w:tc>
      </w:tr>
      <w:tr>
        <w:trPr>
          <w:trHeight w:val="359"/>
        </w:trPr>
        <w:tc>
          <w:tcPr>
            <w:tcW w:w="3720" w:type="dxa"/>
            <w:vAlign w:val="bottom"/>
          </w:tcPr>
          <w:p>
            <w:pPr>
              <w:spacing w:after="0"/>
              <w:rPr>
                <w:sz w:val="24"/>
                <w:szCs w:val="24"/>
                <w:color w:val="auto"/>
              </w:rPr>
            </w:pPr>
          </w:p>
        </w:tc>
        <w:tc>
          <w:tcPr>
            <w:tcW w:w="7740" w:type="dxa"/>
            <w:vAlign w:val="bottom"/>
          </w:tcPr>
          <w:p>
            <w:pPr>
              <w:ind w:left="1800"/>
              <w:spacing w:after="0"/>
              <w:rPr>
                <w:sz w:val="20"/>
                <w:szCs w:val="20"/>
                <w:color w:val="auto"/>
              </w:rPr>
            </w:pPr>
            <w:r>
              <w:rPr>
                <w:rFonts w:ascii="Arial" w:cs="Arial" w:eastAsia="Arial" w:hAnsi="Arial"/>
                <w:sz w:val="18"/>
                <w:szCs w:val="18"/>
                <w:color w:val="auto"/>
              </w:rPr>
              <w:t>S-10</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400" w:right="80"/>
        <w:spacing w:after="0" w:line="238" w:lineRule="auto"/>
        <w:rPr>
          <w:sz w:val="20"/>
          <w:szCs w:val="20"/>
          <w:color w:val="auto"/>
        </w:rPr>
      </w:pPr>
      <w:r>
        <w:rPr>
          <w:rFonts w:ascii="Arial" w:cs="Arial" w:eastAsia="Arial" w:hAnsi="Arial"/>
          <w:sz w:val="18"/>
          <w:szCs w:val="18"/>
          <w:color w:val="auto"/>
        </w:rPr>
        <w:t>part of the 2023 notes at any time on or after the 2023 Notes Par Call Date at a price of 100% of the principal amount thereof plus accrued and unpaid interest to the redemption date.</w:t>
      </w:r>
    </w:p>
    <w:p>
      <w:pPr>
        <w:spacing w:after="0" w:line="208" w:lineRule="exact"/>
        <w:rPr>
          <w:sz w:val="20"/>
          <w:szCs w:val="20"/>
          <w:color w:val="auto"/>
        </w:rPr>
      </w:pPr>
    </w:p>
    <w:p>
      <w:pPr>
        <w:jc w:val="both"/>
        <w:ind w:left="4400"/>
        <w:spacing w:after="0" w:line="238" w:lineRule="auto"/>
        <w:rPr>
          <w:sz w:val="20"/>
          <w:szCs w:val="20"/>
          <w:color w:val="auto"/>
        </w:rPr>
      </w:pPr>
      <w:r>
        <w:rPr>
          <w:rFonts w:ascii="Arial" w:cs="Arial" w:eastAsia="Arial" w:hAnsi="Arial"/>
          <w:sz w:val="18"/>
          <w:szCs w:val="18"/>
          <w:color w:val="auto"/>
        </w:rPr>
        <w:t>The notes may also be redeemed by us at our option in connection with a change in tax law as set forth under “Description of Notes—Optional Redemption—Redemption at Our Option upon a Change in Tax Law.”</w:t>
      </w:r>
    </w:p>
    <w:p>
      <w:pPr>
        <w:spacing w:after="0" w:line="195" w:lineRule="exact"/>
        <w:rPr>
          <w:sz w:val="20"/>
          <w:szCs w:val="20"/>
          <w:color w:val="auto"/>
        </w:rPr>
      </w:pPr>
    </w:p>
    <w:p>
      <w:pPr>
        <w:ind w:left="4400" w:right="80"/>
        <w:spacing w:after="0" w:line="239" w:lineRule="auto"/>
        <w:rPr>
          <w:sz w:val="20"/>
          <w:szCs w:val="20"/>
          <w:color w:val="auto"/>
        </w:rPr>
      </w:pPr>
      <w:r>
        <w:rPr>
          <w:rFonts w:ascii="Arial" w:cs="Arial" w:eastAsia="Arial" w:hAnsi="Arial"/>
          <w:sz w:val="18"/>
          <w:szCs w:val="18"/>
          <w:color w:val="auto"/>
        </w:rPr>
        <w:t>For a more complete description of the redemption provisions of the notes, please read “Description of Notes—Optional Redemption.”</w:t>
      </w:r>
    </w:p>
    <w:p>
      <w:pPr>
        <w:spacing w:after="0" w:line="173"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color w:val="auto"/>
        </w:rPr>
        <w:t>Ranking</w:t>
      </w:r>
      <w:r>
        <w:rPr>
          <w:sz w:val="20"/>
          <w:szCs w:val="20"/>
          <w:color w:val="auto"/>
        </w:rPr>
        <w:tab/>
      </w:r>
      <w:r>
        <w:rPr>
          <w:rFonts w:ascii="Arial" w:cs="Arial" w:eastAsia="Arial" w:hAnsi="Arial"/>
          <w:sz w:val="18"/>
          <w:szCs w:val="18"/>
          <w:color w:val="auto"/>
        </w:rPr>
        <w:t>The notes will be our senior, unsecured obligations and will be:</w:t>
      </w:r>
    </w:p>
    <w:p>
      <w:pPr>
        <w:spacing w:after="0" w:line="112" w:lineRule="exact"/>
        <w:rPr>
          <w:sz w:val="20"/>
          <w:szCs w:val="20"/>
          <w:color w:val="auto"/>
        </w:rPr>
      </w:pPr>
    </w:p>
    <w:p>
      <w:pPr>
        <w:ind w:left="4820" w:right="900" w:hanging="160"/>
        <w:spacing w:after="0" w:line="239"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unsecured indebtedness;</w:t>
      </w:r>
    </w:p>
    <w:p>
      <w:pPr>
        <w:spacing w:after="0" w:line="73" w:lineRule="exact"/>
        <w:rPr>
          <w:rFonts w:ascii="Arial" w:cs="Arial" w:eastAsia="Arial" w:hAnsi="Arial"/>
          <w:sz w:val="18"/>
          <w:szCs w:val="18"/>
          <w:color w:val="auto"/>
        </w:rPr>
      </w:pPr>
    </w:p>
    <w:p>
      <w:pPr>
        <w:ind w:left="4820" w:right="60" w:hanging="160"/>
        <w:spacing w:after="0" w:line="239"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73" w:lineRule="exact"/>
        <w:rPr>
          <w:rFonts w:ascii="Arial" w:cs="Arial" w:eastAsia="Arial" w:hAnsi="Arial"/>
          <w:sz w:val="18"/>
          <w:szCs w:val="18"/>
          <w:color w:val="auto"/>
        </w:rPr>
      </w:pPr>
    </w:p>
    <w:p>
      <w:pPr>
        <w:ind w:left="4820" w:right="280" w:hanging="160"/>
        <w:spacing w:after="0" w:line="239"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3" w:lineRule="exact"/>
        <w:rPr>
          <w:rFonts w:ascii="Arial" w:cs="Arial" w:eastAsia="Arial" w:hAnsi="Arial"/>
          <w:sz w:val="18"/>
          <w:szCs w:val="18"/>
          <w:color w:val="auto"/>
        </w:rPr>
      </w:pPr>
    </w:p>
    <w:p>
      <w:pPr>
        <w:ind w:left="4820" w:right="80" w:hanging="160"/>
        <w:spacing w:after="0" w:line="238"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95" w:lineRule="exact"/>
        <w:rPr>
          <w:sz w:val="20"/>
          <w:szCs w:val="20"/>
          <w:color w:val="auto"/>
        </w:rPr>
      </w:pPr>
    </w:p>
    <w:p>
      <w:pPr>
        <w:ind w:left="4400" w:right="160"/>
        <w:spacing w:after="0" w:line="239" w:lineRule="auto"/>
        <w:rPr>
          <w:sz w:val="20"/>
          <w:szCs w:val="20"/>
          <w:color w:val="auto"/>
        </w:rPr>
      </w:pPr>
      <w:r>
        <w:rPr>
          <w:rFonts w:ascii="Arial" w:cs="Arial" w:eastAsia="Arial" w:hAnsi="Arial"/>
          <w:sz w:val="18"/>
          <w:szCs w:val="18"/>
          <w:color w:val="auto"/>
        </w:rPr>
        <w:t>The guarantee of each guarantor will be such guarantor’s senior, unsecured obligation and will be:</w:t>
      </w:r>
    </w:p>
    <w:p>
      <w:pPr>
        <w:spacing w:after="0" w:line="74" w:lineRule="exact"/>
        <w:rPr>
          <w:sz w:val="20"/>
          <w:szCs w:val="20"/>
          <w:color w:val="auto"/>
        </w:rPr>
      </w:pPr>
    </w:p>
    <w:p>
      <w:pPr>
        <w:ind w:left="4820" w:right="720" w:hanging="160"/>
        <w:spacing w:after="0" w:line="239"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equal in right of payment with such guarantor’s existing and future senior, unsecured indebtedness;</w:t>
      </w:r>
    </w:p>
    <w:p>
      <w:pPr>
        <w:spacing w:after="0" w:line="73" w:lineRule="exact"/>
        <w:rPr>
          <w:rFonts w:ascii="Arial" w:cs="Arial" w:eastAsia="Arial" w:hAnsi="Arial"/>
          <w:sz w:val="18"/>
          <w:szCs w:val="18"/>
          <w:color w:val="auto"/>
        </w:rPr>
      </w:pPr>
    </w:p>
    <w:p>
      <w:pPr>
        <w:ind w:left="4820" w:right="320" w:hanging="160"/>
        <w:spacing w:after="0" w:line="239"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in right of payment to such guarantor’s existing and future indebtedness that is expressly subordinated to the guarantee;</w:t>
      </w:r>
    </w:p>
    <w:p>
      <w:pPr>
        <w:spacing w:after="0" w:line="73" w:lineRule="exact"/>
        <w:rPr>
          <w:rFonts w:ascii="Arial" w:cs="Arial" w:eastAsia="Arial" w:hAnsi="Arial"/>
          <w:sz w:val="18"/>
          <w:szCs w:val="18"/>
          <w:color w:val="auto"/>
        </w:rPr>
      </w:pPr>
    </w:p>
    <w:p>
      <w:pPr>
        <w:ind w:left="4820" w:right="860" w:hanging="160"/>
        <w:spacing w:after="0" w:line="238"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subordinated to such guarantor’s existing and future secured indebtedness, to the extent of the value of the collateral securing that indebtedness; and</w:t>
      </w:r>
    </w:p>
    <w:p>
      <w:pPr>
        <w:spacing w:after="0" w:line="72" w:lineRule="exact"/>
        <w:rPr>
          <w:rFonts w:ascii="Arial" w:cs="Arial" w:eastAsia="Arial" w:hAnsi="Arial"/>
          <w:sz w:val="18"/>
          <w:szCs w:val="18"/>
          <w:color w:val="auto"/>
        </w:rPr>
      </w:pPr>
    </w:p>
    <w:p>
      <w:pPr>
        <w:ind w:left="4820" w:right="460" w:hanging="160"/>
        <w:spacing w:after="0" w:line="237" w:lineRule="auto"/>
        <w:tabs>
          <w:tab w:leader="none" w:pos="4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such guarantor is not a holder thereof) preferred equity, if any, of such guarantor’s non-guarantor subsidiaries.</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06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As of March 31, 2016, as adjusted to give effect to the entry into the Term Loan</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Agreement and the Revolving Credit Agreement and the sale of $1.265 billion of</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Weatherford Bermuda’s Exchangeable Notes as if they had occurred on such date (but</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not adjusted to give effect to the Tender Offers, which have not yet been consummated</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and which are subject to market conditions and other factors), Weatherford Ireland had</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w w:val="99"/>
              </w:rPr>
              <w:t>total consolidated indebtedness of $8.2 billion, substantially all of which, other than $500</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million of indebtedness incurred under the Term Loan Agreement, was unsecured</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indebtedness of us or our subsidiaries guaranteed by Weatherford Ireland, Weatherford</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Delaware and/or us and to which the notes and the guarantees would have ranked</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equal in right of payment. As of June 7, 2016, subsidiaries of Weatherford Ireland, other</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than us or Weatherford Delaware, had outstanding guarantees for approximately</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$1.3 billion of our debt under our Revolving Credit Agreement and Term Loan</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Agreement. See “Risk Factors—Risks Relating to the Notes and our Indebtedness—</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The notes and the guarantees will be effectively subordinated to any of our or the</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guarantors’ existing and future secured debt and structurally subordinated to the</w:t>
            </w:r>
          </w:p>
        </w:tc>
      </w:tr>
      <w:tr>
        <w:trPr>
          <w:trHeight w:val="211"/>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liabilities of our and the guarantors’ non-guarantor subsidiaries.”</w:t>
            </w:r>
          </w:p>
        </w:tc>
      </w:tr>
      <w:tr>
        <w:trPr>
          <w:trHeight w:val="397"/>
        </w:trPr>
        <w:tc>
          <w:tcPr>
            <w:tcW w:w="306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See “Description of Other Indebtedness,” “Description of Notes—Ranking” and</w:t>
            </w:r>
          </w:p>
        </w:tc>
      </w:tr>
      <w:tr>
        <w:trPr>
          <w:trHeight w:val="211"/>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“Description of Notes—The Guarantees.”</w:t>
            </w:r>
          </w:p>
        </w:tc>
      </w:tr>
      <w:tr>
        <w:trPr>
          <w:trHeight w:val="397"/>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Change of Control</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Upon a change of control repurchase event, we will be required to make an offer to</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repurchase all outstanding notes at a price in cash equal to 101% of the aggregate</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principal amount of the notes repurchased, plus any accrued and unpaid interest to the</w:t>
            </w:r>
          </w:p>
        </w:tc>
      </w:tr>
      <w:tr>
        <w:trPr>
          <w:trHeight w:val="211"/>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repurchase date. See “Description of Notes—Change of Control Repurchase Event.”</w:t>
            </w:r>
          </w:p>
        </w:tc>
      </w:tr>
      <w:tr>
        <w:trPr>
          <w:trHeight w:val="397"/>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We expect the net proceeds to us from this offering to be approximately $1,476.0</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million, after deducting the underwriters’ discount and our estimated offering expenses.</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We intend to use the net proceeds from this offering to fund a portion of the Tender</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Offers. In the event that the Tender Offers are not consummated, or the aggregate</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amount of securities tendered in the Tender Offers and accepted for payment is less</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than the Maximum Purchase Amount, we may use such proceeds to repay or retire</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other outstanding indebtedness, which may include amounts outstanding under our</w:t>
            </w:r>
          </w:p>
        </w:tc>
      </w:tr>
      <w:tr>
        <w:trPr>
          <w:trHeight w:val="203"/>
        </w:trPr>
        <w:tc>
          <w:tcPr>
            <w:tcW w:w="3060" w:type="dxa"/>
            <w:vAlign w:val="bottom"/>
            <w:tcBorders>
              <w:left w:val="single" w:sz="8" w:color="auto"/>
            </w:tcBorders>
          </w:tcPr>
          <w:p>
            <w:pPr>
              <w:spacing w:after="0"/>
              <w:rPr>
                <w:sz w:val="17"/>
                <w:szCs w:val="17"/>
                <w:color w:val="auto"/>
              </w:rPr>
            </w:pPr>
          </w:p>
        </w:tc>
        <w:tc>
          <w:tcPr>
            <w:tcW w:w="8400" w:type="dxa"/>
            <w:vAlign w:val="bottom"/>
            <w:tcBorders>
              <w:right w:val="single" w:sz="8" w:color="auto"/>
            </w:tcBorders>
          </w:tcPr>
          <w:p>
            <w:pPr>
              <w:ind w:left="1340"/>
              <w:spacing w:after="0" w:line="202" w:lineRule="exact"/>
              <w:rPr>
                <w:sz w:val="20"/>
                <w:szCs w:val="20"/>
                <w:color w:val="auto"/>
              </w:rPr>
            </w:pPr>
            <w:r>
              <w:rPr>
                <w:rFonts w:ascii="Arial" w:cs="Arial" w:eastAsia="Arial" w:hAnsi="Arial"/>
                <w:sz w:val="18"/>
                <w:szCs w:val="18"/>
                <w:color w:val="auto"/>
              </w:rPr>
              <w:t>Revolving Credit Agreement. Until we apply the net proceeds for the purposes</w:t>
            </w:r>
          </w:p>
        </w:tc>
      </w:tr>
      <w:tr>
        <w:trPr>
          <w:trHeight w:val="211"/>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40"/>
              <w:spacing w:after="0"/>
              <w:rPr>
                <w:sz w:val="20"/>
                <w:szCs w:val="20"/>
                <w:color w:val="auto"/>
              </w:rPr>
            </w:pPr>
            <w:r>
              <w:rPr>
                <w:rFonts w:ascii="Arial" w:cs="Arial" w:eastAsia="Arial" w:hAnsi="Arial"/>
                <w:sz w:val="18"/>
                <w:szCs w:val="18"/>
                <w:color w:val="auto"/>
              </w:rPr>
              <w:t>described above, we may invest them in short-</w:t>
            </w:r>
          </w:p>
        </w:tc>
      </w:tr>
      <w:tr>
        <w:trPr>
          <w:trHeight w:val="147"/>
        </w:trPr>
        <w:tc>
          <w:tcPr>
            <w:tcW w:w="3060" w:type="dxa"/>
            <w:vAlign w:val="bottom"/>
            <w:tcBorders>
              <w:left w:val="single" w:sz="8" w:color="auto"/>
              <w:bottom w:val="single" w:sz="8" w:color="auto"/>
            </w:tcBorders>
          </w:tcPr>
          <w:p>
            <w:pPr>
              <w:spacing w:after="0"/>
              <w:rPr>
                <w:sz w:val="12"/>
                <w:szCs w:val="12"/>
                <w:color w:val="auto"/>
              </w:rPr>
            </w:pPr>
          </w:p>
        </w:tc>
        <w:tc>
          <w:tcPr>
            <w:tcW w:w="8400" w:type="dxa"/>
            <w:vAlign w:val="bottom"/>
            <w:tcBorders>
              <w:bottom w:val="single" w:sz="8" w:color="auto"/>
              <w:right w:val="single" w:sz="8" w:color="auto"/>
            </w:tcBorders>
          </w:tcPr>
          <w:p>
            <w:pPr>
              <w:spacing w:after="0"/>
              <w:rPr>
                <w:sz w:val="12"/>
                <w:szCs w:val="12"/>
                <w:color w:val="auto"/>
              </w:rPr>
            </w:pPr>
          </w:p>
        </w:tc>
      </w:tr>
      <w:tr>
        <w:trPr>
          <w:trHeight w:val="359"/>
        </w:trPr>
        <w:tc>
          <w:tcPr>
            <w:tcW w:w="3060" w:type="dxa"/>
            <w:vAlign w:val="bottom"/>
          </w:tcPr>
          <w:p>
            <w:pPr>
              <w:spacing w:after="0"/>
              <w:rPr>
                <w:sz w:val="24"/>
                <w:szCs w:val="24"/>
                <w:color w:val="auto"/>
              </w:rPr>
            </w:pPr>
          </w:p>
        </w:tc>
        <w:tc>
          <w:tcPr>
            <w:tcW w:w="8400" w:type="dxa"/>
            <w:vAlign w:val="bottom"/>
          </w:tcPr>
          <w:p>
            <w:pPr>
              <w:ind w:left="2460"/>
              <w:spacing w:after="0"/>
              <w:rPr>
                <w:sz w:val="20"/>
                <w:szCs w:val="20"/>
                <w:color w:val="auto"/>
              </w:rPr>
            </w:pPr>
            <w:r>
              <w:rPr>
                <w:rFonts w:ascii="Arial" w:cs="Arial" w:eastAsia="Arial" w:hAnsi="Arial"/>
                <w:sz w:val="18"/>
                <w:szCs w:val="18"/>
                <w:color w:val="auto"/>
              </w:rPr>
              <w:t>S-12</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28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29286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400" w:right="600"/>
        <w:spacing w:after="0" w:line="239" w:lineRule="auto"/>
        <w:rPr>
          <w:sz w:val="20"/>
          <w:szCs w:val="20"/>
          <w:color w:val="auto"/>
        </w:rPr>
      </w:pPr>
      <w:r>
        <w:rPr>
          <w:rFonts w:ascii="Arial" w:cs="Arial" w:eastAsia="Arial" w:hAnsi="Arial"/>
          <w:sz w:val="18"/>
          <w:szCs w:val="18"/>
          <w:color w:val="auto"/>
        </w:rPr>
        <w:t>term liquid investments or repay a portion of the amounts outstanding under our Revolving Credit Agreement. See “Use of Proceeds.”</w:t>
      </w:r>
    </w:p>
    <w:p>
      <w:pPr>
        <w:sectPr>
          <w:pgSz w:w="11900" w:h="16838" w:orient="portrait"/>
          <w:cols w:equalWidth="0" w:num="1">
            <w:col w:w="11180"/>
          </w:cols>
          <w:pgMar w:left="240" w:top="459" w:right="47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should carefully read and consider the information set forth in the “Risk Factors” and “Cautionary Statement Regarding Forward-Looking Statements” sections of this prospectus supplement and the “Risk Factors” section of Weatherford Ireland’s Annual Report on Form 10-K and similar sections in any subsequent Exchange Act reports that we incorporate by reference in this prospectus supplement and the accompanying prospectus, and all other information set forth in, or incorporated by reference into, this prospectus supplement and the accompanying prospectus.</w:t>
      </w:r>
    </w:p>
    <w:p>
      <w:pPr>
        <w:spacing w:after="0" w:line="174"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notes and the indenture will be governed by New York law.</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We may, at any time, without the consent of the holders of the notes of either series, issue additional notes of the same series having the same ranking and the same interest rate, maturity and other terms as such notes. Any additional notes of either series having such similar terms, together with the notes of the same series offered</w:t>
      </w:r>
    </w:p>
    <w:p>
      <w:pPr>
        <w:spacing w:after="0" w:line="3"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right="120"/>
        <w:spacing w:after="0" w:line="234" w:lineRule="auto"/>
        <w:rPr>
          <w:sz w:val="20"/>
          <w:szCs w:val="20"/>
          <w:color w:val="auto"/>
        </w:rPr>
      </w:pPr>
      <w:r>
        <w:rPr>
          <w:rFonts w:ascii="Arial" w:cs="Arial" w:eastAsia="Arial" w:hAnsi="Arial"/>
          <w:sz w:val="18"/>
          <w:szCs w:val="18"/>
          <w:color w:val="auto"/>
        </w:rPr>
        <w:t>hereby, will constitute a single series of notes under the indenture. See “Description of Notes—General.”</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regarding the notes, see “Description of Notes.”</w:t>
      </w: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9" w:right="4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 of Weatherford Ireland</w:t>
      </w:r>
    </w:p>
    <w:p>
      <w:pPr>
        <w:spacing w:after="0" w:line="180" w:lineRule="exact"/>
        <w:rPr>
          <w:sz w:val="20"/>
          <w:szCs w:val="20"/>
          <w:color w:val="auto"/>
        </w:rPr>
      </w:pPr>
    </w:p>
    <w:p>
      <w:pPr>
        <w:ind w:left="200" w:right="220" w:firstLine="443"/>
        <w:spacing w:after="0" w:line="236" w:lineRule="auto"/>
        <w:rPr>
          <w:sz w:val="20"/>
          <w:szCs w:val="20"/>
          <w:color w:val="auto"/>
        </w:rPr>
      </w:pPr>
      <w:r>
        <w:rPr>
          <w:rFonts w:ascii="Arial" w:cs="Arial" w:eastAsia="Arial" w:hAnsi="Arial"/>
          <w:sz w:val="18"/>
          <w:szCs w:val="18"/>
          <w:color w:val="auto"/>
        </w:rPr>
        <w:t>Set forth below is Weatherford Ireland’s summary historical financial data for the years ended December 31, 2015, 2014 and 2013 and for the three months ended March 31, 2016 and 2015. The summary historical financial data as of and for the years ended December 31, 2015, 2014 and 2013 was derived from Weatherford Ireland’s audited consolidated financial statements included in its Annual Report on Form 10-K for the year ended December 31, 2015. The summary unaudited historical financial data set forth below was derived from Weatherford Ireland’s unaudited condensed consolidated financial statements included in its Quarterly Report on Form 10-Q for the quarterly period ended March 31, 2016. The summary historical financial data set forth below is not necessarily indicative of Weatherford Ireland’s financial position or results for any future periods.</w:t>
      </w:r>
    </w:p>
    <w:p>
      <w:pPr>
        <w:spacing w:after="0" w:line="155" w:lineRule="exact"/>
        <w:rPr>
          <w:sz w:val="20"/>
          <w:szCs w:val="20"/>
          <w:color w:val="auto"/>
        </w:rPr>
      </w:pPr>
    </w:p>
    <w:p>
      <w:pPr>
        <w:ind w:left="200" w:right="360" w:firstLine="443"/>
        <w:spacing w:after="0" w:line="236" w:lineRule="auto"/>
        <w:rPr>
          <w:sz w:val="20"/>
          <w:szCs w:val="20"/>
          <w:color w:val="auto"/>
        </w:rPr>
      </w:pPr>
      <w:r>
        <w:rPr>
          <w:rFonts w:ascii="Arial" w:cs="Arial" w:eastAsia="Arial" w:hAnsi="Arial"/>
          <w:sz w:val="18"/>
          <w:szCs w:val="18"/>
          <w:color w:val="auto"/>
        </w:rPr>
        <w:t>You should read the following summary historical financial data in conjunction with the sections entitled “Management’s Discussion and Analysis of Financial Condition and Results of Operations” elsewhere in this prospectus supplement and in Weatherford Ireland’s Annual Report on Form 10-K for the year ended December 31, 2015 and Quarterly Report on Form 10-Q for the quarterly period ended March 31, 2016, and its historical financial statements and the notes thereto included in such reports, all of which are incorporated by reference in this prospectus supplement. Among other things, those historical financial statements include more detailed information regarding the basis of presentation for the following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5"/>
        </w:trPr>
        <w:tc>
          <w:tcPr>
            <w:tcW w:w="2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1,040</w:t>
            </w:r>
          </w:p>
        </w:tc>
        <w:tc>
          <w:tcPr>
            <w:tcW w:w="500" w:type="dxa"/>
            <w:vAlign w:val="bottom"/>
            <w:gridSpan w:val="2"/>
            <w:shd w:val="clear" w:color="auto" w:fill="CCEEFF"/>
          </w:tcPr>
          <w:p>
            <w:pPr>
              <w:jc w:val="center"/>
              <w:ind w:left="319"/>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3,573</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6,059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6,007</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1,025</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1,754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8,852</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9,256</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9,433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14,911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15,263</w:t>
            </w:r>
          </w:p>
        </w:tc>
        <w:tc>
          <w:tcPr>
            <w:tcW w:w="200" w:type="dxa"/>
            <w:vAlign w:val="bottom"/>
          </w:tcPr>
          <w:p>
            <w:pPr>
              <w:spacing w:after="0"/>
              <w:rPr>
                <w:sz w:val="17"/>
                <w:szCs w:val="17"/>
                <w:color w:val="auto"/>
              </w:rPr>
            </w:pPr>
          </w:p>
        </w:tc>
      </w:tr>
      <w:tr>
        <w:trPr>
          <w:trHeight w:val="311"/>
        </w:trPr>
        <w:tc>
          <w:tcPr>
            <w:tcW w:w="20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Products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3,433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4,942</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4,480</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892</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6,519</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7,822</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265</w:t>
            </w:r>
          </w:p>
        </w:tc>
        <w:tc>
          <w:tcPr>
            <w:tcW w:w="20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5060" w:type="dxa"/>
            <w:vAlign w:val="bottom"/>
          </w:tcPr>
          <w:p>
            <w:pPr>
              <w:ind w:left="440"/>
              <w:spacing w:after="0" w:line="206" w:lineRule="exact"/>
              <w:rPr>
                <w:sz w:val="20"/>
                <w:szCs w:val="20"/>
                <w:color w:val="auto"/>
              </w:rPr>
            </w:pPr>
            <w:r>
              <w:rPr>
                <w:rFonts w:ascii="Arial" w:cs="Arial" w:eastAsia="Arial" w:hAnsi="Arial"/>
                <w:sz w:val="18"/>
                <w:szCs w:val="18"/>
                <w:color w:val="auto"/>
              </w:rPr>
              <w:t>Selling, General and Administrative Attributable to</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200" w:type="dxa"/>
            <w:vAlign w:val="bottom"/>
          </w:tcPr>
          <w:p>
            <w:pPr>
              <w:spacing w:after="0"/>
              <w:rPr>
                <w:sz w:val="17"/>
                <w:szCs w:val="17"/>
                <w:color w:val="auto"/>
              </w:rPr>
            </w:pPr>
          </w:p>
        </w:tc>
        <w:tc>
          <w:tcPr>
            <w:tcW w:w="5060" w:type="dxa"/>
            <w:vAlign w:val="bottom"/>
          </w:tcPr>
          <w:p>
            <w:pPr>
              <w:ind w:left="640"/>
              <w:spacing w:after="0" w:line="200" w:lineRule="exact"/>
              <w:rPr>
                <w:sz w:val="20"/>
                <w:szCs w:val="20"/>
                <w:color w:val="auto"/>
              </w:rPr>
            </w:pPr>
            <w:r>
              <w:rPr>
                <w:rFonts w:ascii="Arial" w:cs="Arial" w:eastAsia="Arial" w:hAnsi="Arial"/>
                <w:sz w:val="18"/>
                <w:szCs w:val="18"/>
                <w:color w:val="auto"/>
              </w:rPr>
              <w:t>Segments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273</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363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1,353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1,727</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1,728</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General and Administrative</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316</w:t>
            </w:r>
          </w:p>
        </w:tc>
        <w:tc>
          <w:tcPr>
            <w:tcW w:w="20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5060" w:type="dxa"/>
            <w:vAlign w:val="bottom"/>
          </w:tcPr>
          <w:p>
            <w:pPr>
              <w:ind w:left="440"/>
              <w:spacing w:after="0" w:line="206" w:lineRule="exact"/>
              <w:rPr>
                <w:sz w:val="20"/>
                <w:szCs w:val="20"/>
                <w:color w:val="auto"/>
              </w:rPr>
            </w:pPr>
            <w:r>
              <w:rPr>
                <w:rFonts w:ascii="Arial" w:cs="Arial" w:eastAsia="Arial" w:hAnsi="Arial"/>
                <w:sz w:val="18"/>
                <w:szCs w:val="18"/>
                <w:color w:val="auto"/>
              </w:rPr>
              <w:t>Long-Lived asset Impairments and Other Related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200" w:type="dxa"/>
            <w:vAlign w:val="bottom"/>
          </w:tcPr>
          <w:p>
            <w:pPr>
              <w:spacing w:after="0"/>
              <w:rPr>
                <w:sz w:val="17"/>
                <w:szCs w:val="17"/>
                <w:color w:val="auto"/>
              </w:rPr>
            </w:pPr>
          </w:p>
        </w:tc>
        <w:tc>
          <w:tcPr>
            <w:tcW w:w="5060" w:type="dxa"/>
            <w:vAlign w:val="bottom"/>
          </w:tcPr>
          <w:p>
            <w:pPr>
              <w:ind w:left="640"/>
              <w:spacing w:after="0" w:line="200" w:lineRule="exact"/>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768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495</w:t>
            </w:r>
          </w:p>
        </w:tc>
        <w:tc>
          <w:tcPr>
            <w:tcW w:w="120" w:type="dxa"/>
            <w:vAlign w:val="bottom"/>
          </w:tcPr>
          <w:p>
            <w:pPr>
              <w:spacing w:after="0"/>
              <w:rPr>
                <w:sz w:val="17"/>
                <w:szCs w:val="17"/>
                <w:color w:val="auto"/>
              </w:rPr>
            </w:pPr>
          </w:p>
        </w:tc>
        <w:tc>
          <w:tcPr>
            <w:tcW w:w="840" w:type="dxa"/>
            <w:vAlign w:val="bottom"/>
            <w:gridSpan w:val="3"/>
          </w:tcPr>
          <w:p>
            <w:pPr>
              <w:jc w:val="right"/>
              <w:ind w:right="300"/>
              <w:spacing w:after="0" w:line="200" w:lineRule="exact"/>
              <w:rPr>
                <w:sz w:val="20"/>
                <w:szCs w:val="20"/>
                <w:color w:val="auto"/>
              </w:rPr>
            </w:pPr>
            <w:r>
              <w:rPr>
                <w:rFonts w:ascii="Arial" w:cs="Arial" w:eastAsia="Arial" w:hAnsi="Arial"/>
                <w:sz w:val="18"/>
                <w:szCs w:val="18"/>
                <w:color w:val="auto"/>
              </w:rPr>
              <w:t>—</w:t>
            </w: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Goodwill and Equity Investment Impairment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060" w:type="dxa"/>
            <w:vAlign w:val="bottom"/>
          </w:tcPr>
          <w:p>
            <w:pPr>
              <w:ind w:left="440"/>
              <w:spacing w:after="0" w:line="202" w:lineRule="exact"/>
              <w:rPr>
                <w:sz w:val="20"/>
                <w:szCs w:val="20"/>
                <w:color w:val="auto"/>
              </w:rPr>
            </w:pPr>
            <w:r>
              <w:rPr>
                <w:rFonts w:ascii="Arial" w:cs="Arial" w:eastAsia="Arial" w:hAnsi="Arial"/>
                <w:sz w:val="18"/>
                <w:szCs w:val="18"/>
                <w:color w:val="auto"/>
              </w:rPr>
              <w:t>Severance and Restructuring Charges</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77</w:t>
            </w:r>
          </w:p>
        </w:tc>
        <w:tc>
          <w:tcPr>
            <w:tcW w:w="2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8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Litigation Charges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w:t>
            </w:r>
          </w:p>
        </w:tc>
        <w:tc>
          <w:tcPr>
            <w:tcW w:w="20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5060" w:type="dxa"/>
            <w:vAlign w:val="bottom"/>
          </w:tcPr>
          <w:p>
            <w:pPr>
              <w:ind w:left="440"/>
              <w:spacing w:after="0" w:line="206" w:lineRule="exact"/>
              <w:rPr>
                <w:sz w:val="20"/>
                <w:szCs w:val="20"/>
                <w:color w:val="auto"/>
              </w:rPr>
            </w:pPr>
            <w:r>
              <w:rPr>
                <w:rFonts w:ascii="Arial" w:cs="Arial" w:eastAsia="Arial" w:hAnsi="Arial"/>
                <w:sz w:val="18"/>
                <w:szCs w:val="18"/>
                <w:color w:val="auto"/>
              </w:rPr>
              <w:t>Loss (Gain) on Sale of Businesses and Investments,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200" w:type="dxa"/>
            <w:vAlign w:val="bottom"/>
          </w:tcPr>
          <w:p>
            <w:pPr>
              <w:spacing w:after="0"/>
              <w:rPr>
                <w:sz w:val="17"/>
                <w:szCs w:val="17"/>
                <w:color w:val="auto"/>
              </w:rPr>
            </w:pPr>
          </w:p>
        </w:tc>
        <w:tc>
          <w:tcPr>
            <w:tcW w:w="5060" w:type="dxa"/>
            <w:vAlign w:val="bottom"/>
          </w:tcPr>
          <w:p>
            <w:pPr>
              <w:ind w:left="640"/>
              <w:spacing w:after="0" w:line="200" w:lineRule="exact"/>
              <w:rPr>
                <w:sz w:val="20"/>
                <w:szCs w:val="20"/>
                <w:color w:val="auto"/>
              </w:rPr>
            </w:pPr>
            <w:r>
              <w:rPr>
                <w:rFonts w:ascii="Arial" w:cs="Arial" w:eastAsia="Arial" w:hAnsi="Arial"/>
                <w:sz w:val="18"/>
                <w:szCs w:val="18"/>
                <w:color w:val="auto"/>
              </w:rPr>
              <w:t>Net</w:t>
            </w:r>
          </w:p>
        </w:tc>
        <w:tc>
          <w:tcPr>
            <w:tcW w:w="140" w:type="dxa"/>
            <w:vAlign w:val="bottom"/>
          </w:tcPr>
          <w:p>
            <w:pPr>
              <w:spacing w:after="0"/>
              <w:rPr>
                <w:sz w:val="17"/>
                <w:szCs w:val="17"/>
                <w:color w:val="auto"/>
              </w:rPr>
            </w:pPr>
          </w:p>
        </w:tc>
        <w:tc>
          <w:tcPr>
            <w:tcW w:w="1300" w:type="dxa"/>
            <w:vAlign w:val="bottom"/>
            <w:gridSpan w:val="2"/>
          </w:tcPr>
          <w:p>
            <w:pPr>
              <w:jc w:val="right"/>
              <w:ind w:right="560"/>
              <w:spacing w:after="0" w:line="200"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840" w:type="dxa"/>
            <w:vAlign w:val="bottom"/>
            <w:gridSpan w:val="2"/>
          </w:tcPr>
          <w:p>
            <w:pPr>
              <w:jc w:val="right"/>
              <w:ind w:right="80"/>
              <w:spacing w:after="0" w:line="200"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(349)</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2,744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4"/>
              </w:rPr>
              <w:t>10,979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14,406</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14,740</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(447)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center"/>
              <w:ind w:left="319"/>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(1,546)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0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S-14</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(115)</w:t>
            </w: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(516)</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Currency Devaluation and Related Charges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(77)</w:t>
            </w:r>
          </w:p>
        </w:tc>
      </w:tr>
      <w:tr>
        <w:trPr>
          <w:trHeight w:val="27"/>
        </w:trPr>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(693)</w:t>
            </w:r>
          </w:p>
        </w:tc>
      </w:tr>
      <w:tr>
        <w:trPr>
          <w:trHeight w:val="311"/>
        </w:trPr>
        <w:tc>
          <w:tcPr>
            <w:tcW w:w="5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4"/>
                <w:szCs w:val="2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(2,096)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(144)</w:t>
            </w: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w:t>
            </w: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Net Loss Attributable to Weatherford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(498)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500" w:type="dxa"/>
            <w:vAlign w:val="bottom"/>
            <w:gridSpan w:val="2"/>
          </w:tcPr>
          <w:p>
            <w:pPr>
              <w:jc w:val="center"/>
              <w:ind w:left="316"/>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(1,985)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r>
      <w:tr>
        <w:trPr>
          <w:trHeight w:val="20"/>
        </w:trPr>
        <w:tc>
          <w:tcPr>
            <w:tcW w:w="5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Cash Flows Data:</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Cash Provided by (used in):</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center"/>
              <w:ind w:left="31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1,229</w:t>
            </w:r>
          </w:p>
        </w:tc>
      </w:tr>
      <w:tr>
        <w:trPr>
          <w:trHeight w:val="203"/>
        </w:trPr>
        <w:tc>
          <w:tcPr>
            <w:tcW w:w="5100" w:type="dxa"/>
            <w:vAlign w:val="bottom"/>
          </w:tcPr>
          <w:p>
            <w:pPr>
              <w:ind w:left="860"/>
              <w:spacing w:after="0" w:line="202" w:lineRule="exact"/>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7"/>
                <w:szCs w:val="17"/>
                <w:color w:val="auto"/>
              </w:rPr>
            </w:pP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330</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(1,104)</w:t>
            </w:r>
          </w:p>
        </w:tc>
      </w:tr>
      <w:tr>
        <w:trPr>
          <w:trHeight w:val="203"/>
        </w:trPr>
        <w:tc>
          <w:tcPr>
            <w:tcW w:w="510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311"/>
        </w:trPr>
        <w:tc>
          <w:tcPr>
            <w:tcW w:w="5100" w:type="dxa"/>
            <w:vAlign w:val="bottom"/>
          </w:tcPr>
          <w:p>
            <w:pPr>
              <w:spacing w:after="0"/>
              <w:rPr>
                <w:sz w:val="20"/>
                <w:szCs w:val="20"/>
                <w:color w:val="auto"/>
              </w:rPr>
            </w:pPr>
            <w:r>
              <w:rPr>
                <w:rFonts w:ascii="Arial" w:cs="Arial" w:eastAsia="Arial" w:hAnsi="Arial"/>
                <w:sz w:val="18"/>
                <w:szCs w:val="18"/>
                <w:b w:val="1"/>
                <w:bCs w:val="1"/>
                <w:color w:val="auto"/>
              </w:rPr>
              <w:t>Balance Sheets Data (at period end):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512</w:t>
            </w:r>
          </w:p>
        </w:tc>
        <w:tc>
          <w:tcPr>
            <w:tcW w:w="500" w:type="dxa"/>
            <w:vAlign w:val="bottom"/>
            <w:gridSpan w:val="2"/>
            <w:shd w:val="clear" w:color="auto" w:fill="CCEEFF"/>
          </w:tcPr>
          <w:p>
            <w:pPr>
              <w:jc w:val="center"/>
              <w:ind w:left="31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435</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Total Assets(1)</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14,516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18,189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14,760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18,854</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21,937</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3,478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4,393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4,027</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5,757</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Long-Term Debt(1)</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5,846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6,244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6,763</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7,021</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954</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956</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Total Noncurrent Liabilities(1)</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6,379</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7,198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6,364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7,794</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7,977</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9,857</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11,591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10,395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11,821</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13,734</w:t>
            </w:r>
          </w:p>
        </w:tc>
      </w:tr>
      <w:tr>
        <w:trPr>
          <w:trHeight w:val="203"/>
        </w:trPr>
        <w:tc>
          <w:tcPr>
            <w:tcW w:w="5100" w:type="dxa"/>
            <w:vAlign w:val="bottom"/>
          </w:tcPr>
          <w:p>
            <w:pPr>
              <w:ind w:left="440"/>
              <w:spacing w:after="0" w:line="202" w:lineRule="exact"/>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7"/>
                <w:szCs w:val="17"/>
                <w:color w:val="auto"/>
              </w:rPr>
            </w:pPr>
          </w:p>
        </w:tc>
        <w:tc>
          <w:tcPr>
            <w:tcW w:w="13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4,659</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6,598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7,033</w:t>
            </w:r>
          </w:p>
        </w:tc>
        <w:tc>
          <w:tcPr>
            <w:tcW w:w="12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8,203</w:t>
            </w: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Liabilities and Equity(1)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14,516</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18,189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14,760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18,854</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21,937</w:t>
            </w:r>
          </w:p>
        </w:tc>
      </w:tr>
      <w:tr>
        <w:trPr>
          <w:trHeight w:val="311"/>
        </w:trPr>
        <w:tc>
          <w:tcPr>
            <w:tcW w:w="51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EBITDA(2)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w:t>
            </w:r>
          </w:p>
        </w:tc>
        <w:tc>
          <w:tcPr>
            <w:tcW w:w="500" w:type="dxa"/>
            <w:vAlign w:val="bottom"/>
            <w:gridSpan w:val="2"/>
            <w:shd w:val="clear" w:color="auto" w:fill="CCEEFF"/>
          </w:tcPr>
          <w:p>
            <w:pPr>
              <w:jc w:val="center"/>
              <w:ind w:left="316"/>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(428)</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1,748</w:t>
            </w:r>
          </w:p>
        </w:tc>
      </w:tr>
      <w:tr>
        <w:trPr>
          <w:trHeight w:val="214"/>
        </w:trPr>
        <w:tc>
          <w:tcPr>
            <w:tcW w:w="5100" w:type="dxa"/>
            <w:vAlign w:val="bottom"/>
          </w:tcPr>
          <w:p>
            <w:pPr>
              <w:ind w:left="440"/>
              <w:spacing w:after="0"/>
              <w:rPr>
                <w:sz w:val="20"/>
                <w:szCs w:val="20"/>
                <w:color w:val="auto"/>
              </w:rPr>
            </w:pPr>
            <w:r>
              <w:rPr>
                <w:rFonts w:ascii="Arial" w:cs="Arial" w:eastAsia="Arial" w:hAnsi="Arial"/>
                <w:sz w:val="18"/>
                <w:szCs w:val="18"/>
                <w:color w:val="auto"/>
              </w:rPr>
              <w:t>Adjusted EBITDA(2)</w:t>
            </w:r>
          </w:p>
        </w:tc>
        <w:tc>
          <w:tcPr>
            <w:tcW w:w="1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2,983</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2,556</w:t>
            </w:r>
          </w:p>
        </w:tc>
      </w:tr>
    </w:tbl>
    <w:p>
      <w:pPr>
        <w:spacing w:after="0" w:line="136" w:lineRule="exact"/>
        <w:rPr>
          <w:sz w:val="20"/>
          <w:szCs w:val="20"/>
          <w:color w:val="auto"/>
        </w:rPr>
      </w:pPr>
    </w:p>
    <w:p>
      <w:pPr>
        <w:ind w:left="620" w:right="240" w:hanging="423"/>
        <w:spacing w:after="0" w:line="221" w:lineRule="auto"/>
        <w:tabs>
          <w:tab w:leader="none" w:pos="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 result of adopting Accounting Standards Update (ASU) 2015-03, Interest—Imputation of Interest (Subtopic 835-30)—Simplifying the Presentation of Debt Issuance Costs and ASU 2015-15, Interest—Imputation of Interest (Subtopic 835-30)—Presentation and Subsequent Measurement of Debt Issuance Costs Associated with Line-of-Credit Arrangements on January 1, 2016, we reclassified debt issuance costs from other assets to long-term debt in the amount of $26 million at March 31, 2016, $34 million at March 31, 2015, $27 million at December 31, 2015, $35 million at December 31, 2014 and $40 million at December 31, 2013.</w:t>
      </w:r>
    </w:p>
    <w:p>
      <w:pPr>
        <w:spacing w:after="0" w:line="1" w:lineRule="exact"/>
        <w:rPr>
          <w:rFonts w:ascii="Arial" w:cs="Arial" w:eastAsia="Arial" w:hAnsi="Arial"/>
          <w:sz w:val="14"/>
          <w:szCs w:val="14"/>
          <w:color w:val="auto"/>
        </w:rPr>
      </w:pPr>
    </w:p>
    <w:p>
      <w:pPr>
        <w:ind w:left="620" w:hanging="423"/>
        <w:spacing w:after="0"/>
        <w:tabs>
          <w:tab w:leader="none" w:pos="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“—Non-GAAP Financial Measures” for definitions of EBITDA and Adjusted EBITDA.</w:t>
      </w: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Non-GAAP Financial Measures</w:t>
      </w:r>
    </w:p>
    <w:p>
      <w:pPr>
        <w:spacing w:after="0" w:line="180" w:lineRule="exact"/>
        <w:rPr>
          <w:sz w:val="20"/>
          <w:szCs w:val="20"/>
          <w:color w:val="auto"/>
        </w:rPr>
      </w:pPr>
    </w:p>
    <w:p>
      <w:pPr>
        <w:ind w:left="200" w:right="80" w:firstLine="443"/>
        <w:spacing w:after="0" w:line="236" w:lineRule="auto"/>
        <w:rPr>
          <w:sz w:val="20"/>
          <w:szCs w:val="20"/>
          <w:color w:val="auto"/>
        </w:rPr>
      </w:pPr>
      <w:r>
        <w:rPr>
          <w:rFonts w:ascii="Arial" w:cs="Arial" w:eastAsia="Arial" w:hAnsi="Arial"/>
          <w:sz w:val="18"/>
          <w:szCs w:val="18"/>
          <w:color w:val="auto"/>
        </w:rPr>
        <w:t>EBITDA and Adjusted EBITDA are not measures of net income as determined by generally accepted accounting principles in the Unites States (“GAAP”). EBITDA and Adjusted EBITDA are supplemental non-GAAP financial measures that are used by management and external users of our consolidated financial statements, such as industry analysts, investors, lenders and rating agencies. We define EBITDA as earnings before interest expense, income taxes, depreciation and amortization. We define Adjusted EBITDA as EBITDA excluding certain charges, including impairments.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37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35375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00" w:firstLine="443"/>
        <w:spacing w:after="0" w:line="235" w:lineRule="auto"/>
        <w:rPr>
          <w:sz w:val="20"/>
          <w:szCs w:val="20"/>
          <w:color w:val="auto"/>
        </w:rPr>
      </w:pPr>
      <w:r>
        <w:rPr>
          <w:rFonts w:ascii="Arial" w:cs="Arial" w:eastAsia="Arial" w:hAnsi="Arial"/>
          <w:sz w:val="18"/>
          <w:szCs w:val="18"/>
          <w:color w:val="auto"/>
        </w:rPr>
        <w:t>Management believes EBITDA and Adjusted EBITDA are useful because they allow investors to more effectively evaluate our operating performance and compare the results of our operations from period to period without regard to our financing methods or capital structure. We exclude the items listed above from net income in arriving at EBITDA and Adjusted EBITDA because these amounts can vary substantially from company to company within our industry depending upon accounting methods and book values of assets, capital structures and the method by which the assets were acquired. EBITDA and Adjusted EBITDA should not be considered as an alternative to, or more meaningful than, net income as determined in accordance with GAAP or as an indicator of our operating performance or liquidity. Certain items excluded from EBITDA and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EBITDA and Adjusted EBITDA may not be comparable to other similarly titled measure of other companies. We believe that EBITDA and Adjusted EBITDA are widely followed measures of operating performance and may also be used by investors to measure our ability to meet debt service requirements.</w:t>
      </w:r>
    </w:p>
    <w:p>
      <w:pPr>
        <w:spacing w:after="0" w:line="161" w:lineRule="exact"/>
        <w:rPr>
          <w:sz w:val="20"/>
          <w:szCs w:val="20"/>
          <w:color w:val="auto"/>
        </w:rPr>
      </w:pPr>
    </w:p>
    <w:p>
      <w:pPr>
        <w:ind w:left="200" w:right="500" w:firstLine="443"/>
        <w:spacing w:after="0" w:line="239" w:lineRule="auto"/>
        <w:rPr>
          <w:sz w:val="20"/>
          <w:szCs w:val="20"/>
          <w:color w:val="auto"/>
        </w:rPr>
      </w:pPr>
      <w:r>
        <w:rPr>
          <w:rFonts w:ascii="Arial" w:cs="Arial" w:eastAsia="Arial" w:hAnsi="Arial"/>
          <w:sz w:val="18"/>
          <w:szCs w:val="18"/>
          <w:color w:val="auto"/>
        </w:rPr>
        <w:t>The following table presents a reconciliation of EBITDA and Adjusted EBITDA to the GAAP financial measure of net income (loss)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5"/>
        </w:trPr>
        <w:tc>
          <w:tcPr>
            <w:tcW w:w="2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Three Months Ended March 31,</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2014</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(314)</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3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316</w:t>
            </w:r>
          </w:p>
        </w:tc>
        <w:tc>
          <w:tcPr>
            <w:tcW w:w="13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1,200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3"/>
              </w:rPr>
              <w:t>1,371</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1,402</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w:t>
            </w:r>
          </w:p>
        </w:tc>
        <w:tc>
          <w:tcPr>
            <w:tcW w:w="13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5180" w:type="dxa"/>
            <w:vAlign w:val="bottom"/>
          </w:tcPr>
          <w:p>
            <w:pPr>
              <w:ind w:left="44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7"/>
                <w:szCs w:val="17"/>
                <w:color w:val="auto"/>
              </w:rPr>
            </w:pP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284</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144</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EBITDA</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3"/>
              </w:rPr>
              <w:t>1,614</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1,748</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5180" w:type="dxa"/>
            <w:vAlign w:val="bottom"/>
          </w:tcPr>
          <w:p>
            <w:pPr>
              <w:ind w:left="440"/>
              <w:spacing w:after="0" w:line="196" w:lineRule="exact"/>
              <w:rPr>
                <w:sz w:val="20"/>
                <w:szCs w:val="20"/>
                <w:color w:val="auto"/>
              </w:rPr>
            </w:pPr>
            <w:r>
              <w:rPr>
                <w:rFonts w:ascii="Arial" w:cs="Arial" w:eastAsia="Arial" w:hAnsi="Arial"/>
                <w:sz w:val="18"/>
                <w:szCs w:val="18"/>
                <w:color w:val="auto"/>
              </w:rPr>
              <w:t>Impairments and Other Charges, Net</w:t>
            </w:r>
          </w:p>
        </w:tc>
        <w:tc>
          <w:tcPr>
            <w:tcW w:w="120" w:type="dxa"/>
            <w:vAlign w:val="bottom"/>
          </w:tcPr>
          <w:p>
            <w:pPr>
              <w:spacing w:after="0"/>
              <w:rPr>
                <w:sz w:val="17"/>
                <w:szCs w:val="17"/>
                <w:color w:val="auto"/>
              </w:rPr>
            </w:pPr>
          </w:p>
        </w:tc>
        <w:tc>
          <w:tcPr>
            <w:tcW w:w="1360" w:type="dxa"/>
            <w:vAlign w:val="bottom"/>
            <w:gridSpan w:val="2"/>
          </w:tcPr>
          <w:p>
            <w:pPr>
              <w:jc w:val="right"/>
              <w:ind w:right="600"/>
              <w:spacing w:after="0" w:line="196"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85</w:t>
            </w:r>
          </w:p>
        </w:tc>
        <w:tc>
          <w:tcPr>
            <w:tcW w:w="130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1,731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w w:val="93"/>
              </w:rPr>
              <w:t>1,369</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808</w:t>
            </w:r>
          </w:p>
        </w:tc>
        <w:tc>
          <w:tcPr>
            <w:tcW w:w="200" w:type="dxa"/>
            <w:vAlign w:val="bottom"/>
          </w:tcPr>
          <w:p>
            <w:pPr>
              <w:spacing w:after="0"/>
              <w:rPr>
                <w:sz w:val="17"/>
                <w:szCs w:val="17"/>
                <w:color w:val="auto"/>
              </w:rPr>
            </w:pPr>
          </w:p>
        </w:tc>
      </w:tr>
      <w:tr>
        <w:trPr>
          <w:trHeight w:val="27"/>
        </w:trPr>
        <w:tc>
          <w:tcPr>
            <w:tcW w:w="20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20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414</w:t>
            </w:r>
          </w:p>
        </w:tc>
        <w:tc>
          <w:tcPr>
            <w:tcW w:w="13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$ 1,303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3"/>
              </w:rPr>
              <w:t>2,983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2,556</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59"/>
        </w:trPr>
        <w:tc>
          <w:tcPr>
            <w:tcW w:w="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960"/>
              <w:spacing w:after="0"/>
              <w:rPr>
                <w:sz w:val="20"/>
                <w:szCs w:val="20"/>
                <w:color w:val="auto"/>
              </w:rPr>
            </w:pPr>
            <w:r>
              <w:rPr>
                <w:rFonts w:ascii="Arial" w:cs="Arial" w:eastAsia="Arial" w:hAnsi="Arial"/>
                <w:sz w:val="18"/>
                <w:szCs w:val="18"/>
                <w:color w:val="auto"/>
                <w:w w:val="99"/>
              </w:rPr>
              <w:t>S-16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i w:val="1"/>
          <w:iCs w:val="1"/>
          <w:color w:val="auto"/>
        </w:rPr>
        <w:t>Investing in our notes involves a high degree of risk. Before deciding whether to purchase our notes, you should carefully consider the risks and uncertainties described below as well as those described under “Risk Factors” in the Form 10-K,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p>
    <w:p>
      <w:pPr>
        <w:spacing w:after="0" w:line="141"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For purposes of this “Risk Factors” section, references to “Weatherford Bermuda,” “we,” “our” and “us” refer only to Weatherford International Ltd. and not to its parent company, Weatherford International plc, or any of Weatherford International plc’s other subsidiaries, including Weatherford International, LLC; references to “Weatherford Ireland” refer only to Weatherford International plc and not to any of its subsidiaries; references to “Weatherford Delaware” refer only to Weatherford International, LLC and not to any of its subsidiaries; and references to “guarantors” refer to Weatherford Ireland and Weatherford Delaware together.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Notes and our Indebtedness</w:t>
      </w:r>
    </w:p>
    <w:p>
      <w:pPr>
        <w:spacing w:after="0" w:line="15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The notes and the guarantees will be effectively subordinated to any of our or the guarantors’ existing and future secured debt and structurally subordinated to the liabilities of our and the guarantors’ non-guarantor subsidiaries.</w:t>
      </w:r>
    </w:p>
    <w:p>
      <w:pPr>
        <w:spacing w:after="0" w:line="53"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notes and the guarantees will be general unsecured, senior obligations of Weatherford Bermuda and the guarantors, respectively, and will be effectively subordinated to existing and future secured indebtedness of us and the guarantors, respectively, to the extent of the value of the collateral securing that indebtedness.</w:t>
      </w:r>
    </w:p>
    <w:p>
      <w:pPr>
        <w:spacing w:after="0" w:line="154" w:lineRule="exact"/>
        <w:rPr>
          <w:sz w:val="20"/>
          <w:szCs w:val="20"/>
          <w:color w:val="auto"/>
        </w:rPr>
      </w:pPr>
    </w:p>
    <w:p>
      <w:pPr>
        <w:ind w:firstLine="456"/>
        <w:spacing w:after="0" w:line="267" w:lineRule="auto"/>
        <w:rPr>
          <w:sz w:val="20"/>
          <w:szCs w:val="20"/>
          <w:color w:val="auto"/>
        </w:rPr>
      </w:pPr>
      <w:r>
        <w:rPr>
          <w:rFonts w:ascii="Arial" w:cs="Arial" w:eastAsia="Arial" w:hAnsi="Arial"/>
          <w:sz w:val="16"/>
          <w:szCs w:val="16"/>
          <w:color w:val="auto"/>
        </w:rPr>
        <w:t>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Weatherford Ireland had total consolidated indebtedness of $8.2 billion, substantially all of which, other than $500 million of indebtedness incurred under the Term Loan Agreement, was unsecured indebtedness of us or our subsidiaries guaranteed by Weatherford Ireland, Weatherford Delaware and/or us and to which the notes and the guarantees would have ranked equal in right of payment. Despite our current consolidated debt levels, we may be able to incur substantial additional debt in the future, including secured debt, subject to the restrictions contained in our debt instruments and credit facilities. The indenture that will govern the notes will not fully limit the amount of debt, including senior debt that we, the guarantors or our or their respective subsidiaries may incur. Consequently, in the event of a bankruptcy, liquidation, dissolution, reorganization or similar proceeding with respect to us, Weatherford Ireland or Weatherford Delaware, the holders of any secured indebtedness of us, Weatherford Ireland or Weatherford Delaware will be entitled to proceed directly against the collateral securing such indebtedness. Accordingly, that collateral will not be available for satisfying any amounts owed under the notes or the guarantees, as applicable, unless and until the secured indebtedness is satisfied in full.</w:t>
      </w:r>
    </w:p>
    <w:p>
      <w:pPr>
        <w:spacing w:after="0" w:line="34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Other than Weatherford Delaware, none of our subsidiaries will guarantee the notes. Accordingly, the notes and the guarantees will also be structurally subordinated to all existing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and future unsecured and secured liabilities and (to the extent we are not a holder thereof) preferred equity, if any, of Weatherford Ireland’s subsidiaries other than us or Weatherford Delaware. In the event of a bankruptcy, liquidation, dissolution, reorganization or similar proceeding with respect to any of such subsidiaries, we or Weatherford Ireland, as a common equity owner of the subsidiary, and, therefore, holders of our debt, including the notes, will be subject to the prior claims of that subsidiary’s creditors, including trade creditors. 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the aggregate amount of liabilities of our subsidiaries was approximately $11.0 billion, including $8.2 billion of consolidated indebtedness, trade and other payables but excluding intercompany liabilities. As of June 7, 2016, subsidiaries of Weatherford Ireland, other than us or Weatherford Delaware, had outstanding guarantees for approximately $1.3 billion of our debt under our Revolving Credit Agreement and Term Loan Agreement. The provisions of the indenture that will govern the notes will not prohibit our subsidiaries from incurring additional indebtedness or issuing preferred equity.</w:t>
      </w:r>
    </w:p>
    <w:p>
      <w:pPr>
        <w:spacing w:after="0" w:line="220"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color w:val="auto"/>
        </w:rPr>
        <w:t>Servicing our indebtedness requires a significant amount of cash, and we may not have sufficient cash flow from our business to service or repay this indebtedness.</w:t>
      </w:r>
    </w:p>
    <w:p>
      <w:pPr>
        <w:spacing w:after="0" w:line="5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Our ability to make scheduled payments of the principal and to pay interest on or to refinance our indebtedness, including the notes, depends on our future performance and results of operations which are subject to economic, financial, competitive, legislative, regulatory and other factors beyond our control. Our business may not continue to generate cash flow from operations in the future sufficient to service our indebtedness and the indebtedness of Weatherford Ireland and its other subsidiaries and make necessary capital expenditures. If Weatherford Ireland and its subsidiaries are unable to generate such cash flow, Weatherford Ireland and its subsidiaries may be required to adopt one or more alternatives, such as selling assets, restructuring debt, reducing or delaying capital expenditures or obtaining additional equity capital of Weatherford Ireland on terms that may be onerous or highly dilutive. The ability to refinance the indebtedness of Weatherford Ireland and its subsidiaries will depend on the capital markets and the financial condition of Weatherford Ireland and its subsidiaries at such time. Weatherford Ireland and its subsidiaries may not be able to engage in any of these activities or engage in these activities on desirable terms, which could result in a default on our debt obligations, including the notes, or the debt obligations of Weatherford Ireland and its other subsidiaries.</w:t>
      </w:r>
    </w:p>
    <w:p>
      <w:pPr>
        <w:spacing w:after="0" w:line="22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notes.</w:t>
      </w:r>
    </w:p>
    <w:p>
      <w:pPr>
        <w:spacing w:after="0" w:line="53"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As of March 31, 2016, as adjusted to give effect to the entry into the Term Loan Agreement and the Revolving Credit Agreement and the sale of $1.265 billion of Weatherford Bermuda’s Exchangeable Notes as if they had occurred on such date (but not adjusted to give effect to the Tender Offers, which have not yet been consummated and which are subject to market conditions and other factors), Weatherford Ireland’s total consolidated indebtedness was approximately $8.2 billion. We may also incur additional indebtedness to meet future financing needs. Our indebtedness could have significant negative consequences for our business, results of operations and financial condition, including:</w:t>
      </w:r>
    </w:p>
    <w:p>
      <w:pPr>
        <w:spacing w:after="0" w:line="7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54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76"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w:t>
      </w:r>
    </w:p>
    <w:p>
      <w:pPr>
        <w:spacing w:after="0" w:line="155"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notes.</w:t>
      </w:r>
    </w:p>
    <w:p>
      <w:pPr>
        <w:spacing w:after="0" w:line="214"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 the Term Loan Agreement and our other indebtedness, including the indenture that will govern the notes, there could be a default under the terms of these agreements, which could result in an acceleration of payment of funds that we have borrowed and would affect our ability to make principal and interest payments on the notes.</w:t>
      </w:r>
    </w:p>
    <w:p>
      <w:pPr>
        <w:spacing w:after="0" w:line="72"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Any default under the agreements governing our indebtedness that is not cured or waived by the required lenders, and the remedies sought by the holders of any such indebtedness, could make us unable to 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and the indenture that will govern the notes), we could be in default under the terms of such agreements. In the event of such default:</w:t>
      </w:r>
    </w:p>
    <w:p>
      <w:pPr>
        <w:spacing w:after="0" w:line="50" w:lineRule="exact"/>
        <w:rPr>
          <w:sz w:val="20"/>
          <w:szCs w:val="20"/>
          <w:color w:val="auto"/>
        </w:rPr>
      </w:pPr>
    </w:p>
    <w:p>
      <w:pPr>
        <w:ind w:left="780" w:right="100" w:hanging="326"/>
        <w:spacing w:after="0" w:line="23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commitments thereunder and cease making further loans;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158"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our operating performance declines, we may in the future need to obtain waivers under the Revolving Credit Agreement, the Term Loan Agreement or the indenture that will govern the notes to avoid being in default. If we breach our covenants under the Revolving Credit Agreement, the Term Loan Agreement or the indenture that will govern the notes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216" w:lineRule="exact"/>
        <w:rPr>
          <w:sz w:val="20"/>
          <w:szCs w:val="20"/>
          <w:color w:val="auto"/>
        </w:rPr>
      </w:pPr>
    </w:p>
    <w:p>
      <w:pPr>
        <w:ind w:right="640"/>
        <w:spacing w:after="0" w:line="328" w:lineRule="auto"/>
        <w:rPr>
          <w:sz w:val="20"/>
          <w:szCs w:val="20"/>
          <w:color w:val="auto"/>
        </w:rPr>
      </w:pPr>
      <w:r>
        <w:rPr>
          <w:rFonts w:ascii="Arial" w:cs="Arial" w:eastAsia="Arial" w:hAnsi="Arial"/>
          <w:sz w:val="16"/>
          <w:szCs w:val="16"/>
          <w:b w:val="1"/>
          <w:bCs w:val="1"/>
          <w:color w:val="auto"/>
        </w:rPr>
        <w:t>The terms of the Revolving Credit Agreement and Term Loan Agreement restrict, and the indenture that will govern the notes will restrict, our current and future operations, particularly our ability to respond to changes or to pursue our business strategies.</w:t>
      </w:r>
    </w:p>
    <w:p>
      <w:pPr>
        <w:spacing w:after="0" w:line="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Revolving Credit Agreement and Term Loan Agreement contain, and the indenture that will govern the notes will contain, a number of restrictive covenants that impose significant operating and financial restrictions on us and may limit our ability to engage in acts that may be in our long-term best interest, including restrictions on our ability to:</w:t>
      </w:r>
    </w:p>
    <w:p>
      <w:pPr>
        <w:spacing w:after="0" w:line="73"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make other distributions;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In addition, the restrictive covenants in the Revolving Credit Agreement and Term Loan Agreement require us to maintain specified financial ratios. Our ability to meet those financial ratios can be affected by events beyond our control.</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 breach of the covenants under the Revolving Credit Agreement, the Term Loan Agreement or the indenture that will govern the notes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holding company structure may impact our ability to meet our obligations under the notes.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are a holding company subsidiary of Weatherford Ireland with no material assets (other than shares of our subsidiaries), operations, revenues or cash flows other than those related to the issuance, administration and repayment of debt, including the notes being offered hereby. As a result, our ability to meet our obligations under the notes is dependent on the generation of cash flow by our subsidiaries and their ability to make such cash available to us, by dividend, loan, debt repayment or otherwise. Our subsidiaries do not have any obligation to make funds available to repay our indebtedness, other than cases in which such subsidiaries have guaranteed such indebtedness, or pay dividends. Dividends from subsidiaries that are not wholly owned are shared with other equity owners. In addition, cash at our international operations is also subject to foreign withholding taxes upon repatriation.</w:t>
      </w:r>
    </w:p>
    <w:p>
      <w:pPr>
        <w:spacing w:after="0" w:line="15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In addition, our subsidiaries may not be able to, or be permitted to, make distributions to enable us to repay our indebtedness or pay dividends. Each of our subsidiaries is a distinct legal entity, and, under certain circumstances, legal restrictions, as well as the financial condition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fund a change of control offer.</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If a change of control triggering event occurs, we will be required, subject to certain conditions, to offer to purchase all outstanding notes at a price equal to 101% of the principal amount thereof, plus accrued and unpaid interest thereon to the date of purchase. The holders of our outstanding senior notes, other than our exchangeable senior notes, have similar put rights upon a change of control triggering event, which would increase the amount of indebtedness we would be required to offer to repurchase following a change of control triggering event. If a change of control triggering event were to occur today, we would not have sufficient funds available to purchase all of the outstanding notes were they to be tendered in response to an offer made as a result of a change of control triggering event. We cannot assure you that we will have sufficient funds available or that we will be permitted by our other debt instruments to fulfill these obligations upon a change of control triggering event in the future. Furthermore, any change of control would terminate the commitments under our Revolving Credit Agreement and Term Loan Agreement and require us to prepay amounts outstanding thereunder. See “Description of Notes—Change of Control.”</w:t>
      </w:r>
    </w:p>
    <w:p>
      <w:pPr>
        <w:spacing w:after="0" w:line="22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color w:val="auto"/>
        </w:rPr>
        <w:t>Many of the covenants contained in the indenture that will govern the notes will terminate if the notes are rated investment grade by both S&amp;P and Moody’s and no default or event of default has occurred and is continuing.</w:t>
      </w:r>
    </w:p>
    <w:p>
      <w:pPr>
        <w:spacing w:after="0" w:line="5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Many of the covenants in the indenture that will govern the notes will terminate if the notes are rated investment grade by both S&amp;P and Moody’s provided at such time no default or event of default has occurred and is continuing. The covenants restrict, among other things, the ability of Weatherford Ireland and its restricted subsidiaries to pay dividends, incur debt and to enter into certain other transactions. There can be no assurance that the notes will ever be rated investment grade. However, termination of these covenants would allow us to engage in certain transactions that would not have been permitted while these covenants were in force, and the effects of any such transactions will be permitted to remain in place even if the notes are subsequently downgraded below investment grade. See “Description of Notes—Certain Covenants— Termination of Covenants.”</w:t>
      </w:r>
    </w:p>
    <w:p>
      <w:pPr>
        <w:spacing w:after="0" w:line="21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The indenture that will govern the notes will permit us to distribute our land drilling business to our shareholders. A spinoff of that business would result in a smaller amount of consolidated assets supporting the repayment of the notes.</w:t>
      </w:r>
    </w:p>
    <w:p>
      <w:pPr>
        <w:spacing w:after="0" w:line="53"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indenture that will govern the notes will permit us to spinoff, by way of a stock dividend, the voting securities of a subsidiary that holds all or substantially all of our land drilling rigs and related assets, subject only to the absence of any continuing default or event of default. See “Description of Notes—Definitions—Qualified Spin Transaction.” As a result of any such spinoff transaction, the holders of the notes would have a smaller amount of consolidated assets supporting repayment of their notes.</w:t>
      </w:r>
    </w:p>
    <w:p>
      <w:pPr>
        <w:spacing w:after="0" w:line="21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Weatherford Ireland’s, Weatherford Bermuda’s and Weatherford Delaware’s credit ratings may not reflect all risks of your investment in the notes.</w:t>
      </w:r>
    </w:p>
    <w:p>
      <w:pPr>
        <w:spacing w:after="0" w:line="53"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Weatherford Ireland’s, Weatherford Bermuda’s and Weatherford Delaware’s credit ratings are assessments by rating agencies of their ability to pay their debts when due. Consequently,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real or anticipated changes in their credit ratings will generally affect the market value of the notes. These credit ratings may not reflect the potential impact of risks relating to the structure or marketing of the notes. Agency ratings are not a recommendation to buy, sell or hold any security, and may be revised or withdrawn at any time by the issuing organization. Each agency’s ratings should be evaluated independently of any other agency’s ratings.</w:t>
      </w:r>
    </w:p>
    <w:p>
      <w:pPr>
        <w:spacing w:after="0" w:line="214"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b w:val="1"/>
          <w:bCs w:val="1"/>
          <w:color w:val="auto"/>
        </w:rPr>
        <w:t>The guarantees will be the guarantors’ respective obligations only, and the guarantors’ operations are conducted through, and substantially all of their consolidated assets are held by, their subsidiaries.</w:t>
      </w:r>
    </w:p>
    <w:p>
      <w:pPr>
        <w:spacing w:after="0" w:line="53"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Weatherford Ireland and Weatherford Delaware are each holding companies that conduct all of their respective operations through subsidiaries. Accordingly, the guarantors’ ability to pay the cash obligations, if any, that become due under the guarantees will depend on the results of operations of their respective subsidiaries and upon the ability of such subsidiaries to provide the guarantors with cash, whether in the form of dividends, loans or otherwise, to pay amounts due under the guarantees. The guarantors’ subsidiaries are separate and distinct legal entities and have no obligation, contingent or otherwise, to make payments in respect of the guarantees or the notes or to make any funds available for that purpose. In addition, dividends, loans or other distributions to the guarantors from such subsidiaries may be subject to contractual and other restrictions and are subject to other business considerations. As a result, the guarantors may not be able to pay the cash obligations, if any, that become due under the guarantees.</w:t>
      </w:r>
    </w:p>
    <w:p>
      <w:pPr>
        <w:spacing w:after="0" w:line="21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U.S. Federal and state laws and Irish law allow courts, under specific circumstances, to void guarantees and require noteholders to return payments received from guarantors.</w:t>
      </w:r>
    </w:p>
    <w:p>
      <w:pPr>
        <w:spacing w:after="0" w:line="53"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Under U.S. federal and foreign bankruptcy laws and comparable provisions of state and foreign fraudulent transfer laws, the guarantees of the notes could be voided if, among other things, at the time the guarantors issued the guarantees, a guarantor:</w:t>
      </w:r>
    </w:p>
    <w:p>
      <w:pPr>
        <w:spacing w:after="0" w:line="74"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intended to hinder, delay or defraud any present or future creditor by making such guarantee;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indebtedness and either: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its remaining assets constituted unreasonably small capital; or</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58"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a guarantor in the United States would be considered insolvent if:</w:t>
      </w:r>
    </w:p>
    <w:p>
      <w:pPr>
        <w:spacing w:after="0" w:line="74"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76"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was generally not paying or could not pay its debts as they become due.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cannot be certain as to the standards a court would use to determine whether or not a guarantor was solvent at the relevant time. If a guarantee is legally challenged, the guarantee could also be subject to the claim that, since the guarantee was incurred for our benefit, and only indirectly for the benefit of the respective guarantor, the obligations of the guarantor were incurred for less than reasonably equivalent value or fair consideration. A court could thus void the obligations under that guarantee, subordinate them to the guarantor’s other indebtedness or take other action detrimental to the holders of the notes.</w:t>
      </w:r>
    </w:p>
    <w:p>
      <w:pPr>
        <w:spacing w:after="0" w:line="157"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issuance of the guarantees of the notes by a guarantor may be subject to review under Irish law in certain circumstances, including the following:</w:t>
      </w:r>
    </w:p>
    <w:p>
      <w:pPr>
        <w:spacing w:after="0" w:line="74" w:lineRule="exact"/>
        <w:rPr>
          <w:sz w:val="20"/>
          <w:szCs w:val="20"/>
          <w:color w:val="auto"/>
        </w:rPr>
      </w:pPr>
    </w:p>
    <w:p>
      <w:pPr>
        <w:ind w:left="780" w:right="220" w:hanging="326"/>
        <w:spacing w:after="0" w:line="23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guarantor, having become the subject of liquidation proceedings within six months (or two years if the guarantee is given in favor of anyone who is, in relation to the guarantor, a connected person) of issuing the guarantee, is made the subject of an application by the liquidator, on behalf of the guarantor, to the Irish courts to void the guarantee on the grounds that the issuance of the guarantee constituted a preference over other creditors at a time when the guarantor was insolvent;</w:t>
      </w:r>
    </w:p>
    <w:p>
      <w:pPr>
        <w:spacing w:after="0" w:line="73" w:lineRule="exact"/>
        <w:rPr>
          <w:rFonts w:ascii="Arial" w:cs="Arial" w:eastAsia="Arial" w:hAnsi="Arial"/>
          <w:sz w:val="18"/>
          <w:szCs w:val="18"/>
          <w:color w:val="auto"/>
        </w:rPr>
      </w:pPr>
    </w:p>
    <w:p>
      <w:pPr>
        <w:jc w:val="both"/>
        <w:ind w:left="780" w:right="160" w:hanging="326"/>
        <w:spacing w:after="0" w:line="23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 guarantor was wound up, the Irish courts, on the application of a liquidator or creditor, may, if it can be shown that the guarantee or any payments made thereunder constituted a fraud on the guarantor, order a return of any payments made by the guarantor under the guarantee and declare that any ordinary shares issued thereunder are void;</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guarantee is challenged on the grounds that there was no corporate benefit to the guarantor in entering into the guarantee; or</w:t>
      </w:r>
    </w:p>
    <w:p>
      <w:pPr>
        <w:spacing w:after="0" w:line="76" w:lineRule="exact"/>
        <w:rPr>
          <w:rFonts w:ascii="Arial" w:cs="Arial" w:eastAsia="Arial" w:hAnsi="Arial"/>
          <w:sz w:val="18"/>
          <w:szCs w:val="18"/>
          <w:color w:val="auto"/>
        </w:rPr>
      </w:pPr>
    </w:p>
    <w:p>
      <w:pPr>
        <w:ind w:left="780" w:right="840" w:hanging="326"/>
        <w:spacing w:after="0" w:line="299"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guarantor having become insolvent, or deemed likely to become insolvent, is made the subject of court protection under the examinership procedure (see further below) and the court approves a scheme for the compromise of debts of the guarantor.</w:t>
      </w:r>
    </w:p>
    <w:p>
      <w:pPr>
        <w:spacing w:after="0" w:line="109" w:lineRule="exact"/>
        <w:rPr>
          <w:sz w:val="20"/>
          <w:szCs w:val="20"/>
          <w:color w:val="auto"/>
        </w:rPr>
      </w:pPr>
    </w:p>
    <w:p>
      <w:pPr>
        <w:ind w:right="60" w:firstLine="456"/>
        <w:spacing w:after="0" w:line="268" w:lineRule="auto"/>
        <w:rPr>
          <w:sz w:val="20"/>
          <w:szCs w:val="20"/>
          <w:color w:val="auto"/>
        </w:rPr>
      </w:pPr>
      <w:r>
        <w:rPr>
          <w:rFonts w:ascii="Arial" w:cs="Arial" w:eastAsia="Arial" w:hAnsi="Arial"/>
          <w:sz w:val="16"/>
          <w:szCs w:val="16"/>
          <w:color w:val="auto"/>
        </w:rPr>
        <w:t>Under the laws of Ireland, a guarantee may only be issued where the entity issuing the guarantee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Weatherford Ireland and the sole member of Weatherford Delaware have each passed a resolution that the entry into the guarantee is in its best interests and for its corporate benefit. However, no assurance can be given that a court would agree with their conclusions in this regard. In addition, in an insolvency of an Irish company, the claims of certain preferential creditors (including the Irish Revenue Commissioners for certain unpaid taxes) will rank in priority to claims of unsecured creditors. If Weatherford Ireland becomes subject to an insolvency proceeding and Weatherford Ireland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13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If a court voids the guarantee or any payment under the guarantee of the notes as a result of a fraudulent transfer or holds it unenforceable for any other reason, the rights of holders of the notes under the guarantee would be seriously undermined and such holders could cease to have any claim against that guarantor under its guarantee of the notes. See “—Our holding company structure may impact our ability to meet our obligations under the notes.”</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 substantial number of our guarantors’ subsidiaries operate or are incorporated in jurisdictions other than Ireland and the United States and may be subject to the insolvency,</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bankruptcy and corporation laws of such other jurisdictions. The insolvency, bankruptcy and corporation laws of these jurisdictions may differ materially from those of Ireland and those of the United States. In addition, there can be no assurance as to how the insolvency, bankruptcy or corporation laws of the various jurisdictions in which Weatherford Ireland and its subsidiaries operate will be applied in relation to one another.</w:t>
      </w:r>
    </w:p>
    <w:p>
      <w:pPr>
        <w:spacing w:after="0" w:line="183"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If Weatherford Ireland is unable to pay its debts, an examiner may be appointed under Irish law to oversee Weatherford Ireland’s operations.</w:t>
      </w:r>
    </w:p>
    <w:p>
      <w:pPr>
        <w:spacing w:after="0" w:line="5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Weatherford Ireland is unable, or likely to be unable, to pay its debts, including obligations under its guarantee, an examiner may be appointed to oversee Weatherford Ireland’s operations and to facilitate its survival and the whole or any part of its business by formulating proposals for a compromise or scheme of arrangement. An examiner may be appointed even if Weatherford Ireland is not insolvent. If an examiner has been appointed to Weatherford Ireland or any of its subsidiaries, the examinership may be extended to any of the related companies of the entity in question, including us and Weatherford Delaware, even if we or Weatherford Delaware are not insolvent. There can be no assurance that we would be exempt from an extension of the examinership.</w:t>
      </w:r>
    </w:p>
    <w:p>
      <w:pPr>
        <w:spacing w:after="0" w:line="15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an examiner is appointed to Weatherford Ireland, a protection period, not exceeding 100 days, will be imposed so that the examiner can formulate and implement his or her proposals for a compromise or scheme of arrangement. During the protection period, any enforcement action by a creditor is prohibited. In addition, Weatherford Ireland would be prohibited from paying any debts existing at the time of the presentation of the petition to appoint an examiner. The appointment of an examiner may restrict the ability of Weatherford Ireland to make timely payments under its guarantee, and holders may be unable to enforce their rights under the guarantee. During the course of examinership, holders’ rights under the guarantee may be affected by the examiner’s exercise of his or her powers to, for example, repudiate a restriction or prohibition on further borrowings or the creation of a security interest.</w:t>
      </w:r>
    </w:p>
    <w:p>
      <w:pPr>
        <w:spacing w:after="0" w:line="155"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Further, a scheme of arrangement may be approved involving the writing down of the debt due by Weatherford Ireland to the holders of the notes irrespective of their views. In the event that a scheme of arrangement is not approved and Weatherford Ireland subsequently goes into liquidation, the examiner’s remuneration and expenses (including certain borrowings incurred by the examiner on behalf of Weatherford Ireland and approved by the Irish High Court) and the claims of certain other creditors referred to above (including the Irish Revenue Commissioners for certain unpaid taxes) will take priority over the amounts due by Weatherford Ireland to the holders of the notes.</w:t>
      </w:r>
    </w:p>
    <w:p>
      <w:pPr>
        <w:spacing w:after="0" w:line="157"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Furthermore, a court may order that an examiner shall have any of the powers a liquidator appointed by court would have, which could include the power to apply to have transactions set aside under section 604 or section 557 of the Irish Companies Act. We cannot be certain that, in the event of Weatherford Ireland becoming insolvent, its guarantee of the notes or any payment by it pursuant to such guarantee will not be challenged by a liquidator or examiner or that a court would uphold such guarantee or payment.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an active trading market will develop for the notes.</w:t>
      </w:r>
    </w:p>
    <w:p>
      <w:pPr>
        <w:spacing w:after="0" w:line="99"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Prior to this offering, there has been no trading market for the notes. We do not intend to apply to list the notes on any securities exchange or for quotation on any automated dealer quotation system. We have been informed by the underwriters that they intend to make a market in the notes after the offering is completed. However, the underwriters may cease their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market-making at any time without notice. In addition, the liquidity of the trading market in the notes, and the market price quoted for the notes, may be adversely affected by changes in the overall market for this type of security, by any credit ratings assigned to the notes or by any downgrade or withdrawal of such credit ratings or the credit ratings of Weatherford Ireland, by changes in our financial performance or prospects or in the prospects for companies in our industry generally and by changes in the interest rate environment. As a result, we cannot assure you that an active trading market will develop for the notes. If an active trading market does not develop or is not maintained, the market price and liquidity of the notes may be adversely affected. In that case you may not be able to sell your notes at a particular time or you may not be able to sell your notes at a favorable price.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 in relation to the notes could be subject to Swiss withholding tax.</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A note issued by a non-Swiss subsidiary of a Swiss tax resident company, for which such Swiss tax resident company, in the case at hand Weatherford Ireland, grants a downstream guarantee, will qualify as a Swiss bond for Swiss tax purposes if there is a harmful flow back of the funds to Switzerland (either to the guarantee-issuing company or any other related Swiss tax resident company). In such case, the interest payments (annual interest payments and any other payments that are treated like interest payments for Swiss tax purposes) to the note holders will become subject to Swiss withholding tax of 35%. We use our best efforts to ensure that none of the proceeds from the offer of the notes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payment without reduction for any Swiss withholding tax.</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transfer of notes may be subject to Swiss federal stamp duties.</w:t>
      </w:r>
    </w:p>
    <w:p>
      <w:pPr>
        <w:spacing w:after="0" w:line="99" w:lineRule="exact"/>
        <w:rPr>
          <w:sz w:val="20"/>
          <w:szCs w:val="20"/>
          <w:color w:val="auto"/>
        </w:rPr>
      </w:pPr>
    </w:p>
    <w:p>
      <w:pPr>
        <w:ind w:right="40" w:firstLine="456"/>
        <w:spacing w:after="0" w:line="270" w:lineRule="auto"/>
        <w:rPr>
          <w:sz w:val="20"/>
          <w:szCs w:val="20"/>
          <w:color w:val="auto"/>
        </w:rPr>
      </w:pPr>
      <w:r>
        <w:rPr>
          <w:rFonts w:ascii="Arial" w:cs="Arial" w:eastAsia="Arial" w:hAnsi="Arial"/>
          <w:sz w:val="16"/>
          <w:szCs w:val="16"/>
          <w:color w:val="auto"/>
        </w:rPr>
        <w:t>In certain circumstances, the transfer of the notes subsequent to initial issuance may be subject to Swiss federal stamp duties on the dealing in securities irrespective of the place of residency of the purchaser or seller if (i) the transaction takes place through or with a Swiss bank or other Swiss securities dealer, as those terms are defined in the Swiss Federal Stamp Duty Act, and (ii) no exemption applies in the specific case. The applicable stamp duty rate would be 0.15% for each of the two parties to a transaction, provided that no (partial) exemption applies, and is calculated based on the purchase price or sale proceeds. If the transaction does not involve cash consideration, the Swiss federal stamp duty on the dealing in securities is computed on the basis of the market value of the consideration. If a purchase or sale is not entered into through or with a Swiss bank or other Swiss securities dealer, then no Swiss federal stamp duty on the dealing in securities will be due.</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The notes will initially be held in book-entry form, and, holders must rely on the procedures and the relevant clearing system to exercise their rights and remedies.</w:t>
      </w:r>
    </w:p>
    <w:p>
      <w:pPr>
        <w:spacing w:after="0" w:line="53"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Unless and until certificated notes are issued in exchange for book-entry interests in the notes, beneficial owners of the book-entry interests will not be considered owners or holders of notes. Instead, DTC or its nominee will be the sole holder of the notes. Payments of principal, interest and other amounts due on or in respect of the notes in global form will be made to DTC, after which those payments will be credited to DTC participants’ accounts that hold book-entry interests in the notes in global form and credited by those participants to indirect participants. Unlike holders of the notes themselves, owners of book-entry interests will not have the direct right to act upon our solicitations for consents or requests for waivers or other actions from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holders of the notes. Instead, if a holder owns a book-entry interest, the holder will be permitted to act only to the extent the holder has received appropriate proxies to do so from DTC or, if applicable, a DTC participant. The procedures implemented for granting proxies may not be sufficient to enable holders to vote on any requested action on a timely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and Bermuda laws differ from the laws in effect in the United States and may afford less protection to holders of the notes.</w:t>
      </w:r>
    </w:p>
    <w:p>
      <w:pPr>
        <w:spacing w:after="0" w:line="99"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Ireland in Ireland, or Weatherford Bermuda in Bermuda, based on the civil liability provisions of the U.S. federal or state securities laws. In addition, there is some uncertainty as to whether the courts of Ireland or Bermuda would recognize or enforce judgments of U.S. courts obtained against Weatherford Ireland, Weatherford Bermuda or any of their directors or officers based on the civil liabilities provisions of the U.S. federal or state securities laws or hear actions against Weatherford Ireland, Weatherford Bermuda or those persons based on those laws. Weatherford Ireland and Weatherford Bermuda have been advised that the United States currently does not have a treaty with Ireland or Bermuda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 or Bermuda.</w:t>
      </w:r>
    </w:p>
    <w:p>
      <w:pPr>
        <w:spacing w:after="0" w:line="161"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As an Irish company, Weatherford Ireland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the notes may have more difficulty protecting their interests than would holders of securities of a corporation incorporated in a jurisdiction of the United States.</w:t>
      </w:r>
    </w:p>
    <w:p>
      <w:pPr>
        <w:spacing w:after="0" w:line="156" w:lineRule="exact"/>
        <w:rPr>
          <w:sz w:val="20"/>
          <w:szCs w:val="20"/>
          <w:color w:val="auto"/>
        </w:rPr>
      </w:pPr>
    </w:p>
    <w:p>
      <w:pPr>
        <w:jc w:val="both"/>
        <w:ind w:right="660" w:firstLine="456"/>
        <w:spacing w:after="0" w:line="281" w:lineRule="auto"/>
        <w:rPr>
          <w:sz w:val="20"/>
          <w:szCs w:val="20"/>
          <w:color w:val="auto"/>
        </w:rPr>
      </w:pPr>
      <w:r>
        <w:rPr>
          <w:rFonts w:ascii="Arial" w:cs="Arial" w:eastAsia="Arial" w:hAnsi="Arial"/>
          <w:sz w:val="16"/>
          <w:szCs w:val="16"/>
          <w:color w:val="auto"/>
        </w:rPr>
        <w:t>As a Bermuda company, Weatherford Bermuda is subject to the Companies Act 1981 of Bermuda (“Bermuda Companies Act”). The Bermuda Companies Act differs in some material respects from laws generally applicable to U.S. corporations and shareholders, including provisions relating to interested directors, mergers, amalgamations and acquisitions, takeovers and indemnification of directors.</w:t>
      </w:r>
    </w:p>
    <w:p>
      <w:pPr>
        <w:spacing w:after="0" w:line="124"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Under Bermuda law, the duties of directors and officers of a company are generally owed to the company only. Shareholders of Bermuda companies do not generally have rights to take action against directors or officers of the company, and may only do so in limited circumstances. Directors and officers of a Bermuda company must, in exercising their powers and performing their duties, act honestly and in good faith with a view to the best interests of the company and must exercise the care and skill that a reasonably prudent person would exercise in comparable circumstances. If a director or officer of a Bermuda company is found to have breached his duties to that company, he may be held personally liable to the company in respect of that breach of duty.</w:t>
      </w:r>
    </w:p>
    <w:p>
      <w:pPr>
        <w:spacing w:after="0" w:line="15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Class actions and derivative actions are generally not available to shareholders under the laws of Bermuda. However, the Bermuda courts ordinarily would be expected to permit a shareholder to commence an action in a company’s name to remedy a wrong done to the company where the act complained of is alleged to be beyond the company’s corporate power or is illegal or would result in the violation of the company’s memorandum of association or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bye-laws. Furthermore, consideration would be given by the court to acts that are alleged to constitute a fraud against the minority shareholders or where an act requires the approval of a greater percentage of shareholders than actually approved it.</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5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6"/>
          <w:szCs w:val="16"/>
          <w:color w:val="auto"/>
        </w:rPr>
        <w:t>Weatherford Bermuda has adopted provisions in its bye-laws that provide that it shall indemnify its officers and directors in respect of their actions and omissions, except in respect of their fraud or dishonesty. Weatherford Bermuda’s bye-laws provide that the its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Section 98A of the Bermuda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consummate the Tender Offers, and this offering is not conditioned on the consummation of the Tender Offers.</w:t>
      </w:r>
    </w:p>
    <w:p>
      <w:pPr>
        <w:spacing w:after="0" w:line="99"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We intend to use the net proceeds from this offering to fund a portion of the Tender Offers, as described under “Summary—Recent Developments—Exchangeable Notes Offering and Tender Offers.” However, there can be no assurance as to the amount of Target Notes that will be tendered in the Tender Offers or that we will consummate the Tender Offers, which are subject to market conditions and other factors. This offering is not conditioned on the consummation of the Tender Offers. Therefore, upon the closing of this offering, you will become a holder of the notes regardless of whether the Tender Offers are consummated, delayed or terminated. If the Tender Offers are delayed or terminated, the value of the notes may decline to the extent that their price reflects a market assumption that the Tender Offers will be consummated on the terms described herein. If the Tender Offers are not consummated, we may use the net proceeds from this offering to repay or retire other outstanding indebtedness, which may include amounts outstanding under the Revolving Credit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Weatherford</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Ownership, or deemed ownership, of 10% or more of Weatherford Ireland’s shares by one or more U.S. persons could cause us to be subject to a substantial amount of additional U.S. federal income tax under the controlled foreign corporation (“CFC”) rules.</w:t>
      </w:r>
    </w:p>
    <w:p>
      <w:pPr>
        <w:spacing w:after="0" w:line="53"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Currently, certain of our subsidiary corporations are not considered CFCs because they are less than 50% owned by our U.S. group of subsidiaries and other 10% or greater U.S. shareholders. However, there is a risk that if a U.S. shareholder holds 10% or more of our shares, directly, indirectly, constructively or by attribution, some of our subsidiaries could be classified as CFCs for U.S. federal income tax purposes. For purposes of determining CFC status, holders of exchangeable debt, such as the Exchangeable Notes, should, generally, be treated as owning the number of shares into which such debt can be exchanged and such shares would be aggregated with other shares held by such holder directly, indirectly, constructively or by attribution for purposes of determining whether such holder was a 10% or greater U.S. shareholders. If one or more of our subsidiaries is classified as a CFC, we may be subject to U.S. income taxation at ordinary income tax rates on all or a portion of the CFC’s undistributed earnings and profits attributable to “subpart F income.” The amount of this additional tax could be substantial.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expect to receive net proceeds of approximately $1,476.0 million after deducting underwriting discount and estimated offering expenses. We intend to use the net proceeds from this offering to fund a portion of the Tender Offers. In the event that the Tender Offers are not consummated, or the aggregate amount of securities tendered in the Tender Offers and accepted for payment is less than the Maximum Purchase Amount, we may use such proceeds to repay or retire other outstanding indebtedness, which may include amounts outstanding under our Revolving Credit Agreement. Until we apply the net proceeds for the purposes described above, we may invest them in short-term liquid investments or repay a portion of the amounts outstanding under our Revolving Credit Agreement.</w:t>
      </w:r>
    </w:p>
    <w:p>
      <w:pPr>
        <w:spacing w:after="0" w:line="156"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As of March 31, 2016, we had approximately $600 million in aggregate principal amount of the 2017 Notes outstanding. The interest rate on the aggregate principal amount of the 2017 Notes is 6.35%.</w:t>
      </w:r>
    </w:p>
    <w:p>
      <w:pPr>
        <w:spacing w:after="0" w:line="15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As of March 31, 2016, we had approximately $500 million in aggregate principal amount of the 2018 Notes outstanding. The interest rate on the aggregate principal amount of the 2018 Notes is 6.00%.</w:t>
      </w:r>
    </w:p>
    <w:p>
      <w:pPr>
        <w:spacing w:after="0" w:line="15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As of March 31, 2016, we had approximately $1.0 billion in aggregate principal amount of the 2019 Notes outstanding. The interest rate on the aggregate principal amount of the 2019 Notes is 9.625%.</w:t>
      </w:r>
    </w:p>
    <w:p>
      <w:pPr>
        <w:spacing w:after="0" w:line="15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As of March 31, 2016, we had approximately $773 million in aggregate principal amount of the 2020 Notes outstanding. The interest rate on the aggregate principal amount of the 2020 Notes is 5.125%.</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2016:</w:t>
      </w:r>
    </w:p>
    <w:p>
      <w:pPr>
        <w:spacing w:after="0" w:line="77"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76" w:lineRule="exact"/>
        <w:rPr>
          <w:rFonts w:ascii="Arial" w:cs="Arial" w:eastAsia="Arial" w:hAnsi="Arial"/>
          <w:sz w:val="18"/>
          <w:szCs w:val="18"/>
          <w:color w:val="auto"/>
        </w:rPr>
      </w:pPr>
    </w:p>
    <w:p>
      <w:pPr>
        <w:ind w:left="780" w:right="140" w:hanging="326"/>
        <w:spacing w:after="0" w:line="23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adjusted to give effect to (i) the entry into the Term Loan Agreement and the Revolving Credit Agreement on May 4, 2016 and (ii) the sale of $1.265 billion of Weatherford Bermuda’s Exchangeable Notes on June 7, 2016, in each case as if they had occurred on March 31, 2016; and</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further adjusted to give effect to this offering as if it had occurred on March 31, 2016.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does not give effect to the Tender Offers. See “Prospectus Supplement Summary—Recent Developments.”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820"/>
              <w:spacing w:after="0" w:line="125" w:lineRule="exact"/>
              <w:rPr>
                <w:sz w:val="20"/>
                <w:szCs w:val="20"/>
                <w:color w:val="auto"/>
              </w:rPr>
            </w:pPr>
            <w:r>
              <w:rPr>
                <w:rFonts w:ascii="Arial" w:cs="Arial" w:eastAsia="Arial" w:hAnsi="Arial"/>
                <w:sz w:val="14"/>
                <w:szCs w:val="14"/>
                <w:b w:val="1"/>
                <w:bCs w:val="1"/>
                <w:color w:val="auto"/>
              </w:rPr>
              <w:t>As</w:t>
            </w:r>
          </w:p>
        </w:tc>
        <w:tc>
          <w:tcPr>
            <w:tcW w:w="76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8"/>
              </w:rPr>
              <w:t>As Further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w w:val="93"/>
              </w:rPr>
              <w:t>Actual</w:t>
            </w:r>
          </w:p>
        </w:tc>
        <w:tc>
          <w:tcPr>
            <w:tcW w:w="260" w:type="dxa"/>
            <w:vAlign w:val="bottom"/>
          </w:tcPr>
          <w:p>
            <w:pPr>
              <w:spacing w:after="0"/>
              <w:rPr>
                <w:sz w:val="14"/>
                <w:szCs w:val="14"/>
                <w:color w:val="auto"/>
              </w:rPr>
            </w:pP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Adjusted(1)</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7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 par value)</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1,535</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Long-term debt, including current maturities: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Revolving credit facility(2)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Other short-term bank loans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short-term borrowings</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Secured Term Loan Agreement(3)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6.35% Senior Notes due 2017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6.00% Senior Notes due 2018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9.625% Senior Notes due 2019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5.125% Senior Notes due 2020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4.50% Senior Notes due 2022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6.50% Senior Notes due 2036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6.80% Senior Notes due 2037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7.00% Senior Notes due 2038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9.875% Senior Notes due 2039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6.75% Senior Notes due 2040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5.95% Senior Notes due 2042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4.82% secured borrowing</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5.875% Exchangeable Senior Notes due 2021(4)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7.750% Senior Notes due 2021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8.250% Senior Notes due 2023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long-term debt</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60" w:type="dxa"/>
            <w:vAlign w:val="bottom"/>
          </w:tcPr>
          <w:p>
            <w:pPr>
              <w:ind w:left="88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indebtedness</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7,058</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8,162</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Ordinary shares—$0.001 par value; authorized 1,356, issued and outstanding 895, actual,</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6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as adjusted and as further adjusted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0"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Retained deficit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(1,498)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(1,498)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Weatherford Ireland shareholders’ equity</w:t>
            </w: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4,591</w:t>
            </w:r>
          </w:p>
        </w:tc>
        <w:tc>
          <w:tcPr>
            <w:tcW w:w="5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line="202" w:lineRule="exact"/>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shareholders’ equity</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4,659</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4,659</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tcPr>
          <w:p>
            <w:pPr>
              <w:spacing w:after="0" w:line="196" w:lineRule="exact"/>
              <w:rPr>
                <w:sz w:val="20"/>
                <w:szCs w:val="20"/>
                <w:color w:val="auto"/>
              </w:rPr>
            </w:pPr>
            <w:r>
              <w:rPr>
                <w:rFonts w:ascii="Arial" w:cs="Arial" w:eastAsia="Arial" w:hAnsi="Arial"/>
                <w:sz w:val="18"/>
                <w:szCs w:val="18"/>
                <w:color w:val="auto"/>
              </w:rPr>
              <w:t>Total capitalization</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12"/>
              <w:spacing w:after="0" w:line="196" w:lineRule="exact"/>
              <w:rPr>
                <w:sz w:val="20"/>
                <w:szCs w:val="20"/>
                <w:color w:val="auto"/>
              </w:rPr>
            </w:pPr>
            <w:r>
              <w:rPr>
                <w:rFonts w:ascii="Arial" w:cs="Arial" w:eastAsia="Arial" w:hAnsi="Arial"/>
                <w:sz w:val="18"/>
                <w:szCs w:val="18"/>
                <w:color w:val="auto"/>
                <w:w w:val="94"/>
              </w:rPr>
              <w:t>11,717</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12,821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5520"/>
              <w:spacing w:after="0"/>
              <w:rPr>
                <w:sz w:val="20"/>
                <w:szCs w:val="20"/>
                <w:color w:val="auto"/>
              </w:rPr>
            </w:pPr>
            <w:r>
              <w:rPr>
                <w:rFonts w:ascii="Arial" w:cs="Arial" w:eastAsia="Arial" w:hAnsi="Arial"/>
                <w:sz w:val="18"/>
                <w:szCs w:val="18"/>
                <w:color w:val="auto"/>
              </w:rPr>
              <w:t>S-30</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60" w:right="14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Although the intended use of net proceeds from both the Exchangeable Notes Offering and this offering is to fund all or a portion of the Tender Offers, the As Adjusted and As Further Adjusted columns do not give effect to the Tender Offers, and, except as provided in the next sentence, instead present the net proceeds from the Exchangeable Notes Offering and this offering as an upward adjustment to cash and cash equivalents pending their intended use. The net proceeds received by us in connection with the exercise of the underwriters’ over-allotment option to purchase additional Exchangeable Notes were used to pay down borrowings outstanding under our Revolving Credit Agreement. There can be no assurance that we will consummate the Tender Offers, which are subject to market conditions and other factors. As of June 7, 2016, the aggregate amount outstanding of the Target Notes was approximately $2.9 billion.</w:t>
      </w:r>
    </w:p>
    <w:p>
      <w:pPr>
        <w:spacing w:after="0" w:line="1" w:lineRule="exact"/>
        <w:rPr>
          <w:rFonts w:ascii="Arial" w:cs="Arial" w:eastAsia="Arial" w:hAnsi="Arial"/>
          <w:sz w:val="14"/>
          <w:szCs w:val="14"/>
          <w:color w:val="auto"/>
        </w:rPr>
      </w:pPr>
    </w:p>
    <w:p>
      <w:pPr>
        <w:ind w:left="460" w:right="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At March 31, 2016, we had a $2 billion unsecured, revolving credit facility that was to mature on July 13, 2017 with $949 million of available credit and $16 million in outstanding letters of credit. On May 4, 2016, we amended and restated our Revolving Credit Agreement to be in the amount of $1.38 billion in total, with $1.15 billion maturing in July 2019, for extending lenders, and $229 million maturing in July 2017, for non-extending lenders. At June 7, 2016, we had approximately $564 million available under the Revolving Credit Agreement, and there were $16 million in outstanding letters of credit under the Revolving Credit Agreement. Our Revolving Credit Agreement can be used for a combination of borrowings, including letters of credit, and the indebtedness incurred thereunder is structurally senior to the notes to the extent the Revolving Credit Agreement is guaranteed by entities that will not guarantee the notes. Amounts borrowed under the Revolving Credit Agreement fluctuate during each quarter based on working capital requirements and typically are lower at the end of a quarter.</w:t>
      </w:r>
    </w:p>
    <w:p>
      <w:pPr>
        <w:spacing w:after="0" w:line="2" w:lineRule="exact"/>
        <w:rPr>
          <w:rFonts w:ascii="Arial" w:cs="Arial" w:eastAsia="Arial" w:hAnsi="Arial"/>
          <w:sz w:val="14"/>
          <w:szCs w:val="14"/>
          <w:color w:val="auto"/>
        </w:rPr>
      </w:pPr>
    </w:p>
    <w:p>
      <w:pPr>
        <w:ind w:left="460" w:right="2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May 4, 2016, we entered into the Term Loan Agreement, which provides for secured indebtedness in the amount of $500 million. The $500 million term loan extended thereunder was used to reduce borrowings under our Revolving Credit Agreement. The indebtedness incurred under the Term Loan Agreement is secured and effectively senior to the notes and the guarantees to the extent of the collateral therefor and is structurally senior to the notes and the guarantees to the extent the Term Loan Agreement is guaranteed by entities that will not guarantee the notes.</w:t>
      </w:r>
    </w:p>
    <w:p>
      <w:pPr>
        <w:spacing w:after="0" w:line="1" w:lineRule="exact"/>
        <w:rPr>
          <w:rFonts w:ascii="Arial" w:cs="Arial" w:eastAsia="Arial" w:hAnsi="Arial"/>
          <w:sz w:val="14"/>
          <w:szCs w:val="14"/>
          <w:color w:val="auto"/>
        </w:rPr>
      </w:pPr>
    </w:p>
    <w:p>
      <w:pPr>
        <w:ind w:left="460" w:hanging="452"/>
        <w:spacing w:after="0" w:line="268"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On June 7, 2016, we closed the sale of our previously announced underwritten public offering of $1.265 billion aggregate principal amount of Exchangeable Notes. The amount shown in the table above for the Exchangeable Notes represents their principal amount. However, in accordance with ASC 470-20, we will separately account for the debt and equity components of the notes. Specifically, the initial carrying amount of the debt component will be valued using our cost of capital for a similar instrument that does not have an exchange feature, and the related debt discount will be credited to capital in excess of par value and amortized into interest expense over the term of the notes. Although ASC 470-20 will result in higher reported interest expense in our consolidated statement of income, it does not affect the actual interest amounts that we are required to pay on the notes.</w:t>
      </w:r>
    </w:p>
    <w:p>
      <w:pPr>
        <w:spacing w:after="0" w:line="138"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This table should be read in conjunction with, and is qualified in its entirety by reference to, “Use of Proceeds” and “Description of Other Indebtedness” in this prospectus supplement and “Management’s Discussion and Analysis of Financial Condition and Results of Operations” and the financial statements and the related notes in our Form 10-K and Form 10-Q which are incorporated by reference in this prospectus supplement.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8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w:t>
      </w:r>
    </w:p>
    <w:p>
      <w:pPr>
        <w:ind w:right="440" w:firstLine="8"/>
        <w:spacing w:after="0" w:line="238"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Three Months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Twelve Months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500" w:type="dxa"/>
            <w:vAlign w:val="bottom"/>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6"/>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620" w:type="dxa"/>
            <w:vAlign w:val="bottom"/>
          </w:tcPr>
          <w:p>
            <w:pPr>
              <w:spacing w:after="0"/>
              <w:rPr>
                <w:sz w:val="10"/>
                <w:szCs w:val="10"/>
                <w:color w:val="auto"/>
              </w:rPr>
            </w:pPr>
          </w:p>
        </w:tc>
        <w:tc>
          <w:tcPr>
            <w:tcW w:w="1500" w:type="dxa"/>
            <w:vAlign w:val="bottom"/>
            <w:gridSpan w:val="2"/>
          </w:tcPr>
          <w:p>
            <w:pPr>
              <w:jc w:val="center"/>
              <w:ind w:right="600"/>
              <w:spacing w:after="0" w:line="125"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Ratio of earnings to fixed charges:</w:t>
            </w:r>
          </w:p>
        </w:tc>
        <w:tc>
          <w:tcPr>
            <w:tcW w:w="150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2.30x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40" w:hanging="452"/>
        <w:spacing w:after="0" w:line="231"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three months ended March 31, 2016 and for the years ended December 31, 2015, 2014, 2013 and 2012, earnings before fixed charges were inadequate to cover fixed charges by $593 million, $2.1 billion, $266 million, $211 million and $349 million,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Weatherford International Ltd., a Bermuda exempted company (the “Issuer”), will issue the notes maturing in 2021 (the “2021 Notes”) and the notes maturing in 2023 (the “2023 Notes” and, together with the 2021 Notes, the “Notes”) described in this prospectus supplement under an Indenture dated as of October 1, 2003 (the “Base Indenture”) among the Issuer, Weatherford International plc, an Irish public limited company (the “Parent Guarantor”), Weatherford International, LLC, a Delaware limited liability company (“Weatherford Delaware”), as the initial Subsidiary Guarantor, and Deutsche Bank Trust Company Americas, as trustee (the “Trustee”), as supplemented and amended by previous supplemental indentures and by the Tenth Supplemental Indenture to be dated as of the Issue Date (the “Supplemental Indenture”) among the Issuer, the Parent Guarantor, Weatherford Delaware, as initial Subsidiary Guarantor, and the Trustee. We refer to the Base Indenture, as supplemented and amended by the Supplemental Indenture, as the “Indenture.” You may obtain a copy of each of the Base Indenture and the Supplemental Indenture from the Issuer at its address set forth elsewhere in this prospectus supplement.</w:t>
      </w:r>
    </w:p>
    <w:p>
      <w:pPr>
        <w:spacing w:after="0" w:line="161"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2021 Notes and the 2023 Notes will each be issued as a separate series under the Indenture, and the terms of the Notes of each series will include those set forth in the Indenture and those made part of the Indenture by reference to the Trust Indenture Act.</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The following is a summary of the material terms and provisions of the Notes of each series and the Indenture. Except as specifically indicated, those terms and provisions will be the same for each series of the Notes. The following summary does not purport to be a complete description of the Notes and the Indenture, and is subject to the detailed provisions of, and qualified in its entirety by reference to, the Notes and the Indenture. You can find definitions of certain terms used in this description under the heading “—Certain Definitions.”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2021 Notes will mature on June 15, 2021, and the 2023 Notes will mature on June 15, 2023. The Notes of each series will bear interest at the applicable rate shown on the cover page of this prospectus supplement, payable in cash semi-annually in arrears, on June 15 and December 15 of each year, commencing on December 15, 2016, to Holders at the close of business on June 1 or December 1, as the case may be (whether or not a Business Day), immediately preceding the related interest payment date. Interest on the Notes will accrue from and including the most recent date to which interest has been paid or, if no interest has been paid, from and including the date of issuance. Interest on the Notes will be computed on the basis of a 360-day year of twelve 30-day months.</w:t>
      </w:r>
    </w:p>
    <w:p>
      <w:pPr>
        <w:spacing w:after="0" w:line="156"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If a scheduled payment date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 Interest on overdue principal and interest and premium, if any, will accrue at the applicable interest rate on the Notes.</w:t>
      </w:r>
    </w:p>
    <w:p>
      <w:pPr>
        <w:spacing w:after="0" w:line="15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The Notes will be issued in registered form, without coupons, and in denominations of $2,000 and integral multiples of $1,000 in excess thereof.</w:t>
      </w:r>
    </w:p>
    <w:p>
      <w:pPr>
        <w:spacing w:after="0" w:line="155" w:lineRule="exact"/>
        <w:rPr>
          <w:sz w:val="20"/>
          <w:szCs w:val="20"/>
          <w:color w:val="auto"/>
        </w:rPr>
      </w:pPr>
    </w:p>
    <w:p>
      <w:pPr>
        <w:ind w:right="140" w:firstLine="456"/>
        <w:spacing w:after="0" w:line="299" w:lineRule="auto"/>
        <w:rPr>
          <w:sz w:val="20"/>
          <w:szCs w:val="20"/>
          <w:color w:val="auto"/>
        </w:rPr>
      </w:pPr>
      <w:r>
        <w:rPr>
          <w:rFonts w:ascii="Arial" w:cs="Arial" w:eastAsia="Arial" w:hAnsi="Arial"/>
          <w:sz w:val="16"/>
          <w:szCs w:val="16"/>
          <w:color w:val="auto"/>
        </w:rPr>
        <w:t>An aggregate principal amount of Notes equal to $1.5 billion is being issued in this offering, consisting of $750 million in aggregate principal amount of the 2021 Notes and $750 million in aggregate principal amount of the 2023 Notes. The Issuer may issue additional Notes of</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either series having identical terms and conditions to the Notes of that series being issued in this offering, except for issue date, issue price and first interest payment date, in an unlimited aggregate principal amount (the “Additional Notes”), subject to compliance with the covenant described under “—Certain Covenants—Limitation on Additional Indebtedness.” Any Additional Notes of a series will be part of the same issue as the Notes of that series being issued in this offering and will be treated as one class with the Notes of that series being issued in this offering, including for purposes of voting, redemptions and offers to purchase. For purposes of this “Description of Notes,” references to the Notes of either series include Additional Notes of that series, if 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Certificated Notes</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a Holder has given wire transfer instructions to the Trustee at least ten Business Days prior to the applicable payment date, the Issuer will make all payments on such Holder’s Notes by wire transfer of immediately available funds to the account in the City and State of New York specified in those instructions. Otherwise, payments on the Notes will be made at the office or agency of the paying agent (the “Paying Agent”) and registrar (the “Registrar”) for the Notes in the City and State of New York unless the Issuer elects to make interest payments by check mailed to the Holders at their addresses set forth in the register of Holders. The Issuer has initially designated the Trustee to act as Paying Agent and Registrar. The Issuer may change the Paying Agent or Registrar without prior notice to the Holders, and the Issuer and/or any Restricted Subsidiary may act as Paying Agent or Registrar.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6"/>
          <w:szCs w:val="16"/>
          <w:color w:val="auto"/>
        </w:rPr>
        <w:t>All payments and deliveries made by or on behalf of the Issuer or a Guarantor, or any successor to any of them, under or with respect to the Notes of each series, including, but not limited to payments of principal and interest and any payments under the Guarantees described under “— Guarantees,” will be made without withholding or deduction for, or on account of, any present or future taxes, duties, imposts, assessments or governmental charges of whatever nature imposed or levied (including any penalties and interest related thereto) (“applicable taxes”) by or within</w:t>
      </w:r>
    </w:p>
    <w:p>
      <w:pPr>
        <w:spacing w:after="0" w:line="1" w:lineRule="exact"/>
        <w:rPr>
          <w:sz w:val="20"/>
          <w:szCs w:val="20"/>
          <w:color w:val="auto"/>
        </w:rPr>
      </w:pPr>
    </w:p>
    <w:p>
      <w:pPr>
        <w:ind w:firstLine="8"/>
        <w:spacing w:after="0" w:line="235" w:lineRule="auto"/>
        <w:tabs>
          <w:tab w:leader="none" w:pos="2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Ireland (meaning Ireland exclusive of Northern Ireland) or Bermuda (or any political subdivision or taxing authority thereof or therein), (2) any jurisdiction in which the Issuer, a Guarantor or any of their respective successors is, for tax purposes, incorporated, organized or resident, or, as a result of activities carried on by the Issuer, a Guarantor or any successor has otherwise created a taxable presence (or any political subdivision or taxing authority thereof or therein) or (3) any jurisdiction (or any political subdivision or taxing authority thereof or therein) from or through which payment on the Notes or under the Guarantees is made by or on behalf of the Issuer or a Guarantor (including the jurisdiction of any Paying Agent) (each jurisdiction described in (1), (2) or (3), as applicable, a “relevant taxing jurisdiction”), unless such withholding or deduction is required by law or by the interpretation or administration thereof. In the event that any such withholding or deduction is so required, the Issuer or the Guarantor, as appropriate, will pay such additional amounts (the “additional amounts”) as may be necessary to ensure that the net amount received by the beneficial owners of the Notes after such withholding or deduction (and after deducting any applicable taxes on the additional amounts) will equal the amounts that would have been received by such holder had no such withholding or deduction been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additional amounts will be payable:</w:t>
      </w:r>
    </w:p>
    <w:p>
      <w:pPr>
        <w:spacing w:after="0" w:line="80"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or on account 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applicable taxes that would not have been imposed but for:</w:t>
      </w:r>
    </w:p>
    <w:p>
      <w:pPr>
        <w:spacing w:after="0" w:line="76" w:lineRule="exact"/>
        <w:rPr>
          <w:rFonts w:ascii="Arial" w:cs="Arial" w:eastAsia="Arial" w:hAnsi="Arial"/>
          <w:sz w:val="18"/>
          <w:szCs w:val="18"/>
          <w:color w:val="auto"/>
        </w:rPr>
      </w:pPr>
    </w:p>
    <w:p>
      <w:pPr>
        <w:ind w:left="1920" w:right="20" w:hanging="440"/>
        <w:spacing w:after="0" w:line="239" w:lineRule="auto"/>
        <w:tabs>
          <w:tab w:leader="none" w:pos="1920" w:val="left"/>
        </w:tabs>
        <w:numPr>
          <w:ilvl w:val="3"/>
          <w:numId w:val="24"/>
        </w:numPr>
        <w:rPr>
          <w:rFonts w:ascii="Arial" w:cs="Arial" w:eastAsia="Arial" w:hAnsi="Arial"/>
          <w:sz w:val="18"/>
          <w:szCs w:val="18"/>
          <w:color w:val="auto"/>
        </w:rPr>
      </w:pPr>
      <w:r>
        <w:rPr>
          <w:rFonts w:ascii="Arial" w:cs="Arial" w:eastAsia="Arial" w:hAnsi="Arial"/>
          <w:sz w:val="18"/>
          <w:szCs w:val="18"/>
          <w:color w:val="auto"/>
        </w:rPr>
        <w:t>the existence of any present or former connection between the relevant Holder (or a fiduciary, settlor, beneficiary, member, partner or shareholder of,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940" w:right="120"/>
        <w:spacing w:after="0" w:line="271" w:lineRule="auto"/>
        <w:rPr>
          <w:sz w:val="20"/>
          <w:szCs w:val="20"/>
          <w:color w:val="auto"/>
        </w:rPr>
      </w:pPr>
      <w:r>
        <w:rPr>
          <w:rFonts w:ascii="Arial" w:cs="Arial" w:eastAsia="Arial" w:hAnsi="Arial"/>
          <w:sz w:val="16"/>
          <w:szCs w:val="16"/>
          <w:color w:val="auto"/>
        </w:rPr>
        <w:t>possessor of power over, the relevant Holder, if the relevant Holder is an estate, nominee, trust, partnership, limited liability company or corporation) or beneficial owner of such Note and the relevant taxing jurisdiction (other than merely acquiring or holding such Note or the receipt of payments or the exercise or enforcement of rights under the Notes or the Guarantees)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w:t>
      </w:r>
    </w:p>
    <w:p>
      <w:pPr>
        <w:spacing w:after="0" w:line="50" w:lineRule="exact"/>
        <w:rPr>
          <w:sz w:val="20"/>
          <w:szCs w:val="20"/>
          <w:color w:val="auto"/>
        </w:rPr>
      </w:pPr>
    </w:p>
    <w:p>
      <w:pPr>
        <w:ind w:left="1920" w:hanging="440"/>
        <w:spacing w:after="0" w:line="23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presentation of such Note (in cases in which presentation is required) more than 30 days after the later of the date on which the payment on such Note became due and payable pursuant to the terms thereof or was made or duly provided for (except to the extent that the Holder or beneficial owner would have been entitled to additional amounts had the Note been presented on the last day of such 30-day period); or</w:t>
      </w:r>
    </w:p>
    <w:p>
      <w:pPr>
        <w:spacing w:after="0" w:line="73" w:lineRule="exact"/>
        <w:rPr>
          <w:rFonts w:ascii="Arial" w:cs="Arial" w:eastAsia="Arial" w:hAnsi="Arial"/>
          <w:sz w:val="18"/>
          <w:szCs w:val="18"/>
          <w:color w:val="auto"/>
        </w:rPr>
      </w:pPr>
    </w:p>
    <w:p>
      <w:pPr>
        <w:ind w:left="1920" w:hanging="440"/>
        <w:spacing w:after="0" w:line="236"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the failure of the Holder or beneficial owner to provide a declaration of non-residence or other similar claim or certification concerning nationality, residency or identity or other similar form for exemption or to present any applicable form or certificate that is required or imposed by statute, treaty, regulation or administrative practice, in each case, within a reasonable period of time following a reasonable written request from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 or beneficial owner is legally entitled to provide such declaration, claim form or certificate and that upon the making of such declaration or claim or presentation of such form or certificate, the Holder or beneficial owner would have been able to avoid such deduction or withholding;</w:t>
      </w:r>
    </w:p>
    <w:p>
      <w:pPr>
        <w:spacing w:after="0" w:line="74" w:lineRule="exact"/>
        <w:rPr>
          <w:rFonts w:ascii="Arial" w:cs="Arial" w:eastAsia="Arial" w:hAnsi="Arial"/>
          <w:sz w:val="18"/>
          <w:szCs w:val="18"/>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estate, inheritance, gift, sale, transfer, personal property or similar applicable taxes;</w:t>
      </w:r>
    </w:p>
    <w:p>
      <w:pPr>
        <w:spacing w:after="0" w:line="76" w:lineRule="exact"/>
        <w:rPr>
          <w:rFonts w:ascii="Arial" w:cs="Arial" w:eastAsia="Arial" w:hAnsi="Arial"/>
          <w:sz w:val="18"/>
          <w:szCs w:val="18"/>
          <w:color w:val="auto"/>
        </w:rPr>
      </w:pPr>
    </w:p>
    <w:p>
      <w:pPr>
        <w:ind w:left="1480" w:right="260" w:hanging="567"/>
        <w:spacing w:after="0" w:line="23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applicable taxes that are payable otherwise than by withholding or deduction from payments under or with respect to the Notes or the Guarantees;</w:t>
      </w:r>
    </w:p>
    <w:p>
      <w:pPr>
        <w:spacing w:after="0" w:line="73" w:lineRule="exact"/>
        <w:rPr>
          <w:rFonts w:ascii="Arial" w:cs="Arial" w:eastAsia="Arial" w:hAnsi="Arial"/>
          <w:sz w:val="18"/>
          <w:szCs w:val="18"/>
          <w:color w:val="auto"/>
        </w:rPr>
      </w:pPr>
    </w:p>
    <w:p>
      <w:pPr>
        <w:ind w:left="1480" w:right="140" w:hanging="567"/>
        <w:spacing w:after="0" w:line="23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taxes payable by or on behalf of a Holder who would have been able to avoid such withholding or deduction by presenting the Notes or request for payment under the Guarantees to another Paying Agent designated by the Issuer pursuant to the Indenture; and</w:t>
      </w:r>
    </w:p>
    <w:p>
      <w:pPr>
        <w:spacing w:after="0" w:line="72" w:lineRule="exact"/>
        <w:rPr>
          <w:rFonts w:ascii="Arial" w:cs="Arial" w:eastAsia="Arial" w:hAnsi="Arial"/>
          <w:sz w:val="18"/>
          <w:szCs w:val="18"/>
          <w:color w:val="auto"/>
        </w:rPr>
      </w:pPr>
    </w:p>
    <w:p>
      <w:pPr>
        <w:ind w:left="1480" w:hanging="567"/>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combination of applicable taxes referred to in the preceding clauses (a), (b), (c) and (d);</w:t>
      </w:r>
    </w:p>
    <w:p>
      <w:pPr>
        <w:spacing w:after="0" w:line="76" w:lineRule="exact"/>
        <w:rPr>
          <w:rFonts w:ascii="Arial" w:cs="Arial" w:eastAsia="Arial" w:hAnsi="Arial"/>
          <w:sz w:val="18"/>
          <w:szCs w:val="18"/>
          <w:color w:val="auto"/>
        </w:rPr>
      </w:pPr>
    </w:p>
    <w:p>
      <w:pPr>
        <w:ind w:left="900" w:right="80" w:hanging="446"/>
        <w:spacing w:after="0" w:line="23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Holder is a fiduciary, partnership or person other than the sole beneficial owner of that payment, to the extent that the relevant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w:t>
      </w:r>
    </w:p>
    <w:p>
      <w:pPr>
        <w:spacing w:after="0" w:line="73"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final withholding tax withheld by a Swiss bank or similar Swiss financial institution (a “Swiss financial institution”) that is imposed with respect to a Holder of a Note through an account with a Swiss financial institution, to the extent that such withholding tax would not have been imposed, if such holder had not voluntarily opted for imposition of such withholding tax in lieu of disclosure that would otherwise be required under a bilateral tax cooperation agreement between Switzerland and the country in which the holder is tax resident; and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right="20" w:hanging="446"/>
        <w:spacing w:after="0" w:line="275"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taxes imposed pursuant to Sections 1471 through 1474 of the U.S. Internal Revenue Code of 1986 (the “Code”) and any amended or successor version that is substantively comparable and not materially more onerous to comply with, any current or future regulations or official interpretations thereof, any agreements entered into pursuant to Section 1471(b)(1) of the Code, or any law or regulation implementing an intergovernmental agreement between a non-U.S. jurisdiction and the United States with respect to the foregoing.</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addition to the foregoing, the Issuer will also pay and indemnify the Holder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(“transfer taxes”) on the execution, delivery, registration or enforcement of any of the Notes, the Indenture or any other document or instrument referred to therein or the receipt of payments with respect thereto (subject to the exclusions described above, other than the exclusion described in paragraph 1(c)). For the avoidance of doubt, the indemnification provided in this paragraph shall not include any transfer taxes or stamp duty arising from the transfer of Notes between Holders or in the ordinary course after the Issue Date.</w:t>
      </w:r>
    </w:p>
    <w:p>
      <w:pPr>
        <w:spacing w:after="0" w:line="155"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If, after the date of this prospectus supplement, the Issuer or a Guarantor becomes obligated to pay additional amounts with respect to any payment under or with respect to the Notes, the Issuer will deliver to the Trustee on a date that is at least 30 days prior to the date of that payment (unless the obligation to pay additional amounts arises after the 30th day prior to that payment date, in which case the Issuer will notify the Trustee promptly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The Issuer will provide the Trustee with satisfactory documentation evidencing the payment of additional amounts.</w:t>
      </w:r>
    </w:p>
    <w:p>
      <w:pPr>
        <w:spacing w:after="0" w:line="131"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Issuer or the Guarantors, as appropriate, will make all withholdings and deductions required by law and will remit the full amount deducted or withheld to the relevant tax authority in accordance with applicable law. Upon request, the Issuer will provide to the Trustee an official receipt or, if official receipts are not obtainable, other satisfactory documentation evidencing the payment of any applicable taxes so deducted or withheld. Upon written request, copies of those receipts or other documentation, as the case may be, will be made available by the Trustee to the Holders of the Notes.</w:t>
      </w:r>
    </w:p>
    <w:p>
      <w:pPr>
        <w:spacing w:after="0" w:line="157"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Whenever there is mentioned in any context the payment of interest on any Note or any other amount payable with respect to such Note, such mention shall be deemed to include payment of additional amounts provided for in the Indenture to the extent that, in such context, additional amounts are, were or would be payable in respect thereof.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series of the Notes will be the senior, unsecured obligations of the Issuer and will be:</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equal in right of payment with our existing and future senior, unsecured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in right of payment to our existing and future Indebtedness that is expressly subordinated to the Notes;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700" w:hanging="326"/>
        <w:spacing w:after="0" w:line="23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subordinated to our existing and future secured Indebtedness, to the extent of the value of the collateral securing that Indebtedness; and</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we are not a holder thereof) preferred equity, if any, of our non-guarantor subsidiaries.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 of each Guarantor will be that Guarantor’s senior, unsecured obligation and will be:</w:t>
      </w:r>
    </w:p>
    <w:p>
      <w:pPr>
        <w:spacing w:after="0" w:line="77"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equal in right of payment with that Guarantor’s existing and future senior, unsecured Indebtedness;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in right of payment to that Guarantor’s existing and future Indebtedness that is expressly subordinated to its Guarantee;</w:t>
      </w:r>
    </w:p>
    <w:p>
      <w:pPr>
        <w:spacing w:after="0" w:line="76"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subordinated to that Guarantor’s existing and future secured Indebtedness, to the extent of the value of the collateral securing that Indebtedness; and</w:t>
      </w:r>
    </w:p>
    <w:p>
      <w:pPr>
        <w:spacing w:after="0" w:line="73" w:lineRule="exact"/>
        <w:rPr>
          <w:rFonts w:ascii="Arial" w:cs="Arial" w:eastAsia="Arial" w:hAnsi="Arial"/>
          <w:sz w:val="18"/>
          <w:szCs w:val="18"/>
          <w:color w:val="auto"/>
        </w:rPr>
      </w:pPr>
    </w:p>
    <w:p>
      <w:pPr>
        <w:ind w:left="780" w:right="40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liabilities, including trade payables, and (to the extent that Guarantor is not a holder thereof) preferred equity, if any, of that Guarantor’s other non-guarantor subsidiaries.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the event of the Issuer’s or any Guarantor’s bankruptcy, liquidation, reorganization or other winding up, the Issuer or that Guarantor’s assets that secure any Indebtedness will not be available to make payments under the Notes or the applicable Guarantee unless all of that Indebtedness is first paid in full. In the event of the bankruptcy, liquidation, reorganization or other winding up of any non-guarantor subsidiaries of the Issuer, the Issuer, as a common equity holder of that subsidiary, and, therefore, the Holders, will rank behind that subsidiary’s creditors, including that subsidiary’s trade creditors, and (to the extent the Issuer is not a holder thereof) that subsidiary’s preferred equity holders. Even if the Issuer were a creditor of any of its non-guarantor subsidiaries, its rights as a creditor would be effectively subordinated to any security interest of others in the assets of that subsidiary, to the extent of the value of the those assets, and would be subordinated to any Indebtedness of that subsidiary that is senior in right of payment to that held by the Issuer.</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March 31, 2016, as adjusted to give effect to the entry into the Term Loan Agreement and the Revolving Credit Agreement and the sale of $1.265 billion of the Issuer’s 5.875% Exchangeable Senior Notes as if each had occurred on such date, the Parent Guarantor had total consolidated Indebtedness of $8.2 billion (without giving effect to the use of proceeds from the Issuer’s exchangeable notes offering and this offering) substantially all of which, other than $500 million of Indebtedness incurred under the Term Loan Agreement, was unsecured Indebtedness of the Issuer or its subsidiaries guaranteed by the Guarantors and/or the Issuer and to which the Notes and the Guarantees would have ranked equal in right of payment. See “Risk Factors—Risks Relating to the Notes and our Indebtedness—The notes and the guarantees will be effectively subordinated to any of our or the guarantors’ existing and future secured debt and structurally subordinated to the liabilities of our and our guarantors’ non-guarantor subsidiaries.”</w:t>
      </w:r>
    </w:p>
    <w:p>
      <w:pPr>
        <w:spacing w:after="0" w:line="154"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8"/>
          <w:szCs w:val="18"/>
          <w:color w:val="auto"/>
        </w:rPr>
        <w:t>Although the Indenture will contain limitations on the amount of additional secured Indebtedness that the Parent Guarantor and its Restricted Subsidiaries may incur, under certain circumstances, the amount of this Indebtedness could be substantial. See “—Certain Covenants—Limitation on Additional Indebtedness” and “—Certain Covenants—Limitation on Liens.”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9" w:lineRule="exact"/>
        <w:rPr>
          <w:sz w:val="20"/>
          <w:szCs w:val="20"/>
          <w:color w:val="auto"/>
        </w:rPr>
      </w:pPr>
    </w:p>
    <w:p>
      <w:pPr>
        <w:jc w:val="both"/>
        <w:ind w:right="160" w:firstLine="456"/>
        <w:spacing w:after="0" w:line="238" w:lineRule="auto"/>
        <w:rPr>
          <w:sz w:val="20"/>
          <w:szCs w:val="20"/>
          <w:color w:val="auto"/>
        </w:rPr>
      </w:pPr>
      <w:r>
        <w:rPr>
          <w:rFonts w:ascii="Arial" w:cs="Arial" w:eastAsia="Arial" w:hAnsi="Arial"/>
          <w:sz w:val="18"/>
          <w:szCs w:val="18"/>
          <w:color w:val="auto"/>
        </w:rPr>
        <w:t>The Issuer’s obligations under the Notes and the Indenture initially will be jointly and severally guaranteed, on a senior unsecured basis, by the Parent Guarantor and Weatherford Delaware. In the future, such obligations may also be guaranteed by certain other Restricted Subsidiaries of the Parent Guarantor as described under “—Certain Covenants—Additional Guarantees.”</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Initially, none of the Parent Guarantor’s Subsidiaries will guarantee the Notes, other than Weatherford Delaware. In the event of a bankruptcy, liquidation or reorganization of any non-guarantor Subsidiaries, the non-Guarantor Subsidiaries will pay the holders of their debt and their trade creditors before they will be able to distribute any of their assets to the Issuer or a Guarantor. As of June 7, 2016, the Parent Guarantor’s non-guarantor Subsidiaries (excluding the Issuer) had outstanding guarantees for approximately $1.3 billion of the Issuer’s debt under the Credit Agreement and the Term Loan Agreement.</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obligations of each Guarantor under its Guarantee will be limited to the maximum amount as will, after giving effect to all other contingent and fixed liabilities of such Guarantor (including, without limitation, any guarantees under the Credit Agreement and the Term Loan Agreement) and after giving effect to any collections from or payments made by or on behalf of any other Guarantor in respect of the obligations of such other Guarantor under its Guarantee or pursuant to its contribution obligations under the Indenture, result in the obligations of such Guarantor under its Guarantee not constituting a fraudulent conveyance, fraudulent preference or fraudulent transfer or otherwise reviewable transaction under applicable law. Nonetheless, in the event of the bankruptcy, insolvency or financial difficulty of a Guarantor, such Guarantor’s obligations under its Guarantee may be subject to review and avoidance under applicable fraudulent conveyance, fraudulent preference, fraudulent transfer and insolvency laws. Among other things, such obligations may be avoided if a court concludes that such obligations were incurred for less than a reasonably equivalent value or fair or sufficient consideration at a time when the Guarantor was insolvent, was rendered insolvent, was on the eve of insolvency or was left with inadequate capital to conduct its business. A court may conclude that a Guarantor did not receive reasonably equivalent value or fair or sufficient consideration to the extent that the aggregate amount of its liability on its Guarantee exceeds the economic benefits it receives from the issuance of the Guarantee. If a Guarantee was rendered avoidable, it could be subordinated by a court to all other indebtedness (including guarantees and other contingent liabilities) of the Guarantor, and, depending on the amount of such indebtedness, a Guarantor’s liability on its Guarantee could be reduced to zero. See “Risk Factors—Risks Relating to the Notes and our Indebtedness—U.S. Federal and state laws and Irish law allow courts, under specific circumstances, to void guarantees and require noteholders to return payments received from guarantors.”</w:t>
      </w:r>
    </w:p>
    <w:p>
      <w:pPr>
        <w:spacing w:after="0" w:line="161"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the Indenture to seek contribution from each other Guarantor in a pro rata amount of such payment based on the respective net assets of all the Guarantors at the time of such payment in accordance with GAAP.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Guarantor shall be released automatically from its obligations under its Guarantee and its other obligations under the Indenture upon: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ind w:left="920" w:right="980" w:firstLine="421"/>
        <w:spacing w:after="0" w:line="239" w:lineRule="auto"/>
        <w:tabs>
          <w:tab w:leader="none" w:pos="16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of such Subsidiary Guarantor’s properties and assets as, or substantially as, an entirety (whether by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200"/>
        <w:spacing w:after="0" w:line="239" w:lineRule="auto"/>
        <w:rPr>
          <w:sz w:val="20"/>
          <w:szCs w:val="20"/>
          <w:color w:val="auto"/>
        </w:rPr>
      </w:pPr>
      <w:r>
        <w:rPr>
          <w:rFonts w:ascii="Arial" w:cs="Arial" w:eastAsia="Arial" w:hAnsi="Arial"/>
          <w:sz w:val="18"/>
          <w:szCs w:val="18"/>
          <w:color w:val="auto"/>
        </w:rPr>
        <w:t>consolidation, amalgamation, merger, conveyance, transfer or otherwise) to a Person that is not (either before or after giving effect to such transaction) the Parent Guarantor or a Restricted Subsidiary;</w:t>
      </w:r>
    </w:p>
    <w:p>
      <w:pPr>
        <w:spacing w:after="0" w:line="74" w:lineRule="exact"/>
        <w:rPr>
          <w:sz w:val="20"/>
          <w:szCs w:val="20"/>
          <w:color w:val="auto"/>
        </w:rPr>
      </w:pPr>
    </w:p>
    <w:p>
      <w:pPr>
        <w:ind w:left="920" w:right="60" w:firstLine="421"/>
        <w:spacing w:after="0" w:line="238" w:lineRule="auto"/>
        <w:tabs>
          <w:tab w:leader="none" w:pos="16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 including, without limitation, a disposition in connection with a Qualified Spin Transaction;</w:t>
      </w:r>
    </w:p>
    <w:p>
      <w:pPr>
        <w:spacing w:after="0" w:line="72" w:lineRule="exact"/>
        <w:rPr>
          <w:rFonts w:ascii="Arial" w:cs="Arial" w:eastAsia="Arial" w:hAnsi="Arial"/>
          <w:sz w:val="18"/>
          <w:szCs w:val="18"/>
          <w:color w:val="auto"/>
        </w:rPr>
      </w:pPr>
    </w:p>
    <w:p>
      <w:pPr>
        <w:ind w:left="1600" w:hanging="259"/>
        <w:spacing w:after="0"/>
        <w:tabs>
          <w:tab w:leader="none" w:pos="1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a Subsidiary Guarantor, the proper designation of such Subsidiary Guarantor as an Unrestricted Subsidiary;</w:t>
      </w:r>
    </w:p>
    <w:p>
      <w:pPr>
        <w:spacing w:after="0" w:line="58" w:lineRule="exact"/>
        <w:rPr>
          <w:rFonts w:ascii="Arial" w:cs="Arial" w:eastAsia="Arial" w:hAnsi="Arial"/>
          <w:sz w:val="18"/>
          <w:szCs w:val="18"/>
          <w:color w:val="auto"/>
        </w:rPr>
      </w:pPr>
    </w:p>
    <w:p>
      <w:pPr>
        <w:ind w:left="920" w:right="340" w:firstLine="421"/>
        <w:spacing w:after="0" w:line="247" w:lineRule="auto"/>
        <w:tabs>
          <w:tab w:leader="none" w:pos="16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in the case of a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has occurred and is continuing, all Debt which required such Subsidiary Guarantor to guarantee the Notes pursuant to the covenant described below under the caption “—Certain Covenants—Additional Guarantees” is no longer outstanding;</w:t>
      </w:r>
    </w:p>
    <w:p>
      <w:pPr>
        <w:spacing w:after="0" w:line="67" w:lineRule="exact"/>
        <w:rPr>
          <w:rFonts w:ascii="Arial" w:cs="Arial" w:eastAsia="Arial" w:hAnsi="Arial"/>
          <w:sz w:val="18"/>
          <w:szCs w:val="18"/>
          <w:color w:val="auto"/>
        </w:rPr>
      </w:pPr>
    </w:p>
    <w:p>
      <w:pPr>
        <w:ind w:left="920" w:right="300" w:firstLine="421"/>
        <w:spacing w:after="0" w:line="239" w:lineRule="auto"/>
        <w:tabs>
          <w:tab w:leader="none" w:pos="1603" w:val="left"/>
        </w:tabs>
        <w:numPr>
          <w:ilvl w:val="1"/>
          <w:numId w:val="33"/>
        </w:numPr>
        <w:rPr>
          <w:rFonts w:ascii="Arial" w:cs="Arial" w:eastAsia="Arial" w:hAnsi="Arial"/>
          <w:sz w:val="18"/>
          <w:szCs w:val="18"/>
          <w:color w:val="auto"/>
        </w:rPr>
      </w:pPr>
      <w:r>
        <w:rPr>
          <w:rFonts w:ascii="Arial" w:cs="Arial" w:eastAsia="Arial" w:hAnsi="Arial"/>
          <w:sz w:val="18"/>
          <w:szCs w:val="18"/>
          <w:color w:val="auto"/>
        </w:rPr>
        <w:t>legal or covenant defeasance or satisfaction and discharge of the Indenture as provided below under the captions “—Legal Defeasance and Covenant Defeasance” and “—Satisfaction and Discharge”; or</w:t>
      </w:r>
    </w:p>
    <w:p>
      <w:pPr>
        <w:spacing w:after="0" w:line="55" w:lineRule="exact"/>
        <w:rPr>
          <w:rFonts w:ascii="Arial" w:cs="Arial" w:eastAsia="Arial" w:hAnsi="Arial"/>
          <w:sz w:val="18"/>
          <w:szCs w:val="18"/>
          <w:color w:val="auto"/>
        </w:rPr>
      </w:pPr>
    </w:p>
    <w:p>
      <w:pPr>
        <w:ind w:left="1560" w:hanging="219"/>
        <w:spacing w:after="0"/>
        <w:tabs>
          <w:tab w:leader="none" w:pos="15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liquidation and dissolution of such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no Default or Event of Default has occurred that is continuing; and</w:t>
      </w:r>
    </w:p>
    <w:p>
      <w:pPr>
        <w:spacing w:after="0" w:line="94" w:lineRule="exact"/>
        <w:rPr>
          <w:rFonts w:ascii="Arial" w:cs="Arial" w:eastAsia="Arial" w:hAnsi="Arial"/>
          <w:sz w:val="18"/>
          <w:szCs w:val="18"/>
          <w:color w:val="auto"/>
        </w:rPr>
      </w:pPr>
    </w:p>
    <w:p>
      <w:pPr>
        <w:ind w:left="460" w:right="200" w:firstLine="443"/>
        <w:spacing w:after="0" w:line="238"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Issuer delivering to the Trustee an Officer’s Certificate and an Opinion of Counsel to the effect that all conditions precedent provided for in the Indenture relating to the release of such Guarantor’s Guarantee and its other obligations under the Indenture have been complied with.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Par Redemption</w:t>
      </w:r>
    </w:p>
    <w:p>
      <w:pPr>
        <w:spacing w:after="0" w:line="95"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At any time on or after, in the case of the 2021 Notes, March 15, 2021 (one month prior to their maturity date) (the “2021 Notes Par Call Date”) or, in the case of the 2023 Notes, May 15, 2023 (three months prior to their maturity date) (the “2023 Notes Par Call Date”), the Notes of such series will be redeemable, at our option, at any time in whole, or from time to time in part, at a price equal to 100% of the principal amount of the Notes to be redeemed, plus, in either case, accrued and unpaid interest to the redemption date.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Make-Whole Redemption</w:t>
      </w:r>
    </w:p>
    <w:p>
      <w:pPr>
        <w:spacing w:after="0" w:line="95" w:lineRule="exact"/>
        <w:rPr>
          <w:sz w:val="20"/>
          <w:szCs w:val="20"/>
          <w:color w:val="auto"/>
        </w:rPr>
      </w:pPr>
    </w:p>
    <w:p>
      <w:pPr>
        <w:jc w:val="both"/>
        <w:ind w:right="160" w:firstLine="456"/>
        <w:spacing w:after="0" w:line="238" w:lineRule="auto"/>
        <w:rPr>
          <w:sz w:val="20"/>
          <w:szCs w:val="20"/>
          <w:color w:val="auto"/>
        </w:rPr>
      </w:pPr>
      <w:r>
        <w:rPr>
          <w:rFonts w:ascii="Arial" w:cs="Arial" w:eastAsia="Arial" w:hAnsi="Arial"/>
          <w:sz w:val="18"/>
          <w:szCs w:val="18"/>
          <w:color w:val="auto"/>
        </w:rPr>
        <w:t>At any time prior to, in the case of the 2021 Notes, the 2021 Notes Par Call Date or, in the case of the 2023 Notes, the 2023 Notes Par Call Date, each such series of Notes will be redeemable, at our option, at any time in whole, or from time to time in part, at a price equal to the greater of:</w:t>
      </w:r>
    </w:p>
    <w:p>
      <w:pPr>
        <w:spacing w:after="0" w:line="73"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76"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 redemption price) on the Notes to be redeemed (exclusive of interest accrued to the redemption date) that would have been due if the Notes had matured on the 2021 Notes Par Call Date in the case of the 2021 Notes, and the 2023 Notes Par Call Date in the case of the 2023 Notes, discounted to the redemption date on a semi-annual basis (assuming a 360-day year consisting of twelve 30-day months) at the applicable Treasury Yield plus 50 basis points for the 2021 Notes and 50 basis points for the 2023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the redemption date.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actual optional redemption price will be calculated and certified to the Trustee and the Issuer by the Independent Investment Banker. For purposes of determining the optional redemption price, the following definitions are applicable:</w:t>
      </w:r>
    </w:p>
    <w:p>
      <w:pPr>
        <w:spacing w:after="0" w:line="155"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“Treasury Yield” means, with respect to any redemption date applicable to the Notes of either series,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“Comparable Treasury Issue” means the United States Treasury security selected by the Independent Investment Banker as having a maturity comparable to the remaining term of the Notes to be redeemed, calculated as if the maturity date of the 2021 Notes were the 2021 Notes Par Call Date and as if the maturity date of the 2023 Notes were the 2023 Notes Par Call Date, as the case may be (the “Remaining Life”), that would be utilized, at the time of selection and in accordance with customary financial practice, in pricing new issues of corporate debt securities of comparable maturity to the Remaining Life of the Notes to be redeemed; provided, however, that if no maturity is within three months before or after the applicable Par Call Date for such Notes, yields for the two published maturities most closely corresponding to such United States Treasury security will be determined and the treasury rate will be interpolated or extrapolated from those yields on a straight line basis rounding to the nearest month.</w:t>
      </w:r>
    </w:p>
    <w:p>
      <w:pPr>
        <w:spacing w:after="0" w:line="154" w:lineRule="exact"/>
        <w:rPr>
          <w:sz w:val="20"/>
          <w:szCs w:val="20"/>
          <w:color w:val="auto"/>
        </w:rPr>
      </w:pPr>
    </w:p>
    <w:p>
      <w:pPr>
        <w:ind w:right="460" w:firstLine="456"/>
        <w:spacing w:after="0" w:line="238" w:lineRule="auto"/>
        <w:rPr>
          <w:sz w:val="20"/>
          <w:szCs w:val="20"/>
          <w:color w:val="auto"/>
        </w:rPr>
      </w:pPr>
      <w:r>
        <w:rPr>
          <w:rFonts w:ascii="Arial" w:cs="Arial" w:eastAsia="Arial" w:hAnsi="Arial"/>
          <w:sz w:val="18"/>
          <w:szCs w:val="18"/>
          <w:color w:val="auto"/>
        </w:rPr>
        <w:t>“Independent Investment Banker” means any of Deutsche Bank Securities Inc. and Wells Fargo Securities, LLC and their respective successors or, if neither such firm is willing and able to select the applicable Comparable Treasury Issue, an independent investment banking institution of national standing appointed by the Issuer.</w:t>
      </w:r>
    </w:p>
    <w:p>
      <w:pPr>
        <w:spacing w:after="0" w:line="154"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“Comparable Treasury Price” means, with respect to any redemption date, (a) the average of the Reference Treasury Dealer Quotations for the redemption date, after excluding the highest and lowest Reference Treasury Dealer Quotations, or (b) if the Independent Investment Banker obtains fewer than four Reference Treasury Dealer Quotations, the average of all such quotations.</w:t>
      </w:r>
    </w:p>
    <w:p>
      <w:pPr>
        <w:spacing w:after="0" w:line="154"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“Reference Treasury Dealer” means each of Deutsche Bank Securities Inc. and Wells Fargo Securities, LLC so long as it is a primary U.S. Government securities dealer in the United States (a “Primary Treasury Dealer”) at the relevant time and, if it is not then a Primary Treasury Dealer, then a Primary Treasury Dealer selected by it, and in each case their respective successors, plus at least two other Primary Treasury Dealers selected by us; provided, however, that if any of the foregoing shall not be a Primary Treasury Dealer at such time and shall fail to select a Primary Treasury Dealer, then the Issuer will substitute therefor another Primary Treasury Dealer.</w:t>
      </w:r>
    </w:p>
    <w:p>
      <w:pPr>
        <w:spacing w:after="0" w:line="157"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Notes, an average, as determined by an Independent Investment Banker, of the bid and asked prices for the Comparable Treasury Issue for the Notes (expressed in each case as a percentage of its principal amount) quoted in writing to an Independent Investment Banker by such Reference Treasury Dealer at 5:00 p.m., New York City time, on the third business day preceding such redemption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at Our Option upon a Change in Tax Law</w:t>
      </w:r>
    </w:p>
    <w:p>
      <w:pPr>
        <w:spacing w:after="0" w:line="95"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Prior to the maturity date of the Notes of either series, if the Issuer or a Guarantor has, or on the next interest payment date would, become obligated to pay to the Holder or beneficial owner of any Note of that series additional amounts as a result of any change or amendment on or after the date of this prospectus supplement in the laws or any rules or regulations of a relevant taxing jurisdiction or any change on or after the date of this prospectus supplement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“change in tax law”), then the Issuer may, at its option, redeem all, but not less than all, of the Note of that series, for cash at a redemption price equal to 100% of the principal amount thereof, together with accrued and unpaid interest, if any, to the date fixed for redemption (a “Tax Redemption Date”). The Tax Redemption Date will be a Business Day of the Issuer’s choosing that is no more than 60, nor less than 30, calendar days after the date it sends the related redemption notice, as described below.</w:t>
      </w:r>
    </w:p>
    <w:p>
      <w:pPr>
        <w:spacing w:after="0" w:line="161" w:lineRule="exact"/>
        <w:rPr>
          <w:sz w:val="20"/>
          <w:szCs w:val="20"/>
          <w:color w:val="auto"/>
        </w:rPr>
      </w:pPr>
    </w:p>
    <w:p>
      <w:pPr>
        <w:ind w:right="380" w:firstLine="456"/>
        <w:spacing w:after="0" w:line="238" w:lineRule="auto"/>
        <w:rPr>
          <w:sz w:val="20"/>
          <w:szCs w:val="20"/>
          <w:color w:val="auto"/>
        </w:rPr>
      </w:pPr>
      <w:r>
        <w:rPr>
          <w:rFonts w:ascii="Arial" w:cs="Arial" w:eastAsia="Arial" w:hAnsi="Arial"/>
          <w:sz w:val="18"/>
          <w:szCs w:val="18"/>
          <w:color w:val="auto"/>
        </w:rPr>
        <w:t>If a change in tax law occurs and the Issuer has elected to redeem the Notes of either series, then it will send to each Holder (and to any beneficial owner of a global note, if required by applicable law) written notice of the redemption containing certain information set forth in the Indenture, including the redemption price and the Tax Redemption Date.</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Provisions Respecting Any Redemption</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If a redemption date is after a regular record date and on or before the next interest payment date, then (i) the Holder of a Note at the close of business on such regular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Notes called for redemption must be delivered to the Paying Agent (in the case of certificated Notes) or DTC’s procedures must be complied with (in the case of global notes) for the Holder of those Notes to be entitled to receive the redemption price.</w:t>
      </w:r>
    </w:p>
    <w:p>
      <w:pPr>
        <w:spacing w:after="0" w:line="155"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Notwithstanding anything to the contrary above,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54"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will not be required to make mandatory redemption or sinking fund payments with respect to the Notes.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the event that less than all of the Notes of either series are to be redeemed at any time pursuant to an optional redemption, the Trustee will select the Notes of that series for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 xml:space="preserve">redemption in compliance with the requirements of the principal national securities exchange, if any, on which such Notes are listed or, if such Notes are not then listed on a national security exchange, on a pro rata basis, by lot or by such method as the Trustee in its sole discretion shall deem fair and appropriate (except that any Notes represented by a global note will be redeemed by such method as the DTC may require);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Notes of a principal amount of $2,000 in original principal amount or less shall be redeemed in part.</w:t>
      </w:r>
    </w:p>
    <w:p>
      <w:pPr>
        <w:spacing w:after="0" w:line="12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Notice of redemption will be sent to the Holders at least 30, but not more than 60, days before the date of redemption, except that redemption notices may be sent more than 60 days prior to a redemption date if the notice is issued in connection with a defeasance of the Notes or a satisfaction and discharge of the Indenture. Notices of redemption may be subject to one or more conditions specified in the notice of redemption. The notice of redemption with respect to a redemption described under “—Optional Redemption—Make-Whole Redemption” need not set forth the redemption price but only the manner of calculation thereof. If any Note is to be redeemed in part only, the notice of redemption that relates to that Note will state the portion of the principal amount of the Note to be redeemed. A new Note in a principal amount equal to the unredeemed portion of the Note will be issued in the name of the Holder of the Note upon cancellation of the original Note. On and after the applicable date of redemption, interest will cease to accrue on Notes or portions thereof called for redemption so long as the Issuer has deposited with the Paying Agent for the Notes funds in satisfaction of the applicable redemption price (including accrued and unpaid interest on the Notes to be redeemed) pursuant to the Indenture.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Repurchase Event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 Change of Control Triggering Event with respect to either series of Notes, unless the Issuer has previously or</w:t>
      </w:r>
    </w:p>
    <w:p>
      <w:pPr>
        <w:spacing w:after="0"/>
        <w:rPr>
          <w:sz w:val="20"/>
          <w:szCs w:val="20"/>
          <w:color w:val="auto"/>
        </w:rPr>
      </w:pPr>
      <w:r>
        <w:rPr>
          <w:rFonts w:ascii="Arial" w:cs="Arial" w:eastAsia="Arial" w:hAnsi="Arial"/>
          <w:sz w:val="16"/>
          <w:szCs w:val="16"/>
          <w:color w:val="auto"/>
        </w:rPr>
        <w:t>concurrently exercised its right to redeem all of the Notes of that series as described under “—Optional Redemption,” each Holder of Notes of such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series will have the right, except as provided below, to require that the Issuer purchase all or any part (equal to $2,000 or an integral multiple of</w:t>
      </w:r>
    </w:p>
    <w:p>
      <w:pPr>
        <w:spacing w:after="0"/>
        <w:rPr>
          <w:sz w:val="20"/>
          <w:szCs w:val="20"/>
          <w:color w:val="auto"/>
        </w:rPr>
      </w:pPr>
      <w:r>
        <w:rPr>
          <w:rFonts w:ascii="Arial" w:cs="Arial" w:eastAsia="Arial" w:hAnsi="Arial"/>
          <w:sz w:val="16"/>
          <w:szCs w:val="16"/>
          <w:color w:val="auto"/>
        </w:rPr>
        <w:t>$1,000 in excess thereof) of that Holder’s Notes for a cash price equal to 101.0% of the aggregate principal amount of the Notes to be purchased,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plus accrued and unpaid interest, if any, thereon to the date of purchase (the “Change of Control Payment”).</w:t>
      </w:r>
    </w:p>
    <w:p>
      <w:pPr>
        <w:spacing w:after="0" w:line="15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Not later than 30 days following any Change of Control Triggering Event, the Issuer will deliver, or cause to be delivered, to the Holders, with a copy to the Trustee, a notice:</w:t>
      </w:r>
    </w:p>
    <w:p>
      <w:pPr>
        <w:spacing w:after="0" w:line="74" w:lineRule="exact"/>
        <w:rPr>
          <w:sz w:val="20"/>
          <w:szCs w:val="20"/>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 Triggering Event;</w:t>
      </w:r>
    </w:p>
    <w:p>
      <w:pPr>
        <w:spacing w:after="0" w:line="76" w:lineRule="exact"/>
        <w:rPr>
          <w:rFonts w:ascii="Arial" w:cs="Arial" w:eastAsia="Arial" w:hAnsi="Arial"/>
          <w:sz w:val="18"/>
          <w:szCs w:val="18"/>
          <w:color w:val="auto"/>
        </w:rPr>
      </w:pPr>
    </w:p>
    <w:p>
      <w:pPr>
        <w:ind w:left="460" w:firstLine="443"/>
        <w:spacing w:after="0" w:line="236"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offering to purchase, pursuant to the procedures required by the Indenture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of such series that are properly tendered by such Holder pursuant to such Change of Control Offer prior to 5:00 p.m. New York time on the second Business Day preceding the Change of Control Payment Date; and</w:t>
      </w:r>
    </w:p>
    <w:p>
      <w:pPr>
        <w:spacing w:after="0" w:line="76" w:lineRule="exact"/>
        <w:rPr>
          <w:rFonts w:ascii="Arial" w:cs="Arial" w:eastAsia="Arial" w:hAnsi="Arial"/>
          <w:sz w:val="18"/>
          <w:szCs w:val="18"/>
          <w:color w:val="auto"/>
        </w:rPr>
      </w:pPr>
    </w:p>
    <w:p>
      <w:pPr>
        <w:ind w:left="460" w:right="600" w:firstLine="443"/>
        <w:spacing w:after="0" w:line="239"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55"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77" w:lineRule="exact"/>
        <w:rPr>
          <w:sz w:val="20"/>
          <w:szCs w:val="20"/>
          <w:color w:val="auto"/>
        </w:rPr>
      </w:pPr>
    </w:p>
    <w:p>
      <w:pPr>
        <w:ind w:left="460" w:right="380" w:firstLine="443"/>
        <w:spacing w:after="0" w:line="239"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73" w:lineRule="exact"/>
        <w:rPr>
          <w:rFonts w:ascii="Arial" w:cs="Arial" w:eastAsia="Arial" w:hAnsi="Arial"/>
          <w:sz w:val="18"/>
          <w:szCs w:val="18"/>
          <w:color w:val="auto"/>
        </w:rPr>
      </w:pPr>
    </w:p>
    <w:p>
      <w:pPr>
        <w:ind w:left="460" w:right="340" w:firstLine="443"/>
        <w:spacing w:after="0" w:line="239"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55"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54"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If a Change of Control Offer is made, there can be no assurance that the Issuer will have available funds sufficient to pay for all or any of the Notes that might be delivered by Holders seeking to accept the Change of Control Offer. See “Risk Factors—Risks Relating to the Notes and our Indebtedness—We may not be able to fund a change of control offer.” In addition, in the event of a Change of Control Triggering Event the Issuer may not be able to obtain the consents necessary to consummate a Change of Control Offer from the lenders under agreements governing outstanding Indebtedness which may prohibit the offer. If the Issuer fails to repurchase all of the Notes tendered for purchase upon a Change of Control Triggering Event, such failure will constitute an Event of Default. In addition, the occurrence of certain of the events which would constitute a Change of Control may constitute an event of default under the Credit Agreement or the Term Loan Agreement and may constitute an event of default under other existing or future Indebtedness. Moreover, the exercise by the Holders of their right to require the Issuer to purchase the Notes could cause a default under such Indebtedness, even if the Change of Control itself does not, due to the financial effect of the repurchase on the Issuer. Finally, the Issuer’s ability to pay cash to the Holders upon a Change of Control Triggering Event may be limited by its then existing financial resources.</w:t>
      </w:r>
    </w:p>
    <w:p>
      <w:pPr>
        <w:spacing w:after="0" w:line="161"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provisions described above that require the Issuer to make a Change of Control Offer following a Change of Control Triggering Event will be applicable regardless of whether any other provisions of the Indenture are applicable to the transaction giving rise to the Change of Control Triggering Event. The Change of Control Triggering Event purchase feature of the Notes may in certain circumstances make more difficult or discourage a sale or takeover of the Parent Guarantor and, thus, the removal of incumbent management. The Change of Control Triggering Event purchase feature is a result of negotiations between the Parent Guarantor and the underwriters. The Parent Guarantor does not have the present intention to engage in a transaction involving a Change of Control, although it is possible that the Parent Guarantor could decide to do so in the future. Subject to the limitations discussed below, the Parent Guarantor could, in the future, enter into certain transactions, including acquisitions, refinancing or other recapitalizations, that would not constitute a Change of Control Triggering Event under the Indenture, but that could increase the amount of Indebtedness outstanding at such time or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otherwise effect the Parent Guarantor’s consolidated capital structure or credit ratings. Restrictions on the ability of the Parent Guarantor and certain Subsidiaries to incur additional Indebtedness are contained in the covenants described under “—Certain Covenants—Limitation on Additional Indebtedness” and “—Certain Covenants—Limitation on Liens.” Except as described above with respect to a Change of Control, the Indenture will not contain provisions that permit the Holders to require that the Issuer purchase or redeem the Notes in the event of a takeover, recapitalization or similar transaction.</w:t>
      </w:r>
    </w:p>
    <w:p>
      <w:pPr>
        <w:spacing w:after="0" w:line="15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6"/>
          <w:szCs w:val="16"/>
          <w:color w:val="auto"/>
        </w:rPr>
        <w:t>The Issuer will not be required to make a Change of Control Offer upon a Change of Control Triggering Event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w:t>
      </w:r>
    </w:p>
    <w:p>
      <w:pPr>
        <w:spacing w:after="0" w:line="1" w:lineRule="exact"/>
        <w:rPr>
          <w:sz w:val="20"/>
          <w:szCs w:val="20"/>
          <w:color w:val="auto"/>
        </w:rPr>
      </w:pPr>
    </w:p>
    <w:p>
      <w:pPr>
        <w:ind w:right="60" w:firstLine="8"/>
        <w:spacing w:after="0" w:line="239" w:lineRule="auto"/>
        <w:tabs>
          <w:tab w:leader="none" w:pos="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Issuer has given notice of the redemption of all of the Notes then outstanding as described under “—Optional Redemption,” unless and until there is a default in the payment of the applicable redemption price.</w:t>
      </w:r>
    </w:p>
    <w:p>
      <w:pPr>
        <w:spacing w:after="0" w:line="155" w:lineRule="exact"/>
        <w:rPr>
          <w:sz w:val="20"/>
          <w:szCs w:val="20"/>
          <w:color w:val="auto"/>
        </w:rPr>
      </w:pPr>
    </w:p>
    <w:p>
      <w:pPr>
        <w:ind w:right="120" w:firstLine="456"/>
        <w:spacing w:after="0" w:line="271" w:lineRule="auto"/>
        <w:rPr>
          <w:sz w:val="20"/>
          <w:szCs w:val="20"/>
          <w:color w:val="auto"/>
        </w:rPr>
      </w:pPr>
      <w:r>
        <w:rPr>
          <w:rFonts w:ascii="Arial" w:cs="Arial" w:eastAsia="Arial" w:hAnsi="Arial"/>
          <w:sz w:val="16"/>
          <w:szCs w:val="16"/>
          <w:color w:val="auto"/>
        </w:rPr>
        <w:t>If Holders of not less than 95.0% in aggregate principal amount of the outstanding Notes of a series validly tender and do not withdraw such Notes in a Change of Control Offer and the Issuer, or any third party making a Change of Control Offer in lieu of the Issuer as described above, purchases all of the Notes of that series validly tendered and not withdrawn by such Holders, the Issuer will have the right, upon not less than 30 nor more than 60 days’ prior notice, given not more than 30 days following such purchase pursuant to the Change of Control Offer to redeem all Notes of that series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3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With respect to any disposition of properties or assets, the phrase “all or substantially all” as used in the Indenture varies according to the facts and circumstances of the subject transaction, has no clearly established meaning under New York law (which will govern the Notes and the Indenture) and is subject to judicial interpretation. Accordingly, there may be a degree of uncertainty in ascertaining whether a particular transaction would involve a disposition of “all or substantially all” of the properties or assets of Weatherford Parent Company and its Subsidiaries, and therefore it may be unclear as to whether a Change of Control Triggering Event has occurred and whether the Holders have the right to require the Issuer to purchase Notes.</w:t>
      </w:r>
    </w:p>
    <w:p>
      <w:pPr>
        <w:spacing w:after="0" w:line="156" w:lineRule="exact"/>
        <w:rPr>
          <w:sz w:val="20"/>
          <w:szCs w:val="20"/>
          <w:color w:val="auto"/>
        </w:rPr>
      </w:pPr>
    </w:p>
    <w:p>
      <w:pPr>
        <w:ind w:right="280" w:firstLine="456"/>
        <w:spacing w:after="0" w:line="273"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the “Change of Control Repurchase Event” provisions of the Indenture, the Issuer shall comply with the applicable securities laws and regulations and will not be deemed to have breached its obligations under the “Change of Control Repurchase Event” provisions of the Indenture by virtue of such compliance.</w:t>
      </w:r>
    </w:p>
    <w:p>
      <w:pPr>
        <w:spacing w:after="0" w:line="129" w:lineRule="exact"/>
        <w:rPr>
          <w:sz w:val="20"/>
          <w:szCs w:val="20"/>
          <w:color w:val="auto"/>
        </w:rPr>
      </w:pPr>
    </w:p>
    <w:p>
      <w:pPr>
        <w:ind w:right="740" w:firstLine="456"/>
        <w:spacing w:after="0" w:line="239" w:lineRule="auto"/>
        <w:rPr>
          <w:sz w:val="20"/>
          <w:szCs w:val="20"/>
          <w:color w:val="auto"/>
        </w:rPr>
      </w:pPr>
      <w:r>
        <w:rPr>
          <w:rFonts w:ascii="Arial" w:cs="Arial" w:eastAsia="Arial" w:hAnsi="Arial"/>
          <w:sz w:val="18"/>
          <w:szCs w:val="18"/>
          <w:color w:val="auto"/>
        </w:rPr>
        <w:t>The provisions under the Indenture relating to the Issuer’s obligation to make a Change of Control Offer may be waived, modified or terminated with the consent of the Holders of a majority in principal amount of the Notes then outstanding.</w:t>
      </w:r>
    </w:p>
    <w:p>
      <w:pPr>
        <w:spacing w:after="0" w:line="15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9"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As of the Issue Date, all of the Parent Guarantor’s Subsidiaries will be “Restricted Subsidiaries.” However, under the circumstances described below under the subheading “—Limitation on Designation of Unrestricted Subsidiaries,” the Parent Guarantor will be permitted to designate any of its Subsidiaries as “Unrestricted Subsidiaries.” The effect of designating a Subsidiary as an “Unrestricted Subsidiary” will be that:</w:t>
      </w:r>
    </w:p>
    <w:p>
      <w:pPr>
        <w:spacing w:after="0" w:line="43" w:lineRule="exact"/>
        <w:rPr>
          <w:sz w:val="20"/>
          <w:szCs w:val="20"/>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Unrestricted Subsidiary will not be subject to any of the restrictive covenants in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Unrestricted Subsidiary will not guarantee the Notes;</w:t>
      </w:r>
    </w:p>
    <w:p>
      <w:pPr>
        <w:spacing w:after="0" w:line="76" w:lineRule="exact"/>
        <w:rPr>
          <w:rFonts w:ascii="Arial" w:cs="Arial" w:eastAsia="Arial" w:hAnsi="Arial"/>
          <w:sz w:val="18"/>
          <w:szCs w:val="18"/>
          <w:color w:val="auto"/>
        </w:rPr>
      </w:pPr>
    </w:p>
    <w:p>
      <w:pPr>
        <w:ind w:left="460" w:right="520" w:firstLine="443"/>
        <w:spacing w:after="0" w:line="239"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Subsidiary that has previously been a Guarantor and that is designated an Unrestricted Subsidiary will be released from its Guarantee and its obligations under the Indenture; and</w:t>
      </w:r>
    </w:p>
    <w:p>
      <w:pPr>
        <w:spacing w:after="0" w:line="73" w:lineRule="exact"/>
        <w:rPr>
          <w:rFonts w:ascii="Arial" w:cs="Arial" w:eastAsia="Arial" w:hAnsi="Arial"/>
          <w:sz w:val="18"/>
          <w:szCs w:val="18"/>
          <w:color w:val="auto"/>
        </w:rPr>
      </w:pPr>
    </w:p>
    <w:p>
      <w:pPr>
        <w:ind w:left="460" w:right="260" w:firstLine="443"/>
        <w:spacing w:after="0" w:line="239"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assets, income, cash flows and other financial results of an Unrestricted Subsidiary will not be consolidated with those of the Parent Guarantor for purposes of calculating compliance with the restrictive covenants contained in the Indenture.</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Covenant Termination</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Following the first date that the Notes of either series have an Investment Grade Rating and no Default or Event of Default has occurred and is then continuing, then upon delivery by the Issuer to the Trustee of an Officer’s Certificate to the foregoing effect, the Parent Guarantor and its Restricted Subsidiaries will no longer be subject to the covenants with respect to the Notes of that series described under the following subheadings:</w:t>
      </w:r>
    </w:p>
    <w:p>
      <w:pPr>
        <w:spacing w:after="0" w:line="74" w:lineRule="exact"/>
        <w:rPr>
          <w:sz w:val="20"/>
          <w:szCs w:val="20"/>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 on Additional Indebtedness”;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 on Restricted Payments”;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 on Dividend and Other Restrictions Affecting 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 on Transactions with Affiliates”;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 on Designation of Unrestricted Subsidiaries.”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Additional Indebtedness</w:t>
      </w:r>
    </w:p>
    <w:p>
      <w:pPr>
        <w:spacing w:after="0" w:line="95" w:lineRule="exact"/>
        <w:rPr>
          <w:sz w:val="20"/>
          <w:szCs w:val="20"/>
          <w:color w:val="auto"/>
        </w:rPr>
      </w:pPr>
    </w:p>
    <w:p>
      <w:pPr>
        <w:ind w:right="60" w:firstLine="456"/>
        <w:spacing w:after="0" w:line="275" w:lineRule="auto"/>
        <w:rPr>
          <w:sz w:val="20"/>
          <w:szCs w:val="20"/>
          <w:color w:val="auto"/>
        </w:rPr>
      </w:pPr>
      <w:r>
        <w:rPr>
          <w:rFonts w:ascii="Arial" w:cs="Arial" w:eastAsia="Arial" w:hAnsi="Arial"/>
          <w:sz w:val="16"/>
          <w:szCs w:val="16"/>
          <w:color w:val="auto"/>
        </w:rPr>
        <w:t xml:space="preserve">The Parent Guarantor will not, and will not permit any Restricted Subsidiary to, directly or indirectly, incur any Indebtedness (including Acquired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77" w:lineRule="exact"/>
        <w:rPr>
          <w:sz w:val="20"/>
          <w:szCs w:val="20"/>
          <w:color w:val="auto"/>
        </w:rPr>
      </w:pPr>
    </w:p>
    <w:p>
      <w:pPr>
        <w:ind w:left="460" w:right="60" w:firstLine="443"/>
        <w:spacing w:after="0" w:line="264" w:lineRule="auto"/>
        <w:tabs>
          <w:tab w:leader="none" w:pos="11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w:t>
      </w:r>
    </w:p>
    <w:p>
      <w:pPr>
        <w:ind w:left="660" w:hanging="19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$2,000.0 million or (ii)17.5% of the Parent Guarantor’s Consolidated Tangible Assets determined at the time of incurrence;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60" w:hanging="257"/>
        <w:spacing w:after="0"/>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Indebtedness under (a) the Notes issued on the Issue Date and (b) the Guarantees of the Notes;</w:t>
      </w:r>
    </w:p>
    <w:p>
      <w:pPr>
        <w:spacing w:after="0" w:line="76" w:lineRule="exact"/>
        <w:rPr>
          <w:rFonts w:ascii="Arial" w:cs="Arial" w:eastAsia="Arial" w:hAnsi="Arial"/>
          <w:sz w:val="18"/>
          <w:szCs w:val="18"/>
          <w:color w:val="auto"/>
        </w:rPr>
      </w:pPr>
    </w:p>
    <w:p>
      <w:pPr>
        <w:ind w:left="460" w:right="560" w:firstLine="443"/>
        <w:spacing w:after="0" w:line="239"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Issue Date (other than Indebtedness referred to in clauses (1), (2) and (6) of this paragraph);</w:t>
      </w:r>
    </w:p>
    <w:p>
      <w:pPr>
        <w:spacing w:after="0" w:line="73" w:lineRule="exact"/>
        <w:rPr>
          <w:rFonts w:ascii="Arial" w:cs="Arial" w:eastAsia="Arial" w:hAnsi="Arial"/>
          <w:sz w:val="18"/>
          <w:szCs w:val="18"/>
          <w:color w:val="auto"/>
        </w:rPr>
      </w:pPr>
    </w:p>
    <w:p>
      <w:pPr>
        <w:ind w:left="460" w:right="120" w:firstLine="443"/>
        <w:spacing w:after="0" w:line="237"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73" w:lineRule="exact"/>
        <w:rPr>
          <w:rFonts w:ascii="Arial" w:cs="Arial" w:eastAsia="Arial" w:hAnsi="Arial"/>
          <w:sz w:val="18"/>
          <w:szCs w:val="18"/>
          <w:color w:val="auto"/>
        </w:rPr>
      </w:pPr>
    </w:p>
    <w:p>
      <w:pPr>
        <w:ind w:left="460" w:right="320" w:firstLine="443"/>
        <w:spacing w:after="0" w:line="239"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73" w:lineRule="exact"/>
        <w:rPr>
          <w:rFonts w:ascii="Arial" w:cs="Arial" w:eastAsia="Arial" w:hAnsi="Arial"/>
          <w:sz w:val="18"/>
          <w:szCs w:val="18"/>
          <w:color w:val="auto"/>
        </w:rPr>
      </w:pPr>
    </w:p>
    <w:p>
      <w:pPr>
        <w:ind w:left="460" w:firstLine="443"/>
        <w:spacing w:after="0" w:line="236"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75" w:lineRule="exact"/>
        <w:rPr>
          <w:rFonts w:ascii="Arial" w:cs="Arial" w:eastAsia="Arial" w:hAnsi="Arial"/>
          <w:sz w:val="18"/>
          <w:szCs w:val="18"/>
          <w:color w:val="auto"/>
        </w:rPr>
      </w:pPr>
    </w:p>
    <w:p>
      <w:pPr>
        <w:ind w:left="460" w:right="40" w:firstLine="443"/>
        <w:spacing w:after="0" w:line="236"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62" w:val="left"/>
        </w:tabs>
        <w:numPr>
          <w:ilvl w:val="1"/>
          <w:numId w:val="43"/>
        </w:numPr>
        <w:rPr>
          <w:rFonts w:ascii="Arial" w:cs="Arial" w:eastAsia="Arial" w:hAnsi="Arial"/>
          <w:sz w:val="16"/>
          <w:szCs w:val="16"/>
          <w:color w:val="auto"/>
        </w:rPr>
      </w:pPr>
      <w:r>
        <w:rPr>
          <w:rFonts w:ascii="Arial" w:cs="Arial" w:eastAsia="Arial" w:hAnsi="Arial"/>
          <w:sz w:val="16"/>
          <w:szCs w:val="16"/>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w:t>
      </w: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$500.0 million or (b) 5.0% of the Parent Guarantor’s Consolidated Tangible Assets determined at the time of incurrence;</w:t>
      </w:r>
    </w:p>
    <w:p>
      <w:pPr>
        <w:spacing w:after="0" w:line="76" w:lineRule="exact"/>
        <w:rPr>
          <w:rFonts w:ascii="Arial" w:cs="Arial" w:eastAsia="Arial" w:hAnsi="Arial"/>
          <w:sz w:val="18"/>
          <w:szCs w:val="18"/>
          <w:color w:val="auto"/>
        </w:rPr>
      </w:pPr>
    </w:p>
    <w:p>
      <w:pPr>
        <w:ind w:left="460" w:right="80" w:firstLine="443"/>
        <w:spacing w:after="0" w:line="239" w:lineRule="auto"/>
        <w:tabs>
          <w:tab w:leader="none" w:pos="116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73" w:lineRule="exact"/>
        <w:rPr>
          <w:rFonts w:ascii="Arial" w:cs="Arial" w:eastAsia="Arial" w:hAnsi="Arial"/>
          <w:sz w:val="18"/>
          <w:szCs w:val="18"/>
          <w:color w:val="auto"/>
        </w:rPr>
      </w:pPr>
    </w:p>
    <w:p>
      <w:pPr>
        <w:ind w:left="460" w:right="440" w:firstLine="443"/>
        <w:spacing w:after="0" w:line="239" w:lineRule="auto"/>
        <w:tabs>
          <w:tab w:leader="none" w:pos="1259"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73" w:lineRule="exact"/>
        <w:rPr>
          <w:rFonts w:ascii="Arial" w:cs="Arial" w:eastAsia="Arial" w:hAnsi="Arial"/>
          <w:sz w:val="18"/>
          <w:szCs w:val="18"/>
          <w:color w:val="auto"/>
        </w:rPr>
      </w:pPr>
    </w:p>
    <w:p>
      <w:pPr>
        <w:ind w:left="460" w:right="420" w:firstLine="443"/>
        <w:spacing w:after="0" w:line="239" w:lineRule="auto"/>
        <w:tabs>
          <w:tab w:leader="none" w:pos="1259"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Refinancing Indebtedness with respect to Indebtedness incurred pursuant to the Coverage Ratio Exception or with respect to Indebtedness incurred pursuant to clause (2), (3) or (8) above, this clause (11), or clause (13) or (15) below;</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firstLine="443"/>
        <w:spacing w:after="0" w:line="237" w:lineRule="auto"/>
        <w:tabs>
          <w:tab w:leader="none" w:pos="12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73" w:lineRule="exact"/>
        <w:rPr>
          <w:rFonts w:ascii="Arial" w:cs="Arial" w:eastAsia="Arial" w:hAnsi="Arial"/>
          <w:sz w:val="18"/>
          <w:szCs w:val="18"/>
          <w:color w:val="auto"/>
        </w:rPr>
      </w:pPr>
    </w:p>
    <w:p>
      <w:pPr>
        <w:ind w:left="460" w:right="60" w:firstLine="443"/>
        <w:spacing w:after="0" w:line="237" w:lineRule="auto"/>
        <w:tabs>
          <w:tab w:leader="none" w:pos="12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$600.0 million or (b) 6.0% of the Parent Guarantor’s Consolidated Tangible Assets determined at the time of incurrence;</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76" w:lineRule="exact"/>
        <w:rPr>
          <w:rFonts w:ascii="Arial" w:cs="Arial" w:eastAsia="Arial" w:hAnsi="Arial"/>
          <w:sz w:val="18"/>
          <w:szCs w:val="18"/>
          <w:color w:val="auto"/>
        </w:rPr>
      </w:pPr>
    </w:p>
    <w:p>
      <w:pPr>
        <w:ind w:left="460" w:right="320" w:firstLine="443"/>
        <w:spacing w:after="0" w:line="239" w:lineRule="auto"/>
        <w:tabs>
          <w:tab w:leader="none" w:pos="1259"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73" w:lineRule="exact"/>
        <w:rPr>
          <w:rFonts w:ascii="Arial" w:cs="Arial" w:eastAsia="Arial" w:hAnsi="Arial"/>
          <w:sz w:val="18"/>
          <w:szCs w:val="18"/>
          <w:color w:val="auto"/>
        </w:rPr>
      </w:pPr>
    </w:p>
    <w:p>
      <w:pPr>
        <w:ind w:left="460" w:right="240" w:firstLine="443"/>
        <w:spacing w:after="0" w:line="264" w:lineRule="auto"/>
        <w:tabs>
          <w:tab w:leader="none" w:pos="1259"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time such Person or its assets are acquired by the Parent Guarantor or a Restricted Subsidiary, or merged or consolidated with the Parent Guarantor or any Restricted Subsidiary and after giving pro forma effect to the incurrence of such Indebtedness pursuant to this clause</w:t>
      </w:r>
    </w:p>
    <w:p>
      <w:pPr>
        <w:ind w:left="460" w:right="240" w:firstLine="4"/>
        <w:spacing w:after="0" w:line="237" w:lineRule="auto"/>
        <w:tabs>
          <w:tab w:leader="none" w:pos="8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For purposes of determining compliance with this covenant,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 on the Issue Date, after giving effect to the application of the proceeds of this offering, shall be deemed to have been incurred under clause (1) above and may not be reclassified) and may later reclassify any item of Indebtedness described in clauses (2) through (16)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61"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 xml:space="preserve">The accrual of interest, the accretion or amortization of original issue discount and the payment of interest on any Indebtedness in the form of additional Indebtedness with the same terms will not be deemed to be an incurrence of Indebtedness of this covenant; </w:t>
      </w:r>
      <w:r>
        <w:rPr>
          <w:rFonts w:ascii="Arial" w:cs="Arial" w:eastAsia="Arial" w:hAnsi="Arial"/>
          <w:sz w:val="18"/>
          <w:szCs w:val="18"/>
          <w:i w:val="1"/>
          <w:iCs w:val="1"/>
          <w:color w:val="auto"/>
        </w:rPr>
        <w:t>provided</w:t>
      </w:r>
      <w:r>
        <w:rPr>
          <w:rFonts w:ascii="Arial" w:cs="Arial" w:eastAsia="Arial" w:hAnsi="Arial"/>
          <w:sz w:val="18"/>
          <w:szCs w:val="18"/>
          <w:color w:val="auto"/>
        </w:rPr>
        <w:t>, in each such case, that the amount thereof is included in Consolidated Interest Expense of the Parent Guarantor as accrued.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6"/>
          <w:szCs w:val="16"/>
          <w:color w:val="auto"/>
        </w:rPr>
        <w:t xml:space="preserve">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39" w:lineRule="exact"/>
        <w:rPr>
          <w:sz w:val="20"/>
          <w:szCs w:val="20"/>
          <w:color w:val="auto"/>
        </w:rPr>
      </w:pPr>
    </w:p>
    <w:p>
      <w:pPr>
        <w:ind w:right="440" w:firstLine="456"/>
        <w:spacing w:after="0" w:line="238"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 Limitation on Additional Indebtedness” covenant, the Issuer shall be in Default of this covenant).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Guarantees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after the Issue Date, any Restricted Subsidiary of the Parent Guarantor, other than the Issuer or a Guarantor, shall guarantee or otherwise incur any Debt (excluding any Debt under a Credit Facility incurred pursuant to clause (1) of the definition of Permitted Indebtedness) in an aggregate principal amount in excess of 15.0% of the Consolidated Tangible Assets of the Parent Guarantor, then the Parent Guarantor shall, within thirty (30) days thereof, cause such Restricted Subsidiary to execute and deliver to the Trustee a supplemental indenture substantially in the form specified in the Indenture pursuant to which such Restricted Subsidiary shall become a Guarantor with respect to the Notes, upon the terms and subject to the release provisions and other limitations described under “—Guarantees.”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Restricted Payments</w:t>
      </w:r>
    </w:p>
    <w:p>
      <w:pPr>
        <w:spacing w:after="0" w:line="95"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74" w:lineRule="exact"/>
        <w:rPr>
          <w:sz w:val="20"/>
          <w:szCs w:val="20"/>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Parent Guarantor is not able to incur at least $1.00 of additional Indebtedness pursuant to the Coverage Ratio Exception; or</w:t>
      </w:r>
    </w:p>
    <w:p>
      <w:pPr>
        <w:spacing w:after="0" w:line="76" w:lineRule="exact"/>
        <w:rPr>
          <w:rFonts w:ascii="Arial" w:cs="Arial" w:eastAsia="Arial" w:hAnsi="Arial"/>
          <w:sz w:val="18"/>
          <w:szCs w:val="18"/>
          <w:color w:val="auto"/>
        </w:rPr>
      </w:pPr>
    </w:p>
    <w:p>
      <w:pPr>
        <w:ind w:left="460" w:right="380" w:firstLine="443"/>
        <w:spacing w:after="0" w:line="238" w:lineRule="auto"/>
        <w:tabs>
          <w:tab w:leader="none" w:pos="11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72" w:lineRule="exact"/>
        <w:rPr>
          <w:rFonts w:ascii="Arial" w:cs="Arial" w:eastAsia="Arial" w:hAnsi="Arial"/>
          <w:sz w:val="18"/>
          <w:szCs w:val="18"/>
          <w:color w:val="auto"/>
        </w:rPr>
      </w:pPr>
    </w:p>
    <w:p>
      <w:pPr>
        <w:ind w:left="920" w:right="220" w:firstLine="421"/>
        <w:spacing w:after="0" w:line="237" w:lineRule="auto"/>
        <w:tabs>
          <w:tab w:leader="none" w:pos="16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50.0% of Consolidated Net Income of the Parent Guarantor and the Restricted Subsidiaries for the period (taken as one accounting period) commencing on January 1, 2017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right="40" w:firstLine="421"/>
        <w:spacing w:after="0" w:line="268" w:lineRule="auto"/>
        <w:tabs>
          <w:tab w:leader="none" w:pos="1603" w:val="left"/>
        </w:tabs>
        <w:numPr>
          <w:ilvl w:val="0"/>
          <w:numId w:val="48"/>
        </w:numPr>
        <w:rPr>
          <w:rFonts w:ascii="Arial" w:cs="Arial" w:eastAsia="Arial" w:hAnsi="Arial"/>
          <w:sz w:val="16"/>
          <w:szCs w:val="16"/>
          <w:color w:val="auto"/>
        </w:rPr>
      </w:pPr>
      <w:r>
        <w:rPr>
          <w:rFonts w:ascii="Arial" w:cs="Arial" w:eastAsia="Arial" w:hAnsi="Arial"/>
          <w:sz w:val="16"/>
          <w:szCs w:val="16"/>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55" w:lineRule="exact"/>
        <w:rPr>
          <w:rFonts w:ascii="Arial" w:cs="Arial" w:eastAsia="Arial" w:hAnsi="Arial"/>
          <w:sz w:val="16"/>
          <w:szCs w:val="16"/>
          <w:color w:val="auto"/>
        </w:rPr>
      </w:pPr>
    </w:p>
    <w:p>
      <w:pPr>
        <w:ind w:left="920" w:right="140" w:firstLine="421"/>
        <w:spacing w:after="0" w:line="237" w:lineRule="auto"/>
        <w:tabs>
          <w:tab w:leader="none" w:pos="15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the disposition or repayment of or return on any Investment that was treated as a Restricted Payment after the Issue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73" w:lineRule="exact"/>
        <w:rPr>
          <w:rFonts w:ascii="Arial" w:cs="Arial" w:eastAsia="Arial" w:hAnsi="Arial"/>
          <w:sz w:val="18"/>
          <w:szCs w:val="18"/>
          <w:color w:val="auto"/>
        </w:rPr>
      </w:pPr>
    </w:p>
    <w:p>
      <w:pPr>
        <w:ind w:left="920" w:right="220" w:firstLine="421"/>
        <w:spacing w:after="0" w:line="236" w:lineRule="auto"/>
        <w:tabs>
          <w:tab w:leader="none" w:pos="16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77" w:lineRule="exact"/>
        <w:rPr>
          <w:sz w:val="20"/>
          <w:szCs w:val="20"/>
          <w:color w:val="auto"/>
        </w:rPr>
      </w:pPr>
    </w:p>
    <w:p>
      <w:pPr>
        <w:jc w:val="both"/>
        <w:ind w:left="460" w:right="280" w:firstLine="443"/>
        <w:spacing w:after="0" w:line="238"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72" w:lineRule="exact"/>
        <w:rPr>
          <w:rFonts w:ascii="Arial" w:cs="Arial" w:eastAsia="Arial" w:hAnsi="Arial"/>
          <w:sz w:val="18"/>
          <w:szCs w:val="18"/>
          <w:color w:val="auto"/>
        </w:rPr>
      </w:pPr>
    </w:p>
    <w:p>
      <w:pPr>
        <w:ind w:left="460" w:firstLine="443"/>
        <w:spacing w:after="0" w:line="239"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73" w:lineRule="exact"/>
        <w:rPr>
          <w:rFonts w:ascii="Arial" w:cs="Arial" w:eastAsia="Arial" w:hAnsi="Arial"/>
          <w:sz w:val="18"/>
          <w:szCs w:val="18"/>
          <w:color w:val="auto"/>
        </w:rPr>
      </w:pPr>
    </w:p>
    <w:p>
      <w:pPr>
        <w:ind w:left="460" w:right="60" w:firstLine="443"/>
        <w:spacing w:after="0" w:line="237"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the covenant described under the caption “—Limitation on Additional Indebtedness” and the other terms of the Indenture;</w:t>
      </w:r>
    </w:p>
    <w:p>
      <w:pPr>
        <w:spacing w:after="0" w:line="73" w:lineRule="exact"/>
        <w:rPr>
          <w:rFonts w:ascii="Arial" w:cs="Arial" w:eastAsia="Arial" w:hAnsi="Arial"/>
          <w:sz w:val="18"/>
          <w:szCs w:val="18"/>
          <w:color w:val="auto"/>
        </w:rPr>
      </w:pPr>
    </w:p>
    <w:p>
      <w:pPr>
        <w:ind w:left="460" w:right="60" w:firstLine="443"/>
        <w:spacing w:after="0" w:line="236"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the covenant described under “—Change of Control Repurchase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60"/>
        <w:spacing w:after="0" w:line="239" w:lineRule="auto"/>
        <w:rPr>
          <w:sz w:val="20"/>
          <w:szCs w:val="20"/>
          <w:color w:val="auto"/>
        </w:rPr>
      </w:pPr>
      <w:r>
        <w:rPr>
          <w:rFonts w:ascii="Arial" w:cs="Arial" w:eastAsia="Arial" w:hAnsi="Arial"/>
          <w:sz w:val="18"/>
          <w:szCs w:val="18"/>
          <w:color w:val="auto"/>
        </w:rPr>
        <w:t>of Control Offer as provided in such covenant with respect to the Notes and has completed the repurchase or redemption of all Notes validly tendered for payment in connection with such Change of Control Offer;</w:t>
      </w:r>
    </w:p>
    <w:p>
      <w:pPr>
        <w:spacing w:after="0" w:line="74" w:lineRule="exact"/>
        <w:rPr>
          <w:sz w:val="20"/>
          <w:szCs w:val="20"/>
          <w:color w:val="auto"/>
        </w:rPr>
      </w:pPr>
    </w:p>
    <w:p>
      <w:pPr>
        <w:ind w:left="460" w:firstLine="443"/>
        <w:spacing w:after="0" w:line="264"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in any case, that the aggregate cash consideration paid for all such redemptions, repurchases or other acquisitions or retirements shall not exceed</w:t>
      </w:r>
    </w:p>
    <w:p>
      <w:pPr>
        <w:spacing w:after="0" w:line="1" w:lineRule="exact"/>
        <w:rPr>
          <w:rFonts w:ascii="Arial" w:cs="Arial" w:eastAsia="Arial" w:hAnsi="Arial"/>
          <w:sz w:val="16"/>
          <w:szCs w:val="16"/>
          <w:color w:val="auto"/>
        </w:rPr>
      </w:pPr>
    </w:p>
    <w:p>
      <w:pPr>
        <w:ind w:left="460" w:right="40" w:firstLine="4"/>
        <w:spacing w:after="0" w:line="236" w:lineRule="auto"/>
        <w:tabs>
          <w:tab w:leader="none" w:pos="7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$50.0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73" w:lineRule="exact"/>
        <w:rPr>
          <w:rFonts w:ascii="Arial" w:cs="Arial" w:eastAsia="Arial" w:hAnsi="Arial"/>
          <w:sz w:val="18"/>
          <w:szCs w:val="18"/>
          <w:color w:val="auto"/>
        </w:rPr>
      </w:pPr>
    </w:p>
    <w:p>
      <w:pPr>
        <w:ind w:left="460" w:right="400" w:firstLine="443"/>
        <w:spacing w:after="0" w:line="236" w:lineRule="auto"/>
        <w:tabs>
          <w:tab w:leader="none" w:pos="116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75" w:lineRule="exact"/>
        <w:rPr>
          <w:rFonts w:ascii="Arial" w:cs="Arial" w:eastAsia="Arial" w:hAnsi="Arial"/>
          <w:sz w:val="18"/>
          <w:szCs w:val="18"/>
          <w:color w:val="auto"/>
        </w:rPr>
      </w:pPr>
    </w:p>
    <w:p>
      <w:pPr>
        <w:ind w:left="460" w:right="240" w:firstLine="443"/>
        <w:spacing w:after="0" w:line="238" w:lineRule="auto"/>
        <w:tabs>
          <w:tab w:leader="none" w:pos="116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the covenant “—Limitation on Additional Indebtedness” to the extent such dividends or distributions are included in the definition of Consolidated Interest Expense;</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76" w:lineRule="exact"/>
        <w:rPr>
          <w:rFonts w:ascii="Arial" w:cs="Arial" w:eastAsia="Arial" w:hAnsi="Arial"/>
          <w:sz w:val="18"/>
          <w:szCs w:val="18"/>
          <w:color w:val="auto"/>
        </w:rPr>
      </w:pPr>
    </w:p>
    <w:p>
      <w:pPr>
        <w:ind w:left="460" w:right="600" w:firstLine="443"/>
        <w:spacing w:after="0" w:line="299"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payments or distributions to dissenting stockholders pursuant to applicable law in connection with a merger, consolidation or amalgamation that complies with the provisions described under the caption “—Limitation on Mergers, Consolidations, Etc.”;</w:t>
      </w:r>
    </w:p>
    <w:p>
      <w:pPr>
        <w:spacing w:after="0" w:line="27" w:lineRule="exact"/>
        <w:rPr>
          <w:rFonts w:ascii="Arial" w:cs="Arial" w:eastAsia="Arial" w:hAnsi="Arial"/>
          <w:sz w:val="16"/>
          <w:szCs w:val="16"/>
          <w:color w:val="auto"/>
        </w:rPr>
      </w:pPr>
    </w:p>
    <w:p>
      <w:pPr>
        <w:ind w:left="460" w:right="120" w:firstLine="443"/>
        <w:spacing w:after="0" w:line="239" w:lineRule="auto"/>
        <w:tabs>
          <w:tab w:leader="none" w:pos="1259" w:val="left"/>
        </w:tabs>
        <w:numPr>
          <w:ilvl w:val="1"/>
          <w:numId w:val="51"/>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74" w:lineRule="exact"/>
        <w:rPr>
          <w:sz w:val="20"/>
          <w:szCs w:val="20"/>
          <w:color w:val="auto"/>
        </w:rPr>
      </w:pPr>
    </w:p>
    <w:p>
      <w:pPr>
        <w:ind w:left="460" w:right="420" w:firstLine="438"/>
        <w:spacing w:after="0" w:line="238" w:lineRule="auto"/>
        <w:rPr>
          <w:sz w:val="20"/>
          <w:szCs w:val="20"/>
          <w:color w:val="auto"/>
        </w:rPr>
      </w:pPr>
      <w:r>
        <w:rPr>
          <w:rFonts w:ascii="Arial" w:cs="Arial" w:eastAsia="Arial" w:hAnsi="Arial"/>
          <w:sz w:val="18"/>
          <w:szCs w:val="18"/>
          <w:color w:val="auto"/>
        </w:rPr>
        <w:t>(11)cash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hanging="357"/>
        <w:spacing w:after="0"/>
        <w:tabs>
          <w:tab w:leader="none" w:pos="12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Qualified Spin Transaction;</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payment of other Restricted Payments from time to time in an aggregate amount since the Issue Date not to exceed the greater of</w:t>
      </w:r>
    </w:p>
    <w:p>
      <w:pPr>
        <w:spacing w:after="0" w:line="18" w:lineRule="exact"/>
        <w:rPr>
          <w:rFonts w:ascii="Arial" w:cs="Arial" w:eastAsia="Arial" w:hAnsi="Arial"/>
          <w:sz w:val="16"/>
          <w:szCs w:val="16"/>
          <w:color w:val="auto"/>
        </w:rPr>
      </w:pPr>
    </w:p>
    <w:p>
      <w:pPr>
        <w:ind w:left="660" w:hanging="19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$100.0 million or (ii) 2.0% of the Parent Guarantor’s Consolidated Tangible Assets determined at the time made; or</w:t>
      </w:r>
    </w:p>
    <w:p>
      <w:pPr>
        <w:spacing w:after="0" w:line="76" w:lineRule="exact"/>
        <w:rPr>
          <w:rFonts w:ascii="Arial" w:cs="Arial" w:eastAsia="Arial" w:hAnsi="Arial"/>
          <w:sz w:val="18"/>
          <w:szCs w:val="18"/>
          <w:color w:val="auto"/>
        </w:rPr>
      </w:pPr>
    </w:p>
    <w:p>
      <w:pPr>
        <w:ind w:left="460" w:right="460" w:firstLine="443"/>
        <w:spacing w:after="0" w:line="239" w:lineRule="auto"/>
        <w:tabs>
          <w:tab w:leader="none" w:pos="125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3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Payments Basket to the extent of such payment.</w:t>
      </w:r>
    </w:p>
    <w:p>
      <w:pPr>
        <w:spacing w:after="0" w:line="137"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Dividend and Other Restrictions Affecting Restricted Subsidiaries</w:t>
      </w:r>
    </w:p>
    <w:p>
      <w:pPr>
        <w:spacing w:after="0" w:line="95" w:lineRule="exact"/>
        <w:rPr>
          <w:sz w:val="20"/>
          <w:szCs w:val="20"/>
          <w:color w:val="auto"/>
        </w:rPr>
      </w:pPr>
    </w:p>
    <w:p>
      <w:pPr>
        <w:jc w:val="both"/>
        <w:ind w:right="120" w:firstLine="456"/>
        <w:spacing w:after="0" w:line="238"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73" w:lineRule="exact"/>
        <w:rPr>
          <w:sz w:val="20"/>
          <w:szCs w:val="20"/>
          <w:color w:val="auto"/>
        </w:rPr>
      </w:pPr>
    </w:p>
    <w:p>
      <w:pPr>
        <w:ind w:left="460" w:firstLine="443"/>
        <w:spacing w:after="0" w:line="237"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73" w:lineRule="exact"/>
        <w:rPr>
          <w:rFonts w:ascii="Arial" w:cs="Arial" w:eastAsia="Arial" w:hAnsi="Arial"/>
          <w:sz w:val="18"/>
          <w:szCs w:val="18"/>
          <w:color w:val="auto"/>
        </w:rPr>
      </w:pPr>
    </w:p>
    <w:p>
      <w:pPr>
        <w:ind w:left="460" w:right="280" w:firstLine="443"/>
        <w:spacing w:after="0" w:line="237" w:lineRule="auto"/>
        <w:tabs>
          <w:tab w:leader="none" w:pos="11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73" w:lineRule="exact"/>
        <w:rPr>
          <w:rFonts w:ascii="Arial" w:cs="Arial" w:eastAsia="Arial" w:hAnsi="Arial"/>
          <w:sz w:val="18"/>
          <w:szCs w:val="18"/>
          <w:color w:val="auto"/>
        </w:rPr>
      </w:pPr>
    </w:p>
    <w:p>
      <w:pPr>
        <w:ind w:left="460" w:right="500" w:firstLine="443"/>
        <w:spacing w:after="0" w:line="239"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except for, in each case:</w:t>
      </w:r>
    </w:p>
    <w:p>
      <w:pPr>
        <w:spacing w:after="0" w:line="77" w:lineRule="exact"/>
        <w:rPr>
          <w:sz w:val="20"/>
          <w:szCs w:val="20"/>
          <w:color w:val="auto"/>
        </w:rPr>
      </w:pPr>
    </w:p>
    <w:p>
      <w:pPr>
        <w:ind w:left="460" w:right="740" w:firstLine="443"/>
        <w:spacing w:after="0" w:line="239"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Issue Date (including, without limitation, the Credit Agreement and the Term Loan Agreement) as in effect on that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76" w:lineRule="exact"/>
        <w:rPr>
          <w:rFonts w:ascii="Arial" w:cs="Arial" w:eastAsia="Arial" w:hAnsi="Arial"/>
          <w:sz w:val="18"/>
          <w:szCs w:val="18"/>
          <w:color w:val="auto"/>
        </w:rPr>
      </w:pPr>
    </w:p>
    <w:p>
      <w:pPr>
        <w:ind w:left="460" w:right="260" w:firstLine="443"/>
        <w:spacing w:after="0" w:line="238"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72" w:lineRule="exact"/>
        <w:rPr>
          <w:rFonts w:ascii="Arial" w:cs="Arial" w:eastAsia="Arial" w:hAnsi="Arial"/>
          <w:sz w:val="18"/>
          <w:szCs w:val="18"/>
          <w:color w:val="auto"/>
        </w:rPr>
      </w:pPr>
    </w:p>
    <w:p>
      <w:pPr>
        <w:ind w:left="460" w:firstLine="443"/>
        <w:spacing w:after="0" w:line="237"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73" w:lineRule="exact"/>
        <w:rPr>
          <w:rFonts w:ascii="Arial" w:cs="Arial" w:eastAsia="Arial" w:hAnsi="Arial"/>
          <w:sz w:val="18"/>
          <w:szCs w:val="18"/>
          <w:color w:val="auto"/>
        </w:rPr>
      </w:pPr>
    </w:p>
    <w:p>
      <w:pPr>
        <w:ind w:left="460" w:right="20" w:firstLine="443"/>
        <w:spacing w:after="0" w:line="236"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75"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76" w:lineRule="exact"/>
        <w:rPr>
          <w:rFonts w:ascii="Arial" w:cs="Arial" w:eastAsia="Arial" w:hAnsi="Arial"/>
          <w:sz w:val="18"/>
          <w:szCs w:val="18"/>
          <w:color w:val="auto"/>
        </w:rPr>
      </w:pPr>
    </w:p>
    <w:p>
      <w:pPr>
        <w:ind w:left="460" w:right="100" w:firstLine="443"/>
        <w:spacing w:after="0" w:line="239"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73" w:lineRule="exact"/>
        <w:rPr>
          <w:rFonts w:ascii="Arial" w:cs="Arial" w:eastAsia="Arial" w:hAnsi="Arial"/>
          <w:sz w:val="18"/>
          <w:szCs w:val="18"/>
          <w:color w:val="auto"/>
        </w:rPr>
      </w:pPr>
    </w:p>
    <w:p>
      <w:pPr>
        <w:ind w:left="460" w:right="220" w:firstLine="443"/>
        <w:spacing w:after="0" w:line="239"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the provisions of the covenant described under “—Limitation on Liens” that limit the right of the debtor to dispose of the assets securing such Indebtedness;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to any Person pending the closing of such sale;</w:t>
      </w:r>
    </w:p>
    <w:p>
      <w:pPr>
        <w:spacing w:after="0" w:line="76" w:lineRule="exact"/>
        <w:rPr>
          <w:rFonts w:ascii="Arial" w:cs="Arial" w:eastAsia="Arial" w:hAnsi="Arial"/>
          <w:sz w:val="18"/>
          <w:szCs w:val="18"/>
          <w:color w:val="auto"/>
        </w:rPr>
      </w:pPr>
    </w:p>
    <w:p>
      <w:pPr>
        <w:ind w:left="460" w:right="140" w:firstLine="443"/>
        <w:spacing w:after="0" w:line="236" w:lineRule="auto"/>
        <w:tabs>
          <w:tab w:leader="none" w:pos="1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74" w:lineRule="exact"/>
        <w:rPr>
          <w:rFonts w:ascii="Arial" w:cs="Arial" w:eastAsia="Arial" w:hAnsi="Arial"/>
          <w:sz w:val="18"/>
          <w:szCs w:val="18"/>
          <w:color w:val="auto"/>
        </w:rPr>
      </w:pPr>
    </w:p>
    <w:p>
      <w:pPr>
        <w:jc w:val="both"/>
        <w:ind w:left="460" w:right="200" w:firstLine="443"/>
        <w:spacing w:after="0" w:line="238" w:lineRule="auto"/>
        <w:tabs>
          <w:tab w:leader="none" w:pos="1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72" w:lineRule="exact"/>
        <w:rPr>
          <w:rFonts w:ascii="Arial" w:cs="Arial" w:eastAsia="Arial" w:hAnsi="Arial"/>
          <w:sz w:val="18"/>
          <w:szCs w:val="18"/>
          <w:color w:val="auto"/>
        </w:rPr>
      </w:pPr>
    </w:p>
    <w:p>
      <w:pPr>
        <w:ind w:left="460" w:right="20" w:firstLine="443"/>
        <w:spacing w:after="0" w:line="238" w:lineRule="auto"/>
        <w:tabs>
          <w:tab w:leader="none" w:pos="1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Money Indebtedness and any Refinancing Indebtedness in respect thereof incurred in compliance with the covenant described under “—Limitation on Additional Indebtedness” that imposes restrictions of the nature described in clause (c) above on the assets acquired;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firstLine="443"/>
        <w:spacing w:after="0" w:line="239"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73" w:lineRule="exact"/>
        <w:rPr>
          <w:rFonts w:ascii="Arial" w:cs="Arial" w:eastAsia="Arial" w:hAnsi="Arial"/>
          <w:sz w:val="18"/>
          <w:szCs w:val="18"/>
          <w:color w:val="auto"/>
        </w:rPr>
      </w:pPr>
    </w:p>
    <w:p>
      <w:pPr>
        <w:ind w:left="460" w:right="140" w:firstLine="443"/>
        <w:spacing w:after="0" w:line="236"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agreement was not entered into in anticipation of the Unrestricted Subsidiary becoming a Restricted Subsidiary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encumbrance or restriction shall not extend to any assets or property of the Parent Guarantor or any other Restricted Subsidiary other than the assets and property so acquired;</w:t>
      </w:r>
    </w:p>
    <w:p>
      <w:pPr>
        <w:spacing w:after="0" w:line="76" w:lineRule="exact"/>
        <w:rPr>
          <w:rFonts w:ascii="Arial" w:cs="Arial" w:eastAsia="Arial" w:hAnsi="Arial"/>
          <w:sz w:val="18"/>
          <w:szCs w:val="18"/>
          <w:color w:val="auto"/>
        </w:rPr>
      </w:pPr>
    </w:p>
    <w:p>
      <w:pPr>
        <w:jc w:val="both"/>
        <w:ind w:left="460" w:right="80" w:firstLine="443"/>
        <w:spacing w:after="0" w:line="236"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76" w:lineRule="exact"/>
        <w:rPr>
          <w:rFonts w:ascii="Arial" w:cs="Arial" w:eastAsia="Arial" w:hAnsi="Arial"/>
          <w:sz w:val="18"/>
          <w:szCs w:val="18"/>
          <w:color w:val="auto"/>
        </w:rPr>
      </w:pPr>
    </w:p>
    <w:p>
      <w:pPr>
        <w:ind w:left="460" w:right="620" w:firstLine="443"/>
        <w:spacing w:after="0" w:line="239"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provisions limiting the distribution or dividend of assets or any portion of the Equity Interests of SpinCo in connection with a Qualified Spin Transaction;</w:t>
      </w:r>
    </w:p>
    <w:p>
      <w:pPr>
        <w:spacing w:after="0" w:line="73" w:lineRule="exact"/>
        <w:rPr>
          <w:rFonts w:ascii="Arial" w:cs="Arial" w:eastAsia="Arial" w:hAnsi="Arial"/>
          <w:sz w:val="18"/>
          <w:szCs w:val="18"/>
          <w:color w:val="auto"/>
        </w:rPr>
      </w:pPr>
    </w:p>
    <w:p>
      <w:pPr>
        <w:ind w:left="460" w:right="80" w:firstLine="443"/>
        <w:spacing w:after="0" w:line="239"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the covenant described under “—Limitation on Restricted Payments”;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76" w:lineRule="exact"/>
        <w:rPr>
          <w:rFonts w:ascii="Arial" w:cs="Arial" w:eastAsia="Arial" w:hAnsi="Arial"/>
          <w:sz w:val="18"/>
          <w:szCs w:val="18"/>
          <w:color w:val="auto"/>
        </w:rPr>
      </w:pPr>
    </w:p>
    <w:p>
      <w:pPr>
        <w:ind w:left="460" w:right="320" w:firstLine="443"/>
        <w:spacing w:after="0" w:line="239" w:lineRule="auto"/>
        <w:tabs>
          <w:tab w:leader="none" w:pos="1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supermajority voting requirements existing under corporate charters, by-laws, stockholders agreements and similar documents and agreements.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Transactions with Affiliates</w:t>
      </w:r>
    </w:p>
    <w:p>
      <w:pPr>
        <w:spacing w:after="0" w:line="95"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$50 million (an “Affiliate Transaction”), unless:</w:t>
      </w:r>
    </w:p>
    <w:p>
      <w:pPr>
        <w:spacing w:after="0" w:line="74" w:lineRule="exact"/>
        <w:rPr>
          <w:sz w:val="20"/>
          <w:szCs w:val="20"/>
          <w:color w:val="auto"/>
        </w:rPr>
      </w:pPr>
    </w:p>
    <w:p>
      <w:pPr>
        <w:ind w:left="460" w:firstLine="443"/>
        <w:spacing w:after="0" w:line="236"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 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76" w:lineRule="exact"/>
        <w:rPr>
          <w:rFonts w:ascii="Arial" w:cs="Arial" w:eastAsia="Arial" w:hAnsi="Arial"/>
          <w:sz w:val="18"/>
          <w:szCs w:val="18"/>
          <w:color w:val="auto"/>
        </w:rPr>
      </w:pPr>
    </w:p>
    <w:p>
      <w:pPr>
        <w:ind w:left="460" w:right="20" w:firstLine="443"/>
        <w:spacing w:after="0" w:line="23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$100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restrictions shall not apply to:</w:t>
      </w:r>
    </w:p>
    <w:p>
      <w:pPr>
        <w:spacing w:after="0" w:line="77" w:lineRule="exact"/>
        <w:rPr>
          <w:sz w:val="20"/>
          <w:szCs w:val="20"/>
          <w:color w:val="auto"/>
        </w:rPr>
      </w:pPr>
    </w:p>
    <w:p>
      <w:pPr>
        <w:ind w:left="460" w:right="320" w:firstLine="443"/>
        <w:spacing w:after="0" w:line="239"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transactions to the extent between or among (a) the Parent Guarantor and one or more Restricted Subsidiaries or (b) Restricted Subsidiaries;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firstLine="443"/>
        <w:spacing w:after="0" w:line="237"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73" w:lineRule="exact"/>
        <w:rPr>
          <w:rFonts w:ascii="Arial" w:cs="Arial" w:eastAsia="Arial" w:hAnsi="Arial"/>
          <w:sz w:val="18"/>
          <w:szCs w:val="18"/>
          <w:color w:val="auto"/>
        </w:rPr>
      </w:pPr>
    </w:p>
    <w:p>
      <w:pPr>
        <w:ind w:left="460" w:right="520" w:firstLine="443"/>
        <w:spacing w:after="0" w:line="239"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the covenant described under “—Limitation on Restricted Payments”;</w:t>
      </w:r>
    </w:p>
    <w:p>
      <w:pPr>
        <w:spacing w:after="0" w:line="73" w:lineRule="exact"/>
        <w:rPr>
          <w:rFonts w:ascii="Arial" w:cs="Arial" w:eastAsia="Arial" w:hAnsi="Arial"/>
          <w:sz w:val="18"/>
          <w:szCs w:val="18"/>
          <w:color w:val="auto"/>
        </w:rPr>
      </w:pPr>
    </w:p>
    <w:p>
      <w:pPr>
        <w:ind w:left="460" w:right="180" w:firstLine="443"/>
        <w:spacing w:after="0" w:line="23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72" w:lineRule="exact"/>
        <w:rPr>
          <w:rFonts w:ascii="Arial" w:cs="Arial" w:eastAsia="Arial" w:hAnsi="Arial"/>
          <w:sz w:val="18"/>
          <w:szCs w:val="18"/>
          <w:color w:val="auto"/>
        </w:rPr>
      </w:pPr>
    </w:p>
    <w:p>
      <w:pPr>
        <w:ind w:left="460" w:right="100" w:firstLine="443"/>
        <w:spacing w:after="0" w:line="23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72" w:lineRule="exact"/>
        <w:rPr>
          <w:rFonts w:ascii="Arial" w:cs="Arial" w:eastAsia="Arial" w:hAnsi="Arial"/>
          <w:sz w:val="18"/>
          <w:szCs w:val="18"/>
          <w:color w:val="auto"/>
        </w:rPr>
      </w:pPr>
    </w:p>
    <w:p>
      <w:pPr>
        <w:ind w:left="460" w:right="80" w:firstLine="443"/>
        <w:spacing w:after="0" w:line="236"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76" w:lineRule="exact"/>
        <w:rPr>
          <w:rFonts w:ascii="Arial" w:cs="Arial" w:eastAsia="Arial" w:hAnsi="Arial"/>
          <w:sz w:val="18"/>
          <w:szCs w:val="18"/>
          <w:color w:val="auto"/>
        </w:rPr>
      </w:pPr>
    </w:p>
    <w:p>
      <w:pPr>
        <w:ind w:left="460" w:right="160" w:firstLine="443"/>
        <w:spacing w:after="0" w:line="239"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76" w:lineRule="exact"/>
        <w:rPr>
          <w:rFonts w:ascii="Arial" w:cs="Arial" w:eastAsia="Arial" w:hAnsi="Arial"/>
          <w:sz w:val="18"/>
          <w:szCs w:val="18"/>
          <w:color w:val="auto"/>
        </w:rPr>
      </w:pPr>
    </w:p>
    <w:p>
      <w:pPr>
        <w:ind w:left="460" w:firstLine="443"/>
        <w:spacing w:after="0" w:line="239"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a Qualified Spin Transaction;</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76" w:lineRule="exact"/>
        <w:rPr>
          <w:rFonts w:ascii="Arial" w:cs="Arial" w:eastAsia="Arial" w:hAnsi="Arial"/>
          <w:sz w:val="18"/>
          <w:szCs w:val="18"/>
          <w:color w:val="auto"/>
        </w:rPr>
      </w:pPr>
    </w:p>
    <w:p>
      <w:pPr>
        <w:ind w:left="460" w:right="200" w:firstLine="443"/>
        <w:spacing w:after="0" w:line="237"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Parent Guarantor on any matter involving such other Person; and</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Liens</w:t>
      </w:r>
    </w:p>
    <w:p>
      <w:pPr>
        <w:spacing w:after="0" w:line="95" w:lineRule="exact"/>
        <w:rPr>
          <w:sz w:val="20"/>
          <w:szCs w:val="20"/>
          <w:color w:val="auto"/>
        </w:rPr>
      </w:pPr>
    </w:p>
    <w:p>
      <w:pPr>
        <w:ind w:right="520" w:firstLine="456"/>
        <w:spacing w:after="0" w:line="299" w:lineRule="auto"/>
        <w:rPr>
          <w:sz w:val="20"/>
          <w:szCs w:val="20"/>
          <w:color w:val="auto"/>
        </w:rPr>
      </w:pPr>
      <w:r>
        <w:rPr>
          <w:rFonts w:ascii="Arial" w:cs="Arial" w:eastAsia="Arial" w:hAnsi="Arial"/>
          <w:sz w:val="16"/>
          <w:szCs w:val="16"/>
          <w:color w:val="auto"/>
        </w:rPr>
        <w:t>The Parent Guarantor will not, nor will it permit any Restricted Subsidiary to, create, assume, incur or suffer to exist any Lien upon any property, whether owned or leased on the Issue Date or thereafter acquired, to secure any Debt of the Parent Guarantor or any other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Person (other than the Notes or Debt that is non-recourse to the Parent Guarantor and any of its Restricted Subsidiaries), without in any such case making effective provision whereby all of the Notes then outstanding shall be secured equally and ratably with, or prior to, such Debt so long as such Debt shall be so secured. This restriction shall not apply to:</w:t>
      </w:r>
    </w:p>
    <w:p>
      <w:pPr>
        <w:spacing w:after="0" w:line="73" w:lineRule="exact"/>
        <w:rPr>
          <w:sz w:val="20"/>
          <w:szCs w:val="20"/>
          <w:color w:val="auto"/>
        </w:rPr>
      </w:pPr>
    </w:p>
    <w:p>
      <w:pPr>
        <w:ind w:left="460" w:right="80" w:firstLine="443"/>
        <w:spacing w:after="0" w:line="238"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(i) existing on the Issue Date, (ii) provided for under the terms of agreements existing on such date securing Debt existing on such date or (iii) under the terms of a Credit Facility securing Indebtedness incurred pursuant to clause (1) of the definition of Permitted Indebtedness;</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on current assets to secure current liabilities;</w:t>
      </w:r>
    </w:p>
    <w:p>
      <w:pPr>
        <w:spacing w:after="0" w:line="76" w:lineRule="exact"/>
        <w:rPr>
          <w:rFonts w:ascii="Arial" w:cs="Arial" w:eastAsia="Arial" w:hAnsi="Arial"/>
          <w:sz w:val="18"/>
          <w:szCs w:val="18"/>
          <w:color w:val="auto"/>
        </w:rPr>
      </w:pPr>
    </w:p>
    <w:p>
      <w:pPr>
        <w:ind w:left="460" w:firstLine="443"/>
        <w:spacing w:after="0" w:line="235"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provided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80" w:lineRule="exact"/>
        <w:rPr>
          <w:rFonts w:ascii="Arial" w:cs="Arial" w:eastAsia="Arial" w:hAnsi="Arial"/>
          <w:sz w:val="18"/>
          <w:szCs w:val="18"/>
          <w:color w:val="auto"/>
        </w:rPr>
      </w:pPr>
    </w:p>
    <w:p>
      <w:pPr>
        <w:jc w:val="both"/>
        <w:ind w:left="460" w:right="60" w:firstLine="443"/>
        <w:spacing w:after="0" w:line="237"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76" w:lineRule="exact"/>
        <w:rPr>
          <w:rFonts w:ascii="Arial" w:cs="Arial" w:eastAsia="Arial" w:hAnsi="Arial"/>
          <w:sz w:val="18"/>
          <w:szCs w:val="18"/>
          <w:color w:val="auto"/>
        </w:rPr>
      </w:pPr>
    </w:p>
    <w:p>
      <w:pPr>
        <w:ind w:left="460" w:right="360" w:firstLine="443"/>
        <w:spacing w:after="0" w:line="236"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Debt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75"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76" w:lineRule="exact"/>
        <w:rPr>
          <w:rFonts w:ascii="Arial" w:cs="Arial" w:eastAsia="Arial" w:hAnsi="Arial"/>
          <w:sz w:val="18"/>
          <w:szCs w:val="18"/>
          <w:color w:val="auto"/>
        </w:rPr>
      </w:pPr>
    </w:p>
    <w:p>
      <w:pPr>
        <w:ind w:left="460" w:right="60" w:firstLine="443"/>
        <w:spacing w:after="0" w:line="236"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Lien referred to in any of the foregoing clauses (1), (2), (3), (4), (5), (6) and (7) to the extent such extension, renewal or replacement (or successive extensions, renewals or replacements) involves a Lien described in the foregoing clauses;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principal amount of Debt secured thereby shall not exceed the principal amount of Debt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Notwithstanding the foregoing provisions of this covenant, the Parent Guarantor and any Restricted Subsidiary may issue, assume or guarantee secured Debt, which would otherwise be subject to the foregoing restrictions, in an aggregate amount which, together with all other such secured Debt and together with the aggregate amount of Attributable Indebtedness of the Parent Guarantor and its Restricted Subsidiaries deemed to be outstanding in respect of all Sale-Leaseback Transactions (excluding any such Sale-Leaseback Transactions the proceeds of which have been applied in accordance with clauses (a), (b) or (c) in the first paragraph of the covenant described below under the caption “—Limitations on Sale-Leaseback Transactions”) does not exceed 15% of Consolidated Net Worth, as shown on a consolidated balance sheet, as of a date not more than 150 days prior to the proposed transaction, prepared by the Parent Guarantor in accordance with GAAP.</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Guarantor shall not, and shall not permit any Restricted Subsidiary to, enter into any Sale-Leaseback Transaction with any</w:t>
      </w:r>
    </w:p>
    <w:p>
      <w:pPr>
        <w:spacing w:after="0"/>
        <w:rPr>
          <w:sz w:val="20"/>
          <w:szCs w:val="20"/>
          <w:color w:val="auto"/>
        </w:rPr>
      </w:pPr>
      <w:r>
        <w:rPr>
          <w:rFonts w:ascii="Arial" w:cs="Arial" w:eastAsia="Arial" w:hAnsi="Arial"/>
          <w:sz w:val="18"/>
          <w:szCs w:val="18"/>
          <w:color w:val="auto"/>
        </w:rPr>
        <w:t>Person (other than the Parent Guarantor or a Restricted Subsidiary) unless:</w:t>
      </w:r>
    </w:p>
    <w:p>
      <w:pPr>
        <w:spacing w:after="0" w:line="77" w:lineRule="exact"/>
        <w:rPr>
          <w:sz w:val="20"/>
          <w:szCs w:val="20"/>
          <w:color w:val="auto"/>
        </w:rPr>
      </w:pPr>
    </w:p>
    <w:p>
      <w:pPr>
        <w:ind w:left="460" w:right="100" w:firstLine="443"/>
        <w:spacing w:after="0" w:line="237"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the time of entering into such Sale-Leaseback Transaction, the Parent Guarantor or such Restricted Subsidiary would be entitled to incur Debt, in a principal amount equal to the Attributable Indebtedness with respect to such Sale-Leaseback Transaction, secured by a Lien on the property subject to such Sale-Leaseback Transaction, pursuant to the covenant described above under the caption “—Limitation on Liens” without equally and ratably securing the Notes pursuant to such covenant;</w:t>
      </w:r>
    </w:p>
    <w:p>
      <w:pPr>
        <w:spacing w:after="0" w:line="73" w:lineRule="exact"/>
        <w:rPr>
          <w:rFonts w:ascii="Arial" w:cs="Arial" w:eastAsia="Arial" w:hAnsi="Arial"/>
          <w:sz w:val="18"/>
          <w:szCs w:val="18"/>
          <w:color w:val="auto"/>
        </w:rPr>
      </w:pPr>
    </w:p>
    <w:p>
      <w:pPr>
        <w:ind w:left="460" w:firstLine="443"/>
        <w:spacing w:after="0" w:line="236"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after the Issue Date and within a period commencing six months prior to the consummation of such Sale-Leaseback Transaction and ending six months after the consummation thereof, the Parent Guarantor or such Restricted Subsidiary shall have expended for property used or to be used in the ordinary course of business of the Parent Guarantor or such Restricted Subsidiary (including amounts expended for additions, expansions, alterations, repairs and improvements thereto) an amount equal to all or a portion of the net proceeds of such Sale-Leaseback Transaction, and the Parent Guarantor shall have elected to designate such amount as a credit against such Sale-Leaseback Transaction (with any such amount not being so designated to be applied as set forth in clause (c) below); or</w:t>
      </w:r>
    </w:p>
    <w:p>
      <w:pPr>
        <w:spacing w:after="0" w:line="75" w:lineRule="exact"/>
        <w:rPr>
          <w:rFonts w:ascii="Arial" w:cs="Arial" w:eastAsia="Arial" w:hAnsi="Arial"/>
          <w:sz w:val="18"/>
          <w:szCs w:val="18"/>
          <w:color w:val="auto"/>
        </w:rPr>
      </w:pPr>
    </w:p>
    <w:p>
      <w:pPr>
        <w:ind w:left="460" w:right="80" w:firstLine="443"/>
        <w:spacing w:after="0" w:line="236" w:lineRule="auto"/>
        <w:tabs>
          <w:tab w:leader="none" w:pos="11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during the 12-month period after the effective date of such Sale-Leaseback Transaction, the Parent Guarantor shall have applied to the voluntary defeasance or retirement of Notes or any Pari Passu Indebtedness of the Parent Guarantor an amount equal to the net proceeds of the sale or transfer of the real or personal property leased in such Sale-Leaseback Transaction, which amount shall not be less than the fair value of such property at the time of entering into such Sale-Leaseback Transaction (adjusted to reflect the remaining term of the lease and any amount expended by the Parent Guarantor as set forth in clause (b) above), less an amount equal to the principal amount of Notes and Pari Passu Indebtedness voluntarily defeased or retired by the Parent Guarantor within such 12-month period and not designated as a credit against any other Sale-Leaseback Transaction entered into by the Parent Guarantor or any Restricted Subsidiary during such period.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Designation of Unrestricted Subsidiaries</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73" w:lineRule="exact"/>
        <w:rPr>
          <w:sz w:val="20"/>
          <w:szCs w:val="20"/>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76" w:lineRule="exact"/>
        <w:rPr>
          <w:rFonts w:ascii="Arial" w:cs="Arial" w:eastAsia="Arial" w:hAnsi="Arial"/>
          <w:sz w:val="18"/>
          <w:szCs w:val="18"/>
          <w:color w:val="auto"/>
        </w:rPr>
      </w:pPr>
    </w:p>
    <w:p>
      <w:pPr>
        <w:ind w:left="460" w:right="60" w:firstLine="443"/>
        <w:spacing w:after="0" w:line="23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Parent Guarantor would be permitted to make, at the time of such Designation, (a) a Permitted Investment or (b) an Investment pursuant to the covenant described under “—Limitation on Restricted Payments” above, in either case, in an amount (the “Designation Amount”) equal to the Fair Market Value of the Parent Guarantor’s proportionate interest in such Subsidiary on such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77" w:lineRule="exact"/>
        <w:rPr>
          <w:sz w:val="20"/>
          <w:szCs w:val="20"/>
          <w:color w:val="auto"/>
        </w:rPr>
      </w:pPr>
    </w:p>
    <w:p>
      <w:pPr>
        <w:ind w:left="460" w:right="120" w:firstLine="443"/>
        <w:spacing w:after="0" w:line="23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the covenants described under “—Limitation on Additional Indebtedness” and “—Limitation on Restricted Payments”;</w:t>
      </w:r>
    </w:p>
    <w:p>
      <w:pPr>
        <w:spacing w:after="0" w:line="75" w:lineRule="exact"/>
        <w:rPr>
          <w:rFonts w:ascii="Arial" w:cs="Arial" w:eastAsia="Arial" w:hAnsi="Arial"/>
          <w:sz w:val="18"/>
          <w:szCs w:val="18"/>
          <w:color w:val="auto"/>
        </w:rPr>
      </w:pPr>
    </w:p>
    <w:p>
      <w:pPr>
        <w:ind w:left="460" w:right="200" w:firstLine="443"/>
        <w:spacing w:after="0" w:line="23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76" w:lineRule="exact"/>
        <w:rPr>
          <w:rFonts w:ascii="Arial" w:cs="Arial" w:eastAsia="Arial" w:hAnsi="Arial"/>
          <w:sz w:val="18"/>
          <w:szCs w:val="18"/>
          <w:color w:val="auto"/>
        </w:rPr>
      </w:pPr>
    </w:p>
    <w:p>
      <w:pPr>
        <w:ind w:left="460" w:right="40" w:firstLine="443"/>
        <w:spacing w:after="0" w:line="23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56" w:lineRule="exact"/>
        <w:rPr>
          <w:sz w:val="20"/>
          <w:szCs w:val="20"/>
          <w:color w:val="auto"/>
        </w:rPr>
      </w:pPr>
    </w:p>
    <w:p>
      <w:pPr>
        <w:ind w:right="380" w:firstLine="456"/>
        <w:spacing w:after="0" w:line="236" w:lineRule="auto"/>
        <w:rPr>
          <w:sz w:val="20"/>
          <w:szCs w:val="20"/>
          <w:color w:val="auto"/>
        </w:rPr>
      </w:pPr>
      <w:r>
        <w:rPr>
          <w:rFonts w:ascii="Arial" w:cs="Arial" w:eastAsia="Arial" w:hAnsi="Arial"/>
          <w:sz w:val="18"/>
          <w:szCs w:val="18"/>
          <w:color w:val="auto"/>
        </w:rPr>
        <w:t>Any such Designation by the Board of Directors of the Parent Guarantor shall be evidenced to the Trustee by filing with the Trustee a resolution of the Board of Directors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the covenant described under “—Limitation on Additional Indebtedness” or the Lien is not permitted under the covenant described under “— Limitation on Liens,” the Parent Guarantor shall be in default of the applicable covenant.</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only if:</w:t>
      </w:r>
    </w:p>
    <w:p>
      <w:pPr>
        <w:spacing w:after="0" w:line="77" w:lineRule="exact"/>
        <w:rPr>
          <w:sz w:val="20"/>
          <w:szCs w:val="20"/>
          <w:color w:val="auto"/>
        </w:rPr>
      </w:pPr>
    </w:p>
    <w:p>
      <w:pPr>
        <w:ind w:left="1160" w:hanging="257"/>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76" w:lineRule="exact"/>
        <w:rPr>
          <w:rFonts w:ascii="Arial" w:cs="Arial" w:eastAsia="Arial" w:hAnsi="Arial"/>
          <w:sz w:val="18"/>
          <w:szCs w:val="18"/>
          <w:color w:val="auto"/>
        </w:rPr>
      </w:pPr>
    </w:p>
    <w:p>
      <w:pPr>
        <w:ind w:left="460" w:right="300" w:firstLine="443"/>
        <w:spacing w:after="0" w:line="239"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55" w:lineRule="exact"/>
        <w:rPr>
          <w:sz w:val="20"/>
          <w:szCs w:val="20"/>
          <w:color w:val="auto"/>
        </w:rPr>
      </w:pPr>
    </w:p>
    <w:p>
      <w:pPr>
        <w:ind w:right="140" w:firstLine="456"/>
        <w:spacing w:after="0" w:line="299" w:lineRule="auto"/>
        <w:rPr>
          <w:sz w:val="20"/>
          <w:szCs w:val="20"/>
          <w:color w:val="auto"/>
        </w:rPr>
      </w:pPr>
      <w:r>
        <w:rPr>
          <w:rFonts w:ascii="Arial" w:cs="Arial" w:eastAsia="Arial" w:hAnsi="Arial"/>
          <w:sz w:val="16"/>
          <w:szCs w:val="16"/>
          <w:color w:val="auto"/>
        </w:rPr>
        <w:t>Any such Redesignation shall be evidenced to the Trustee by filing with the Trustee a resolution of the Board of Directors of the Parent Guarantor giving effect to such designation and an Officer’s Certificate certifying that such Redesignation complies with the foregoing conditions.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Mergers, Consolidations, Etc.</w:t>
      </w:r>
    </w:p>
    <w:p>
      <w:pPr>
        <w:spacing w:after="0" w:line="9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74" w:lineRule="exact"/>
        <w:rPr>
          <w:sz w:val="20"/>
          <w:szCs w:val="20"/>
          <w:color w:val="auto"/>
        </w:rPr>
      </w:pPr>
    </w:p>
    <w:p>
      <w:pPr>
        <w:ind w:left="460" w:right="60" w:firstLine="443"/>
        <w:spacing w:after="0" w:line="236"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in form satisfactory to the Trustee, (a) in the case of a Successor Person to the Issuer, the due and punctual payment of the principal of and any premium and interest on all the Notes and the performance or observance of every covenant of the Indenture on the part of the Issuer to be performed or observed or (b) in the case of a Successor Person to such Guarantor, all of the obligations of such Guarantor under the Guarantee of such Guarantor and the performance or observance of every covenant of the Indenture on the part of such Guarantor to be performed or observed;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Event of Default and no Default shall have occurred and be continuing; and</w:t>
      </w:r>
    </w:p>
    <w:p>
      <w:pPr>
        <w:spacing w:after="0" w:line="99" w:lineRule="exact"/>
        <w:rPr>
          <w:rFonts w:ascii="Arial" w:cs="Arial" w:eastAsia="Arial" w:hAnsi="Arial"/>
          <w:sz w:val="16"/>
          <w:szCs w:val="16"/>
          <w:color w:val="auto"/>
        </w:rPr>
      </w:pPr>
    </w:p>
    <w:p>
      <w:pPr>
        <w:ind w:left="460" w:firstLine="443"/>
        <w:spacing w:after="0" w:line="237" w:lineRule="auto"/>
        <w:tabs>
          <w:tab w:leader="none" w:pos="1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5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However, clause (1) of such covenant shall not apply in circumstances under which the Indenture provides for the release of the Guarantee of such Guarantor as described under the caption “—Guarantees.” In addition, the foregoing notwithstanding, the restrictions in the preceding paragraph will not apply to any disposition of assets resulting from a Qualified Spin Transaction that is effected in accordance with the definition of that term.</w:t>
      </w:r>
    </w:p>
    <w:p>
      <w:pPr>
        <w:spacing w:after="0" w:line="155"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Upon any consolidation or amalgamation of the Issuer or a Guarantor, as the case may be, with or merger of the Issuer or a Guarantor, as the case may be, into, any other Person or any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conveyance, transfer or lease of the properties and assets of the Issuer or a Guarantor, as the case may be, as, or substantially as, an entirety in accordance with the foregoing covenant,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 and dissolve.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5"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73" w:lineRule="exact"/>
        <w:rPr>
          <w:sz w:val="20"/>
          <w:szCs w:val="20"/>
          <w:color w:val="auto"/>
        </w:rPr>
      </w:pPr>
    </w:p>
    <w:p>
      <w:pPr>
        <w:ind w:left="460" w:right="340" w:firstLine="443"/>
        <w:spacing w:after="0" w:line="239" w:lineRule="auto"/>
        <w:tabs>
          <w:tab w:leader="none" w:pos="116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69"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Parent Guarantor were required to file such</w:t>
      </w:r>
    </w:p>
    <w:p>
      <w:pPr>
        <w:ind w:left="460"/>
        <w:spacing w:after="0"/>
        <w:rPr>
          <w:rFonts w:ascii="Arial" w:cs="Arial" w:eastAsia="Arial" w:hAnsi="Arial"/>
          <w:sz w:val="18"/>
          <w:szCs w:val="18"/>
          <w:color w:val="auto"/>
        </w:rPr>
      </w:pPr>
      <w:r>
        <w:rPr>
          <w:rFonts w:ascii="Arial" w:cs="Arial" w:eastAsia="Arial" w:hAnsi="Arial"/>
          <w:sz w:val="18"/>
          <w:szCs w:val="18"/>
          <w:color w:val="auto"/>
        </w:rPr>
        <w:t>reports.</w:t>
      </w:r>
    </w:p>
    <w:p>
      <w:pPr>
        <w:spacing w:after="0" w:line="158"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 with respect to either series of Notes:</w:t>
      </w:r>
    </w:p>
    <w:p>
      <w:pPr>
        <w:spacing w:after="0" w:line="77" w:lineRule="exact"/>
        <w:rPr>
          <w:sz w:val="20"/>
          <w:szCs w:val="20"/>
          <w:color w:val="auto"/>
        </w:rPr>
      </w:pPr>
    </w:p>
    <w:p>
      <w:pPr>
        <w:ind w:left="460" w:right="80" w:firstLine="443"/>
        <w:spacing w:after="0" w:line="239" w:lineRule="auto"/>
        <w:tabs>
          <w:tab w:leader="none" w:pos="1162" w:val="left"/>
        </w:tabs>
        <w:numPr>
          <w:ilvl w:val="1"/>
          <w:numId w:val="68"/>
        </w:numPr>
        <w:rPr>
          <w:rFonts w:ascii="Arial" w:cs="Arial" w:eastAsia="Arial" w:hAnsi="Arial"/>
          <w:sz w:val="18"/>
          <w:szCs w:val="18"/>
          <w:color w:val="auto"/>
        </w:rPr>
      </w:pPr>
      <w:r>
        <w:rPr>
          <w:rFonts w:ascii="Arial" w:cs="Arial" w:eastAsia="Arial" w:hAnsi="Arial"/>
          <w:sz w:val="18"/>
          <w:szCs w:val="18"/>
          <w:color w:val="auto"/>
        </w:rPr>
        <w:t>failure to pay interest on any of the Notes of that series when the same becomes due and payable and the continuance of any such failure for 30 days;</w:t>
      </w:r>
    </w:p>
    <w:p>
      <w:pPr>
        <w:spacing w:after="0" w:line="73" w:lineRule="exact"/>
        <w:rPr>
          <w:rFonts w:ascii="Arial" w:cs="Arial" w:eastAsia="Arial" w:hAnsi="Arial"/>
          <w:sz w:val="18"/>
          <w:szCs w:val="18"/>
          <w:color w:val="auto"/>
        </w:rPr>
      </w:pPr>
    </w:p>
    <w:p>
      <w:pPr>
        <w:ind w:left="460" w:right="40" w:firstLine="443"/>
        <w:spacing w:after="0" w:line="239" w:lineRule="auto"/>
        <w:tabs>
          <w:tab w:leader="none" w:pos="1162" w:val="left"/>
        </w:tabs>
        <w:numPr>
          <w:ilvl w:val="1"/>
          <w:numId w:val="68"/>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of that series when it becomes due and payable, whether at Stated Maturity, upon redemption, required purchase, acceleration or otherwise;</w:t>
      </w:r>
    </w:p>
    <w:p>
      <w:pPr>
        <w:spacing w:after="0" w:line="73" w:lineRule="exact"/>
        <w:rPr>
          <w:rFonts w:ascii="Arial" w:cs="Arial" w:eastAsia="Arial" w:hAnsi="Arial"/>
          <w:sz w:val="18"/>
          <w:szCs w:val="18"/>
          <w:color w:val="auto"/>
        </w:rPr>
      </w:pPr>
    </w:p>
    <w:p>
      <w:pPr>
        <w:ind w:left="460" w:right="180" w:firstLine="443"/>
        <w:spacing w:after="0" w:line="238" w:lineRule="auto"/>
        <w:tabs>
          <w:tab w:leader="none" w:pos="1162" w:val="left"/>
        </w:tabs>
        <w:numPr>
          <w:ilvl w:val="1"/>
          <w:numId w:val="68"/>
        </w:numPr>
        <w:rPr>
          <w:rFonts w:ascii="Arial" w:cs="Arial" w:eastAsia="Arial" w:hAnsi="Arial"/>
          <w:sz w:val="18"/>
          <w:szCs w:val="18"/>
          <w:color w:val="auto"/>
        </w:rPr>
      </w:pPr>
      <w:r>
        <w:rPr>
          <w:rFonts w:ascii="Arial" w:cs="Arial" w:eastAsia="Arial" w:hAnsi="Arial"/>
          <w:sz w:val="18"/>
          <w:szCs w:val="18"/>
          <w:color w:val="auto"/>
        </w:rPr>
        <w:t>failure by the Issuer or any Guarantors to comply with any of their respective agreements or covenants described above under “— Certain Covenants—Limitation on Mergers, Consolidations, Etc.,” or failure by the Issuer to comply in respect of its obligations to make a Change of Control Offer for such series of Notes as described under “—Change of Control Repurchase Event”;</w:t>
      </w:r>
    </w:p>
    <w:p>
      <w:pPr>
        <w:spacing w:after="0" w:line="68"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except with respect to the covenant described under the heading “—Certain Covenants—Reports” or as described in clause</w:t>
      </w:r>
    </w:p>
    <w:p>
      <w:pPr>
        <w:ind w:left="460" w:firstLine="4"/>
        <w:spacing w:after="0" w:line="238" w:lineRule="auto"/>
        <w:tabs>
          <w:tab w:leader="none" w:pos="7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of that series then outstanding,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140" w:firstLine="4"/>
        <w:spacing w:after="0" w:line="238" w:lineRule="auto"/>
        <w:tabs>
          <w:tab w:leader="none" w:pos="7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by the Parent Guarantor for 180 days after notice of the failure has been given to the Issuer by the Trustee or by the Holders of at least 25.0% of the aggregate principal amount of the Notes of that series then outstanding to comply with the covenant described under the heading “—Certain Covenants—Reports”;</w:t>
      </w:r>
    </w:p>
    <w:p>
      <w:pPr>
        <w:spacing w:after="0" w:line="72" w:lineRule="exact"/>
        <w:rPr>
          <w:rFonts w:ascii="Arial" w:cs="Arial" w:eastAsia="Arial" w:hAnsi="Arial"/>
          <w:sz w:val="18"/>
          <w:szCs w:val="18"/>
          <w:color w:val="auto"/>
        </w:rPr>
      </w:pPr>
    </w:p>
    <w:p>
      <w:pPr>
        <w:ind w:left="460" w:right="360" w:firstLine="443"/>
        <w:spacing w:after="0" w:line="238" w:lineRule="auto"/>
        <w:tabs>
          <w:tab w:leader="none" w:pos="1162"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72" w:lineRule="exact"/>
        <w:rPr>
          <w:rFonts w:ascii="Arial" w:cs="Arial" w:eastAsia="Arial" w:hAnsi="Arial"/>
          <w:sz w:val="18"/>
          <w:szCs w:val="18"/>
          <w:color w:val="auto"/>
        </w:rPr>
      </w:pPr>
    </w:p>
    <w:p>
      <w:pPr>
        <w:ind w:left="920" w:right="200" w:firstLine="421"/>
        <w:spacing w:after="0" w:line="239" w:lineRule="auto"/>
        <w:tabs>
          <w:tab w:leader="none" w:pos="1603" w:val="left"/>
        </w:tabs>
        <w:numPr>
          <w:ilvl w:val="2"/>
          <w:numId w:val="70"/>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73" w:lineRule="exact"/>
        <w:rPr>
          <w:rFonts w:ascii="Arial" w:cs="Arial" w:eastAsia="Arial" w:hAnsi="Arial"/>
          <w:sz w:val="18"/>
          <w:szCs w:val="18"/>
          <w:color w:val="auto"/>
        </w:rPr>
      </w:pPr>
    </w:p>
    <w:p>
      <w:pPr>
        <w:jc w:val="both"/>
        <w:ind w:left="920" w:right="260" w:firstLine="421"/>
        <w:spacing w:after="0" w:line="299" w:lineRule="auto"/>
        <w:tabs>
          <w:tab w:leader="none" w:pos="1603" w:val="left"/>
        </w:tabs>
        <w:numPr>
          <w:ilvl w:val="2"/>
          <w:numId w:val="70"/>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28" w:lineRule="exact"/>
        <w:rPr>
          <w:sz w:val="20"/>
          <w:szCs w:val="20"/>
          <w:color w:val="auto"/>
        </w:rPr>
      </w:pPr>
    </w:p>
    <w:p>
      <w:pPr>
        <w:ind w:left="920" w:right="560"/>
        <w:spacing w:after="0" w:line="299" w:lineRule="auto"/>
        <w:rPr>
          <w:sz w:val="20"/>
          <w:szCs w:val="20"/>
          <w:color w:val="auto"/>
        </w:rPr>
      </w:pPr>
      <w:r>
        <w:rPr>
          <w:rFonts w:ascii="Arial" w:cs="Arial" w:eastAsia="Arial" w:hAnsi="Arial"/>
          <w:sz w:val="16"/>
          <w:szCs w:val="16"/>
          <w:color w:val="auto"/>
        </w:rPr>
        <w:t>and, in each case, the principal amount of such Indebtedness, together with the principal amount of any other Indebtedness with respect to which an event described in clause (a) or (b) has occurred and is continuing, aggregates $100.0 million or more;</w:t>
      </w:r>
    </w:p>
    <w:p>
      <w:pPr>
        <w:spacing w:after="0" w:line="28" w:lineRule="exact"/>
        <w:rPr>
          <w:sz w:val="20"/>
          <w:szCs w:val="20"/>
          <w:color w:val="auto"/>
        </w:rPr>
      </w:pPr>
    </w:p>
    <w:p>
      <w:pPr>
        <w:ind w:left="460" w:right="260" w:firstLine="443"/>
        <w:spacing w:after="0" w:line="238"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72" w:lineRule="exact"/>
        <w:rPr>
          <w:rFonts w:ascii="Arial" w:cs="Arial" w:eastAsia="Arial" w:hAnsi="Arial"/>
          <w:sz w:val="18"/>
          <w:szCs w:val="18"/>
          <w:color w:val="auto"/>
        </w:rPr>
      </w:pPr>
    </w:p>
    <w:p>
      <w:pPr>
        <w:ind w:left="460" w:right="80" w:firstLine="443"/>
        <w:spacing w:after="0" w:line="238"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events of bankruptcy affecting the Parent Guarantor or any Significant Subsidiary of the Parent Guarantor or group of Restricted Subsidiaries of the Parent Guarantor that, taken together (as of the latest audited consolidated financial statements for the Parent Guarantor and its Restricted Subsidiaries), would constitute a Significant Subsidiary; or</w:t>
      </w:r>
    </w:p>
    <w:p>
      <w:pPr>
        <w:spacing w:after="0" w:line="72" w:lineRule="exact"/>
        <w:rPr>
          <w:rFonts w:ascii="Arial" w:cs="Arial" w:eastAsia="Arial" w:hAnsi="Arial"/>
          <w:sz w:val="18"/>
          <w:szCs w:val="18"/>
          <w:color w:val="auto"/>
        </w:rPr>
      </w:pPr>
    </w:p>
    <w:p>
      <w:pPr>
        <w:ind w:left="460" w:right="80" w:firstLine="443"/>
        <w:spacing w:after="0" w:line="237"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Guarantee of the Notes of that series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If an Event of Default (other than an Event of Default specified in clause (7) above with respect to the Parent Guarantor), shall have occurred and be continuing with respect to a series of Notes, the Trustee, by written notice to the Issuer, or the Holders of at least 25.0% in aggregate principal amount of the Notes of that series then outstanding by written notice to the Issuer and the Trustee, may declare (an “acceleration declaration”) all amounts owing under the Notes of that series to be due and payable. Upon such an acceleration declaration, the aggregate principal of and accrued and unpaid interest on the outstanding Notes of that series shall become due and payable immediately;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such an acceleration declaration, but before a judgment or decree based on acceleration, the Holders of a majority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such outstanding Notes may rescind and annul such acceleration if, among other things, all Events of Default, other than the nonpayment of accelerated principal and interest, have been cured or waived as provided in the Indenture. If an Event of Default specified in clause (7) occurs with respect to the Parent Guarantor, all outstanding Notes of both series shall become immediately due and payable without any further action or notice to the extent permitted by applicable law.</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with respect to one series of Notes may not constitute an Event of Default with respect to the other series.</w:t>
      </w:r>
    </w:p>
    <w:p>
      <w:pPr>
        <w:spacing w:after="0" w:line="158" w:lineRule="exact"/>
        <w:rPr>
          <w:sz w:val="20"/>
          <w:szCs w:val="20"/>
          <w:color w:val="auto"/>
        </w:rPr>
      </w:pPr>
    </w:p>
    <w:p>
      <w:pPr>
        <w:jc w:val="both"/>
        <w:ind w:firstLine="456"/>
        <w:spacing w:after="0" w:line="238"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The Trustee may withhold from Holders of the Notes of either series notice of any Default or Event of Default with respect to that series (except an Event of Default relating to the payment of principal or interest) if it determines that withholding notice is in their interest.</w:t>
      </w:r>
    </w:p>
    <w:p>
      <w:pPr>
        <w:spacing w:after="0" w:line="154"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The Holders of a majority in aggregate principal amount of the then outstanding Notes of either series will have the right to direct the time, method and place of conducting any proceeding for exercising any remedy available to the Trustee with respect to that series. However, the Trustee may refuse to follow any direction that conflicts with law or the Indenture, that may involve the Trustee in personal liability, or that the Trustee determines in good faith may be unduly prejudicial to the rights of Holders of Notes of that series not joining in the giving of such direction and may take any other action it deems proper that is not inconsistent with any such direction received from such Holders of Notes. A Holder of Notes of either series may not pursue any remedy with respect to the Indenture or Notes of that series unless:</w:t>
      </w:r>
    </w:p>
    <w:p>
      <w:pPr>
        <w:spacing w:after="0" w:line="75"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with respect to that series;</w:t>
      </w:r>
    </w:p>
    <w:p>
      <w:pPr>
        <w:spacing w:after="0" w:line="76" w:lineRule="exact"/>
        <w:rPr>
          <w:rFonts w:ascii="Arial" w:cs="Arial" w:eastAsia="Arial" w:hAnsi="Arial"/>
          <w:sz w:val="18"/>
          <w:szCs w:val="18"/>
          <w:color w:val="auto"/>
        </w:rPr>
      </w:pPr>
    </w:p>
    <w:p>
      <w:pPr>
        <w:ind w:left="460" w:right="140" w:firstLine="443"/>
        <w:spacing w:after="0" w:line="239"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of that series make a written request to the Trustee to pursue the remedy;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Holder or Holders offer the Trustee security or indemnity satisfactory to the Trustee against any costs,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does not comply with the request within 60 days after receipt of the request and the offer of security or indemnity; and</w:t>
      </w:r>
    </w:p>
    <w:p>
      <w:pPr>
        <w:spacing w:after="0" w:line="99" w:lineRule="exact"/>
        <w:rPr>
          <w:rFonts w:ascii="Arial" w:cs="Arial" w:eastAsia="Arial" w:hAnsi="Arial"/>
          <w:sz w:val="16"/>
          <w:szCs w:val="16"/>
          <w:color w:val="auto"/>
        </w:rPr>
      </w:pPr>
    </w:p>
    <w:p>
      <w:pPr>
        <w:ind w:left="460" w:right="320" w:firstLine="443"/>
        <w:spacing w:after="0" w:line="239" w:lineRule="auto"/>
        <w:tabs>
          <w:tab w:leader="none" w:pos="1162"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of that series do not give the Trustee a direction that is inconsistent with the request.</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However, such limitations will not apply to the right of any Holder of a Note to receive payment of the principal of, premium, if any, or interest on, such Note or to bring suit for the enforcement of any such payment, on or after the due date expressed in the Notes, which right will not be impaired without the consent of the Holder.</w:t>
      </w:r>
    </w:p>
    <w:p>
      <w:pPr>
        <w:spacing w:after="0" w:line="154"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Holders of a majority in aggregate principal amount of the Notes of either series then outstanding may, on behalf of the Holders of all of the Notes of that series, waive any existing Default or Event of Default with respect to that series and its consequences under the Indenture except a continuing Default or Event of Default in the payment of interest or premium, if any, on, or the principal of, such Notes, or in respect of a covenant or provision that cannot be amended without the consent of the Holder of each outstanding Note of that series affected thereby.</w:t>
      </w:r>
    </w:p>
    <w:p>
      <w:pPr>
        <w:spacing w:after="0" w:line="155" w:lineRule="exact"/>
        <w:rPr>
          <w:sz w:val="20"/>
          <w:szCs w:val="20"/>
          <w:color w:val="auto"/>
        </w:rPr>
      </w:pPr>
    </w:p>
    <w:p>
      <w:pPr>
        <w:jc w:val="both"/>
        <w:ind w:right="220" w:firstLine="456"/>
        <w:spacing w:after="0" w:line="238" w:lineRule="auto"/>
        <w:rPr>
          <w:sz w:val="20"/>
          <w:szCs w:val="20"/>
          <w:color w:val="auto"/>
        </w:rPr>
      </w:pPr>
      <w:r>
        <w:rPr>
          <w:rFonts w:ascii="Arial" w:cs="Arial" w:eastAsia="Arial" w:hAnsi="Arial"/>
          <w:sz w:val="18"/>
          <w:szCs w:val="18"/>
          <w:color w:val="auto"/>
        </w:rPr>
        <w:t>The Issuer will be required to deliver to the Trustee annually a statement regarding compliance with the Indenture and, within 30 days after any Officer of the Issuer becomes aware of any Default, a statement specifying such Default and what action the Issuer is taking or proposes to take with respect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The Issuer may, at its option and at any time, elect to have its obligations discharged with respect to the outstanding Notes of either series and all obligations of any Guarantors discharged with respect to their Guarantees of such Notes (“Legal Defeasance”). Legal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Defeasance means that the Issuer and the Guarantors shall be deemed to have paid and discharged the entire obligations represented by the Notes of that series and the related Guarantees, and the Indenture shall cease to be of further effect as to all outstanding Notes of that series and the related Guarantees, except as to:</w:t>
      </w:r>
    </w:p>
    <w:p>
      <w:pPr>
        <w:spacing w:after="0" w:line="73" w:lineRule="exact"/>
        <w:rPr>
          <w:sz w:val="20"/>
          <w:szCs w:val="20"/>
          <w:color w:val="auto"/>
        </w:rPr>
      </w:pPr>
    </w:p>
    <w:p>
      <w:pPr>
        <w:ind w:left="460" w:right="200" w:firstLine="443"/>
        <w:spacing w:after="0" w:line="239" w:lineRule="auto"/>
        <w:tabs>
          <w:tab w:leader="none" w:pos="11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rights of Holders of outstanding Notes of that series to receive payments in respect of the principal of and interest and premium, if any, on such Notes when such payments are due from the trust funds referred to below,</w:t>
      </w:r>
    </w:p>
    <w:p>
      <w:pPr>
        <w:spacing w:after="0" w:line="73" w:lineRule="exact"/>
        <w:rPr>
          <w:rFonts w:ascii="Arial" w:cs="Arial" w:eastAsia="Arial" w:hAnsi="Arial"/>
          <w:sz w:val="18"/>
          <w:szCs w:val="18"/>
          <w:color w:val="auto"/>
        </w:rPr>
      </w:pPr>
    </w:p>
    <w:p>
      <w:pPr>
        <w:ind w:left="460" w:right="40" w:firstLine="443"/>
        <w:spacing w:after="0" w:line="299" w:lineRule="auto"/>
        <w:tabs>
          <w:tab w:leader="none" w:pos="116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of that series concerning issuing temporary Notes, registration of Notes, mutilated, destroyed, lost or stolen Notes, and the maintenance of an office or agency for payment and money for security payments held in trust,</w:t>
      </w:r>
    </w:p>
    <w:p>
      <w:pPr>
        <w:spacing w:after="0" w:line="27" w:lineRule="exact"/>
        <w:rPr>
          <w:rFonts w:ascii="Arial" w:cs="Arial" w:eastAsia="Arial" w:hAnsi="Arial"/>
          <w:sz w:val="16"/>
          <w:szCs w:val="16"/>
          <w:color w:val="auto"/>
        </w:rPr>
      </w:pPr>
    </w:p>
    <w:p>
      <w:pPr>
        <w:ind w:left="460" w:right="200" w:firstLine="443"/>
        <w:spacing w:after="0" w:line="239" w:lineRule="auto"/>
        <w:tabs>
          <w:tab w:leader="none" w:pos="11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powers, trust, duties, and immunities of the Trustee, and the obligations of the Issuer and the Guarantors in connection therewith,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15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6"/>
          <w:szCs w:val="16"/>
          <w:color w:val="auto"/>
        </w:rPr>
        <w:t>In addition, the Issuer may, at its option and at any time, elect to have its obligations and the obligations of the Guarantors released in relation to either series of Notes with respect to the provisions of the Indenture described above under “—Change of Control Repurchase Event” and under “—Certain Covenants” (other than the covenant described under “—Certain Covenants—Limitation on Mergers, Consolidations, Etc.”), (such release and termination being referred to as “Covenant Defeasance”), and thereafter any omission to comply with such obligations or provisions will not constitute a Default or Event of Default with respect to the Notes of that series. The Issuer may exercise its Legal Defeasance option with respect to a series of Notes regardless of whether it previously exercised Covenant Defeasance with respect to that series.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 with respect to a series of Notes:</w:t>
      </w:r>
    </w:p>
    <w:p>
      <w:pPr>
        <w:spacing w:after="0" w:line="77" w:lineRule="exact"/>
        <w:rPr>
          <w:sz w:val="20"/>
          <w:szCs w:val="20"/>
          <w:color w:val="auto"/>
        </w:rPr>
      </w:pPr>
    </w:p>
    <w:p>
      <w:pPr>
        <w:ind w:left="460" w:firstLine="443"/>
        <w:spacing w:after="0" w:line="236"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of that series on the stated date for payment thereof or on the applicable redemption date, as the case may be,</w:t>
      </w:r>
    </w:p>
    <w:p>
      <w:pPr>
        <w:spacing w:after="0" w:line="76" w:lineRule="exact"/>
        <w:rPr>
          <w:rFonts w:ascii="Arial" w:cs="Arial" w:eastAsia="Arial" w:hAnsi="Arial"/>
          <w:sz w:val="18"/>
          <w:szCs w:val="18"/>
          <w:color w:val="auto"/>
        </w:rPr>
      </w:pPr>
    </w:p>
    <w:p>
      <w:pPr>
        <w:ind w:left="460" w:right="760" w:firstLine="443"/>
        <w:spacing w:after="0" w:line="239"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reasonably acceptable to the Trustee confirming that:</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Issuer has received from, or there has been published by the Internal Revenue Service, a ruling, or</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since the date of the Indenture, there has been a change in the applicable U.S. federal income tax law,</w:t>
      </w:r>
    </w:p>
    <w:p>
      <w:pPr>
        <w:spacing w:after="0" w:line="77" w:lineRule="exact"/>
        <w:rPr>
          <w:sz w:val="20"/>
          <w:szCs w:val="20"/>
          <w:color w:val="auto"/>
        </w:rPr>
      </w:pPr>
    </w:p>
    <w:p>
      <w:pPr>
        <w:ind w:left="460" w:right="80"/>
        <w:spacing w:after="0" w:line="237" w:lineRule="auto"/>
        <w:rPr>
          <w:sz w:val="20"/>
          <w:szCs w:val="20"/>
          <w:color w:val="auto"/>
        </w:rPr>
      </w:pPr>
      <w:r>
        <w:rPr>
          <w:rFonts w:ascii="Arial" w:cs="Arial" w:eastAsia="Arial" w:hAnsi="Arial"/>
          <w:sz w:val="18"/>
          <w:szCs w:val="18"/>
          <w:color w:val="auto"/>
        </w:rPr>
        <w:t>in either case to the effect that, and based thereon this Opinion of Counsel shall confirm that, the Holders of the outstanding Notes of that series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firstLine="443"/>
        <w:spacing w:after="0" w:line="237"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in the United States reasonably acceptable to the Trustee confirming that the Holders of the outstanding Notes of that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73" w:lineRule="exact"/>
        <w:rPr>
          <w:rFonts w:ascii="Arial" w:cs="Arial" w:eastAsia="Arial" w:hAnsi="Arial"/>
          <w:sz w:val="18"/>
          <w:szCs w:val="18"/>
          <w:color w:val="auto"/>
        </w:rPr>
      </w:pPr>
    </w:p>
    <w:p>
      <w:pPr>
        <w:ind w:left="460" w:right="200" w:firstLine="443"/>
        <w:spacing w:after="0" w:line="239"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73" w:lineRule="exact"/>
        <w:rPr>
          <w:rFonts w:ascii="Arial" w:cs="Arial" w:eastAsia="Arial" w:hAnsi="Arial"/>
          <w:sz w:val="18"/>
          <w:szCs w:val="18"/>
          <w:color w:val="auto"/>
        </w:rPr>
      </w:pPr>
    </w:p>
    <w:p>
      <w:pPr>
        <w:ind w:left="460" w:right="140" w:firstLine="443"/>
        <w:spacing w:after="0" w:line="237"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Legal Defeasance or Covenant Defeasance shall not result in a breach or violation of, or constitute a default under any other material agreement or instrument (other than the Indenture as it applies to the Notes of that series and the agreements governing any other Indebtedness being defeased, discharge or replaced) to which the Parent Guarantor or any of its Subsidiaries is a party or by which the Parent Guarantor or any of its Subsidiaries is bound,</w:t>
      </w:r>
    </w:p>
    <w:p>
      <w:pPr>
        <w:spacing w:after="0" w:line="73" w:lineRule="exact"/>
        <w:rPr>
          <w:rFonts w:ascii="Arial" w:cs="Arial" w:eastAsia="Arial" w:hAnsi="Arial"/>
          <w:sz w:val="18"/>
          <w:szCs w:val="18"/>
          <w:color w:val="auto"/>
        </w:rPr>
      </w:pPr>
    </w:p>
    <w:p>
      <w:pPr>
        <w:ind w:left="460" w:right="300" w:firstLine="443"/>
        <w:spacing w:after="0" w:line="238"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of the Notes of that series over any other of its creditors or with the intent of defeating, hindering, delaying or defrauding any other of its creditors or others, and</w:t>
      </w:r>
    </w:p>
    <w:p>
      <w:pPr>
        <w:spacing w:after="0" w:line="72" w:lineRule="exact"/>
        <w:rPr>
          <w:rFonts w:ascii="Arial" w:cs="Arial" w:eastAsia="Arial" w:hAnsi="Arial"/>
          <w:sz w:val="18"/>
          <w:szCs w:val="18"/>
          <w:color w:val="auto"/>
        </w:rPr>
      </w:pPr>
    </w:p>
    <w:p>
      <w:pPr>
        <w:ind w:left="460" w:right="400" w:firstLine="443"/>
        <w:spacing w:after="0" w:line="239" w:lineRule="auto"/>
        <w:tabs>
          <w:tab w:leader="none" w:pos="11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the conditions precedent provided for in clauses (1) through (6) have been complied with.</w:t>
      </w:r>
    </w:p>
    <w:p>
      <w:pPr>
        <w:spacing w:after="0" w:line="155"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If the funds deposited with the Trustee to effect Covenant Defeasance are insufficient to pay the principal of and interest on the Notes of the defeased series when due, then the Issuer’s obligations and the obligations of the Guarantors under the Indenture with respect to that series will be revived and no such defeasance will be deemed to have occurred.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9"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8"/>
          <w:szCs w:val="18"/>
          <w:color w:val="auto"/>
        </w:rPr>
        <w:t>The Indenture will be discharged and will cease to be of further effect with respect to either series of Notes (except as to rights of registration of transfer or exchange of Notes of that series which shall survive until all Notes of that series have been canceled and the rights, protections and immunities of the Trustee) as to all outstanding Notes of that series when either:</w:t>
      </w:r>
    </w:p>
    <w:p>
      <w:pPr>
        <w:spacing w:after="0" w:line="73" w:lineRule="exact"/>
        <w:rPr>
          <w:sz w:val="20"/>
          <w:szCs w:val="20"/>
          <w:color w:val="auto"/>
        </w:rPr>
      </w:pPr>
    </w:p>
    <w:p>
      <w:pPr>
        <w:jc w:val="both"/>
        <w:ind w:left="460" w:right="200" w:firstLine="443"/>
        <w:spacing w:after="0" w:line="281" w:lineRule="auto"/>
        <w:tabs>
          <w:tab w:leader="none" w:pos="116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the Notes of that series that have been authenticated and delivered (except lost, stolen or destroyed Notes of that series which have been replaced or paid and Notes of that series for whose payment money has been deposited in trust or segregated and held in trust by the Issuer and thereafter repaid to the Issuer or discharged from this trust) have been delivered to the Trustee for cancellation, or</w:t>
      </w:r>
    </w:p>
    <w:p>
      <w:pPr>
        <w:spacing w:after="0" w:line="42" w:lineRule="exact"/>
        <w:rPr>
          <w:rFonts w:ascii="Arial" w:cs="Arial" w:eastAsia="Arial" w:hAnsi="Arial"/>
          <w:sz w:val="16"/>
          <w:szCs w:val="16"/>
          <w:color w:val="auto"/>
        </w:rPr>
      </w:pPr>
    </w:p>
    <w:p>
      <w:pPr>
        <w:ind w:left="460" w:right="20" w:firstLine="443"/>
        <w:spacing w:after="0" w:line="264" w:lineRule="auto"/>
        <w:tabs>
          <w:tab w:leader="none" w:pos="1162" w:val="left"/>
        </w:tabs>
        <w:numPr>
          <w:ilvl w:val="1"/>
          <w:numId w:val="76"/>
        </w:numPr>
        <w:rPr>
          <w:rFonts w:ascii="Arial" w:cs="Arial" w:eastAsia="Arial" w:hAnsi="Arial"/>
          <w:sz w:val="16"/>
          <w:szCs w:val="16"/>
          <w:color w:val="auto"/>
        </w:rPr>
      </w:pPr>
      <w:r>
        <w:rPr>
          <w:rFonts w:ascii="Arial" w:cs="Arial" w:eastAsia="Arial" w:hAnsi="Arial"/>
          <w:sz w:val="16"/>
          <w:szCs w:val="16"/>
          <w:color w:val="auto"/>
        </w:rPr>
        <w:t>(a) all Notes of that series not delivered to the Trustee for cancellation otherwise (i) have become due and payable, (ii) will become due and payable at their Stated Maturity, or are to be called for redemption under arrangements specified in the Indenture, within one year or</w:t>
      </w:r>
    </w:p>
    <w:p>
      <w:pPr>
        <w:ind w:left="460" w:firstLine="4"/>
        <w:spacing w:after="0" w:line="236" w:lineRule="auto"/>
        <w:tabs>
          <w:tab w:leader="none" w:pos="7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have been called for redemption pursuant to the provisions described under “—Optional Redemption,” and, in any case, the Issuer or any Guarantor has irrevocably deposited or caused to be deposited with the Trustee as trust funds, in trust solely for the benefit of the Holders, U.S. dollars, U.S. Government Obligations or a combination thereof, in such amounts as will be sufficient (without consideration of any reinvestment of interest) to pay and discharge the entire Indebtedness on the Notes of that series not theretofore delivered to the Trustee for cancellation, for principal and any premium and accrued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380"/>
        <w:spacing w:after="0" w:line="239" w:lineRule="auto"/>
        <w:rPr>
          <w:sz w:val="20"/>
          <w:szCs w:val="20"/>
          <w:color w:val="auto"/>
        </w:rPr>
      </w:pPr>
      <w:r>
        <w:rPr>
          <w:rFonts w:ascii="Arial" w:cs="Arial" w:eastAsia="Arial" w:hAnsi="Arial"/>
          <w:sz w:val="18"/>
          <w:szCs w:val="18"/>
          <w:color w:val="auto"/>
        </w:rPr>
        <w:t>interest to the date of such deposit (in the case of Notes of that series which have become due and payable) or to the Stated Maturity or redemption date, as the case may be,</w:t>
      </w:r>
    </w:p>
    <w:p>
      <w:pPr>
        <w:spacing w:after="0" w:line="74" w:lineRule="exact"/>
        <w:rPr>
          <w:sz w:val="20"/>
          <w:szCs w:val="20"/>
          <w:color w:val="auto"/>
        </w:rPr>
      </w:pPr>
    </w:p>
    <w:p>
      <w:pPr>
        <w:ind w:left="1600" w:hanging="259"/>
        <w:spacing w:after="0"/>
        <w:tabs>
          <w:tab w:leader="none" w:pos="1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has paid all other sums payable by it under the Indenture with respect to the Notes of that series, and</w:t>
      </w:r>
    </w:p>
    <w:p>
      <w:pPr>
        <w:spacing w:after="0" w:line="76" w:lineRule="exact"/>
        <w:rPr>
          <w:rFonts w:ascii="Arial" w:cs="Arial" w:eastAsia="Arial" w:hAnsi="Arial"/>
          <w:sz w:val="18"/>
          <w:szCs w:val="18"/>
          <w:color w:val="auto"/>
        </w:rPr>
      </w:pPr>
    </w:p>
    <w:p>
      <w:pPr>
        <w:ind w:left="920" w:right="420" w:firstLine="421"/>
        <w:spacing w:after="0" w:line="239" w:lineRule="auto"/>
        <w:tabs>
          <w:tab w:leader="none" w:pos="159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such Notes at Stated Maturity or on the date of redemption, as the case may be.</w:t>
      </w:r>
    </w:p>
    <w:p>
      <w:pPr>
        <w:spacing w:after="0" w:line="155" w:lineRule="exact"/>
        <w:rPr>
          <w:sz w:val="20"/>
          <w:szCs w:val="20"/>
          <w:color w:val="auto"/>
        </w:rPr>
      </w:pPr>
    </w:p>
    <w:p>
      <w:pPr>
        <w:ind w:right="860" w:firstLine="456"/>
        <w:spacing w:after="0" w:line="239" w:lineRule="auto"/>
        <w:rPr>
          <w:sz w:val="20"/>
          <w:szCs w:val="20"/>
          <w:color w:val="auto"/>
        </w:rPr>
      </w:pPr>
      <w:r>
        <w:rPr>
          <w:rFonts w:ascii="Arial" w:cs="Arial" w:eastAsia="Arial" w:hAnsi="Arial"/>
          <w:sz w:val="18"/>
          <w:szCs w:val="18"/>
          <w:color w:val="auto"/>
        </w:rPr>
        <w:t>In addition, the Issuer must deliver an Officer’s Certificate and an Opinion of Counsel, each stating that all conditions precedent to satisfaction and discharge of the Indenture with respect to that series of Notes have been complied with.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9"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A Holder will be able to register the transfer of or exchange Notes only in accordance with the provisions of the Indenture. The Registrar may require a Holder, among other things, to furnish appropriate endorsements and transfer documents and to pay any taxes and fees required by law or permitted by the Indenture. Without the prior consent of the Issuer, the Registrar is not required (1) to register the transfer of or exchange any Note selected for redemption, (2) to register the transfer of or exchange any Note for a period of 15 days before a selection of Notes to be redeemed or (3) to register the transfer or exchange of a Note between a record date and the next succeeding interest payment date.</w:t>
      </w:r>
    </w:p>
    <w:p>
      <w:pPr>
        <w:spacing w:after="0" w:line="12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Notes will be issued in registered form and the Holder will be treated as the owner of such Note for all purposes (except as required by applicable tax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Except as otherwise provided in the next two succeeding paragraphs, the Indenture, the Guarantees or the Notes of either series may be amended with the consent (which may include consents obtained in connection with a tender offer or exchange offer for Notes of that series) of the Holders of a majority in aggregate principal amount of the then outstanding Notes of each series affected thereby (voting as a separate series), and any existing Default or Event of Default with respect to either series of Notes under, or compliance with any provision of, the Indenture may be waived with the consent (which may include consents obtained in connection with a tender offer or exchange offer for Notes of that series) of the Holders of a majority in aggregate principal amount of the Notes of that series then outstanding.</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Without the consent of each Holder affected thereby, an amendment or waiver may not (with respect to any Notes held by a non-consenting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77"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76" w:lineRule="exact"/>
        <w:rPr>
          <w:rFonts w:ascii="Arial" w:cs="Arial" w:eastAsia="Arial" w:hAnsi="Arial"/>
          <w:sz w:val="18"/>
          <w:szCs w:val="18"/>
          <w:color w:val="auto"/>
        </w:rPr>
      </w:pPr>
    </w:p>
    <w:p>
      <w:pPr>
        <w:ind w:left="460" w:right="120" w:firstLine="443"/>
        <w:spacing w:after="0" w:line="237" w:lineRule="auto"/>
        <w:tabs>
          <w:tab w:leader="none" w:pos="11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 repurchase of Notes (including pursuant to the covenants described above under the caption “—Change of Control Repurchase Event”) shall not be deemed a redemption of the Notes;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80" w:firstLine="443"/>
        <w:spacing w:after="0" w:line="239"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of the Notes or any Guarantee in a manner that adversely affects the Holders;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reduce the percentage of Holders necessary to consent to an amendment or waiver to the Indenture, the Guarantees or the Notes;</w:t>
      </w:r>
    </w:p>
    <w:p>
      <w:pPr>
        <w:spacing w:after="0" w:line="99" w:lineRule="exact"/>
        <w:rPr>
          <w:rFonts w:ascii="Arial" w:cs="Arial" w:eastAsia="Arial" w:hAnsi="Arial"/>
          <w:sz w:val="16"/>
          <w:szCs w:val="16"/>
          <w:color w:val="auto"/>
        </w:rPr>
      </w:pPr>
    </w:p>
    <w:p>
      <w:pPr>
        <w:ind w:left="460" w:firstLine="443"/>
        <w:spacing w:after="0" w:line="239"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73" w:lineRule="exact"/>
        <w:rPr>
          <w:rFonts w:ascii="Arial" w:cs="Arial" w:eastAsia="Arial" w:hAnsi="Arial"/>
          <w:sz w:val="18"/>
          <w:szCs w:val="18"/>
          <w:color w:val="auto"/>
        </w:rPr>
      </w:pPr>
    </w:p>
    <w:p>
      <w:pPr>
        <w:ind w:left="460" w:right="180" w:firstLine="443"/>
        <w:spacing w:after="0" w:line="239" w:lineRule="auto"/>
        <w:tabs>
          <w:tab w:leader="none" w:pos="11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or the Indenture, except as permitted by the Indenture; or</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158"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Notwithstanding the foregoing, the Issuer, the Guarantors and the Trustee may amend the Indenture, the Guarantees or the Notes without the consent of any Holder:</w:t>
      </w:r>
    </w:p>
    <w:p>
      <w:pPr>
        <w:spacing w:after="0" w:line="74" w:lineRule="exact"/>
        <w:rPr>
          <w:sz w:val="20"/>
          <w:szCs w:val="20"/>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200" w:firstLine="443"/>
        <w:spacing w:after="0" w:line="23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the covenant described under the caption “—Certain Covenants—Limitation on Mergers, Consolidations, Etc.”;</w:t>
      </w:r>
    </w:p>
    <w:p>
      <w:pPr>
        <w:spacing w:after="0" w:line="72" w:lineRule="exact"/>
        <w:rPr>
          <w:rFonts w:ascii="Arial" w:cs="Arial" w:eastAsia="Arial" w:hAnsi="Arial"/>
          <w:sz w:val="18"/>
          <w:szCs w:val="18"/>
          <w:color w:val="auto"/>
        </w:rPr>
      </w:pPr>
    </w:p>
    <w:p>
      <w:pPr>
        <w:ind w:left="460" w:right="780" w:firstLine="443"/>
        <w:spacing w:after="0" w:line="239"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add any Guarantor to the Indenture or to acknowledge the release of any Guarantor from any of its obligations under its Guarantee and the other provisions of the Indenture (to the extent in accordance with the Indenture);</w:t>
      </w:r>
    </w:p>
    <w:p>
      <w:pPr>
        <w:spacing w:after="0" w:line="73" w:lineRule="exact"/>
        <w:rPr>
          <w:rFonts w:ascii="Arial" w:cs="Arial" w:eastAsia="Arial" w:hAnsi="Arial"/>
          <w:sz w:val="18"/>
          <w:szCs w:val="18"/>
          <w:color w:val="auto"/>
        </w:rPr>
      </w:pPr>
    </w:p>
    <w:p>
      <w:pPr>
        <w:ind w:left="460" w:right="260" w:firstLine="443"/>
        <w:spacing w:after="0" w:line="239"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does not materially adversely affect the rights of any Holder;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effect or maintain the qualification of the Indenture under the Trust Indenture 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the Indenture;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76" w:lineRule="exact"/>
        <w:rPr>
          <w:rFonts w:ascii="Arial" w:cs="Arial" w:eastAsia="Arial" w:hAnsi="Arial"/>
          <w:sz w:val="18"/>
          <w:szCs w:val="18"/>
          <w:color w:val="auto"/>
        </w:rPr>
      </w:pPr>
    </w:p>
    <w:p>
      <w:pPr>
        <w:ind w:left="460" w:right="20" w:firstLine="443"/>
        <w:spacing w:after="0" w:line="23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this “Description of Notes” to the extent that such provision in this “Description of Notes” was intended to be a substantially verbatim recitation of a provision of the Indenture, the Guarantees or the Notes; or</w:t>
      </w:r>
    </w:p>
    <w:p>
      <w:pPr>
        <w:spacing w:after="0" w:line="72" w:lineRule="exact"/>
        <w:rPr>
          <w:rFonts w:ascii="Arial" w:cs="Arial" w:eastAsia="Arial" w:hAnsi="Arial"/>
          <w:sz w:val="18"/>
          <w:szCs w:val="18"/>
          <w:color w:val="auto"/>
        </w:rPr>
      </w:pPr>
    </w:p>
    <w:p>
      <w:pPr>
        <w:ind w:left="1260" w:hanging="357"/>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Indenture.</w:t>
      </w:r>
    </w:p>
    <w:p>
      <w:pPr>
        <w:spacing w:after="0" w:line="158"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155" w:lineRule="exact"/>
        <w:rPr>
          <w:sz w:val="20"/>
          <w:szCs w:val="20"/>
          <w:color w:val="auto"/>
        </w:rPr>
      </w:pPr>
    </w:p>
    <w:p>
      <w:pPr>
        <w:ind w:right="380" w:firstLine="456"/>
        <w:spacing w:after="0" w:line="238" w:lineRule="auto"/>
        <w:rPr>
          <w:sz w:val="20"/>
          <w:szCs w:val="20"/>
          <w:color w:val="auto"/>
        </w:rPr>
      </w:pPr>
      <w:r>
        <w:rPr>
          <w:rFonts w:ascii="Arial" w:cs="Arial" w:eastAsia="Arial" w:hAnsi="Arial"/>
          <w:sz w:val="18"/>
          <w:szCs w:val="18"/>
          <w:color w:val="auto"/>
        </w:rPr>
        <w:t>After an amendment under the Indenture becomes effective requiring the consent of the Holders of Notes of either series, the Issuer is required to deliver to Holders of Notes of that series a notice briefly describing such amendment. However, the failure to give such notice to all Holders of such Notes, or any defect therein, will not impair or affect the validity of the amendment.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No director, officer, employee, incorporator, or shareholder of the Issuer or any Guarantor will have any liability for any indebtedness, obligations or liabilities of the Issuer under the Notes or the Indenture or of any Guarantor under its Guarantee or for any claim based on, in respect of, or by reason of, such indebtedness, obligations or their creation. Each Holder by accepting a Note waives and releases all such liability. The waiver and release are part of the consideration for issuance of the Notes and the Guarantees.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9" w:lineRule="exact"/>
        <w:rPr>
          <w:sz w:val="20"/>
          <w:szCs w:val="20"/>
          <w:color w:val="auto"/>
        </w:rPr>
      </w:pPr>
    </w:p>
    <w:p>
      <w:pPr>
        <w:jc w:val="both"/>
        <w:ind w:right="420" w:firstLine="456"/>
        <w:spacing w:after="0" w:line="238" w:lineRule="auto"/>
        <w:rPr>
          <w:sz w:val="20"/>
          <w:szCs w:val="20"/>
          <w:color w:val="auto"/>
        </w:rPr>
      </w:pPr>
      <w:r>
        <w:rPr>
          <w:rFonts w:ascii="Arial" w:cs="Arial" w:eastAsia="Arial" w:hAnsi="Arial"/>
          <w:sz w:val="18"/>
          <w:szCs w:val="18"/>
          <w:color w:val="auto"/>
        </w:rPr>
        <w:t>Deutsche Bank Trust Company Americas will be the Trustee. A successor trustee may be appointed in accordance with the terms of the Indenture. The Parent Guarantor and its subsidiaries maintain banking relationships with the Trustee and its affiliates in the ordinary course of business. The Trustee is an affiliate of Deutsche Bank Securities Inc., one of the underwriters of the Notes in this offering.</w:t>
      </w:r>
    </w:p>
    <w:p>
      <w:pPr>
        <w:spacing w:after="0" w:line="154"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The Indenture will contain certain limitations on the rights of the Trustee, should it become a creditor of the Issuer or any Guarantor, to obtain payment of claims in certain cases, or to realize on certain assets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155"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In case an Event of Default occurs and is not cured, the Trustee will be required, in the exercise of its power, to use the degree of care of a prudent person in similar circumstances in the conduct of his own affairs. The Trustee will be under no obligation to exercise any of its rights or powers under the Indenture at the request of any Holder, unless such Holder shall have offered to the Trustee security or indemnity satisfactory to the Trustee.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Submission to Jurisdiction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the Notes and the Guarantees will be governed by, and construed in accordance with, the laws of the State of New York.</w:t>
      </w:r>
    </w:p>
    <w:p>
      <w:pPr>
        <w:spacing w:after="0" w:line="158"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Indenture will provide that the Issuer and the Guarantors submit to the non-exclusive jurisdiction of the competent federal courts in the City and State of New York with respect to disputes or claims made under the Indenture.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Global Notes</w:t>
      </w:r>
    </w:p>
    <w:p>
      <w:pPr>
        <w:spacing w:after="0" w:line="9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The Notes of each series will be initially issued in the form of one or more Notes in global form, without interest coupons (the “global notes”). Upon issuance, each of the global notes will be deposited with the Trustee as custodian for DTC and registered in the name of Cede &amp; Co., as nominee of DTC.</w:t>
      </w:r>
    </w:p>
    <w:p>
      <w:pPr>
        <w:spacing w:after="0" w:line="15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4" w:lineRule="exact"/>
        <w:rPr>
          <w:sz w:val="20"/>
          <w:szCs w:val="20"/>
          <w:color w:val="auto"/>
        </w:rPr>
      </w:pPr>
    </w:p>
    <w:p>
      <w:pPr>
        <w:ind w:left="780" w:right="140" w:hanging="326"/>
        <w:spacing w:after="0" w:line="239"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200" w:hanging="326"/>
        <w:spacing w:after="0" w:line="23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54" w:lineRule="exact"/>
        <w:rPr>
          <w:sz w:val="20"/>
          <w:szCs w:val="20"/>
          <w:color w:val="auto"/>
        </w:rPr>
      </w:pPr>
    </w:p>
    <w:p>
      <w:pPr>
        <w:ind w:right="720" w:firstLine="456"/>
        <w:spacing w:after="0" w:line="239"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Book-Entry Procedures for the Global Notes</w:t>
      </w:r>
    </w:p>
    <w:p>
      <w:pPr>
        <w:spacing w:after="0" w:line="95" w:lineRule="exact"/>
        <w:rPr>
          <w:sz w:val="20"/>
          <w:szCs w:val="20"/>
          <w:color w:val="auto"/>
        </w:rPr>
      </w:pPr>
    </w:p>
    <w:p>
      <w:pPr>
        <w:ind w:right="320" w:firstLine="456"/>
        <w:spacing w:after="0" w:line="237" w:lineRule="auto"/>
        <w:rPr>
          <w:sz w:val="20"/>
          <w:szCs w:val="20"/>
          <w:color w:val="auto"/>
        </w:rPr>
      </w:pPr>
      <w:r>
        <w:rPr>
          <w:rFonts w:ascii="Arial" w:cs="Arial" w:eastAsia="Arial" w:hAnsi="Arial"/>
          <w:sz w:val="18"/>
          <w:szCs w:val="18"/>
          <w:color w:val="auto"/>
        </w:rPr>
        <w:t>All interests in the global notes will be subject to the operations and procedures of DTC. The following summary of those operations and procedures is provided solely for the convenience of investors. The operations and procedures of DTC are controlled by that settlement system and may be changed at any time. Neither the Issuer, any Guarantor, the Trustee nor the underwriters are responsible for those operations or procedures.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advises that it is:</w:t>
      </w:r>
    </w:p>
    <w:p>
      <w:pPr>
        <w:spacing w:after="0" w:line="77"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References to “Holders” or “you” in this description are to registered holders of the Notes unless the context otherwise indicates.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provided below, owners of beneficial interests in a global note:</w:t>
      </w:r>
    </w:p>
    <w:p>
      <w:pPr>
        <w:spacing w:after="0" w:line="77"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76" w:lineRule="exact"/>
        <w:rPr>
          <w:rFonts w:ascii="Arial" w:cs="Arial" w:eastAsia="Arial" w:hAnsi="Arial"/>
          <w:sz w:val="18"/>
          <w:szCs w:val="18"/>
          <w:color w:val="auto"/>
        </w:rPr>
      </w:pPr>
    </w:p>
    <w:p>
      <w:pPr>
        <w:ind w:left="780" w:right="40" w:hanging="326"/>
        <w:spacing w:after="0" w:line="239"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55" w:lineRule="exact"/>
        <w:rPr>
          <w:sz w:val="20"/>
          <w:szCs w:val="20"/>
          <w:color w:val="auto"/>
        </w:rPr>
      </w:pPr>
    </w:p>
    <w:p>
      <w:pPr>
        <w:ind w:right="480" w:firstLine="456"/>
        <w:spacing w:after="0" w:line="238"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6"/>
          <w:szCs w:val="16"/>
          <w:color w:val="auto"/>
        </w:rPr>
        <w:t>Payments of principal, premium, if any, and interest with respect to the Notes represented by a global note will be made by the Paying Agent to DTC’s nominee as the registered holder of the global note. Neither the Issuer, any Guarantor nor the Paying Agent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2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Certificated Notes</w:t>
      </w:r>
    </w:p>
    <w:p>
      <w:pPr>
        <w:spacing w:after="0" w:line="95"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Unless we agree otherwise, Notes of either series in physical, certificated form will be issued and delivered to, and registered in the name of, each Person that DTC identifies as a beneficial owner of the related Notes only if:</w:t>
      </w:r>
    </w:p>
    <w:p>
      <w:pPr>
        <w:spacing w:after="0" w:line="74" w:lineRule="exact"/>
        <w:rPr>
          <w:sz w:val="20"/>
          <w:szCs w:val="20"/>
          <w:color w:val="auto"/>
        </w:rPr>
      </w:pPr>
    </w:p>
    <w:p>
      <w:pPr>
        <w:ind w:left="780" w:right="180" w:hanging="326"/>
        <w:spacing w:after="0" w:line="239"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3" w:lineRule="exact"/>
        <w:rPr>
          <w:rFonts w:ascii="Arial" w:cs="Arial" w:eastAsia="Arial" w:hAnsi="Arial"/>
          <w:sz w:val="18"/>
          <w:szCs w:val="18"/>
          <w:color w:val="auto"/>
        </w:rPr>
      </w:pPr>
    </w:p>
    <w:p>
      <w:pPr>
        <w:ind w:left="780" w:right="140" w:hanging="326"/>
        <w:spacing w:after="0" w:line="239"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w:t>
      </w:r>
    </w:p>
    <w:p>
      <w:pPr>
        <w:spacing w:after="0" w:line="73" w:lineRule="exact"/>
        <w:rPr>
          <w:rFonts w:ascii="Arial" w:cs="Arial" w:eastAsia="Arial" w:hAnsi="Arial"/>
          <w:sz w:val="18"/>
          <w:szCs w:val="18"/>
          <w:color w:val="auto"/>
        </w:rPr>
      </w:pPr>
    </w:p>
    <w:p>
      <w:pPr>
        <w:ind w:left="780" w:right="140" w:hanging="326"/>
        <w:spacing w:after="0" w:line="239"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Event of Default with respect to the Notes of that series has occurred and is continuing and DTC requests that such Notes be issued in physical, certificated 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full definition of all such terms.</w:t>
      </w:r>
    </w:p>
    <w:p>
      <w:pPr>
        <w:spacing w:after="0" w:line="137" w:lineRule="exact"/>
        <w:rPr>
          <w:sz w:val="20"/>
          <w:szCs w:val="20"/>
          <w:color w:val="auto"/>
        </w:rPr>
      </w:pPr>
    </w:p>
    <w:p>
      <w:pPr>
        <w:ind w:right="20" w:firstLine="45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Acquired Indebtedness</w:t>
      </w:r>
      <w:r>
        <w:rPr>
          <w:rFonts w:ascii="Arial" w:cs="Arial" w:eastAsia="Arial" w:hAnsi="Arial"/>
          <w:sz w:val="16"/>
          <w:szCs w:val="16"/>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10"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95" w:lineRule="exact"/>
        <w:rPr>
          <w:sz w:val="20"/>
          <w:szCs w:val="20"/>
          <w:color w:val="auto"/>
        </w:rPr>
      </w:pPr>
    </w:p>
    <w:p>
      <w:pPr>
        <w:ind w:left="460" w:right="360" w:firstLine="443"/>
        <w:spacing w:after="0" w:line="23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72" w:lineRule="exact"/>
        <w:rPr>
          <w:rFonts w:ascii="Arial" w:cs="Arial" w:eastAsia="Arial" w:hAnsi="Arial"/>
          <w:sz w:val="18"/>
          <w:szCs w:val="18"/>
          <w:color w:val="auto"/>
        </w:rPr>
      </w:pPr>
    </w:p>
    <w:p>
      <w:pPr>
        <w:ind w:left="460" w:right="120" w:firstLine="443"/>
        <w:spacing w:after="0" w:line="23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3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8"/>
          <w:szCs w:val="18"/>
          <w:i w:val="1"/>
          <w:iCs w:val="1"/>
          <w:color w:val="auto"/>
        </w:rPr>
        <w:t>net rental payments</w:t>
      </w:r>
      <w:r>
        <w:rPr>
          <w:rFonts w:ascii="Arial" w:cs="Arial" w:eastAsia="Arial" w:hAnsi="Arial"/>
          <w:sz w:val="18"/>
          <w:szCs w:val="18"/>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37" w:lineRule="exact"/>
        <w:rPr>
          <w:sz w:val="20"/>
          <w:szCs w:val="20"/>
          <w:color w:val="auto"/>
        </w:rPr>
      </w:pPr>
    </w:p>
    <w:p>
      <w:pPr>
        <w:ind w:right="4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31" w:lineRule="exact"/>
        <w:rPr>
          <w:sz w:val="20"/>
          <w:szCs w:val="20"/>
          <w:color w:val="auto"/>
        </w:rPr>
      </w:pPr>
    </w:p>
    <w:p>
      <w:pPr>
        <w:ind w:right="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are authorized or obligated by law, executive order or regulation to close.</w:t>
      </w:r>
    </w:p>
    <w:p>
      <w:pPr>
        <w:spacing w:after="0" w:line="119"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the Issue Date shall be deemed not to be a Capitalized Lease.</w:t>
      </w:r>
    </w:p>
    <w:p>
      <w:pPr>
        <w:spacing w:after="0" w:line="13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Lease Obligations</w:t>
      </w:r>
      <w:r>
        <w:rPr>
          <w:rFonts w:ascii="Arial" w:cs="Arial" w:eastAsia="Arial" w:hAnsi="Arial"/>
          <w:sz w:val="16"/>
          <w:szCs w:val="16"/>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5" w:lineRule="exact"/>
        <w:rPr>
          <w:sz w:val="20"/>
          <w:szCs w:val="20"/>
          <w:color w:val="auto"/>
        </w:rPr>
      </w:pPr>
    </w:p>
    <w:p>
      <w:pPr>
        <w:jc w:val="both"/>
        <w:ind w:left="460" w:right="260" w:firstLine="443"/>
        <w:spacing w:after="0" w:line="238"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720" w:firstLine="443"/>
        <w:spacing w:after="0" w:line="239" w:lineRule="auto"/>
        <w:tabs>
          <w:tab w:leader="none" w:pos="11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73" w:lineRule="exact"/>
        <w:rPr>
          <w:rFonts w:ascii="Arial" w:cs="Arial" w:eastAsia="Arial" w:hAnsi="Arial"/>
          <w:sz w:val="18"/>
          <w:szCs w:val="18"/>
          <w:color w:val="auto"/>
        </w:rPr>
      </w:pPr>
    </w:p>
    <w:p>
      <w:pPr>
        <w:ind w:left="460" w:firstLine="443"/>
        <w:spacing w:after="0" w:line="237" w:lineRule="auto"/>
        <w:tabs>
          <w:tab w:leader="none" w:pos="11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 million;</w:t>
      </w:r>
    </w:p>
    <w:p>
      <w:pPr>
        <w:spacing w:after="0" w:line="73" w:lineRule="exact"/>
        <w:rPr>
          <w:rFonts w:ascii="Arial" w:cs="Arial" w:eastAsia="Arial" w:hAnsi="Arial"/>
          <w:sz w:val="18"/>
          <w:szCs w:val="18"/>
          <w:color w:val="auto"/>
        </w:rPr>
      </w:pPr>
    </w:p>
    <w:p>
      <w:pPr>
        <w:ind w:left="460" w:right="280" w:firstLine="443"/>
        <w:spacing w:after="0" w:line="239" w:lineRule="auto"/>
        <w:tabs>
          <w:tab w:leader="none" w:pos="11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73" w:lineRule="exact"/>
        <w:rPr>
          <w:rFonts w:ascii="Arial" w:cs="Arial" w:eastAsia="Arial" w:hAnsi="Arial"/>
          <w:sz w:val="18"/>
          <w:szCs w:val="18"/>
          <w:color w:val="auto"/>
        </w:rPr>
      </w:pPr>
    </w:p>
    <w:p>
      <w:pPr>
        <w:ind w:left="460" w:right="420" w:firstLine="443"/>
        <w:spacing w:after="0" w:line="239" w:lineRule="auto"/>
        <w:tabs>
          <w:tab w:leader="none" w:pos="11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 billion;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case of any Foreign Restricted Subsidiary, other investments that are analogous to the items specified in clauses (1) through</w:t>
      </w:r>
    </w:p>
    <w:p>
      <w:pPr>
        <w:spacing w:after="0" w:line="18" w:lineRule="exact"/>
        <w:rPr>
          <w:rFonts w:ascii="Arial" w:cs="Arial" w:eastAsia="Arial" w:hAnsi="Arial"/>
          <w:sz w:val="16"/>
          <w:szCs w:val="16"/>
          <w:color w:val="auto"/>
        </w:rPr>
      </w:pPr>
    </w:p>
    <w:p>
      <w:pPr>
        <w:ind w:left="460" w:right="140" w:firstLine="4"/>
        <w:spacing w:after="0" w:line="239" w:lineRule="auto"/>
        <w:tabs>
          <w:tab w:leader="none" w:pos="723" w:val="left"/>
        </w:tabs>
        <w:numPr>
          <w:ilvl w:val="0"/>
          <w:numId w:val="90"/>
        </w:numPr>
        <w:rPr>
          <w:rFonts w:ascii="Arial" w:cs="Arial" w:eastAsia="Arial" w:hAnsi="Arial"/>
          <w:sz w:val="18"/>
          <w:szCs w:val="18"/>
          <w:color w:val="auto"/>
        </w:rPr>
      </w:pPr>
      <w:r>
        <w:rPr>
          <w:rFonts w:ascii="Arial" w:cs="Arial" w:eastAsia="Arial" w:hAnsi="Arial"/>
          <w:sz w:val="18"/>
          <w:szCs w:val="18"/>
          <w:color w:val="auto"/>
        </w:rPr>
        <w:t>above, are of comparable credit quality and are customarily used by companies in the jurisdiction of such Foreign Restricted Subsidiary for cash management purposes.</w:t>
      </w:r>
    </w:p>
    <w:p>
      <w:pPr>
        <w:spacing w:after="0" w:line="137"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Company’s Board of Directors are not Continuing Directors.</w:t>
      </w:r>
    </w:p>
    <w:p>
      <w:pPr>
        <w:spacing w:after="0" w:line="318"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with respect to either series of Notes, the occurrence of both a Change of Control and a Rating Event with respect to the Notes of that series.</w:t>
      </w:r>
    </w:p>
    <w:p>
      <w:pPr>
        <w:spacing w:after="0" w:line="119" w:lineRule="exact"/>
        <w:rPr>
          <w:sz w:val="20"/>
          <w:szCs w:val="20"/>
          <w:color w:val="auto"/>
        </w:rPr>
      </w:pPr>
    </w:p>
    <w:p>
      <w:pPr>
        <w:ind w:right="8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31" w:lineRule="exact"/>
        <w:rPr>
          <w:sz w:val="20"/>
          <w:szCs w:val="20"/>
          <w:color w:val="auto"/>
        </w:rPr>
      </w:pPr>
    </w:p>
    <w:p>
      <w:pPr>
        <w:ind w:right="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56"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76" w:lineRule="exact"/>
        <w:rPr>
          <w:rFonts w:ascii="Arial" w:cs="Arial" w:eastAsia="Arial" w:hAnsi="Arial"/>
          <w:sz w:val="18"/>
          <w:szCs w:val="18"/>
          <w:color w:val="auto"/>
        </w:rPr>
      </w:pPr>
    </w:p>
    <w:p>
      <w:pPr>
        <w:ind w:left="1600" w:hanging="259"/>
        <w:spacing w:after="0"/>
        <w:tabs>
          <w:tab w:leader="none" w:pos="1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76" w:lineRule="exact"/>
        <w:rPr>
          <w:rFonts w:ascii="Arial" w:cs="Arial" w:eastAsia="Arial" w:hAnsi="Arial"/>
          <w:sz w:val="18"/>
          <w:szCs w:val="18"/>
          <w:color w:val="auto"/>
        </w:rPr>
      </w:pPr>
    </w:p>
    <w:p>
      <w:pPr>
        <w:ind w:left="920" w:right="60" w:firstLine="421"/>
        <w:spacing w:after="0" w:line="239" w:lineRule="auto"/>
        <w:tabs>
          <w:tab w:leader="none" w:pos="1603"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73" w:lineRule="exact"/>
        <w:rPr>
          <w:rFonts w:ascii="Arial" w:cs="Arial" w:eastAsia="Arial" w:hAnsi="Arial"/>
          <w:sz w:val="18"/>
          <w:szCs w:val="18"/>
          <w:color w:val="auto"/>
        </w:rPr>
      </w:pPr>
    </w:p>
    <w:p>
      <w:pPr>
        <w:jc w:val="both"/>
        <w:ind w:left="460" w:right="120" w:firstLine="443"/>
        <w:spacing w:after="0" w:line="238"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72" w:lineRule="exact"/>
        <w:rPr>
          <w:rFonts w:ascii="Arial" w:cs="Arial" w:eastAsia="Arial" w:hAnsi="Arial"/>
          <w:sz w:val="18"/>
          <w:szCs w:val="18"/>
          <w:color w:val="auto"/>
        </w:rPr>
      </w:pPr>
    </w:p>
    <w:p>
      <w:pPr>
        <w:ind w:left="460" w:right="140" w:firstLine="443"/>
        <w:spacing w:after="0" w:line="237" w:lineRule="auto"/>
        <w:tabs>
          <w:tab w:leader="none" w:pos="116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37" w:lineRule="exact"/>
        <w:rPr>
          <w:sz w:val="20"/>
          <w:szCs w:val="20"/>
          <w:color w:val="auto"/>
        </w:rPr>
      </w:pPr>
    </w:p>
    <w:p>
      <w:pPr>
        <w:ind w:right="1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19" w:lineRule="exact"/>
        <w:rPr>
          <w:sz w:val="20"/>
          <w:szCs w:val="20"/>
          <w:color w:val="auto"/>
        </w:rPr>
      </w:pPr>
    </w:p>
    <w:p>
      <w:pPr>
        <w:ind w:right="4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11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Coverage Ratio</w:t>
      </w:r>
      <w:r>
        <w:rPr>
          <w:rFonts w:ascii="Arial" w:cs="Arial" w:eastAsia="Arial" w:hAnsi="Arial"/>
          <w:sz w:val="18"/>
          <w:szCs w:val="18"/>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8"/>
          <w:szCs w:val="18"/>
          <w:i w:val="1"/>
          <w:iCs w:val="1"/>
          <w:color w:val="auto"/>
        </w:rPr>
        <w:t>Four-Quarter Period</w:t>
      </w:r>
      <w:r>
        <w:rPr>
          <w:rFonts w:ascii="Arial" w:cs="Arial" w:eastAsia="Arial" w:hAnsi="Arial"/>
          <w:sz w:val="18"/>
          <w:szCs w:val="18"/>
          <w:color w:val="auto"/>
        </w:rPr>
        <w:t>”) ending on or prior to the date of the transaction giving rise to the need to calculate the Consolidated Interest Coverage Ratio (the “</w:t>
      </w:r>
      <w:r>
        <w:rPr>
          <w:rFonts w:ascii="Arial" w:cs="Arial" w:eastAsia="Arial" w:hAnsi="Arial"/>
          <w:sz w:val="18"/>
          <w:szCs w:val="18"/>
          <w:i w:val="1"/>
          <w:iCs w:val="1"/>
          <w:color w:val="auto"/>
        </w:rPr>
        <w:t>Transaction Date</w:t>
      </w:r>
      <w:r>
        <w:rPr>
          <w:rFonts w:ascii="Arial" w:cs="Arial" w:eastAsia="Arial" w:hAnsi="Arial"/>
          <w:sz w:val="18"/>
          <w:szCs w:val="18"/>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78" w:lineRule="exact"/>
        <w:rPr>
          <w:sz w:val="20"/>
          <w:szCs w:val="20"/>
          <w:color w:val="auto"/>
        </w:rPr>
      </w:pPr>
    </w:p>
    <w:p>
      <w:pPr>
        <w:ind w:left="460" w:right="160" w:firstLine="443"/>
        <w:spacing w:after="0" w:line="236" w:lineRule="auto"/>
        <w:tabs>
          <w:tab w:leader="none" w:pos="11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60" w:firstLine="443"/>
        <w:spacing w:after="0" w:line="235" w:lineRule="auto"/>
        <w:tabs>
          <w:tab w:leader="none" w:pos="1162"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8"/>
          <w:szCs w:val="18"/>
          <w:i w:val="1"/>
          <w:iCs w:val="1"/>
          <w:color w:val="auto"/>
        </w:rPr>
        <w:t>provided</w:t>
      </w:r>
      <w:r>
        <w:rPr>
          <w:rFonts w:ascii="Arial" w:cs="Arial" w:eastAsia="Arial" w:hAnsi="Arial"/>
          <w:sz w:val="18"/>
          <w:szCs w:val="18"/>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61"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74" w:lineRule="exact"/>
        <w:rPr>
          <w:sz w:val="20"/>
          <w:szCs w:val="20"/>
          <w:color w:val="auto"/>
        </w:rPr>
      </w:pPr>
    </w:p>
    <w:p>
      <w:pPr>
        <w:jc w:val="both"/>
        <w:ind w:left="460" w:right="80" w:firstLine="443"/>
        <w:spacing w:after="0" w:line="23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72" w:lineRule="exact"/>
        <w:rPr>
          <w:rFonts w:ascii="Arial" w:cs="Arial" w:eastAsia="Arial" w:hAnsi="Arial"/>
          <w:sz w:val="18"/>
          <w:szCs w:val="18"/>
          <w:color w:val="auto"/>
        </w:rPr>
      </w:pPr>
    </w:p>
    <w:p>
      <w:pPr>
        <w:ind w:left="460" w:firstLine="443"/>
        <w:spacing w:after="0" w:line="23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72" w:lineRule="exact"/>
        <w:rPr>
          <w:rFonts w:ascii="Arial" w:cs="Arial" w:eastAsia="Arial" w:hAnsi="Arial"/>
          <w:sz w:val="18"/>
          <w:szCs w:val="18"/>
          <w:color w:val="auto"/>
        </w:rPr>
      </w:pPr>
    </w:p>
    <w:p>
      <w:pPr>
        <w:ind w:left="460" w:right="200" w:firstLine="443"/>
        <w:spacing w:after="0" w:line="238" w:lineRule="auto"/>
        <w:tabs>
          <w:tab w:leader="none" w:pos="11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36" w:lineRule="exact"/>
        <w:rPr>
          <w:sz w:val="20"/>
          <w:szCs w:val="20"/>
          <w:color w:val="auto"/>
        </w:rPr>
      </w:pPr>
    </w:p>
    <w:p>
      <w:pPr>
        <w:ind w:right="1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56"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76" w:lineRule="exact"/>
        <w:rPr>
          <w:rFonts w:ascii="Arial" w:cs="Arial" w:eastAsia="Arial" w:hAnsi="Arial"/>
          <w:sz w:val="18"/>
          <w:szCs w:val="18"/>
          <w:color w:val="auto"/>
        </w:rPr>
      </w:pPr>
    </w:p>
    <w:p>
      <w:pPr>
        <w:ind w:left="460" w:right="180" w:firstLine="443"/>
        <w:spacing w:after="0" w:line="238" w:lineRule="auto"/>
        <w:tabs>
          <w:tab w:leader="none" w:pos="116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68" w:lineRule="exact"/>
        <w:rPr>
          <w:sz w:val="20"/>
          <w:szCs w:val="20"/>
          <w:color w:val="auto"/>
        </w:rPr>
      </w:pPr>
    </w:p>
    <w:p>
      <w:pPr>
        <w:ind w:left="460" w:right="80" w:firstLine="443"/>
        <w:spacing w:after="0" w:line="238"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72" w:lineRule="exact"/>
        <w:rPr>
          <w:rFonts w:ascii="Arial" w:cs="Arial" w:eastAsia="Arial" w:hAnsi="Arial"/>
          <w:sz w:val="18"/>
          <w:szCs w:val="18"/>
          <w:color w:val="auto"/>
        </w:rPr>
      </w:pPr>
    </w:p>
    <w:p>
      <w:pPr>
        <w:ind w:left="460" w:right="300" w:firstLine="443"/>
        <w:spacing w:after="0" w:line="237"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73" w:lineRule="exact"/>
        <w:rPr>
          <w:rFonts w:ascii="Arial" w:cs="Arial" w:eastAsia="Arial" w:hAnsi="Arial"/>
          <w:sz w:val="18"/>
          <w:szCs w:val="18"/>
          <w:color w:val="auto"/>
        </w:rPr>
      </w:pPr>
    </w:p>
    <w:p>
      <w:pPr>
        <w:ind w:left="460" w:right="100" w:firstLine="443"/>
        <w:spacing w:after="0" w:line="236"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76" w:lineRule="exact"/>
        <w:rPr>
          <w:rFonts w:ascii="Arial" w:cs="Arial" w:eastAsia="Arial" w:hAnsi="Arial"/>
          <w:sz w:val="18"/>
          <w:szCs w:val="18"/>
          <w:color w:val="auto"/>
        </w:rPr>
      </w:pPr>
    </w:p>
    <w:p>
      <w:pPr>
        <w:ind w:left="460" w:firstLine="443"/>
        <w:spacing w:after="0" w:line="238" w:lineRule="auto"/>
        <w:tabs>
          <w:tab w:leader="none" w:pos="116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72" w:lineRule="exact"/>
        <w:rPr>
          <w:rFonts w:ascii="Arial" w:cs="Arial" w:eastAsia="Arial" w:hAnsi="Arial"/>
          <w:sz w:val="18"/>
          <w:szCs w:val="18"/>
          <w:color w:val="auto"/>
        </w:rPr>
      </w:pPr>
    </w:p>
    <w:p>
      <w:pPr>
        <w:ind w:left="1260" w:hanging="357"/>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non-cash charges or expenses with respect to the grant of stock options, restricted stock or other equity compensation awards;</w:t>
      </w:r>
    </w:p>
    <w:p>
      <w:pPr>
        <w:ind w:left="4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140" w:lineRule="exact"/>
        <w:rPr>
          <w:sz w:val="20"/>
          <w:szCs w:val="20"/>
          <w:color w:val="auto"/>
        </w:rPr>
      </w:pPr>
    </w:p>
    <w:p>
      <w:pPr>
        <w:ind w:right="9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at any date of determination, the amount of total shareholders’ equity shown in the most recent consolidated statement of financial position of the Parent Guarantor.</w:t>
      </w:r>
    </w:p>
    <w:p>
      <w:pPr>
        <w:spacing w:after="0" w:line="119"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36" w:lineRule="exact"/>
        <w:rPr>
          <w:sz w:val="20"/>
          <w:szCs w:val="20"/>
          <w:color w:val="auto"/>
        </w:rPr>
      </w:pPr>
    </w:p>
    <w:p>
      <w:pPr>
        <w:ind w:right="5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19" w:lineRule="exact"/>
        <w:rPr>
          <w:sz w:val="20"/>
          <w:szCs w:val="20"/>
          <w:color w:val="auto"/>
        </w:rPr>
      </w:pPr>
    </w:p>
    <w:p>
      <w:pPr>
        <w:ind w:right="6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the covenant described under “—Certain Covenants—Limitation on Additional Indebtedness.”</w:t>
      </w:r>
    </w:p>
    <w:p>
      <w:pPr>
        <w:spacing w:after="0" w:line="11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as of May 4, 2016, among the Issuer, the Parent Guarantor, the other Subsidiaries of the Parent Guarantor from time to time party thereto, JPMorgan Chase Bank, N.A., as administrative agent and swingline lender,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3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or indentures (which may be outstanding at the same time and including, without limitation, the Credit Agreement and the Term Loan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37"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34" w:lineRule="exact"/>
        <w:rPr>
          <w:sz w:val="20"/>
          <w:szCs w:val="20"/>
          <w:color w:val="auto"/>
        </w:rPr>
      </w:pPr>
    </w:p>
    <w:p>
      <w:pPr>
        <w:ind w:right="9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158" w:lineRule="exact"/>
        <w:rPr>
          <w:sz w:val="20"/>
          <w:szCs w:val="20"/>
          <w:color w:val="auto"/>
        </w:rPr>
      </w:pPr>
    </w:p>
    <w:p>
      <w:pPr>
        <w:ind w:right="5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19" w:lineRule="exact"/>
        <w:rPr>
          <w:sz w:val="20"/>
          <w:szCs w:val="20"/>
          <w:color w:val="auto"/>
        </w:rPr>
      </w:pPr>
    </w:p>
    <w:p>
      <w:pPr>
        <w:ind w:right="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the covenant described under “—Certain Covenants—Limitation on Designation of Unrestricted Subsidiaries.”</w:t>
      </w:r>
    </w:p>
    <w:p>
      <w:pPr>
        <w:spacing w:after="0" w:line="11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Equity Interests</w:t>
      </w:r>
      <w:r>
        <w:rPr>
          <w:rFonts w:ascii="Arial" w:cs="Arial" w:eastAsia="Arial" w:hAnsi="Arial"/>
          <w:sz w:val="18"/>
          <w:szCs w:val="18"/>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any Equity Interests that would not constitute Disqualified Equity Interests but for provisions thereof giving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(or the holders of any security into or for which such Equity Interests are convertible, exchangeable or exercisable) the right to require such Person to repurchase or redeem such Equity Interests upon the occurrence of a change in control occurring prior to the 91st day after the Stated Maturity of the Notes shall not constitute Disqualified Equity Interests if the change of control provisions applicable to such Equity Interests are no more favorable to such holders than the provisions described under “—Change of Control,” and such Equity Interests specifically provide that the Issuer will not repurchase or redeem any such Equity Interests pursuant to such provisions prior to the Issuer’s purchase of the Notes as required pursuant to the provisions described under “—Change of Control.”</w:t>
      </w:r>
    </w:p>
    <w:p>
      <w:pPr>
        <w:spacing w:after="0" w:line="147" w:lineRule="exact"/>
        <w:rPr>
          <w:sz w:val="20"/>
          <w:szCs w:val="20"/>
          <w:color w:val="auto"/>
        </w:rPr>
      </w:pPr>
    </w:p>
    <w:p>
      <w:pPr>
        <w:ind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19"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158"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other than a Guarantor.</w:t>
      </w:r>
    </w:p>
    <w:p>
      <w:pPr>
        <w:spacing w:after="0" w:line="119"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34" w:lineRule="exact"/>
        <w:rPr>
          <w:sz w:val="20"/>
          <w:szCs w:val="20"/>
          <w:color w:val="auto"/>
        </w:rPr>
      </w:pPr>
    </w:p>
    <w:p>
      <w:pPr>
        <w:ind w:right="1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34" w:lineRule="exact"/>
        <w:rPr>
          <w:sz w:val="20"/>
          <w:szCs w:val="20"/>
          <w:color w:val="auto"/>
        </w:rPr>
      </w:pPr>
    </w:p>
    <w:p>
      <w:pPr>
        <w:ind w:right="46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19" w:lineRule="exact"/>
        <w:rPr>
          <w:sz w:val="20"/>
          <w:szCs w:val="20"/>
          <w:color w:val="auto"/>
        </w:rPr>
      </w:pPr>
    </w:p>
    <w:p>
      <w:pPr>
        <w:ind w:right="2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19" w:lineRule="exact"/>
        <w:rPr>
          <w:sz w:val="20"/>
          <w:szCs w:val="20"/>
          <w:color w:val="auto"/>
        </w:rPr>
      </w:pPr>
    </w:p>
    <w:p>
      <w:pPr>
        <w:ind w:right="2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158"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95" w:lineRule="exact"/>
        <w:rPr>
          <w:sz w:val="20"/>
          <w:szCs w:val="20"/>
          <w:color w:val="auto"/>
        </w:rPr>
      </w:pPr>
    </w:p>
    <w:p>
      <w:pPr>
        <w:ind w:left="460" w:right="100" w:firstLine="443"/>
        <w:spacing w:after="0" w:line="239"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76" w:lineRule="exact"/>
        <w:rPr>
          <w:rFonts w:ascii="Arial" w:cs="Arial" w:eastAsia="Arial" w:hAnsi="Arial"/>
          <w:sz w:val="18"/>
          <w:szCs w:val="18"/>
          <w:color w:val="auto"/>
        </w:rPr>
      </w:pPr>
    </w:p>
    <w:p>
      <w:pPr>
        <w:ind w:left="460" w:right="440" w:firstLine="443"/>
        <w:spacing w:after="0" w:line="239" w:lineRule="auto"/>
        <w:tabs>
          <w:tab w:leader="none" w:pos="1162"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non-contingent reimbursement obligations of such Person in respect of letters of credit, letters of guaranty and similar credit transactions;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20" w:firstLine="443"/>
        <w:spacing w:after="0" w:line="238"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72" w:lineRule="exact"/>
        <w:rPr>
          <w:rFonts w:ascii="Arial" w:cs="Arial" w:eastAsia="Arial" w:hAnsi="Arial"/>
          <w:sz w:val="18"/>
          <w:szCs w:val="18"/>
          <w:color w:val="auto"/>
        </w:rPr>
      </w:pPr>
    </w:p>
    <w:p>
      <w:pPr>
        <w:ind w:left="460" w:right="660" w:firstLine="443"/>
        <w:spacing w:after="0" w:line="239"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73" w:lineRule="exact"/>
        <w:rPr>
          <w:rFonts w:ascii="Arial" w:cs="Arial" w:eastAsia="Arial" w:hAnsi="Arial"/>
          <w:sz w:val="18"/>
          <w:szCs w:val="18"/>
          <w:color w:val="auto"/>
        </w:rPr>
      </w:pPr>
    </w:p>
    <w:p>
      <w:pPr>
        <w:ind w:left="460" w:right="560" w:firstLine="443"/>
        <w:spacing w:after="0" w:line="239"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58" w:lineRule="exact"/>
        <w:rPr>
          <w:rFonts w:ascii="Arial" w:cs="Arial" w:eastAsia="Arial" w:hAnsi="Arial"/>
          <w:sz w:val="16"/>
          <w:szCs w:val="16"/>
          <w:color w:val="auto"/>
        </w:rPr>
      </w:pPr>
    </w:p>
    <w:p>
      <w:pPr>
        <w:ind w:left="460" w:right="120" w:firstLine="443"/>
        <w:spacing w:after="0" w:line="247"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67" w:lineRule="exact"/>
        <w:rPr>
          <w:rFonts w:ascii="Arial" w:cs="Arial" w:eastAsia="Arial" w:hAnsi="Arial"/>
          <w:sz w:val="18"/>
          <w:szCs w:val="18"/>
          <w:color w:val="auto"/>
        </w:rPr>
      </w:pPr>
    </w:p>
    <w:p>
      <w:pPr>
        <w:ind w:left="460" w:right="200" w:firstLine="443"/>
        <w:spacing w:after="0" w:line="239" w:lineRule="auto"/>
        <w:tabs>
          <w:tab w:leader="none" w:pos="11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5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6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6"/>
          <w:szCs w:val="16"/>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158" w:lineRule="exact"/>
        <w:rPr>
          <w:sz w:val="20"/>
          <w:szCs w:val="20"/>
          <w:color w:val="auto"/>
        </w:rPr>
      </w:pPr>
    </w:p>
    <w:p>
      <w:pPr>
        <w:ind w:right="180" w:firstLine="456"/>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with respect to either series of Notes, a rating equal to or higher than Baa3 (or the equivalent under any successor ratings categories of Moody’s) by Moody’s and BBB- (or the equivalent under any successor ratings categories by S&amp;P) by S&amp;P.</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95" w:lineRule="exact"/>
        <w:rPr>
          <w:sz w:val="20"/>
          <w:szCs w:val="20"/>
          <w:color w:val="auto"/>
        </w:rPr>
      </w:pPr>
    </w:p>
    <w:p>
      <w:pPr>
        <w:ind w:left="460" w:right="200" w:firstLine="443"/>
        <w:spacing w:after="0" w:line="238"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72" w:lineRule="exact"/>
        <w:rPr>
          <w:rFonts w:ascii="Arial" w:cs="Arial" w:eastAsia="Arial" w:hAnsi="Arial"/>
          <w:sz w:val="18"/>
          <w:szCs w:val="18"/>
          <w:color w:val="auto"/>
        </w:rPr>
      </w:pPr>
    </w:p>
    <w:p>
      <w:pPr>
        <w:ind w:left="460" w:right="260" w:firstLine="443"/>
        <w:spacing w:after="0" w:line="238"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72" w:lineRule="exact"/>
        <w:rPr>
          <w:rFonts w:ascii="Arial" w:cs="Arial" w:eastAsia="Arial" w:hAnsi="Arial"/>
          <w:sz w:val="18"/>
          <w:szCs w:val="18"/>
          <w:color w:val="auto"/>
        </w:rPr>
      </w:pPr>
    </w:p>
    <w:p>
      <w:pPr>
        <w:ind w:left="460" w:right="920" w:firstLine="443"/>
        <w:spacing w:after="0" w:line="23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the covenant described under “—Certain Covenants—Limitation on Designation of Unrestricted Subsidiaries.”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first date on which the Notes are originally issued.</w:t>
      </w:r>
    </w:p>
    <w:p>
      <w:pPr>
        <w:spacing w:after="0" w:line="158" w:lineRule="exact"/>
        <w:rPr>
          <w:sz w:val="20"/>
          <w:szCs w:val="20"/>
          <w:color w:val="auto"/>
        </w:rPr>
      </w:pPr>
    </w:p>
    <w:p>
      <w:pPr>
        <w:ind w:right="3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Weatherford International Ltd., a Bermuda exempted company, and any successor Person resulting from any transaction permitted by the covenant described under “—Certain Covenants—Limitation on Mergers, Consolidations, Etc.”</w:t>
      </w:r>
    </w:p>
    <w:p>
      <w:pPr>
        <w:spacing w:after="0" w:line="11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any mortgage, pledge, security interest, charge, lien or other encumbrance of any kind, whether or not filed, recorded or perfected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95" w:lineRule="exact"/>
        <w:rPr>
          <w:sz w:val="20"/>
          <w:szCs w:val="20"/>
          <w:color w:val="auto"/>
        </w:rPr>
      </w:pPr>
    </w:p>
    <w:p>
      <w:pPr>
        <w:ind w:left="460" w:right="600" w:firstLine="443"/>
        <w:spacing w:after="0" w:line="239" w:lineRule="auto"/>
        <w:tabs>
          <w:tab w:leader="none" w:pos="11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constitute Indebtedness), except for Customary Recourse Exceptions, (b) is directly or indirectly liable as a guarantor or otherwise, or</w:t>
      </w: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constitutes the lender; and</w:t>
      </w:r>
    </w:p>
    <w:p>
      <w:pPr>
        <w:spacing w:after="0" w:line="76" w:lineRule="exact"/>
        <w:rPr>
          <w:rFonts w:ascii="Arial" w:cs="Arial" w:eastAsia="Arial" w:hAnsi="Arial"/>
          <w:sz w:val="18"/>
          <w:szCs w:val="18"/>
          <w:color w:val="auto"/>
        </w:rPr>
      </w:pPr>
    </w:p>
    <w:p>
      <w:pPr>
        <w:ind w:left="460" w:right="20" w:firstLine="443"/>
        <w:spacing w:after="0" w:line="237" w:lineRule="auto"/>
        <w:tabs>
          <w:tab w:leader="none" w:pos="116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37" w:lineRule="exact"/>
        <w:rPr>
          <w:sz w:val="20"/>
          <w:szCs w:val="20"/>
          <w:color w:val="auto"/>
        </w:rPr>
      </w:pPr>
    </w:p>
    <w:p>
      <w:pPr>
        <w:ind w:right="2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19" w:lineRule="exact"/>
        <w:rPr>
          <w:sz w:val="20"/>
          <w:szCs w:val="20"/>
          <w:color w:val="auto"/>
        </w:rPr>
      </w:pPr>
    </w:p>
    <w:p>
      <w:pPr>
        <w:ind w:right="2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any other person duly authorized by any such person.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 Officer of the Issuer or a Guarantor, as appropriate, and delivered to the Trustee.</w:t>
      </w:r>
    </w:p>
    <w:p>
      <w:pPr>
        <w:spacing w:after="0" w:line="158" w:lineRule="exact"/>
        <w:rPr>
          <w:sz w:val="20"/>
          <w:szCs w:val="20"/>
          <w:color w:val="auto"/>
        </w:rPr>
      </w:pPr>
    </w:p>
    <w:p>
      <w:pPr>
        <w:ind w:right="7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as the case may be, and who shall be reasonably acceptable to the Trustee.</w:t>
      </w:r>
    </w:p>
    <w:p>
      <w:pPr>
        <w:spacing w:after="0" w:line="119" w:lineRule="exact"/>
        <w:rPr>
          <w:sz w:val="20"/>
          <w:szCs w:val="20"/>
          <w:color w:val="auto"/>
        </w:rPr>
      </w:pPr>
    </w:p>
    <w:p>
      <w:pPr>
        <w:ind w:right="5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Weatherford International plc, an Irish public limited company, and any successor Person resulting from any transaction permitted by the covenant described under “—Certain Covenants—Limitation on Mergers, Consolidations, Etc.”</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Parent Guarantor that is not Subordinated Indebtedness.</w:t>
      </w:r>
    </w:p>
    <w:p>
      <w:pPr>
        <w:spacing w:after="0" w:line="158" w:lineRule="exact"/>
        <w:rPr>
          <w:sz w:val="20"/>
          <w:szCs w:val="20"/>
          <w:color w:val="auto"/>
        </w:rPr>
      </w:pPr>
    </w:p>
    <w:p>
      <w:pPr>
        <w:ind w:right="8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engaged in by the Parent Guarantor and its Subsidiaries on the Issue Date and businesses that are reasonably related, incidental or ancillary thereto or reasonable extensions thereof as determined by the Board of Directors of Parent Guarantor.</w:t>
      </w:r>
    </w:p>
    <w:p>
      <w:pPr>
        <w:spacing w:after="0" w:line="131" w:lineRule="exact"/>
        <w:rPr>
          <w:sz w:val="20"/>
          <w:szCs w:val="20"/>
          <w:color w:val="auto"/>
        </w:rPr>
      </w:pPr>
    </w:p>
    <w:p>
      <w:pPr>
        <w:jc w:val="both"/>
        <w:ind w:right="10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34"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31" w:lineRule="exact"/>
        <w:rPr>
          <w:sz w:val="20"/>
          <w:szCs w:val="20"/>
          <w:color w:val="auto"/>
        </w:rPr>
      </w:pPr>
    </w:p>
    <w:p>
      <w:pPr>
        <w:ind w:right="5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the covenant described under “—Certain Covenants— Limitation on Additional Indebtedness.”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95" w:lineRule="exact"/>
        <w:rPr>
          <w:sz w:val="20"/>
          <w:szCs w:val="20"/>
          <w:color w:val="auto"/>
        </w:rPr>
      </w:pPr>
    </w:p>
    <w:p>
      <w:pPr>
        <w:ind w:left="460" w:right="140" w:firstLine="443"/>
        <w:spacing w:after="0" w:line="237"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in the Parent Guarantor by any Restricted Subsidiary;</w:t>
      </w:r>
    </w:p>
    <w:p>
      <w:pPr>
        <w:spacing w:after="0" w:line="76" w:lineRule="exact"/>
        <w:rPr>
          <w:rFonts w:ascii="Arial" w:cs="Arial" w:eastAsia="Arial" w:hAnsi="Arial"/>
          <w:sz w:val="18"/>
          <w:szCs w:val="18"/>
          <w:color w:val="auto"/>
        </w:rPr>
      </w:pPr>
    </w:p>
    <w:p>
      <w:pPr>
        <w:ind w:left="460" w:right="360" w:firstLine="443"/>
        <w:spacing w:after="0" w:line="239"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Parent Guarantor and its Restricted Subsidiaries in the ordinary course of business;</w:t>
      </w:r>
    </w:p>
    <w:p>
      <w:pPr>
        <w:spacing w:after="0" w:line="73" w:lineRule="exact"/>
        <w:rPr>
          <w:rFonts w:ascii="Arial" w:cs="Arial" w:eastAsia="Arial" w:hAnsi="Arial"/>
          <w:sz w:val="18"/>
          <w:szCs w:val="18"/>
          <w:color w:val="auto"/>
        </w:rPr>
      </w:pPr>
    </w:p>
    <w:p>
      <w:pPr>
        <w:ind w:left="460" w:right="60" w:firstLine="443"/>
        <w:spacing w:after="0" w:line="239"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76" w:lineRule="exact"/>
        <w:rPr>
          <w:rFonts w:ascii="Arial" w:cs="Arial" w:eastAsia="Arial" w:hAnsi="Arial"/>
          <w:sz w:val="18"/>
          <w:szCs w:val="18"/>
          <w:color w:val="auto"/>
        </w:rPr>
      </w:pPr>
    </w:p>
    <w:p>
      <w:pPr>
        <w:ind w:left="460" w:right="240" w:firstLine="443"/>
        <w:spacing w:after="0" w:line="238"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trade terms may include such concessionary trade terms as the Parent Guarantor or any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deems reasonable under the circumstances;</w:t>
      </w:r>
    </w:p>
    <w:p>
      <w:pPr>
        <w:spacing w:after="0" w:line="72" w:lineRule="exact"/>
        <w:rPr>
          <w:rFonts w:ascii="Arial" w:cs="Arial" w:eastAsia="Arial" w:hAnsi="Arial"/>
          <w:sz w:val="18"/>
          <w:szCs w:val="18"/>
          <w:color w:val="auto"/>
        </w:rPr>
      </w:pPr>
    </w:p>
    <w:p>
      <w:pPr>
        <w:jc w:val="both"/>
        <w:ind w:left="460" w:right="280" w:firstLine="443"/>
        <w:spacing w:after="0" w:line="238"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72" w:lineRule="exact"/>
        <w:rPr>
          <w:rFonts w:ascii="Arial" w:cs="Arial" w:eastAsia="Arial" w:hAnsi="Arial"/>
          <w:sz w:val="18"/>
          <w:szCs w:val="18"/>
          <w:color w:val="auto"/>
        </w:rPr>
      </w:pPr>
    </w:p>
    <w:p>
      <w:pPr>
        <w:ind w:left="460" w:right="100" w:firstLine="443"/>
        <w:spacing w:after="0" w:line="239" w:lineRule="auto"/>
        <w:tabs>
          <w:tab w:leader="none" w:pos="116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76" w:lineRule="exact"/>
        <w:rPr>
          <w:rFonts w:ascii="Arial" w:cs="Arial" w:eastAsia="Arial" w:hAnsi="Arial"/>
          <w:sz w:val="18"/>
          <w:szCs w:val="18"/>
          <w:color w:val="auto"/>
        </w:rPr>
      </w:pPr>
    </w:p>
    <w:p>
      <w:pPr>
        <w:ind w:left="1260" w:hanging="357"/>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76" w:lineRule="exact"/>
        <w:rPr>
          <w:rFonts w:ascii="Arial" w:cs="Arial" w:eastAsia="Arial" w:hAnsi="Arial"/>
          <w:sz w:val="18"/>
          <w:szCs w:val="18"/>
          <w:color w:val="auto"/>
        </w:rPr>
      </w:pPr>
    </w:p>
    <w:p>
      <w:pPr>
        <w:ind w:left="460" w:right="120" w:firstLine="443"/>
        <w:spacing w:after="0" w:line="239" w:lineRule="auto"/>
        <w:tabs>
          <w:tab w:leader="none" w:pos="1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76" w:lineRule="exact"/>
        <w:rPr>
          <w:rFonts w:ascii="Arial" w:cs="Arial" w:eastAsia="Arial" w:hAnsi="Arial"/>
          <w:sz w:val="18"/>
          <w:szCs w:val="18"/>
          <w:color w:val="auto"/>
        </w:rPr>
      </w:pPr>
    </w:p>
    <w:p>
      <w:pPr>
        <w:ind w:left="460" w:right="100" w:firstLine="443"/>
        <w:spacing w:after="0" w:line="239" w:lineRule="auto"/>
        <w:tabs>
          <w:tab w:leader="none" w:pos="1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guarantees of Indebtedness of the Parent Guarantor or any of its Restricted Subsidiaries permitted in accordance with “—Certain Covenants—Limitation on Additional Indebtedness”;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Pari Passu Indebtedness;</w:t>
      </w:r>
    </w:p>
    <w:p>
      <w:pPr>
        <w:spacing w:after="0" w:line="76" w:lineRule="exact"/>
        <w:rPr>
          <w:rFonts w:ascii="Arial" w:cs="Arial" w:eastAsia="Arial" w:hAnsi="Arial"/>
          <w:sz w:val="18"/>
          <w:szCs w:val="18"/>
          <w:color w:val="auto"/>
        </w:rPr>
      </w:pPr>
    </w:p>
    <w:p>
      <w:pPr>
        <w:ind w:left="460" w:right="500" w:firstLine="443"/>
        <w:spacing w:after="0" w:line="237" w:lineRule="auto"/>
        <w:tabs>
          <w:tab w:leader="none" w:pos="1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73" w:lineRule="exact"/>
        <w:rPr>
          <w:rFonts w:ascii="Arial" w:cs="Arial" w:eastAsia="Arial" w:hAnsi="Arial"/>
          <w:sz w:val="18"/>
          <w:szCs w:val="18"/>
          <w:color w:val="auto"/>
        </w:rPr>
      </w:pPr>
    </w:p>
    <w:p>
      <w:pPr>
        <w:ind w:left="1260" w:hanging="357"/>
        <w:spacing w:after="0"/>
        <w:tabs>
          <w:tab w:leader="none" w:pos="12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76" w:lineRule="exact"/>
        <w:rPr>
          <w:rFonts w:ascii="Arial" w:cs="Arial" w:eastAsia="Arial" w:hAnsi="Arial"/>
          <w:sz w:val="18"/>
          <w:szCs w:val="18"/>
          <w:color w:val="auto"/>
        </w:rPr>
      </w:pPr>
    </w:p>
    <w:p>
      <w:pPr>
        <w:jc w:val="both"/>
        <w:ind w:left="460" w:firstLine="443"/>
        <w:spacing w:after="0" w:line="238" w:lineRule="auto"/>
        <w:tabs>
          <w:tab w:leader="none" w:pos="1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Equity Interests)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Equity Interests will not increase the amount available for Restricted Payments under the Restricted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Basket;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hanging="357"/>
        <w:spacing w:after="0"/>
        <w:tabs>
          <w:tab w:leader="none" w:pos="12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Investments consisting of the licensing or contribution of intellectual property pursuant to joint marketing arrangements with other</w:t>
      </w:r>
    </w:p>
    <w:p>
      <w:pPr>
        <w:spacing w:after="0" w:line="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Persons;</w:t>
      </w:r>
    </w:p>
    <w:p>
      <w:pPr>
        <w:spacing w:after="0" w:line="76" w:lineRule="exact"/>
        <w:rPr>
          <w:rFonts w:ascii="Arial" w:cs="Arial" w:eastAsia="Arial" w:hAnsi="Arial"/>
          <w:sz w:val="16"/>
          <w:szCs w:val="16"/>
          <w:color w:val="auto"/>
        </w:rPr>
      </w:pPr>
    </w:p>
    <w:p>
      <w:pPr>
        <w:jc w:val="both"/>
        <w:ind w:left="460" w:right="100" w:firstLine="443"/>
        <w:spacing w:after="0" w:line="264" w:lineRule="auto"/>
        <w:tabs>
          <w:tab w:leader="none" w:pos="125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w:t>
      </w:r>
    </w:p>
    <w:p>
      <w:pPr>
        <w:ind w:left="460" w:right="720" w:firstLine="4"/>
        <w:spacing w:after="0" w:line="239" w:lineRule="auto"/>
        <w:tabs>
          <w:tab w:leader="none" w:pos="82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since the Issue Date and then outstanding, do not exceed the greater of (i) $125.0 million or (ii) 1.0% of the Parent Guarantor’s Consolidated Tangible Assets;</w:t>
      </w:r>
    </w:p>
    <w:p>
      <w:pPr>
        <w:spacing w:after="0" w:line="73" w:lineRule="exact"/>
        <w:rPr>
          <w:rFonts w:ascii="Arial" w:cs="Arial" w:eastAsia="Arial" w:hAnsi="Arial"/>
          <w:sz w:val="18"/>
          <w:szCs w:val="18"/>
          <w:color w:val="auto"/>
        </w:rPr>
      </w:pPr>
    </w:p>
    <w:p>
      <w:pPr>
        <w:ind w:left="460" w:right="400" w:firstLine="443"/>
        <w:spacing w:after="0" w:line="239" w:lineRule="auto"/>
        <w:tabs>
          <w:tab w:leader="none" w:pos="125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Investments in or payments to SpinCo or its Subsidiaries in connection with a Qualified Spin Transaction and the transactions relating thereto, including the payment of all fees and expenses related thereto;</w:t>
      </w:r>
    </w:p>
    <w:p>
      <w:pPr>
        <w:spacing w:after="0" w:line="73" w:lineRule="exact"/>
        <w:rPr>
          <w:rFonts w:ascii="Arial" w:cs="Arial" w:eastAsia="Arial" w:hAnsi="Arial"/>
          <w:sz w:val="18"/>
          <w:szCs w:val="18"/>
          <w:color w:val="auto"/>
        </w:rPr>
      </w:pPr>
    </w:p>
    <w:p>
      <w:pPr>
        <w:ind w:left="460" w:right="900" w:firstLine="443"/>
        <w:spacing w:after="0" w:line="239" w:lineRule="auto"/>
        <w:tabs>
          <w:tab w:leader="none" w:pos="125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55"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the covenant described under the caption “—Certain Covenants— Limitation on Restricted Payments.”</w:t>
      </w:r>
    </w:p>
    <w:p>
      <w:pPr>
        <w:spacing w:after="0" w:line="13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(exclusive of obligations for the payment of borrowed money but inclusive of Liens solely on cash and Cash Equivalents not to exceed the greater of (a) $100 million or (b) 1.0% of the Parent Guarantor’s Consolidated Tangible Assets at any one time securing letters of credit or letter of credit facilities supporting such obligations); (ix) any Lien upon any property or assets in accordance with customary banking practice to secure any Debt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precautionary Liens on Receivables and Receivables Related Security arising in connection with Permitted Factoring Transactions; or (xii)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56"/>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74" w:lineRule="exact"/>
        <w:rPr>
          <w:sz w:val="20"/>
          <w:szCs w:val="20"/>
          <w:color w:val="auto"/>
        </w:rPr>
      </w:pPr>
    </w:p>
    <w:p>
      <w:pPr>
        <w:ind w:right="72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31"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amount of such Indebtedness shall not exceed such purchase price or cost.</w:t>
      </w:r>
    </w:p>
    <w:p>
      <w:pPr>
        <w:spacing w:after="0" w:line="134" w:lineRule="exact"/>
        <w:rPr>
          <w:sz w:val="20"/>
          <w:szCs w:val="20"/>
          <w:color w:val="auto"/>
        </w:rPr>
      </w:pPr>
    </w:p>
    <w:p>
      <w:pPr>
        <w:ind w:right="60" w:firstLine="456"/>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w:t>
      </w:r>
    </w:p>
    <w:p>
      <w:pPr>
        <w:ind w:right="260" w:firstLine="8"/>
        <w:spacing w:after="0" w:line="238" w:lineRule="auto"/>
        <w:tabs>
          <w:tab w:leader="none" w:pos="2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36" w:lineRule="exact"/>
        <w:rPr>
          <w:sz w:val="20"/>
          <w:szCs w:val="20"/>
          <w:color w:val="auto"/>
        </w:rPr>
      </w:pPr>
    </w:p>
    <w:p>
      <w:pPr>
        <w:jc w:val="both"/>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Spin Transaction</w:t>
      </w:r>
      <w:r>
        <w:rPr>
          <w:rFonts w:ascii="Arial" w:cs="Arial" w:eastAsia="Arial" w:hAnsi="Arial"/>
          <w:sz w:val="18"/>
          <w:szCs w:val="18"/>
          <w:color w:val="auto"/>
        </w:rPr>
        <w:t>” means the distribution, through one or more dividends by the Weatherford Parent Company, of all or a portion of the Voting Stock of a Subsidiary (“</w:t>
      </w:r>
      <w:r>
        <w:rPr>
          <w:rFonts w:ascii="Arial" w:cs="Arial" w:eastAsia="Arial" w:hAnsi="Arial"/>
          <w:sz w:val="18"/>
          <w:szCs w:val="18"/>
          <w:i w:val="1"/>
          <w:iCs w:val="1"/>
          <w:color w:val="auto"/>
        </w:rPr>
        <w:t>SpinCo</w:t>
      </w:r>
      <w:r>
        <w:rPr>
          <w:rFonts w:ascii="Arial" w:cs="Arial" w:eastAsia="Arial" w:hAnsi="Arial"/>
          <w:sz w:val="18"/>
          <w:szCs w:val="18"/>
          <w:color w:val="auto"/>
        </w:rPr>
        <w:t>”) which, directly or indirectly through one or more Subsidiaries, holds all or substantially all of the Parent Guarantor’s and its Restricted Subsidiaries’ land drilling rig business, properties and related assets.</w:t>
      </w:r>
    </w:p>
    <w:p>
      <w:pPr>
        <w:spacing w:after="0" w:line="131"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“Rating Agencies” means, with respect to each series of Notes, (1) each of Moody’s and S&amp;P and (2) if either of Moody’s or S&amp;P ceases to rate such Notes or fails to make a rating of such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36"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with respect to either series of Notes, the rating of such Notes is lowered by each of the Rating Agencies on any date from the date of the public notice of an arrangement that could result in a Change of Control until the end of the 60-day period following public notice of the occurrence of the Change of Control (which 60-day period shall be extended so long as the rating of such Notes is under publicly announced consideration for possible downgrade by either of the Rating Agencies).</w:t>
      </w:r>
    </w:p>
    <w:p>
      <w:pPr>
        <w:spacing w:after="0" w:line="134" w:lineRule="exact"/>
        <w:rPr>
          <w:sz w:val="20"/>
          <w:szCs w:val="20"/>
          <w:color w:val="auto"/>
        </w:rPr>
      </w:pPr>
    </w:p>
    <w:p>
      <w:pPr>
        <w:ind w:right="5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6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Related Security</w:t>
      </w:r>
      <w:r>
        <w:rPr>
          <w:rFonts w:ascii="Arial" w:cs="Arial" w:eastAsia="Arial" w:hAnsi="Arial"/>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31" w:lineRule="exact"/>
        <w:rPr>
          <w:sz w:val="20"/>
          <w:szCs w:val="20"/>
          <w:color w:val="auto"/>
        </w:rPr>
      </w:pPr>
    </w:p>
    <w:p>
      <w:pPr>
        <w:jc w:val="both"/>
        <w:ind w:right="34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Repurchase Obligation</w:t>
      </w:r>
      <w:r>
        <w:rPr>
          <w:rFonts w:ascii="Arial" w:cs="Arial" w:eastAsia="Arial" w:hAnsi="Arial"/>
          <w:sz w:val="18"/>
          <w:szCs w:val="18"/>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34" w:lineRule="exact"/>
        <w:rPr>
          <w:sz w:val="20"/>
          <w:szCs w:val="20"/>
          <w:color w:val="auto"/>
        </w:rPr>
      </w:pPr>
    </w:p>
    <w:p>
      <w:pPr>
        <w:ind w:right="2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the covenant described under “—Certain Covenants—Limitation on Designation of Unrestricted Subsidiaries.”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95" w:lineRule="exact"/>
        <w:rPr>
          <w:sz w:val="20"/>
          <w:szCs w:val="20"/>
          <w:color w:val="auto"/>
        </w:rPr>
      </w:pPr>
    </w:p>
    <w:p>
      <w:pPr>
        <w:ind w:left="460" w:firstLine="443"/>
        <w:spacing w:after="0" w:line="236" w:lineRule="auto"/>
        <w:tabs>
          <w:tab w:leader="none" w:pos="11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75" w:lineRule="exact"/>
        <w:rPr>
          <w:rFonts w:ascii="Arial" w:cs="Arial" w:eastAsia="Arial" w:hAnsi="Arial"/>
          <w:sz w:val="18"/>
          <w:szCs w:val="18"/>
          <w:color w:val="auto"/>
        </w:rPr>
      </w:pPr>
    </w:p>
    <w:p>
      <w:pPr>
        <w:jc w:val="both"/>
        <w:ind w:left="460" w:right="680" w:firstLine="443"/>
        <w:spacing w:after="0" w:line="281"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42" w:lineRule="exact"/>
        <w:rPr>
          <w:rFonts w:ascii="Arial" w:cs="Arial" w:eastAsia="Arial" w:hAnsi="Arial"/>
          <w:sz w:val="16"/>
          <w:szCs w:val="16"/>
          <w:color w:val="auto"/>
        </w:rPr>
      </w:pPr>
    </w:p>
    <w:p>
      <w:pPr>
        <w:ind w:left="460" w:right="260" w:firstLine="443"/>
        <w:spacing w:after="0" w:line="239"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as a result thereof</w:t>
      </w:r>
    </w:p>
    <w:p>
      <w:pPr>
        <w:spacing w:after="0" w:line="77" w:lineRule="exact"/>
        <w:rPr>
          <w:sz w:val="20"/>
          <w:szCs w:val="20"/>
          <w:color w:val="auto"/>
        </w:rPr>
      </w:pPr>
    </w:p>
    <w:p>
      <w:pPr>
        <w:ind w:left="460" w:firstLine="443"/>
        <w:spacing w:after="0" w:line="238" w:lineRule="auto"/>
        <w:tabs>
          <w:tab w:leader="none" w:pos="11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72" w:lineRule="exact"/>
        <w:rPr>
          <w:rFonts w:ascii="Arial" w:cs="Arial" w:eastAsia="Arial" w:hAnsi="Arial"/>
          <w:sz w:val="18"/>
          <w:szCs w:val="18"/>
          <w:color w:val="auto"/>
        </w:rPr>
      </w:pPr>
    </w:p>
    <w:p>
      <w:pPr>
        <w:ind w:left="460" w:right="480" w:firstLine="443"/>
        <w:spacing w:after="0" w:line="239" w:lineRule="auto"/>
        <w:tabs>
          <w:tab w:leader="none" w:pos="11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59" w:lineRule="exact"/>
        <w:rPr>
          <w:sz w:val="20"/>
          <w:szCs w:val="20"/>
          <w:color w:val="auto"/>
        </w:rPr>
      </w:pPr>
    </w:p>
    <w:p>
      <w:pPr>
        <w:ind w:left="460" w:right="20"/>
        <w:spacing w:after="0" w:line="243" w:lineRule="auto"/>
        <w:rPr>
          <w:sz w:val="20"/>
          <w:szCs w:val="20"/>
          <w:color w:val="auto"/>
        </w:rPr>
      </w:pPr>
      <w:r>
        <w:rPr>
          <w:rFonts w:ascii="Arial" w:cs="Arial" w:eastAsia="Arial" w:hAnsi="Arial"/>
          <w:sz w:val="18"/>
          <w:szCs w:val="18"/>
          <w:color w:val="auto"/>
        </w:rPr>
        <w:t>(in any such case, the “</w:t>
      </w:r>
      <w:r>
        <w:rPr>
          <w:rFonts w:ascii="Arial" w:cs="Arial" w:eastAsia="Arial" w:hAnsi="Arial"/>
          <w:sz w:val="18"/>
          <w:szCs w:val="18"/>
          <w:i w:val="1"/>
          <w:iCs w:val="1"/>
          <w:color w:val="auto"/>
        </w:rPr>
        <w:t>Surviving Person</w:t>
      </w:r>
      <w:r>
        <w:rPr>
          <w:rFonts w:ascii="Arial" w:cs="Arial" w:eastAsia="Arial" w:hAnsi="Arial"/>
          <w:sz w:val="18"/>
          <w:szCs w:val="18"/>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spacing w:after="0" w:line="238" w:lineRule="auto"/>
        <w:rPr>
          <w:sz w:val="20"/>
          <w:szCs w:val="20"/>
          <w:color w:val="auto"/>
        </w:rPr>
      </w:pPr>
      <w:r>
        <w:rPr>
          <w:rFonts w:ascii="Arial" w:cs="Arial" w:eastAsia="Arial" w:hAnsi="Arial"/>
          <w:sz w:val="18"/>
          <w:szCs w:val="18"/>
          <w:color w:val="auto"/>
        </w:rPr>
        <w:t>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158" w:lineRule="exact"/>
        <w:rPr>
          <w:sz w:val="20"/>
          <w:szCs w:val="20"/>
          <w:color w:val="auto"/>
        </w:rPr>
      </w:pPr>
    </w:p>
    <w:p>
      <w:pPr>
        <w:ind w:right="64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8" w:lineRule="exact"/>
        <w:rPr>
          <w:sz w:val="20"/>
          <w:szCs w:val="20"/>
          <w:color w:val="auto"/>
        </w:rPr>
      </w:pPr>
    </w:p>
    <w:p>
      <w:pPr>
        <w:ind w:left="460" w:right="120" w:firstLine="443"/>
        <w:spacing w:after="0" w:line="236" w:lineRule="auto"/>
        <w:tabs>
          <w:tab w:leader="none" w:pos="11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76" w:lineRule="exact"/>
        <w:rPr>
          <w:rFonts w:ascii="Arial" w:cs="Arial" w:eastAsia="Arial" w:hAnsi="Arial"/>
          <w:sz w:val="18"/>
          <w:szCs w:val="18"/>
          <w:color w:val="auto"/>
        </w:rPr>
      </w:pPr>
    </w:p>
    <w:p>
      <w:pPr>
        <w:ind w:left="460" w:right="340" w:firstLine="443"/>
        <w:spacing w:after="0" w:line="238" w:lineRule="auto"/>
        <w:tabs>
          <w:tab w:leader="none" w:pos="11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the covenant “—Additional Guarantees”;</w:t>
      </w:r>
    </w:p>
    <w:p>
      <w:pPr>
        <w:spacing w:after="0" w:line="72" w:lineRule="exact"/>
        <w:rPr>
          <w:rFonts w:ascii="Arial" w:cs="Arial" w:eastAsia="Arial" w:hAnsi="Arial"/>
          <w:sz w:val="18"/>
          <w:szCs w:val="18"/>
          <w:color w:val="auto"/>
        </w:rPr>
      </w:pPr>
    </w:p>
    <w:p>
      <w:pPr>
        <w:ind w:left="460" w:right="20" w:firstLine="443"/>
        <w:spacing w:after="0" w:line="238" w:lineRule="auto"/>
        <w:tabs>
          <w:tab w:leader="none" w:pos="11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72" w:lineRule="exact"/>
        <w:rPr>
          <w:rFonts w:ascii="Arial" w:cs="Arial" w:eastAsia="Arial" w:hAnsi="Arial"/>
          <w:sz w:val="18"/>
          <w:szCs w:val="18"/>
          <w:color w:val="auto"/>
        </w:rPr>
      </w:pPr>
    </w:p>
    <w:p>
      <w:pPr>
        <w:ind w:left="460" w:right="680" w:firstLine="443"/>
        <w:spacing w:after="0" w:line="239" w:lineRule="auto"/>
        <w:tabs>
          <w:tab w:leader="none" w:pos="11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 and</w:t>
      </w:r>
    </w:p>
    <w:p>
      <w:pPr>
        <w:spacing w:after="0" w:line="73" w:lineRule="exact"/>
        <w:rPr>
          <w:rFonts w:ascii="Arial" w:cs="Arial" w:eastAsia="Arial" w:hAnsi="Arial"/>
          <w:sz w:val="18"/>
          <w:szCs w:val="18"/>
          <w:color w:val="auto"/>
        </w:rPr>
      </w:pPr>
    </w:p>
    <w:p>
      <w:pPr>
        <w:ind w:left="460" w:right="220" w:firstLine="443"/>
        <w:spacing w:after="0" w:line="237" w:lineRule="auto"/>
        <w:tabs>
          <w:tab w:leader="none" w:pos="116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95" w:lineRule="exact"/>
        <w:rPr>
          <w:sz w:val="20"/>
          <w:szCs w:val="20"/>
          <w:color w:val="auto"/>
        </w:rPr>
      </w:pPr>
    </w:p>
    <w:p>
      <w:pPr>
        <w:jc w:val="both"/>
        <w:ind w:left="460" w:firstLine="443"/>
        <w:spacing w:after="0" w:line="237" w:lineRule="auto"/>
        <w:tabs>
          <w:tab w:leader="none" w:pos="116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(provided such taxes are in fact paid) by any Successor Parent by virtue of its:</w:t>
      </w:r>
    </w:p>
    <w:p>
      <w:pPr>
        <w:spacing w:after="0" w:line="73" w:lineRule="exact"/>
        <w:rPr>
          <w:rFonts w:ascii="Arial" w:cs="Arial" w:eastAsia="Arial" w:hAnsi="Arial"/>
          <w:sz w:val="18"/>
          <w:szCs w:val="18"/>
          <w:color w:val="auto"/>
        </w:rPr>
      </w:pPr>
    </w:p>
    <w:p>
      <w:pPr>
        <w:ind w:left="920" w:right="460" w:firstLine="421"/>
        <w:spacing w:after="0" w:line="299" w:lineRule="auto"/>
        <w:tabs>
          <w:tab w:leader="none" w:pos="160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27" w:lineRule="exact"/>
        <w:rPr>
          <w:rFonts w:ascii="Arial" w:cs="Arial" w:eastAsia="Arial" w:hAnsi="Arial"/>
          <w:sz w:val="16"/>
          <w:szCs w:val="16"/>
          <w:color w:val="auto"/>
        </w:rPr>
      </w:pPr>
    </w:p>
    <w:p>
      <w:pPr>
        <w:ind w:left="1600" w:hanging="259"/>
        <w:spacing w:after="0"/>
        <w:tabs>
          <w:tab w:leader="none" w:pos="16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being a holding company parent, directly or indirectly, of the Parent Guarantor or any of the Parent Guarantor’s Subsidiaries;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20" w:firstLine="421"/>
        <w:spacing w:after="0" w:line="239" w:lineRule="auto"/>
        <w:tabs>
          <w:tab w:leader="none" w:pos="159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73" w:lineRule="exact"/>
        <w:rPr>
          <w:rFonts w:ascii="Arial" w:cs="Arial" w:eastAsia="Arial" w:hAnsi="Arial"/>
          <w:sz w:val="18"/>
          <w:szCs w:val="18"/>
          <w:color w:val="auto"/>
        </w:rPr>
      </w:pPr>
    </w:p>
    <w:p>
      <w:pPr>
        <w:jc w:val="both"/>
        <w:ind w:left="920" w:right="460" w:firstLine="421"/>
        <w:spacing w:after="0" w:line="238" w:lineRule="auto"/>
        <w:tabs>
          <w:tab w:leader="none" w:pos="160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having made any payment in respect to any of the items for which the Parent Guarantor or any of the Parent Guarantor’s Subsidiaries is permitted to make payments to any Successor Parent pursuant to “—Certain Covenants—Limitation on Restricted Payments;” and</w:t>
      </w:r>
    </w:p>
    <w:p>
      <w:pPr>
        <w:spacing w:after="0" w:line="72" w:lineRule="exact"/>
        <w:rPr>
          <w:rFonts w:ascii="Arial" w:cs="Arial" w:eastAsia="Arial" w:hAnsi="Arial"/>
          <w:sz w:val="18"/>
          <w:szCs w:val="18"/>
          <w:color w:val="auto"/>
        </w:rPr>
      </w:pPr>
    </w:p>
    <w:p>
      <w:pPr>
        <w:ind w:left="460" w:right="100" w:firstLine="443"/>
        <w:spacing w:after="0" w:line="236" w:lineRule="auto"/>
        <w:tabs>
          <w:tab w:leader="none" w:pos="11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95" w:lineRule="exact"/>
        <w:rPr>
          <w:sz w:val="20"/>
          <w:szCs w:val="20"/>
          <w:color w:val="auto"/>
        </w:rPr>
      </w:pPr>
    </w:p>
    <w:p>
      <w:pPr>
        <w:jc w:val="both"/>
        <w:ind w:left="460" w:right="20" w:firstLine="443"/>
        <w:spacing w:after="0" w:line="264" w:lineRule="auto"/>
        <w:tabs>
          <w:tab w:leader="none" w:pos="1162"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w:t>
      </w:r>
    </w:p>
    <w:p>
      <w:pPr>
        <w:ind w:left="460" w:right="240" w:firstLine="4"/>
        <w:spacing w:after="0" w:line="237" w:lineRule="auto"/>
        <w:tabs>
          <w:tab w:leader="none" w:pos="72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73" w:lineRule="exact"/>
        <w:rPr>
          <w:rFonts w:ascii="Arial" w:cs="Arial" w:eastAsia="Arial" w:hAnsi="Arial"/>
          <w:sz w:val="18"/>
          <w:szCs w:val="18"/>
          <w:color w:val="auto"/>
        </w:rPr>
      </w:pPr>
    </w:p>
    <w:p>
      <w:pPr>
        <w:ind w:left="460" w:firstLine="443"/>
        <w:spacing w:after="0" w:line="238"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72" w:lineRule="exact"/>
        <w:rPr>
          <w:rFonts w:ascii="Arial" w:cs="Arial" w:eastAsia="Arial" w:hAnsi="Arial"/>
          <w:sz w:val="18"/>
          <w:szCs w:val="18"/>
          <w:color w:val="auto"/>
        </w:rPr>
      </w:pPr>
    </w:p>
    <w:p>
      <w:pPr>
        <w:ind w:left="1160" w:hanging="257"/>
        <w:spacing w:after="0"/>
        <w:tabs>
          <w:tab w:leader="none" w:pos="11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76" w:lineRule="exact"/>
        <w:rPr>
          <w:rFonts w:ascii="Arial" w:cs="Arial" w:eastAsia="Arial" w:hAnsi="Arial"/>
          <w:sz w:val="18"/>
          <w:szCs w:val="18"/>
          <w:color w:val="auto"/>
        </w:rPr>
      </w:pPr>
    </w:p>
    <w:p>
      <w:pPr>
        <w:ind w:left="460" w:right="20" w:firstLine="443"/>
        <w:spacing w:after="0" w:line="236" w:lineRule="auto"/>
        <w:tabs>
          <w:tab w:leader="none" w:pos="116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39" w:lineRule="exact"/>
        <w:rPr>
          <w:sz w:val="20"/>
          <w:szCs w:val="20"/>
          <w:color w:val="auto"/>
        </w:rPr>
      </w:pPr>
    </w:p>
    <w:p>
      <w:pPr>
        <w:ind w:right="7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the covenant described under “—Certain Covenants—Limitation on Restricted Payments.”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158" w:lineRule="exact"/>
        <w:rPr>
          <w:sz w:val="20"/>
          <w:szCs w:val="20"/>
          <w:color w:val="auto"/>
        </w:rPr>
      </w:pPr>
    </w:p>
    <w:p>
      <w:pPr>
        <w:ind w:right="28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19"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31" w:lineRule="exact"/>
        <w:rPr>
          <w:sz w:val="20"/>
          <w:szCs w:val="20"/>
          <w:color w:val="auto"/>
        </w:rPr>
      </w:pPr>
    </w:p>
    <w:p>
      <w:pPr>
        <w:ind w:right="16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Standard Securitization Undertakings</w:t>
      </w:r>
      <w:r>
        <w:rPr>
          <w:rFonts w:ascii="Arial" w:cs="Arial" w:eastAsia="Arial" w:hAnsi="Arial"/>
          <w:sz w:val="18"/>
          <w:szCs w:val="18"/>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34" w:lineRule="exact"/>
        <w:rPr>
          <w:sz w:val="20"/>
          <w:szCs w:val="20"/>
          <w:color w:val="auto"/>
        </w:rPr>
      </w:pPr>
    </w:p>
    <w:p>
      <w:pPr>
        <w:ind w:right="32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34" w:lineRule="exact"/>
        <w:rPr>
          <w:sz w:val="20"/>
          <w:szCs w:val="20"/>
          <w:color w:val="auto"/>
        </w:rPr>
      </w:pPr>
    </w:p>
    <w:p>
      <w:pPr>
        <w:ind w:right="24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95" w:lineRule="exact"/>
        <w:rPr>
          <w:sz w:val="20"/>
          <w:szCs w:val="20"/>
          <w:color w:val="auto"/>
        </w:rPr>
      </w:pPr>
    </w:p>
    <w:p>
      <w:pPr>
        <w:ind w:left="460" w:right="460" w:firstLine="443"/>
        <w:spacing w:after="0" w:line="239" w:lineRule="auto"/>
        <w:tabs>
          <w:tab w:leader="none" w:pos="116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73" w:lineRule="exact"/>
        <w:rPr>
          <w:rFonts w:ascii="Arial" w:cs="Arial" w:eastAsia="Arial" w:hAnsi="Arial"/>
          <w:sz w:val="18"/>
          <w:szCs w:val="18"/>
          <w:color w:val="auto"/>
        </w:rPr>
      </w:pPr>
    </w:p>
    <w:p>
      <w:pPr>
        <w:ind w:left="460" w:right="100" w:firstLine="443"/>
        <w:spacing w:after="0" w:line="239" w:lineRule="auto"/>
        <w:tabs>
          <w:tab w:leader="none" w:pos="116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55"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36"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Weatherford Delaware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31" w:lineRule="exact"/>
        <w:rPr>
          <w:sz w:val="20"/>
          <w:szCs w:val="20"/>
          <w:color w:val="auto"/>
        </w:rPr>
      </w:pPr>
    </w:p>
    <w:p>
      <w:pPr>
        <w:ind w:right="1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Agreement</w:t>
      </w:r>
      <w:r>
        <w:rPr>
          <w:rFonts w:ascii="Arial" w:cs="Arial" w:eastAsia="Arial" w:hAnsi="Arial"/>
          <w:sz w:val="18"/>
          <w:szCs w:val="18"/>
          <w:color w:val="auto"/>
        </w:rPr>
        <w:t>” means the Term Loan Agreement dated as of May 4, 2016, among the Issuer, JPMorgan Chase Bank, N.A., as administrative agent, and the several lenders from time to time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158"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the covenant described under “—Certain Covenants—Limitation on Designation of Unrestricted Subsidiaries” and (2) any Subsidiary of an Unrestricted Subsidiary. Notwithstanding the preceding, if at any time, any Unrestricted Subsidiary would fail to meet the requirements as an Unrestricted Subsidiary described under “—Certain Covenants—Limitation on Designation of Unrestricted Subsidiaries,” it shall thereafter cease to be an Unrestricted Subsidiary for purposes of the Indenture.</w:t>
      </w:r>
    </w:p>
    <w:p>
      <w:pPr>
        <w:spacing w:after="0" w:line="136"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34" w:lineRule="exact"/>
        <w:rPr>
          <w:sz w:val="20"/>
          <w:szCs w:val="20"/>
          <w:color w:val="auto"/>
        </w:rPr>
      </w:pPr>
    </w:p>
    <w:p>
      <w:pPr>
        <w:ind w:right="100" w:firstLine="45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31"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Weatherford Parent Company</w:t>
      </w:r>
      <w:r>
        <w:rPr>
          <w:rFonts w:ascii="Arial" w:cs="Arial" w:eastAsia="Arial" w:hAnsi="Arial"/>
          <w:sz w:val="18"/>
          <w:szCs w:val="18"/>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1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Weighted Average Life to Maturity</w:t>
      </w:r>
      <w:r>
        <w:rPr>
          <w:rFonts w:ascii="Arial" w:cs="Arial" w:eastAsia="Arial" w:hAnsi="Arial"/>
          <w:sz w:val="16"/>
          <w:szCs w:val="16"/>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05" w:lineRule="exact"/>
        <w:rPr>
          <w:sz w:val="20"/>
          <w:szCs w:val="20"/>
          <w:color w:val="auto"/>
        </w:rPr>
      </w:pPr>
    </w:p>
    <w:p>
      <w:pPr>
        <w:ind w:right="300" w:firstLine="45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OTHER INDEBTEDNESS</w:t>
      </w:r>
    </w:p>
    <w:p>
      <w:pPr>
        <w:spacing w:after="0" w:line="162"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i w:val="1"/>
          <w:iCs w:val="1"/>
          <w:color w:val="auto"/>
        </w:rPr>
        <w:t>Set forth below is a summary of certain of our outstanding indebtedness. The following summary is not a complete description of the terms of these debt obligations and is qualified in its entirety by reference to the applicable governing agreements, which are included as exhibits to Weatherford Ireland’s filings with the SEC and incorporated by reference in this prospectus supplement and the accompanying prospectus. See “Incorporation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w:t>
      </w:r>
    </w:p>
    <w:p>
      <w:pPr>
        <w:spacing w:after="0" w:line="99"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On May 4, 2016, we entered into (i) an amended and restated credit agreement (the “Revolving Credit Agreement”) with, among others, JPMorgan Chase Bank, N.A., as administrative agent, lender and swingline lender, in the amount of $1.38 billion and (ii) a term loan agreement (the “Term Loan Agreement” and, together with the Revolving Credit Agreement, the “Credit Agreements”) with, among others, JPMorgan Chase Bank, N.A., as administrative agent and lender, in the amount of $500 million. Obligations under the Credit Agreements are guaranteed by Weatherford Ireland and a material portion of its subsidiaries. Obligations under the Term Loan Agreement are secured by substantially all of Weatherford Ireland’s assets, including the equity and assets of a material portion of its subsidiaries.</w:t>
      </w:r>
    </w:p>
    <w:p>
      <w:pPr>
        <w:spacing w:after="0" w:line="15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For lenders that have agreed to extend their revolving commitment under our previous credit agreement (such lenders, representing $1.15 billion of commitments under the Revolving Credit Agreement, the “extending lenders”), the Revolving Credit Agreement matures on July 12, 2019, subject to an earlier maturity of November 28, 2018 if, under certain circumstances, Weatherford Bermuda has not voluntarily redeemed, repurchased, refinanced or otherwise retired at least $500 million of its 2019 Notes prior to November 28, 2018. For lenders that have not agreed to extend their revolving commitments under our previous credit agreement (such lenders, representing $229 million of commitments under the Revolving Credit Agreement, the “non-extending lenders”), the Revolving Credit Agreement matures on July 13, 2017. The Term Loan Agreement matures on July 13, 2020.</w:t>
      </w:r>
    </w:p>
    <w:p>
      <w:pPr>
        <w:spacing w:after="0" w:line="155"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Eurodollar loans bear interest at the Eurodollar rate, which is LIBOR, plus the applicable margin. The applicable margin for Eurodollar loans under the Revolving Credit Agreement depends on whether the lender is an extending lender or a non-extending lender. For non-extending lenders, the applicable margin under the Revolving Credit Agreement ranges from 0.75% to 1.925% depending on the credit rating of Weatherford Bermuda, and for extending lenders under the Revolving Credit Agreement the applicable margin ranges from 1.925% to 3.7% depending on the Specified Senior Leverage Ratio. The applicable margin for Eurodollar loans under the Term Loan Agreement ranges from 1.425% to 3.2% depending on the Specified Senior Leverage Ratio.</w:t>
      </w:r>
    </w:p>
    <w:p>
      <w:pPr>
        <w:spacing w:after="0" w:line="156"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Alternate base rate loans bear interest at the alternate base rate plus the applicable margin. The applicable margin for alternate base rate loans under the Revolving Credit Agreement depends on whether the lender is an extending lender or a non-extending lender. For non-extending lenders, the applicable margin under the Revolving Credit Agreement ranges from 0.0% to 0.925% depending on the credit rating of Weatherford Bermuda, and for extending lenders the applicable margin under the Revolving Credit Agreement ranges from 0.925% to 2.7% depending on the Specified Senior Leverage Ratio. The applicable margin for alternate base rate loans under the Term Loan Agreement ranges from 0.425% to 2.2% depending on the Specified Senior Leverage Ratio.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Agreements contain the following customary covenants, among others:</w:t>
      </w:r>
    </w:p>
    <w:p>
      <w:pPr>
        <w:spacing w:after="0" w:line="77" w:lineRule="exact"/>
        <w:rPr>
          <w:sz w:val="20"/>
          <w:szCs w:val="20"/>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restriction on creating liens on assets and the assets of our operating subsidiaries, subject to permitted exceptions;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restrictions on mergers and asset dispositions;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provision limiting derivative transactions;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76" w:lineRule="exact"/>
        <w:rPr>
          <w:rFonts w:ascii="Arial" w:cs="Arial" w:eastAsia="Arial" w:hAnsi="Arial"/>
          <w:sz w:val="18"/>
          <w:szCs w:val="18"/>
          <w:color w:val="auto"/>
        </w:rPr>
      </w:pPr>
    </w:p>
    <w:p>
      <w:pPr>
        <w:ind w:left="1480" w:right="300" w:hanging="567"/>
        <w:spacing w:after="0" w:line="239"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Specified Senior Leverage Ratio of no greater than 3 to 1 beginning June 30, 2016 through December 31, 2016 and 2.5 to 1 thereafter until the maturity date.</w:t>
      </w:r>
    </w:p>
    <w:p>
      <w:pPr>
        <w:spacing w:after="0" w:line="73" w:lineRule="exact"/>
        <w:rPr>
          <w:rFonts w:ascii="Arial" w:cs="Arial" w:eastAsia="Arial" w:hAnsi="Arial"/>
          <w:sz w:val="18"/>
          <w:szCs w:val="18"/>
          <w:color w:val="auto"/>
        </w:rPr>
      </w:pPr>
    </w:p>
    <w:p>
      <w:pPr>
        <w:ind w:left="1480" w:hanging="567"/>
        <w:spacing w:after="0"/>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Specified Leverage and LC Ratio of no greater than 4 to 1 on or before December 31, 2016 and 3.5 to 1 thereafter.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Specified Asset Coverage Ratio of at least 4 to 1 beginning June 30, 2016.</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Credit Agreements contain customary events of default, including, among other things, failure to comply with the financial ratios described above, non-payment of principal, interest or fees, violation of covenants, inaccuracy of representations and warranties, bankruptcy and insolvency events, material judgments, cross-defaults to material indebtedness and events constituting a change of control, which would permit the lenders to accelerate the debt if not cured within applicable grace and cure periods (if any). If an event of default occurs and is continuing, lenders may require the administrative agent to declare all amounts outstanding thereunder to be immediately due and payable, which may materially and adversely affect our financial condition and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Senior Notes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existing senior notes represent our senior obligations and rank equally with all of our other existing and future senior indebtedness, including the notes, and senior to any of our future subordinated indebtedness. Either Weatherford Bermuda or Weatherford Delaware is the issuer of each series of the existing senior notes. Each series is guaranteed by Weatherford Ireland and either Weatherford Bermuda or Weatherford Delaware, whichever entity is not the issuer of the respective series of notes.</w:t>
      </w:r>
    </w:p>
    <w:p>
      <w:pPr>
        <w:spacing w:after="0" w:line="155"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As of March 31, 2016, Weatherford Bermuda and Weatherford Delaware, as applicable, had outstanding the following series of existing senior notes:</w:t>
      </w:r>
    </w:p>
    <w:p>
      <w:pPr>
        <w:spacing w:after="0" w:line="74" w:lineRule="exact"/>
        <w:rPr>
          <w:sz w:val="20"/>
          <w:szCs w:val="20"/>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$603 million in aggregate principal amount of our 6.35% senior notes due 2017;</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$498 million in aggregate principal amount of our 6.00% senior notes due 2018;</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$1,011 million in aggregate principal amount of our 9.625% senior notes due 2019;</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$769 million in aggregate principal amount of our 5.125% senior notes due 2020;</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$642 million in aggregate principal amount of our 4.50% senior notes due 2022;</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$446 million in aggregate principal amount of our 6.50% senior notes due 2036;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$255 million in aggregate principal amount of our 6.80% senior notes due 2037;</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$455 million in aggregate principal amount of our 7.00% senior notes due 2038;</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$245 million in aggregate principal amount of our 9.875% senior notes due 2039;</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$456 million in aggregate principal amount of our 6.75% senior notes due 2040;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$368 million in aggregate principal amount of our 5.95% senior notes due 2042.</w:t>
      </w:r>
    </w:p>
    <w:p>
      <w:pPr>
        <w:spacing w:after="0" w:line="158"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The existing senior notes contain various covenants that limit, among other things, our ability to incur indebtedness secured by certain liens and engage in certain sale-leaseback transactions. Each series of existing senior notes is redeemable, in whole or in part, at any time at the respective issuer’s option, at a price equal to the greater of (a) 100% of principal plus accrued and unpaid interest and (b) the sum of the present values of the remaining scheduled payments of principal and interest discounted on a semiannual basis at the applicable treasury yield plus a number of basis points dependent on the series of notes. If the redemption occurs on or after the date that is 90 days, for the 4.50% senior notes due 2022, or 180 days, for the 5.95% senior notes due 2042, prior to maturity, then the redemption price in each case is 100% of principal plus accrued and unpaid interest,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Senior Notes</w:t>
      </w:r>
    </w:p>
    <w:p>
      <w:pPr>
        <w:spacing w:after="0" w:line="99"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On June 7, 2016, Weatherford Bermuda closed the sale of its previously announced underwritten public offering of $1.265 billion aggregate principal amount of 5.875% Exchangeable Senior Notes due 2021 in the Exchangeable Notes Offering. The Exchangeable Notes bear cash interest from June 7, 2016 at an annual rate of 5.875%, payable semi-annually in arrears on July 1 and January 1 of each year, beginning on January 1, 2017. The Exchangeable Notes mature on July 1, 2021, unless earlier repurchased, redeemed or exchanged. The Exchangeable Notes are fully and unconditionally guaranteed, on a senior, unsecured basis, by Weatherford Ireland and Weatherford Delaware.</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Exchangeable Notes may be exchanged at the option of the holders in certain circumstances and during certain periods. Weatherford Bermuda may settle exchanges by paying or delivering, as applicable, cash, ordinary shares of Weatherford Ireland or a combination of cash and ordinary shares, at Weatherford Bermuda’s election. The Exchangeable Notes may not be redeemed by Weatherford Bermuda at its option, except in limited circumstances in connection with a change in tax law. If a “fundamental change” occurs, then holders of the Exchangeable Notes may require Weatherford Bermuda to repurchase its Exchangeable Notes at a cash repurchase price equal to the principal amount of the Exchangeable Notes to be repurchased, plus accrued and unpaid interest.</w:t>
      </w:r>
    </w:p>
    <w:p>
      <w:pPr>
        <w:spacing w:after="0" w:line="156" w:lineRule="exact"/>
        <w:rPr>
          <w:sz w:val="20"/>
          <w:szCs w:val="20"/>
          <w:color w:val="auto"/>
        </w:rPr>
      </w:pPr>
    </w:p>
    <w:p>
      <w:pPr>
        <w:ind w:right="440" w:firstLine="456"/>
        <w:spacing w:after="0" w:line="236" w:lineRule="auto"/>
        <w:rPr>
          <w:sz w:val="20"/>
          <w:szCs w:val="20"/>
          <w:color w:val="auto"/>
        </w:rPr>
      </w:pPr>
      <w:r>
        <w:rPr>
          <w:rFonts w:ascii="Arial" w:cs="Arial" w:eastAsia="Arial" w:hAnsi="Arial"/>
          <w:sz w:val="18"/>
          <w:szCs w:val="18"/>
          <w:color w:val="auto"/>
        </w:rPr>
        <w:t>The Exchangeable Notes and the related guarantees are senior, unsecured obligations of Weatherford Bermuda and the guarantors, respectively, and are (1) equal in right of payment with existing and future senior, unsecured indebtedness of Weatherford Bermuda and the guarantors, respectively; (2) senior in right of payment to existing and future indebtedness of Weatherford Bermuda and the guarantors, respectively, that is expressly subordinated to the Exchangeable Notes and the guarantees, as applicable; and (3) effectively subordinated to existing and future secured indebtedness of Weatherford Bermuda and the guarantors, respectively, to the extent of the value of the collateral securing that indebtedness.</w:t>
      </w:r>
    </w:p>
    <w:p>
      <w:pPr>
        <w:spacing w:after="0" w:line="156"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Except as indicated under “Capitalization,” Weatherford Bermuda intends to use the net proceeds from the Exchangeable Notes Offering to fund all or a portion of the Tender Offers. See “Summary—Recent Developments—Exchangeable Notes Offering and Tender Offers.”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6"/>
          <w:szCs w:val="16"/>
          <w:color w:val="auto"/>
        </w:rPr>
        <w:t>The following is a discussion of material U.S. federal income tax considerations related to the purchase, ownership and disposition of the notes, but does not purport to be a complete analysis of all potential tax effects. This discussion is limited to consequences relevant to a U.S. holder (as defined below), except for discussions of FATCA (as defined under “—Foreign Account Tax Compliance Act”), and does not address the effects of any U.S. federal tax laws other than U.S. federal income tax laws (such as estate and gift tax laws) or any state, local or non -U.S. tax laws. This discussion is based upon the United States Internal Revenue Code of 1986, as amended (the “Code”), Treasury regulations issued thereunder (the “Treasury Regulations”), and judicial and administrative interpretations thereof, each as in effect on the date hereof, and all of which are subject to change, possibly with retroactive effect. No rulings from the United States Internal Revenue Service (the “IRS”) have been or will be sought with respect to the matters discussed below. There can be no assurance that the IRS will not take a different position concerning the tax consequences of the purchase, ownership or disposition of the notes or that any such position would not be sustained.</w:t>
      </w:r>
    </w:p>
    <w:p>
      <w:pPr>
        <w:spacing w:after="0" w:line="136"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certain financial institutions, U.S. expatriates, insurance companies, dealers in securities or currencies, traders in securities, U.S. holders whose functional currency is not the United States dollar, tax-exempt entities, regulated investment companies, real estate investment trusts, partnerships or other pass through entities and investors in such entities, persons liable for alternative minimum tax, U.S. holders that are resident in or have a permanent establishment in a jurisdiction outside the United States, and persons holding the notes as part of a “straddle,” “hedge,” “conversion transaction” or other integrated transaction. In addition, this discussion is limited to persons who purchase the notes for cash at original issue and at their “issue price” (i.e., the first price at which a substantial amount of the notes is sold to the public for cash, excluding sales to bond houses, brokers or similar persons or organizations acting in the capacity of underwriters, placement agents or wholesalers) and who hold the notes as capital assets within the meaning of Section 1221 of the Code.</w:t>
      </w:r>
    </w:p>
    <w:p>
      <w:pPr>
        <w:spacing w:after="0" w:line="161"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For purposes of this discussion, a “U.S. holder” is a beneficial owner of a note that is, for U.S. federal income tax purposes, (i) an individual who is a citizen or resident of the United States; (ii) a corporation or any entity taxable as a corporation for U.S. federal income tax purposes created or organized in or under the laws of the United States or any political subdivision thereof; (iii) an estate the income of which is subject to U.S. federal income taxation regardless of its source; or (iv) a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w:t>
      </w:r>
    </w:p>
    <w:p>
      <w:pPr>
        <w:spacing w:after="0" w:line="15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If any entity treated as a partnership for U.S. federal income tax purposes holds the notes, the U.S. tax treatment of a partner in the partnership generally will depend upon the status of the partner and the activities of the partnership. A partnership considering an investment in the notes, and partners in such a partnership, should consult their tax advisors regarding the U.S. federal income tax consequences of the purchase, ownership and disposition of the notes.</w:t>
      </w:r>
    </w:p>
    <w:p>
      <w:pPr>
        <w:spacing w:after="0" w:line="155"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This discussion does not apply to a U.S. holder that participated or will participate in the Tender Offers. Such holders should consult their tax advisors regarding the U.S. federal income tax consequences of the purchase, ownership and disposition of the notes.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456"/>
        <w:spacing w:after="0" w:line="249" w:lineRule="auto"/>
        <w:rPr>
          <w:sz w:val="20"/>
          <w:szCs w:val="20"/>
          <w:color w:val="auto"/>
        </w:rPr>
      </w:pPr>
      <w:r>
        <w:rPr>
          <w:rFonts w:ascii="Arial" w:cs="Arial" w:eastAsia="Arial" w:hAnsi="Arial"/>
          <w:sz w:val="18"/>
          <w:szCs w:val="18"/>
          <w:b w:val="1"/>
          <w:bCs w:val="1"/>
          <w:color w:val="auto"/>
        </w:rPr>
        <w:t>Prospective purchasers of the notes should consult their tax advisors concerning the tax consequences of holding notes in light of their particular circumstances, including the application of the U.S. federal income tax considerations discussed below, as well as the application of other federal, state, local, foreign or other tax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Amounts</w:t>
      </w:r>
    </w:p>
    <w:p>
      <w:pPr>
        <w:spacing w:after="0" w:line="99"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In certain circumstances (see “Description of Notes—Additional Amounts”), we may be obligated to pay additional amounts on the notes. Our obligation to pay such additional amounts may implicate the provisions of the Treasury Regulations relating to “contingent payment debt instruments.” Under these regulations, however, one or more contingencies will not cause a debt instrument to be treated as a contingent payment debt instrument if, as of the issue date, such contingencies are, in the aggregate, considered to be remote or incidental. We believe that the potential for payment of additional amounts due to the occurrence of an additional amount event is remote or incidental. Our determination that this contingency is remote or incidental is binding on a U.S. holder unless such holder discloses its contrary position in the manner required by applicable Treasury Regulations. However, the IRS may take a different position, which could require a U.S. holder, subject to U.S. federal income tax to accrue income on its notes at a rate in excess of stated interest, and to treat as ordinary income rather than capital gain any income realized on the taxable disposition of a note. In the event an additional amount event occurs, it may affect the amount and timing of the income recognized by a U.S. holder. The remainder of this discussion assumes that the notes will not be considered contingent payment debt instruments. U.S. holders are urged to consult their tax advisors regarding the potential application of the contingent payment debt regulations to the notes and the consequences thereof.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of stated interest</w:t>
      </w:r>
    </w:p>
    <w:p>
      <w:pPr>
        <w:spacing w:after="0" w:line="99" w:lineRule="exact"/>
        <w:rPr>
          <w:sz w:val="20"/>
          <w:szCs w:val="20"/>
          <w:color w:val="auto"/>
        </w:rPr>
      </w:pPr>
    </w:p>
    <w:p>
      <w:pPr>
        <w:jc w:val="both"/>
        <w:ind w:right="80" w:firstLine="456"/>
        <w:spacing w:after="0" w:line="238" w:lineRule="auto"/>
        <w:rPr>
          <w:sz w:val="20"/>
          <w:szCs w:val="20"/>
          <w:color w:val="auto"/>
        </w:rPr>
      </w:pPr>
      <w:r>
        <w:rPr>
          <w:rFonts w:ascii="Arial" w:cs="Arial" w:eastAsia="Arial" w:hAnsi="Arial"/>
          <w:sz w:val="18"/>
          <w:szCs w:val="18"/>
          <w:color w:val="auto"/>
        </w:rPr>
        <w:t>Payments of stated interest on the notes (including any additional amounts paid in respect of withholding taxes and without reduction for any amounts withheld) generally will be includible in the gross income of a U.S. holder as ordinary income at the time that such payments are received or accrued, in accordance with such U.S. holder’s method of accounting for U.S. federal income tax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tax credit</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Stated interest income on a note generally will constitute foreign source income and generally will be considered “passive category income” or, in the case of certain U.S. holders, “general category income” in computing the foreign tax credit allowable to U.S. holders under U.S. federal income tax laws. There are significant complex limitations on a U.S. holder’s ability to claim foreign tax credits. U.S. holders should consult their tax advisors regarding the creditability or deductibility of any withholding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retirement, redemption or other taxable disposition of notes</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Upon the sale, exchange, retirement, redemption or other taxable disposition of a note, a U.S. holder generally will recognize gain or loss equal to the difference, if any, between the amount realized upon such disposition (less an amount equal to any accrued but unpaid stated interest, which will be taxable as stated interest income as discussed above to the extent not previously included in income by the U.S. holder) and such U.S. holder’s adjusted tax basis in the note. A U.S. holder’s adjusted tax basis in a note will, in general, be the cost of such note to such U.S. holder. Any gain or loss recognized upon the sale, exchange, retirement, redemption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or other taxable disposition of a note generally will be U.S. source gain or loss and generally will be capital gain or loss. Capital gains of non-corporate U.S. holders (including individuals) derived in respect of capital assets held for more than one year are generally eligible for reduced rates of taxation. The deductibility of capital losses is subject to limitations.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In general, information reporting requirements will apply to payments of stated interest on the notes and to the proceeds of the sale or other disposition (including a retirement or redemption) of a note paid to a U.S. holder unless such U.S. holder is an exempt recipient, and, when required, provides evidence of such exemption. Backup withholding may apply to such payments if the U.S. holder fails to provide a taxpayer identification number or a certification that it is not subject to backup withholding.</w:t>
      </w:r>
    </w:p>
    <w:p>
      <w:pPr>
        <w:spacing w:after="0" w:line="155"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U.S. holder’s U.S. federal income tax liability provided the required information is timely furnished to the IRS.</w:t>
      </w:r>
    </w:p>
    <w:p>
      <w:pPr>
        <w:spacing w:after="0" w:line="155" w:lineRule="exact"/>
        <w:rPr>
          <w:sz w:val="20"/>
          <w:szCs w:val="20"/>
          <w:color w:val="auto"/>
        </w:rPr>
      </w:pPr>
    </w:p>
    <w:p>
      <w:pPr>
        <w:jc w:val="both"/>
        <w:ind w:right="60" w:firstLine="456"/>
        <w:spacing w:after="0" w:line="237" w:lineRule="auto"/>
        <w:rPr>
          <w:sz w:val="20"/>
          <w:szCs w:val="20"/>
          <w:color w:val="auto"/>
        </w:rPr>
      </w:pPr>
      <w:r>
        <w:rPr>
          <w:rFonts w:ascii="Arial" w:cs="Arial" w:eastAsia="Arial" w:hAnsi="Arial"/>
          <w:sz w:val="18"/>
          <w:szCs w:val="18"/>
          <w:color w:val="auto"/>
        </w:rPr>
        <w:t>Individual U.S. holders may be required to report to the IRS certain information with respect to their beneficial ownership of certain financial assets, such as the notes. Investors who fail to report required information could be subject to substantial penalties. Under certain circumstances, an entity also may be subject to these reporting requirements. Prospective investors should consult their tax advisors concerning the application of the information reporting and backup withholding rules to their particular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Pursuant to Sections 1471 through 1474 of the Code (provisions commonly known as “FATCA”), a “foreign financial institution” may be required to withhold U.S. tax on certain passthru payments made after December 31, 2018 to the extent such payments are treated as attributable to certain U.S. source payments. Obligations issued on or prior to the date that is six months after the date on which applicable final regulations defining foreign passthru payments are filed generally would be “grandfathered” unless materially modified after such date. Accordingly, if the Issuer is treated as a foreign financial institution, FATCA would apply to payments on the notes only if there is a significant modification of the notes for U.S. federal income tax purposes after the expiration of this grandfathering period. Non-U.S. governments have entered into agreements with the United States (and additional non-U.S. governments are expected to enter into such agreements) to implement FATCA in a manner that alters the rules described herein. Holders should consult their tax advisors regarding how these rules may apply to their investment in the notes. In the event any withholding under FATCA is imposed with respect to any payments on the notes, there will be no additional amounts payable to compensate for the withheld amount.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IRISH TAX CONSIDERATIONS</w:t>
      </w:r>
    </w:p>
    <w:p>
      <w:pPr>
        <w:spacing w:after="0" w:line="162"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following is a summary of Irish withholding tax issues relating to the notes. The summary is based upon Irish tax laws and the practice of the Irish Revenue Commissioners as in effect on the date of this prospectus, which are subject to prospective or retroactive change. Prospective investors in the notes should consult their own advisors as to the Irish consequences of the purchase, beneficial ownership and disposition of 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withholding tax</w:t>
      </w:r>
    </w:p>
    <w:p>
      <w:pPr>
        <w:spacing w:after="0" w:line="9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Payments under the notes can be paid by Weatherford Bermuda and any paying agent acting on behalf of Weatherford Bermuda without any withholding or deduction for or on account of Irish income tax.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encashment tax</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Irish encashment tax may be required to be withheld at the standard rate (currently 20%) from any interest paid in respect of the notes where such interest is paid or collected by a person in Ireland on behalf of any holder of the notes. Holders of the notes should therefore note that the appointment of an Irish collection agent or an Irish paying agent could result in the deduction of 20% encashment tax by such agent from interest payments on the notes. A holder of the notes that is not resident in Ireland for tax purposes may claim an exemption from this withholding tax by submitting an appropriate declaration of non-Irish tax residency to the Irish agent.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CERTAIN BERMUDA TAX CONSIDERATIONS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Weatherford Bermuda or by holders of the notes issued by Weatherford Bermuda. We have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31, 2035, be applicable to Weatherford Bermuda or to any of its operations or to its shares, debentures or other obligations except insofar as such tax applies to persons ordinarily resident in Bermuda or is payable by Weatherford Bermuda in respect of real property owned or leased by Weatherford Bermuda in Bermuda.</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S-95</w:t>
      </w:r>
    </w:p>
    <w:p>
      <w:pPr>
        <w:sectPr>
          <w:pgSz w:w="11900" w:h="16838" w:orient="portrait"/>
          <w:cols w:equalWidth="0" w:num="1">
            <w:col w:w="11260"/>
          </w:cols>
          <w:pgMar w:left="240" w:top="459" w:right="3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SWISS TAX CONSIDERATIONS</w:t>
      </w:r>
    </w:p>
    <w:p>
      <w:pPr>
        <w:spacing w:after="0" w:line="180"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The following is a summary of certain Swiss tax consequences to non-Swiss holders under present law of the purchase, ownership, disposition and redemption of the notes. The summary does not purport to be a comprehensive description of all of the Swiss tax considerations that may be relevant to a decision to purchase, own, dispose or redeem such notes.</w:t>
      </w:r>
    </w:p>
    <w:p>
      <w:pPr>
        <w:spacing w:after="0" w:line="154"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summary is based upon current Swiss tax laws, applicable court decisions and practice of the relevant Swiss tax administrations, which are subject to prospective or retroactive change. The summary does not constitute tax or legal advice and the comments below are of a general nature only.</w:t>
      </w:r>
    </w:p>
    <w:p>
      <w:pPr>
        <w:spacing w:after="0" w:line="154" w:lineRule="exact"/>
        <w:rPr>
          <w:sz w:val="20"/>
          <w:szCs w:val="20"/>
          <w:color w:val="auto"/>
        </w:rPr>
      </w:pPr>
    </w:p>
    <w:p>
      <w:pPr>
        <w:jc w:val="both"/>
        <w:ind w:right="280" w:firstLine="456"/>
        <w:spacing w:after="0" w:line="238" w:lineRule="auto"/>
        <w:rPr>
          <w:sz w:val="20"/>
          <w:szCs w:val="20"/>
          <w:color w:val="auto"/>
        </w:rPr>
      </w:pPr>
      <w:r>
        <w:rPr>
          <w:rFonts w:ascii="Arial" w:cs="Arial" w:eastAsia="Arial" w:hAnsi="Arial"/>
          <w:sz w:val="18"/>
          <w:szCs w:val="18"/>
          <w:color w:val="auto"/>
        </w:rPr>
        <w:t>The Swiss tax consequences to potential Swiss holders (Swiss tax residents or holders with any other taxable presence in Switzerland) of notes are not covered in this summary, and the Swiss tax consequences for non-Swiss holders discussed below are not a complete analysis or listing of all the possible Swiss tax consequences that may be relevant to you.</w:t>
      </w:r>
    </w:p>
    <w:p>
      <w:pPr>
        <w:spacing w:after="0" w:line="154"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PROSPECTIVE PURCHASERS ARE URGED TO CONSULT THEIR TAX ADVISORS ABOUT THE APPLICATION OF THE SWISS TAX RULES TO THEIR PARTICULAR CIRCUMSTANCES AS WELL AS THE SWISS FEDERAL AND CANTONAL/COMMUNAL TAX CONSEQUENCES TO THEM OF THE PURCHASE, OWNERSHIP, DISPOSITION AND REDEMPTION OF THE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Ownership, Disposition and Redemption of Notes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on Interest Payments</w:t>
      </w:r>
    </w:p>
    <w:p>
      <w:pPr>
        <w:spacing w:after="0" w:line="9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A non-Swiss holder will not be subject to Swiss income taxes on interest income in respect of the notes, unless the notes are attributable to a permanent establishment, a fixed place of business maintained in Switzerland or another taxable presence in Switzerland of such non-Swiss holder.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Wealth Tax</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A non-Swiss holder will not be subject to Swiss wealth taxes (net wealth tax or annual capital tax) unless the holder’s notes are attributable to a permanent establishment, a fixed place of business maintained in Switzerland or another taxable presence in Switzerland of such non-Swiss holder.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on Capital Gains upon Disposal or Other Disposition of the Notes</w:t>
      </w:r>
    </w:p>
    <w:p>
      <w:pPr>
        <w:spacing w:after="0" w:line="95"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A non-Swiss holder will not be subject to Swiss income tax on capital gains upon disposal or other disposition of the notes unless the holder’s notes are attributable to a permanent establishment, a fixed place of business maintained in Switzerland or another taxable presence in Switzerland of such non-Swiss holder.</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Income Tax upon Redemption of the Notes</w:t>
      </w:r>
    </w:p>
    <w:p>
      <w:pPr>
        <w:spacing w:after="0" w:line="95" w:lineRule="exact"/>
        <w:rPr>
          <w:sz w:val="20"/>
          <w:szCs w:val="20"/>
          <w:color w:val="auto"/>
        </w:rPr>
      </w:pPr>
    </w:p>
    <w:p>
      <w:pPr>
        <w:jc w:val="both"/>
        <w:ind w:right="520" w:firstLine="456"/>
        <w:spacing w:after="0" w:line="238" w:lineRule="auto"/>
        <w:rPr>
          <w:sz w:val="20"/>
          <w:szCs w:val="20"/>
          <w:color w:val="auto"/>
        </w:rPr>
      </w:pPr>
      <w:r>
        <w:rPr>
          <w:rFonts w:ascii="Arial" w:cs="Arial" w:eastAsia="Arial" w:hAnsi="Arial"/>
          <w:sz w:val="18"/>
          <w:szCs w:val="18"/>
          <w:color w:val="auto"/>
        </w:rPr>
        <w:t>A non-Swiss holder will not be subject to Swiss income tax upon redemption of the notes unless the holder’s notes are attributable to a permanent establishment, a fixed place of business maintained in Switzerland or another taxable presence in Switzerland of such non-Swiss holder.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Withholding Tax on Interest Payments on the Notes</w:t>
      </w:r>
    </w:p>
    <w:p>
      <w:pPr>
        <w:spacing w:after="0" w:line="95"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We use our best efforts to ensure that proceeds from the notes are used in a way that payments of interest (annual interest payments and any other payments that are treated like interest payments for Swiss tax purposes) on the notes are not expected to be subject to Swiss federal withholding tax. More specifically, we intend to ensure that none of the proceeds from the offer of this note will be used in a manner that would trigger a harmful flow back of the funds to Switzerland, and, as such, the notes are not expected to constitute Swiss bonds or bond like instruments subject to Swiss withholding tax. In the unlikely case the notes would nevertheless be subject to Swiss withholding tax, and subject to certain exceptions, we will pay additional amounts such that the note holders receive the agreed payment without reduction for any Swiss withholding tax.</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Final Withholding Tax</w:t>
      </w:r>
    </w:p>
    <w:p>
      <w:pPr>
        <w:spacing w:after="0" w:line="77"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Switzerland concluded agreements with the United Kingdom and Austria on a final withholding tax (</w:t>
      </w:r>
      <w:r>
        <w:rPr>
          <w:rFonts w:ascii="Arial" w:cs="Arial" w:eastAsia="Arial" w:hAnsi="Arial"/>
          <w:sz w:val="18"/>
          <w:szCs w:val="18"/>
          <w:i w:val="1"/>
          <w:iCs w:val="1"/>
          <w:color w:val="auto"/>
        </w:rPr>
        <w:t>Abgeltungssteuer</w:t>
      </w:r>
      <w:r>
        <w:rPr>
          <w:rFonts w:ascii="Arial" w:cs="Arial" w:eastAsia="Arial" w:hAnsi="Arial"/>
          <w:sz w:val="18"/>
          <w:szCs w:val="18"/>
          <w:color w:val="auto"/>
        </w:rPr>
        <w:t>). The agreements with the United Kingdom and Austria entered into force on January 1, 2013. Persons resident in the United Kingdom or Austria receiving investment income (such as, among others, payment of interest on the notes) or realizing capital gains (such as, among others, on the disposal of notes) on their Swiss bank accounts can either opt for a voluntary disclosure of their Swiss bank accounts and the assets held with Swiss banks (for this purpose, including similar financial institutions) to the competent tax authorities of the United Kingdom or Austria, as applicable, or opt for a final withholding tax that is deducted by the Swiss bank on such investment income or capital gains. In the latter case, the Swiss bank has to remit the final withholding tax to the Swiss Federal Tax Administration, which, in turn, will remit the final withholding tax to the competent tax authorities of the United Kingdom or Austria, as applicable. A similar agreement regarding interest payments has been concluded between Switzerland and the EU which follows the European Council Directive 2003/48/EC (Zinsbesteuerungsabkommen).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Switzerland might conclude further similar agreements on final withholding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Swiss Federal Stamp Duties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issuance of the notes will not be subject to Swiss federal issuance stamp duty or Swiss federal stamp duty on the dealing in securities. Dealings in the notes in the secondary markets where a Swiss domestic bank or a Swiss domestic securities dealer (as defined in the Swiss Federal Stamp Duty Act) acts as a party or as an intermediary to the transaction may be subject to Swiss federal stamp duty on dealing in securities. The applicable stamp duty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56"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EACH PROSPECTIVE PURCHASER SHOULD CONSULT HIS OR HER TAX ADVISOR AS TO THE PARTICULAR CONSEQUENCES THAT MAY APPLY TO SUCH PURCHASER.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Deutsche Bank Securities Inc. and Wells Fargo Securities,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7360" w:type="dxa"/>
            <w:vAlign w:val="bottom"/>
            <w:vMerge w:val="restart"/>
          </w:tcPr>
          <w:p>
            <w:pPr>
              <w:spacing w:after="0"/>
              <w:rPr>
                <w:sz w:val="14"/>
                <w:szCs w:val="14"/>
                <w:color w:val="auto"/>
              </w:rPr>
            </w:pPr>
          </w:p>
        </w:tc>
        <w:tc>
          <w:tcPr>
            <w:tcW w:w="13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Principal amount</w:t>
            </w:r>
          </w:p>
        </w:tc>
        <w:tc>
          <w:tcPr>
            <w:tcW w:w="340" w:type="dxa"/>
            <w:vAlign w:val="bottom"/>
          </w:tcPr>
          <w:p>
            <w:pPr>
              <w:spacing w:after="0"/>
              <w:rPr>
                <w:sz w:val="14"/>
                <w:szCs w:val="1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72"/>
        </w:trPr>
        <w:tc>
          <w:tcPr>
            <w:tcW w:w="840" w:type="dxa"/>
            <w:vAlign w:val="bottom"/>
            <w:tcBorders>
              <w:bottom w:val="single" w:sz="8" w:color="auto"/>
            </w:tcBorders>
            <w:vMerge w:val="continue"/>
          </w:tcPr>
          <w:p>
            <w:pPr>
              <w:spacing w:after="0"/>
              <w:rPr>
                <w:sz w:val="14"/>
                <w:szCs w:val="14"/>
                <w:color w:val="auto"/>
              </w:rPr>
            </w:pPr>
          </w:p>
        </w:tc>
        <w:tc>
          <w:tcPr>
            <w:tcW w:w="7360" w:type="dxa"/>
            <w:vAlign w:val="bottom"/>
            <w:vMerge w:val="continue"/>
          </w:tcPr>
          <w:p>
            <w:pPr>
              <w:spacing w:after="0"/>
              <w:rPr>
                <w:sz w:val="14"/>
                <w:szCs w:val="14"/>
                <w:color w:val="auto"/>
              </w:rPr>
            </w:pPr>
          </w:p>
        </w:tc>
        <w:tc>
          <w:tcPr>
            <w:tcW w:w="1360" w:type="dxa"/>
            <w:vAlign w:val="bottom"/>
            <w:gridSpan w:val="2"/>
          </w:tcPr>
          <w:p>
            <w:pPr>
              <w:jc w:val="right"/>
              <w:ind w:right="152"/>
              <w:spacing w:after="0" w:line="152" w:lineRule="exact"/>
              <w:rPr>
                <w:sz w:val="20"/>
                <w:szCs w:val="20"/>
                <w:color w:val="auto"/>
              </w:rPr>
            </w:pPr>
            <w:r>
              <w:rPr>
                <w:rFonts w:ascii="Arial" w:cs="Arial" w:eastAsia="Arial" w:hAnsi="Arial"/>
                <w:sz w:val="14"/>
                <w:szCs w:val="14"/>
                <w:b w:val="1"/>
                <w:bCs w:val="1"/>
                <w:color w:val="auto"/>
              </w:rPr>
              <w:t>of 2021 notes</w:t>
            </w:r>
          </w:p>
        </w:tc>
        <w:tc>
          <w:tcPr>
            <w:tcW w:w="340" w:type="dxa"/>
            <w:vAlign w:val="bottom"/>
          </w:tcPr>
          <w:p>
            <w:pPr>
              <w:spacing w:after="0"/>
              <w:rPr>
                <w:sz w:val="14"/>
                <w:szCs w:val="14"/>
                <w:color w:val="auto"/>
              </w:rPr>
            </w:pPr>
          </w:p>
        </w:tc>
        <w:tc>
          <w:tcPr>
            <w:tcW w:w="1520" w:type="dxa"/>
            <w:vAlign w:val="bottom"/>
            <w:gridSpan w:val="3"/>
          </w:tcPr>
          <w:p>
            <w:pPr>
              <w:jc w:val="center"/>
              <w:ind w:right="140"/>
              <w:spacing w:after="0" w:line="152" w:lineRule="exact"/>
              <w:rPr>
                <w:sz w:val="20"/>
                <w:szCs w:val="20"/>
                <w:color w:val="auto"/>
              </w:rPr>
            </w:pPr>
            <w:r>
              <w:rPr>
                <w:rFonts w:ascii="Arial" w:cs="Arial" w:eastAsia="Arial" w:hAnsi="Arial"/>
                <w:sz w:val="14"/>
                <w:szCs w:val="14"/>
                <w:b w:val="1"/>
                <w:bCs w:val="1"/>
                <w:color w:val="auto"/>
                <w:w w:val="96"/>
              </w:rPr>
              <w:t>of 2023 notes</w:t>
            </w:r>
          </w:p>
        </w:tc>
        <w:tc>
          <w:tcPr>
            <w:tcW w:w="0" w:type="dxa"/>
            <w:vAlign w:val="bottom"/>
          </w:tcPr>
          <w:p>
            <w:pPr>
              <w:spacing w:after="0"/>
              <w:rPr>
                <w:sz w:val="1"/>
                <w:szCs w:val="1"/>
                <w:color w:val="auto"/>
              </w:rPr>
            </w:pPr>
          </w:p>
        </w:tc>
      </w:tr>
      <w:tr>
        <w:trPr>
          <w:trHeight w:val="190"/>
        </w:trPr>
        <w:tc>
          <w:tcPr>
            <w:tcW w:w="8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Deutsche Bank Securities Inc.</w:t>
            </w:r>
          </w:p>
        </w:tc>
        <w:tc>
          <w:tcPr>
            <w:tcW w:w="3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168,750,000</w:t>
            </w:r>
          </w:p>
        </w:tc>
        <w:tc>
          <w:tcPr>
            <w:tcW w:w="3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168,750,000</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Wells Fargo Securities, LLC</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5"/>
              </w:rPr>
              <w:t>168,750,000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w w:val="95"/>
              </w:rPr>
              <w:t>168,750,000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46,875,000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46,875,000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46,875,000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46,875,000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Mitsubishi UFJ Securities (USA), Inc.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46,875,000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46,875,000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46,875,000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46,875,000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Standard Chartered Bank</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75,000,000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Skandinaviska Enskilda Banken AB (publ)</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30,000,000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TD Securities (USA) LLC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Barclays Capital Inc.</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26,250,000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26,250,000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26,250,000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UniCredit Capital Markets LLC</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26,250,000</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26,250,000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BBVA Securities Inc.</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11,250,000</w:t>
            </w:r>
          </w:p>
        </w:tc>
        <w:tc>
          <w:tcPr>
            <w:tcW w:w="3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750,000,000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750,000,000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54"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Notes sold by the underwriters to the public will initially be offered at the public offering price set forth on the cover of this prospectus supplement. Any notes sold by the underwriters to securities dealers may be sold at a discount from the public offering price not to exceed 0.375% per note. If all the notes are not sold at the initial offering price, the underwriters may change the offering price and the other selling terms.</w:t>
      </w:r>
    </w:p>
    <w:p>
      <w:pPr>
        <w:spacing w:after="0" w:line="12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Weatherford Ireland and Weatherford Delaware have agreed that, for a period of 60 days from the date of this prospectus supplement and subject to certain exceptions, none of us will, without the prior written consent of Deutsche Bank Securities Inc., offer, sell, contract to sell, pledge or otherwise dispose of (or enter into any transaction that is designed to, or might reasonably be expected to, result in the disposition by us, Weatherford Ireland, Weatherford Delaware or any of our or their affiliates, directly or indirectly, of) any debt securities, or publicly announce an intention to effect any such transaction, except for the notes to be sold to the underwriters.</w:t>
      </w:r>
    </w:p>
    <w:p>
      <w:pPr>
        <w:spacing w:after="0" w:line="15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connection with this offering, we expect to pay to the underwriters a 1.50% discount (expressed as a percentage of the principal amount of the notes). In addition to such discount, we estimate that our total expenses for this offering will be $1.5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notes in the open market. Purchases and sales in the open market may include short sales, purchases to cover short positions and stabilizing purchases.</w:t>
      </w:r>
    </w:p>
    <w:p>
      <w:pPr>
        <w:spacing w:after="0" w:line="74" w:lineRule="exact"/>
        <w:rPr>
          <w:sz w:val="20"/>
          <w:szCs w:val="20"/>
          <w:color w:val="auto"/>
        </w:rPr>
      </w:pPr>
    </w:p>
    <w:p>
      <w:pPr>
        <w:ind w:left="780" w:right="240" w:hanging="326"/>
        <w:spacing w:after="0" w:line="239"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notes than they are required to purchase in the offering.</w:t>
      </w:r>
    </w:p>
    <w:p>
      <w:pPr>
        <w:spacing w:after="0" w:line="73"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Covering transactions involve purchases of notes in the open market after the distribution has been completed in order to cover short positions.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notes so long as the stabilizing bids do not exceed a specified maximum.</w:t>
      </w:r>
    </w:p>
    <w:p>
      <w:pPr>
        <w:spacing w:after="0" w:line="158" w:lineRule="exact"/>
        <w:rPr>
          <w:sz w:val="20"/>
          <w:szCs w:val="20"/>
          <w:color w:val="auto"/>
        </w:rPr>
      </w:pPr>
    </w:p>
    <w:p>
      <w:pPr>
        <w:ind w:right="200" w:firstLine="456"/>
        <w:spacing w:after="0" w:line="275"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connection with this offering, the underwriters (or their affiliates) may, for their own accounts, enter into asset swaps, credit derivatives or other derivative transactions relating to the notes at the same time as the offer and sale of the notes or in secondary market transactions. Such transactions may be entered into with our affiliates. As a result of such transactions, the underwriters may hold long or short positions in such notes or derivatives. These transactions may comprise a substantial portion of the offering and no disclosure will be made of any such positions. In addition, the underwriters (or their affiliates) may have purchased notes and been allocated the notes for asset management and/or proprietary purposes and not with a view to distribution.</w:t>
      </w:r>
    </w:p>
    <w:p>
      <w:pPr>
        <w:spacing w:after="0" w:line="156"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Standard Chartered Bank will not effect any offers or sales of any notes in the United States unless it is through one or more U.S. registered broker-dealers as permitted by the regulations of the Financial Industry Regulatory Authority.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9" w:lineRule="exact"/>
        <w:rPr>
          <w:sz w:val="20"/>
          <w:szCs w:val="20"/>
          <w:color w:val="auto"/>
        </w:rPr>
      </w:pPr>
    </w:p>
    <w:p>
      <w:pPr>
        <w:ind w:right="60" w:firstLine="456"/>
        <w:spacing w:after="0" w:line="267"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each of the underwriters are lenders, and in some cases agents or managers for the lenders, under our Revolving Credit Agreement and Term Loan Agreement. Certain of the underwriters or their affiliates that have a lending relationship with us routinely hedge, and certain other of the underwriters or their affiliates that have a lending relationship with us have hedged, and are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likely to continue to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In addition, certain of the underwriters own a portion of the Target Notes, and as a result may receive a portion of the net proceeds from this offering.</w:t>
      </w:r>
    </w:p>
    <w:p>
      <w:pPr>
        <w:spacing w:after="0" w:line="155"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which are the subject of the offering contemplated by this prospectus supplement may be made to the public in that Relevant Member State other than:</w:t>
      </w:r>
    </w:p>
    <w:p>
      <w:pPr>
        <w:spacing w:after="0" w:line="74"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76" w:lineRule="exact"/>
        <w:rPr>
          <w:rFonts w:ascii="Arial" w:cs="Arial" w:eastAsia="Arial" w:hAnsi="Arial"/>
          <w:sz w:val="18"/>
          <w:szCs w:val="18"/>
          <w:color w:val="auto"/>
        </w:rPr>
      </w:pPr>
    </w:p>
    <w:p>
      <w:pPr>
        <w:ind w:left="900" w:right="160" w:hanging="446"/>
        <w:spacing w:after="0" w:line="23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relevant Dealer or Dealers nominated by the Issuer for any such offer; or</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provided that no such offer of notes shall require the Issuer or any Manager to publish a prospectus pursuant to Article 3 of the Prospectus Directive.</w:t>
      </w:r>
    </w:p>
    <w:p>
      <w:pPr>
        <w:spacing w:after="0" w:line="15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9" w:lineRule="exact"/>
        <w:rPr>
          <w:sz w:val="20"/>
          <w:szCs w:val="20"/>
          <w:color w:val="auto"/>
        </w:rPr>
      </w:pPr>
    </w:p>
    <w:p>
      <w:pPr>
        <w:ind w:right="160" w:firstLine="456"/>
        <w:spacing w:after="0" w:line="275"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S-100</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76" w:lineRule="exact"/>
        <w:rPr>
          <w:sz w:val="20"/>
          <w:szCs w:val="20"/>
          <w:color w:val="auto"/>
        </w:rPr>
      </w:pPr>
    </w:p>
    <w:p>
      <w:pPr>
        <w:ind w:left="780" w:hanging="32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58" w:lineRule="exact"/>
        <w:rPr>
          <w:rFonts w:ascii="Arial" w:cs="Arial" w:eastAsia="Arial" w:hAnsi="Arial"/>
          <w:sz w:val="18"/>
          <w:szCs w:val="18"/>
          <w:color w:val="auto"/>
        </w:rPr>
      </w:pPr>
    </w:p>
    <w:p>
      <w:pPr>
        <w:ind w:left="780" w:right="160" w:hanging="326"/>
        <w:spacing w:after="0" w:line="247"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80" w:hanging="32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58" w:lineRule="exact"/>
        <w:rPr>
          <w:rFonts w:ascii="Arial" w:cs="Arial" w:eastAsia="Arial" w:hAnsi="Arial"/>
          <w:sz w:val="18"/>
          <w:szCs w:val="18"/>
          <w:color w:val="auto"/>
        </w:rPr>
      </w:pPr>
    </w:p>
    <w:p>
      <w:pPr>
        <w:ind w:left="780" w:hanging="326"/>
        <w:spacing w:after="0" w:line="247"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 public à</w:t>
      </w:r>
      <w:r>
        <w:rPr>
          <w:rFonts w:ascii="Arial" w:cs="Arial" w:eastAsia="Arial" w:hAnsi="Arial"/>
          <w:sz w:val="18"/>
          <w:szCs w:val="18"/>
          <w:color w:val="auto"/>
        </w:rPr>
        <w:t xml:space="preserve"> </w:t>
      </w:r>
      <w:r>
        <w:rPr>
          <w:rFonts w:ascii="Arial" w:cs="Arial" w:eastAsia="Arial" w:hAnsi="Arial"/>
          <w:sz w:val="18"/>
          <w:szCs w:val="18"/>
          <w:i w:val="1"/>
          <w:iCs w:val="1"/>
          <w:color w:val="auto"/>
        </w:rPr>
        <w:t>l’épargne</w:t>
      </w:r>
      <w:r>
        <w:rPr>
          <w:rFonts w:ascii="Arial" w:cs="Arial" w:eastAsia="Arial" w:hAnsi="Arial"/>
          <w:sz w:val="18"/>
          <w:szCs w:val="18"/>
          <w:color w:val="auto"/>
        </w:rPr>
        <w:t>).</w:t>
      </w:r>
    </w:p>
    <w:p>
      <w:pPr>
        <w:spacing w:after="0" w:line="14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9"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notes offered in this prospectus supplement have not been and will not be registered under the Financial Instruments and Exchange Law of Japan, and the notes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780" w:hanging="326"/>
        <w:spacing w:after="0" w:line="239" w:lineRule="auto"/>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5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73" w:lineRule="exact"/>
        <w:rPr>
          <w:sz w:val="20"/>
          <w:szCs w:val="20"/>
          <w:color w:val="auto"/>
        </w:rPr>
      </w:pPr>
    </w:p>
    <w:p>
      <w:pPr>
        <w:ind w:left="780" w:right="40" w:hanging="326"/>
        <w:spacing w:after="0" w:line="236" w:lineRule="auto"/>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2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9"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notes may not be publicly offered in Switzerland and will not be listed on the SIX Swiss Exchange, which we refer to as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56"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notes have been or will be filed with or approved by any Swiss regulatory authority. In particular, this document will not be filed with, and the offer of notes will not be supervised by, the Swiss Financial Market Supervisory Authority FINMA, and the offer of notes has not been and will not be authorized under the Swiss Federal Act on Collective Investment Schemes, which we refer to as CISA. The investor protection afforded to acquirers of interests in collective investment schemes under the CISA does not extend to acquirers of the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Ireland</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No action may be taken with respect to the notes in Ireland otherwise than in conformity with the provisions of (a) the European Communities (Markets in Financial Instruments) Regulations 2007 (Nos. 1 to 3) (as amended), including, without limitation, Regulations 7 and 152 thereof or any codes of conduct used in connection therewith and the provisions of the Investor Compensation Act 1998, (b) the Companies Act 2014 (as amended) (the “2014 Act”), the Central Bank Acts 1942 to 2015 (as amended) and any codes of conduct rules made under Section 117(1) of the Central Bank Act 1989 and (c) the Prospectus (Directive 2003/71/EC) Regulations 2005 (as amended) and any rules issued under Section 1363 of the 2014 Act by the Central Bank of Ireland.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validity of the issuance of the notes offered by this prospectus supplement and the accompanying prospectus will be passed upon for us by Latham &amp; Watkins LLP, with respect to U.S. legal matters, by Matheson, with respect to Irish legal matters, and by Conyers Dill &amp; Pearman Limited, with respect to Bermuda legal matters. Certain legal matters relating to the notes offered by this prospectus supplement and the accompanying prospectus will be passed upon for the underwriters by Vinson &amp; Elkins L.L.P., Houston, Texas, with respect to U.S. legal matters, by A&amp;L Goodbody, with respect to Irish legal matters, and by Appleby (Bermuda) Limited, with respect to Bermuda legal matters.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2015 and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www.sec.gov.</w:t>
      </w:r>
    </w:p>
    <w:p>
      <w:pPr>
        <w:spacing w:after="0" w:line="157"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Weatherford Ireland’s ordinary shares are listed on the NYSE under the symbol “WFT.” Our reports and other information filed with the SEC can also be inspected at the offices of the NYSE, 20 Broad Street, New York, New York 10005.</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also make available free of charge on our Internet website at www.weatherford.com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S-104</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incorporate by reference in this prospectus supplement the documents listed below and any future filings we make with the SEC under Sections 13(a), 13(c), 14 or 15(d) of the Exchange Act (excluding information deemed to be furnished and not filed with the SEC), until all the notes offered hereby are sold:</w:t>
      </w:r>
    </w:p>
    <w:p>
      <w:pPr>
        <w:spacing w:after="0" w:line="73" w:lineRule="exact"/>
        <w:rPr>
          <w:sz w:val="20"/>
          <w:szCs w:val="20"/>
          <w:color w:val="auto"/>
        </w:rPr>
      </w:pPr>
    </w:p>
    <w:p>
      <w:pPr>
        <w:ind w:left="780" w:hanging="326"/>
        <w:spacing w:after="0"/>
        <w:tabs>
          <w:tab w:leader="none" w:pos="7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year ended December 31, 2015, as filed with the SEC on February 16, 2016;</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Weatherford Ireland’s Quarterly Report on Form 10-Q for the quarter ended March 31, 2016, as filed with the SEC on May 5, 2016;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Weatherford Ireland’s Definitive Proxy Statement on Schedule 14A filed on April 26, 2016; and</w:t>
      </w:r>
    </w:p>
    <w:p>
      <w:pPr>
        <w:spacing w:after="0" w:line="76" w:lineRule="exact"/>
        <w:rPr>
          <w:rFonts w:ascii="Arial" w:cs="Arial" w:eastAsia="Arial" w:hAnsi="Arial"/>
          <w:sz w:val="18"/>
          <w:szCs w:val="18"/>
          <w:color w:val="auto"/>
        </w:rPr>
      </w:pPr>
    </w:p>
    <w:p>
      <w:pPr>
        <w:ind w:left="780" w:right="200" w:hanging="326"/>
        <w:spacing w:after="0" w:line="238" w:lineRule="auto"/>
        <w:tabs>
          <w:tab w:leader="none" w:pos="7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Weatherford Ireland’s Current Reports on Form 8-K, as filed with the SEC on February 4, 2016, March 3, 2016, May 10, 2016, May 27, 2016, June 7, 2016, June 8, 2016 and June 10, 2016 (in each case, excluding any information furnished pursuant to Item 2.02 or Item 7.01 of any such Current Report on Form 8-K).</w:t>
      </w:r>
    </w:p>
    <w:p>
      <w:pPr>
        <w:spacing w:after="0" w:line="15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Weatherford International plc</w:t>
      </w:r>
    </w:p>
    <w:p>
      <w:pPr>
        <w:jc w:val="center"/>
        <w:ind w:right="-19"/>
        <w:spacing w:after="0" w:line="234" w:lineRule="auto"/>
        <w:rPr>
          <w:sz w:val="20"/>
          <w:szCs w:val="20"/>
          <w:color w:val="auto"/>
        </w:rPr>
      </w:pPr>
      <w:r>
        <w:rPr>
          <w:rFonts w:ascii="Arial" w:cs="Arial" w:eastAsia="Arial" w:hAnsi="Arial"/>
          <w:sz w:val="18"/>
          <w:szCs w:val="18"/>
          <w:color w:val="auto"/>
        </w:rPr>
        <w:t>Attention: Investor Relations</w:t>
      </w:r>
    </w:p>
    <w:p>
      <w:pPr>
        <w:jc w:val="center"/>
        <w:ind w:right="-19"/>
        <w:spacing w:after="0" w:line="235" w:lineRule="auto"/>
        <w:rPr>
          <w:sz w:val="20"/>
          <w:szCs w:val="20"/>
          <w:color w:val="auto"/>
        </w:rPr>
      </w:pPr>
      <w:r>
        <w:rPr>
          <w:rFonts w:ascii="Arial" w:cs="Arial" w:eastAsia="Arial" w:hAnsi="Arial"/>
          <w:sz w:val="18"/>
          <w:szCs w:val="18"/>
          <w:color w:val="auto"/>
        </w:rPr>
        <w:t>2000 St. James Place</w:t>
      </w:r>
    </w:p>
    <w:p>
      <w:pPr>
        <w:jc w:val="center"/>
        <w:ind w:right="-19"/>
        <w:spacing w:after="0" w:line="235" w:lineRule="auto"/>
        <w:rPr>
          <w:sz w:val="20"/>
          <w:szCs w:val="20"/>
          <w:color w:val="auto"/>
        </w:rPr>
      </w:pPr>
      <w:r>
        <w:rPr>
          <w:rFonts w:ascii="Arial" w:cs="Arial" w:eastAsia="Arial" w:hAnsi="Arial"/>
          <w:sz w:val="18"/>
          <w:szCs w:val="18"/>
          <w:color w:val="auto"/>
        </w:rPr>
        <w:t>Houston, Texas 77056</w:t>
      </w:r>
    </w:p>
    <w:p>
      <w:pPr>
        <w:spacing w:after="0" w:line="1" w:lineRule="exact"/>
        <w:rPr>
          <w:sz w:val="20"/>
          <w:szCs w:val="20"/>
          <w:color w:val="auto"/>
        </w:rPr>
      </w:pPr>
    </w:p>
    <w:p>
      <w:pPr>
        <w:ind w:left="5480" w:right="5100" w:hanging="366"/>
        <w:spacing w:after="0" w:line="493" w:lineRule="auto"/>
        <w:tabs>
          <w:tab w:leader="none" w:pos="557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836-4000 S-105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66040</wp:posOffset>
            </wp:positionV>
            <wp:extent cx="1397635" cy="6172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Weatherford International plc</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 Irish public limited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Ordinary Shares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Guarantees of Debt Securities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91"/>
              </w:rPr>
              <w:t>Weatherford International Ltd.</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92"/>
              </w:rPr>
              <w:t>Weatherford International, LLC</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(a Bermuda exempted company )</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(a Delaware limited liability company)</w:t>
            </w:r>
          </w:p>
        </w:tc>
      </w:tr>
      <w:tr>
        <w:trPr>
          <w:trHeight w:val="406"/>
        </w:trPr>
        <w:tc>
          <w:tcPr>
            <w:tcW w:w="4060" w:type="dxa"/>
            <w:vAlign w:val="bottom"/>
          </w:tcPr>
          <w:p>
            <w:pPr>
              <w:jc w:val="center"/>
              <w:ind w:right="1472"/>
              <w:spacing w:after="0"/>
              <w:rPr>
                <w:sz w:val="20"/>
                <w:szCs w:val="20"/>
                <w:color w:val="auto"/>
              </w:rPr>
            </w:pPr>
            <w:r>
              <w:rPr>
                <w:rFonts w:ascii="Arial" w:cs="Arial" w:eastAsia="Arial" w:hAnsi="Arial"/>
                <w:sz w:val="18"/>
                <w:szCs w:val="18"/>
                <w:b w:val="1"/>
                <w:bCs w:val="1"/>
                <w:color w:val="auto"/>
                <w:w w:val="86"/>
              </w:rPr>
              <w:t>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5"/>
              </w:rPr>
              <w:t>Debt Securities</w:t>
            </w:r>
          </w:p>
        </w:tc>
      </w:tr>
      <w:tr>
        <w:trPr>
          <w:trHeight w:val="228"/>
        </w:trPr>
        <w:tc>
          <w:tcPr>
            <w:tcW w:w="4060" w:type="dxa"/>
            <w:vAlign w:val="bottom"/>
          </w:tcPr>
          <w:p>
            <w:pPr>
              <w:jc w:val="center"/>
              <w:ind w:right="1492"/>
              <w:spacing w:after="0"/>
              <w:rPr>
                <w:sz w:val="20"/>
                <w:szCs w:val="20"/>
                <w:color w:val="auto"/>
              </w:rPr>
            </w:pPr>
            <w:r>
              <w:rPr>
                <w:rFonts w:ascii="Arial" w:cs="Arial" w:eastAsia="Arial" w:hAnsi="Arial"/>
                <w:sz w:val="18"/>
                <w:szCs w:val="18"/>
                <w:b w:val="1"/>
                <w:bCs w:val="1"/>
                <w:color w:val="auto"/>
                <w:w w:val="87"/>
              </w:rPr>
              <w:t>Guarantees of Debt Securities</w:t>
            </w:r>
          </w:p>
        </w:tc>
        <w:tc>
          <w:tcPr>
            <w:tcW w:w="4440" w:type="dxa"/>
            <w:vAlign w:val="bottom"/>
          </w:tcPr>
          <w:p>
            <w:pPr>
              <w:jc w:val="center"/>
              <w:ind w:left="1472"/>
              <w:spacing w:after="0"/>
              <w:rPr>
                <w:sz w:val="20"/>
                <w:szCs w:val="20"/>
                <w:color w:val="auto"/>
              </w:rPr>
            </w:pPr>
            <w:r>
              <w:rPr>
                <w:rFonts w:ascii="Arial" w:cs="Arial" w:eastAsia="Arial" w:hAnsi="Arial"/>
                <w:sz w:val="18"/>
                <w:szCs w:val="18"/>
                <w:b w:val="1"/>
                <w:bCs w:val="1"/>
                <w:color w:val="auto"/>
                <w:w w:val="87"/>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138430</wp:posOffset>
            </wp:positionV>
            <wp:extent cx="18783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152" w:lineRule="exact"/>
        <w:rPr>
          <w:sz w:val="20"/>
          <w:szCs w:val="20"/>
          <w:color w:val="auto"/>
        </w:rPr>
      </w:pPr>
    </w:p>
    <w:p>
      <w:pPr>
        <w:ind w:right="20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3 and “</w:t>
      </w:r>
      <w:hyperlink w:anchor="page11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5 herein and in the applicable prospectus supplement and any related free writing prospectus and under similar headings in the other documents incorporated by reference into this prospectus and the accompanying prospectus supplement.</w:t>
      </w:r>
    </w:p>
    <w:p>
      <w:pPr>
        <w:spacing w:after="0" w:line="14"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81915</wp:posOffset>
            </wp:positionV>
            <wp:extent cx="18783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00" w:type="dxa"/>
            <w:vAlign w:val="bottom"/>
            <w:gridSpan w:val="7"/>
            <w:vMerge w:val="restart"/>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ABOUT THIS PROSPECTUS</w:t>
              </w:r>
            </w:hyperlink>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c>
          <w:tcPr>
            <w:tcW w:w="5000" w:type="dxa"/>
            <w:vAlign w:val="bottom"/>
            <w:gridSpan w:val="6"/>
            <w:vMerge w:val="restart"/>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5000" w:type="dxa"/>
            <w:vAlign w:val="bottom"/>
            <w:gridSpan w:val="7"/>
            <w:vMerge w:val="continue"/>
          </w:tcPr>
          <w:p>
            <w:pPr>
              <w:spacing w:after="0"/>
              <w:rPr>
                <w:sz w:val="13"/>
                <w:szCs w:val="13"/>
                <w:color w:val="auto"/>
              </w:rPr>
            </w:pPr>
          </w:p>
        </w:tc>
        <w:tc>
          <w:tcPr>
            <w:tcW w:w="3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5"/>
                <w:szCs w:val="15"/>
                <w:color w:val="auto"/>
                <w:w w:val="71"/>
              </w:rPr>
              <w:t>1</w:t>
            </w:r>
          </w:p>
        </w:tc>
        <w:tc>
          <w:tcPr>
            <w:tcW w:w="460" w:type="dxa"/>
            <w:vAlign w:val="bottom"/>
          </w:tcPr>
          <w:p>
            <w:pPr>
              <w:spacing w:after="0"/>
              <w:rPr>
                <w:sz w:val="13"/>
                <w:szCs w:val="13"/>
                <w:color w:val="auto"/>
              </w:rPr>
            </w:pPr>
          </w:p>
        </w:tc>
        <w:tc>
          <w:tcPr>
            <w:tcW w:w="5000" w:type="dxa"/>
            <w:vAlign w:val="bottom"/>
            <w:gridSpan w:val="6"/>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0000EE"/>
            </w:tcBorders>
            <w:gridSpan w:val="4"/>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ABOUT US</w:t>
              </w:r>
            </w:hyperlink>
          </w:p>
        </w:tc>
        <w:tc>
          <w:tcPr>
            <w:tcW w:w="2840" w:type="dxa"/>
            <w:vAlign w:val="bottom"/>
            <w:gridSpan w:val="3"/>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3400" w:type="dxa"/>
            <w:vAlign w:val="bottom"/>
            <w:tcBorders>
              <w:top w:val="single" w:sz="8" w:color="0000EE"/>
            </w:tcBorders>
            <w:gridSpan w:val="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DESCRIPTION OF SECURITIES</w:t>
              </w:r>
            </w:hyperlink>
          </w:p>
        </w:tc>
        <w:tc>
          <w:tcPr>
            <w:tcW w:w="16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WHERE YOU CAN FIND MORE INFORMATION</w:t>
              </w:r>
            </w:hyperlink>
          </w:p>
        </w:tc>
        <w:tc>
          <w:tcPr>
            <w:tcW w:w="1280" w:type="dxa"/>
            <w:vAlign w:val="bottom"/>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3</w:t>
            </w:r>
          </w:p>
        </w:tc>
        <w:tc>
          <w:tcPr>
            <w:tcW w:w="24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SELLING SECURITYHOLDERS</w:t>
              </w:r>
            </w:hyperlink>
          </w:p>
        </w:tc>
        <w:tc>
          <w:tcPr>
            <w:tcW w:w="25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FORWARD-LOOKING STATEMENTS</w:t>
              </w:r>
            </w:hyperlink>
          </w:p>
        </w:tc>
        <w:tc>
          <w:tcPr>
            <w:tcW w:w="2140" w:type="dxa"/>
            <w:vAlign w:val="bottom"/>
            <w:gridSpan w:val="2"/>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4</w:t>
            </w:r>
          </w:p>
        </w:tc>
        <w:tc>
          <w:tcPr>
            <w:tcW w:w="2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PLAN OF DISTRIBUTION</w:t>
              </w:r>
            </w:hyperlink>
          </w:p>
        </w:tc>
        <w:tc>
          <w:tcPr>
            <w:tcW w:w="30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RISK FACTORS</w:t>
              </w:r>
            </w:hyperlink>
          </w:p>
        </w:tc>
        <w:tc>
          <w:tcPr>
            <w:tcW w:w="3780" w:type="dxa"/>
            <w:vAlign w:val="bottom"/>
            <w:gridSpan w:val="5"/>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5</w:t>
            </w: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LEGAL MATTERS</w:t>
              </w:r>
            </w:hyperlink>
          </w:p>
        </w:tc>
        <w:tc>
          <w:tcPr>
            <w:tcW w:w="358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gridSpan w:val="3"/>
          </w:tcPr>
          <w:p>
            <w:pPr>
              <w:spacing w:after="0" w:line="196" w:lineRule="exact"/>
              <w:rPr>
                <w:rFonts w:ascii="Arial" w:cs="Arial" w:eastAsia="Arial" w:hAnsi="Arial"/>
                <w:sz w:val="18"/>
                <w:szCs w:val="18"/>
                <w:color w:val="0000EE"/>
                <w:w w:val="87"/>
              </w:rPr>
            </w:pPr>
            <w:hyperlink w:anchor="page119">
              <w:r>
                <w:rPr>
                  <w:rFonts w:ascii="Arial" w:cs="Arial" w:eastAsia="Arial" w:hAnsi="Arial"/>
                  <w:sz w:val="18"/>
                  <w:szCs w:val="18"/>
                  <w:color w:val="0000EE"/>
                  <w:w w:val="87"/>
                </w:rPr>
                <w:t>USE OF PROCEEDS</w:t>
              </w:r>
            </w:hyperlink>
          </w:p>
        </w:tc>
        <w:tc>
          <w:tcPr>
            <w:tcW w:w="3460" w:type="dxa"/>
            <w:vAlign w:val="bottom"/>
            <w:gridSpan w:val="4"/>
          </w:tcPr>
          <w:p>
            <w:pPr>
              <w:spacing w:after="0"/>
              <w:rPr>
                <w:sz w:val="17"/>
                <w:szCs w:val="17"/>
                <w:color w:val="auto"/>
              </w:rPr>
            </w:pPr>
          </w:p>
        </w:tc>
        <w:tc>
          <w:tcPr>
            <w:tcW w:w="82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6</w:t>
            </w:r>
          </w:p>
        </w:tc>
        <w:tc>
          <w:tcPr>
            <w:tcW w:w="5000" w:type="dxa"/>
            <w:vAlign w:val="bottom"/>
            <w:gridSpan w:val="6"/>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EXPERTS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90" w:lineRule="exact"/>
        <w:rPr>
          <w:sz w:val="20"/>
          <w:szCs w:val="20"/>
          <w:color w:val="auto"/>
        </w:rPr>
      </w:pPr>
    </w:p>
    <w:p>
      <w:pPr>
        <w:ind w:left="660" w:hanging="206"/>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US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5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59"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Our principal executive offices are located at Bahnhofstrasse 1, 6340 Baar, Switzerland and our telephone number at that location is +41.22.816.1500. 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WHERE YOU CAN FIND MORE INFORMATION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3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62" w:lineRule="exact"/>
        <w:rPr>
          <w:sz w:val="20"/>
          <w:szCs w:val="20"/>
          <w:color w:val="auto"/>
        </w:rPr>
      </w:pPr>
    </w:p>
    <w:p>
      <w:pPr>
        <w:ind w:left="660" w:hanging="206"/>
        <w:spacing w:after="0"/>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Weatherford Switzerland’s Annual Report on Form 10-K for the fiscal year ended December 31, 2013, as filed with the SEC on February 25, 2014;</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SEC on April 29, 2014;</w:t>
      </w:r>
    </w:p>
    <w:p>
      <w:pPr>
        <w:spacing w:after="0" w:line="113" w:lineRule="exact"/>
        <w:rPr>
          <w:rFonts w:ascii="Arial" w:cs="Arial" w:eastAsia="Arial" w:hAnsi="Arial"/>
          <w:sz w:val="16"/>
          <w:szCs w:val="16"/>
          <w:color w:val="auto"/>
        </w:rPr>
      </w:pPr>
    </w:p>
    <w:p>
      <w:pPr>
        <w:jc w:val="both"/>
        <w:ind w:left="660" w:right="240" w:hanging="206"/>
        <w:spacing w:after="0" w:line="25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5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15"/>
        <w:spacing w:after="0"/>
        <w:tabs>
          <w:tab w:leader="none" w:pos="5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836-4000</w:t>
      </w:r>
    </w:p>
    <w:p>
      <w:pPr>
        <w:spacing w:after="0" w:line="174"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35"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64" w:lineRule="exact"/>
        <w:rPr>
          <w:sz w:val="20"/>
          <w:szCs w:val="20"/>
          <w:color w:val="auto"/>
        </w:rPr>
      </w:pPr>
    </w:p>
    <w:p>
      <w:pPr>
        <w:ind w:left="660" w:right="420" w:hanging="206"/>
        <w:spacing w:after="0" w:line="268"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90"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231"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RATIO OF EARNINGS TO FIXED CHARGES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90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Three Months</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Years Ended</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18"/>
                <w:szCs w:val="18"/>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7"/>
              </w:rPr>
              <w:t>Ended</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900" w:type="dxa"/>
            <w:vAlign w:val="bottom"/>
            <w:gridSpan w:val="2"/>
          </w:tcPr>
          <w:p>
            <w:pPr>
              <w:jc w:val="center"/>
              <w:ind w:right="780"/>
              <w:spacing w:after="0" w:line="195" w:lineRule="exact"/>
              <w:rPr>
                <w:sz w:val="20"/>
                <w:szCs w:val="20"/>
                <w:color w:val="auto"/>
              </w:rPr>
            </w:pPr>
            <w:r>
              <w:rPr>
                <w:rFonts w:ascii="Arial" w:cs="Arial" w:eastAsia="Arial" w:hAnsi="Arial"/>
                <w:sz w:val="18"/>
                <w:szCs w:val="18"/>
                <w:b w:val="1"/>
                <w:bCs w:val="1"/>
                <w:color w:val="auto"/>
                <w:w w:val="91"/>
              </w:rPr>
              <w:t>March 31,</w:t>
            </w: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7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8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72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Ratio of earnings to fixed</w:t>
            </w:r>
          </w:p>
        </w:tc>
        <w:tc>
          <w:tcPr>
            <w:tcW w:w="1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charges</w:t>
            </w:r>
          </w:p>
        </w:tc>
        <w:tc>
          <w:tcPr>
            <w:tcW w:w="19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2.30x</w:t>
            </w:r>
          </w:p>
        </w:tc>
        <w:tc>
          <w:tcPr>
            <w:tcW w:w="1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1.34x</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1.51x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951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4" w:lineRule="exact"/>
        <w:rPr>
          <w:sz w:val="20"/>
          <w:szCs w:val="20"/>
          <w:color w:val="auto"/>
        </w:rPr>
      </w:pPr>
    </w:p>
    <w:p>
      <w:pPr>
        <w:ind w:left="460" w:right="120" w:hanging="452"/>
        <w:spacing w:after="0" w:line="268"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three months ended March 31, 2014 and for the years ended December 31, 2013 and 2012, earnings before fixed charges were inadequate to cover fixed charges by $7 million, $211 million and $349 million, respectively.</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DESCRIPTION OF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SELLING SECURITYHOLDERS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PLAN OF DISTRIBUTION</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$1,500,000,000</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Ltd.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Bermuda exempted company)</w:t>
      </w:r>
    </w:p>
    <w:p>
      <w:pPr>
        <w:spacing w:after="0" w:line="121" w:lineRule="exact"/>
        <w:rPr>
          <w:sz w:val="20"/>
          <w:szCs w:val="20"/>
          <w:color w:val="auto"/>
        </w:rPr>
      </w:pPr>
    </w:p>
    <w:p>
      <w:pPr>
        <w:ind w:left="3180"/>
        <w:spacing w:after="0"/>
        <w:rPr>
          <w:sz w:val="20"/>
          <w:szCs w:val="20"/>
          <w:color w:val="auto"/>
        </w:rPr>
      </w:pPr>
      <w:r>
        <w:rPr>
          <w:rFonts w:ascii="Arial" w:cs="Arial" w:eastAsia="Arial" w:hAnsi="Arial"/>
          <w:sz w:val="24"/>
          <w:szCs w:val="24"/>
          <w:b w:val="1"/>
          <w:bCs w:val="1"/>
          <w:color w:val="auto"/>
        </w:rPr>
        <w:t>$750,000,000 7.750% Senior Notes due 2021</w:t>
      </w:r>
    </w:p>
    <w:p>
      <w:pPr>
        <w:spacing w:after="0" w:line="38" w:lineRule="exact"/>
        <w:rPr>
          <w:sz w:val="20"/>
          <w:szCs w:val="20"/>
          <w:color w:val="auto"/>
        </w:rPr>
      </w:pPr>
    </w:p>
    <w:p>
      <w:pPr>
        <w:ind w:left="3180"/>
        <w:spacing w:after="0"/>
        <w:rPr>
          <w:sz w:val="20"/>
          <w:szCs w:val="20"/>
          <w:color w:val="auto"/>
        </w:rPr>
      </w:pPr>
      <w:r>
        <w:rPr>
          <w:rFonts w:ascii="Arial" w:cs="Arial" w:eastAsia="Arial" w:hAnsi="Arial"/>
          <w:sz w:val="24"/>
          <w:szCs w:val="24"/>
          <w:b w:val="1"/>
          <w:bCs w:val="1"/>
          <w:color w:val="auto"/>
        </w:rPr>
        <w:t>$750,000,000 8.250%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547370</wp:posOffset>
            </wp:positionV>
            <wp:extent cx="875030" cy="386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103505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Global Coordinators and Bookrunners</w:t>
      </w:r>
    </w:p>
    <w:p>
      <w:pPr>
        <w:sectPr>
          <w:pgSz w:w="11900" w:h="16838" w:orient="portrait"/>
          <w:cols w:equalWidth="0" w:num="1">
            <w:col w:w="11420"/>
          </w:cols>
          <w:pgMar w:left="240" w:top="459" w:right="239" w:bottom="1440" w:gutter="0" w:footer="0" w:header="0"/>
        </w:sectPr>
      </w:pPr>
    </w:p>
    <w:p>
      <w:pPr>
        <w:spacing w:after="0" w:line="59" w:lineRule="exact"/>
        <w:rPr>
          <w:sz w:val="20"/>
          <w:szCs w:val="20"/>
          <w:color w:val="auto"/>
        </w:rPr>
      </w:pPr>
    </w:p>
    <w:p>
      <w:pPr>
        <w:ind w:left="1480"/>
        <w:spacing w:after="0"/>
        <w:rPr>
          <w:sz w:val="20"/>
          <w:szCs w:val="20"/>
          <w:color w:val="auto"/>
        </w:rPr>
      </w:pP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Wells Fargo Securities</w:t>
      </w:r>
    </w:p>
    <w:p>
      <w:pPr>
        <w:spacing w:after="0" w:line="100" w:lineRule="exact"/>
        <w:rPr>
          <w:sz w:val="20"/>
          <w:szCs w:val="20"/>
          <w:color w:val="auto"/>
        </w:rPr>
      </w:pPr>
    </w:p>
    <w:p>
      <w:pPr>
        <w:sectPr>
          <w:pgSz w:w="11900" w:h="16838" w:orient="portrait"/>
          <w:cols w:equalWidth="0" w:num="2">
            <w:col w:w="6800" w:space="720"/>
            <w:col w:w="39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420"/>
          </w:cols>
          <w:pgMar w:left="240" w:top="459" w:right="239" w:bottom="1440" w:gutter="0" w:footer="0" w:header="0"/>
          <w:type w:val="continuous"/>
        </w:sectPr>
      </w:pP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MUFG</w:t>
      </w:r>
    </w:p>
    <w:p>
      <w:pPr>
        <w:spacing w:after="0" w:line="104" w:lineRule="exact"/>
        <w:rPr>
          <w:sz w:val="20"/>
          <w:szCs w:val="20"/>
          <w:color w:val="auto"/>
        </w:rPr>
      </w:pPr>
    </w:p>
    <w:p>
      <w:pPr>
        <w:sectPr>
          <w:pgSz w:w="11900" w:h="16838" w:orient="portrait"/>
          <w:cols w:equalWidth="0" w:num="4">
            <w:col w:w="2820" w:space="720"/>
            <w:col w:w="2860" w:space="720"/>
            <w:col w:w="3060" w:space="720"/>
            <w:col w:w="52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Standard Chartered Bank</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SEB</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TD Securities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Barclays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UniCredit Capital Markets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BBVA</w:t>
      </w:r>
    </w:p>
    <w:p>
      <w:pPr>
        <w:spacing w:after="0" w:line="200" w:lineRule="exact"/>
        <w:rPr>
          <w:sz w:val="20"/>
          <w:szCs w:val="20"/>
          <w:color w:val="auto"/>
        </w:rPr>
      </w:pPr>
    </w:p>
    <w:p>
      <w:pPr>
        <w:sectPr>
          <w:pgSz w:w="11900" w:h="16838" w:orient="portrait"/>
          <w:cols w:equalWidth="0" w:num="7">
            <w:col w:w="1860" w:space="720"/>
            <w:col w:w="280" w:space="380"/>
            <w:col w:w="880" w:space="700"/>
            <w:col w:w="560" w:space="580"/>
            <w:col w:w="1540" w:space="720"/>
            <w:col w:w="2100" w:space="720"/>
            <w:col w:w="3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June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1)"/>
      <w:numFmt w:val="decimal"/>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1)"/>
      <w:numFmt w:val="decimal"/>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lvl w:ilvl="1">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1)"/>
      <w:numFmt w:val="decimal"/>
      <w:start w:val="1"/>
    </w:lvl>
  </w:abstractNum>
  <w:abstractNum w:abstractNumId="21">
    <w:nsid w:val="51D9C564"/>
    <w:multiLevelType w:val="hybridMultilevel"/>
    <w:lvl w:ilvl="0">
      <w:lvlJc w:val="left"/>
      <w:lvlText w:val="(%1)"/>
      <w:numFmt w:val="lowerLetter"/>
      <w:start w:val="2"/>
    </w:lvl>
  </w:abstractNum>
  <w:abstractNum w:abstractNumId="22">
    <w:nsid w:val="613EFDC5"/>
    <w:multiLevelType w:val="hybridMultilevel"/>
    <w:lvl w:ilvl="0">
      <w:lvlJc w:val="left"/>
      <w:lvlText w:val="(%1)"/>
      <w:numFmt w:val="decimal"/>
      <w:start w:val="1"/>
    </w:lvl>
  </w:abstractNum>
  <w:abstractNum w:abstractNumId="23">
    <w:nsid w:val="BF72B1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
    <w:nsid w:val="42963E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A0382C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
    <w:nsid w:val="8F2B15E"/>
    <w:multiLevelType w:val="hybridMultilevel"/>
    <w:lvl w:ilvl="0">
      <w:lvlJc w:val="left"/>
      <w:lvlText w:val="(%1)"/>
      <w:numFmt w:val="decimal"/>
      <w:start w:val="4"/>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lowerLetter"/>
      <w:start w:val="1"/>
    </w:lvl>
  </w:abstractNum>
  <w:abstractNum w:abstractNumId="32">
    <w:nsid w:val="60B6DF70"/>
    <w:multiLevelType w:val="hybridMultilevel"/>
    <w:lvl w:ilvl="0">
      <w:lvlJc w:val="left"/>
      <w:lvlText w:val="%1"/>
      <w:numFmt w:val="decimal"/>
      <w:start w:val="1"/>
    </w:lvl>
    <w:lvl w:ilvl="1">
      <w:lvlJc w:val="left"/>
      <w:lvlText w:val="(%2)"/>
      <w:numFmt w:val="lowerLetter"/>
      <w:start w:val="2"/>
    </w:lvl>
  </w:abstractNum>
  <w:abstractNum w:abstractNumId="33">
    <w:nsid w:val="6A5EE64"/>
    <w:multiLevelType w:val="hybridMultilevel"/>
    <w:lvl w:ilvl="0">
      <w:lvlJc w:val="left"/>
      <w:lvlText w:val="(%1)"/>
      <w:numFmt w:val="decimal"/>
      <w:start w:val="2"/>
    </w:lvl>
    <w:lvl w:ilvl="1">
      <w:lvlJc w:val="left"/>
      <w:lvlText w:val="%2"/>
      <w:numFmt w:val="lowerLetter"/>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lowerRoman"/>
      <w:start w:val="2"/>
    </w:lvl>
  </w:abstractNum>
  <w:abstractNum w:abstractNumId="38">
    <w:nsid w:val="100F59DC"/>
    <w:multiLevelType w:val="hybridMultilevel"/>
    <w:lvl w:ilvl="0">
      <w:lvlJc w:val="left"/>
      <w:lvlText w:val="(%1)"/>
      <w:numFmt w:val="decimal"/>
      <w:start w:val="1"/>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lowerRoman"/>
      <w:start w:val="1"/>
    </w:lvl>
    <w:lvl w:ilvl="1">
      <w:lvlJc w:val="left"/>
      <w:lvlText w:val="(%2)"/>
      <w:numFmt w:val="decimal"/>
      <w:start w:val="1"/>
    </w:lvl>
  </w:abstractNum>
  <w:abstractNum w:abstractNumId="41">
    <w:nsid w:val="6F6DD9AC"/>
    <w:multiLevelType w:val="hybridMultilevel"/>
    <w:lvl w:ilvl="0">
      <w:lvlJc w:val="left"/>
      <w:lvlText w:val="(%1)"/>
      <w:numFmt w:val="lowerRoman"/>
      <w:start w:val="1"/>
    </w:lvl>
    <w:lvl w:ilvl="1">
      <w:lvlJc w:val="left"/>
      <w:lvlText w:val="%2"/>
      <w:numFmt w:val="decimal"/>
      <w:start w:val="1"/>
    </w:lvl>
  </w:abstractNum>
  <w:abstractNum w:abstractNumId="42">
    <w:nsid w:val="94211F2"/>
    <w:multiLevelType w:val="hybridMultilevel"/>
    <w:lvl w:ilvl="0">
      <w:lvlJc w:val="left"/>
      <w:lvlText w:val="%1"/>
      <w:numFmt w:val="lowerLetter"/>
      <w:start w:val="1"/>
    </w:lvl>
    <w:lvl w:ilvl="1">
      <w:lvlJc w:val="left"/>
      <w:lvlText w:val="(%2)"/>
      <w:numFmt w:val="decimal"/>
      <w:start w:val="2"/>
    </w:lvl>
  </w:abstractNum>
  <w:abstractNum w:abstractNumId="43">
    <w:nsid w:val="885E1B"/>
    <w:multiLevelType w:val="hybridMultilevel"/>
    <w:lvl w:ilvl="0">
      <w:lvlJc w:val="left"/>
      <w:lvlText w:val="(%1)"/>
      <w:numFmt w:val="lowerLetter"/>
      <w:start w:val="1"/>
    </w:lvl>
    <w:lvl w:ilvl="1">
      <w:lvlJc w:val="left"/>
      <w:lvlText w:val="(%2)"/>
      <w:numFmt w:val="decimal"/>
      <w:start w:val="9"/>
    </w:lvl>
  </w:abstractNum>
  <w:abstractNum w:abstractNumId="44">
    <w:nsid w:val="76272110"/>
    <w:multiLevelType w:val="hybridMultilevel"/>
    <w:lvl w:ilvl="0">
      <w:lvlJc w:val="left"/>
      <w:lvlText w:val="%1"/>
      <w:numFmt w:val="decimal"/>
      <w:start w:val="1"/>
    </w:lvl>
    <w:lvl w:ilvl="1">
      <w:lvlJc w:val="left"/>
      <w:lvlText w:val="(%2)"/>
      <w:numFmt w:val="decimal"/>
      <w:start w:val="12"/>
    </w:lvl>
  </w:abstractNum>
  <w:abstractNum w:abstractNumId="45">
    <w:nsid w:val="4C04A8AF"/>
    <w:multiLevelType w:val="hybridMultilevel"/>
    <w:lvl w:ilvl="0">
      <w:lvlJc w:val="left"/>
      <w:lvlText w:val="(%1)"/>
      <w:numFmt w:val="decimal"/>
      <w:start w:val="16"/>
    </w:lvl>
    <w:lvl w:ilvl="1">
      <w:lvlJc w:val="left"/>
      <w:lvlText w:val="%2"/>
      <w:numFmt w:val="decimal"/>
      <w:start w:val="1"/>
    </w:lvl>
  </w:abstractNum>
  <w:abstractNum w:abstractNumId="46">
    <w:nsid w:val="1716703B"/>
    <w:multiLevelType w:val="hybridMultilevel"/>
    <w:lvl w:ilvl="0">
      <w:lvlJc w:val="left"/>
      <w:lvlText w:val="(%1)"/>
      <w:numFmt w:val="decimal"/>
      <w:start w:val="1"/>
    </w:lvl>
    <w:lvl w:ilvl="1">
      <w:lvlJc w:val="left"/>
      <w:lvlText w:val="(%2)"/>
      <w:numFmt w:val="lowerLetter"/>
      <w:start w:val="1"/>
    </w:lvl>
  </w:abstractNum>
  <w:abstractNum w:abstractNumId="47">
    <w:nsid w:val="14E17E33"/>
    <w:multiLevelType w:val="hybridMultilevel"/>
    <w:lvl w:ilvl="0">
      <w:lvlJc w:val="left"/>
      <w:lvlText w:val="(%1)"/>
      <w:numFmt w:val="lowerLetter"/>
      <w:start w:val="2"/>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1"/>
      <w:numFmt w:val="upperLetter"/>
      <w:start w:val="1"/>
    </w:lvl>
    <w:lvl w:ilvl="1">
      <w:lvlJc w:val="left"/>
      <w:lvlText w:val="(%2)"/>
      <w:numFmt w:val="decimal"/>
      <w:start w:val="5"/>
    </w:lvl>
  </w:abstractNum>
  <w:abstractNum w:abstractNumId="50">
    <w:nsid w:val="68EBC550"/>
    <w:multiLevelType w:val="hybridMultilevel"/>
    <w:lvl w:ilvl="0">
      <w:lvlJc w:val="left"/>
      <w:lvlText w:val="(%1)"/>
      <w:numFmt w:val="upperLetter"/>
      <w:start w:val="1"/>
    </w:lvl>
    <w:lvl w:ilvl="1">
      <w:lvlJc w:val="left"/>
      <w:lvlText w:val="(%2)"/>
      <w:numFmt w:val="decimal"/>
      <w:start w:val="6"/>
    </w:lvl>
  </w:abstractNum>
  <w:abstractNum w:abstractNumId="51">
    <w:nsid w:val="2DF6D648"/>
    <w:multiLevelType w:val="hybridMultilevel"/>
    <w:lvl w:ilvl="0">
      <w:lvlJc w:val="left"/>
      <w:lvlText w:val="%1"/>
      <w:numFmt w:val="lowerRoman"/>
      <w:start w:val="1"/>
    </w:lvl>
    <w:lvl w:ilvl="1">
      <w:lvlJc w:val="left"/>
      <w:lvlText w:val="(%2)"/>
      <w:numFmt w:val="decimal"/>
      <w:start w:val="12"/>
    </w:lvl>
  </w:abstractNum>
  <w:abstractNum w:abstractNumId="52">
    <w:nsid w:val="46B7D447"/>
    <w:multiLevelType w:val="hybridMultilevel"/>
    <w:lvl w:ilvl="0">
      <w:lvlJc w:val="left"/>
      <w:lvlText w:val="(%1)"/>
      <w:numFmt w:val="lowerRoman"/>
      <w:start w:val="1"/>
    </w:lvl>
    <w:lvl w:ilvl="1">
      <w:lvlJc w:val="left"/>
      <w:lvlText w:val="(%2)"/>
      <w:numFmt w:val="decimal"/>
      <w:start w:val="14"/>
    </w:lvl>
  </w:abstractNum>
  <w:abstractNum w:abstractNumId="53">
    <w:nsid w:val="4A2AC315"/>
    <w:multiLevelType w:val="hybridMultilevel"/>
    <w:lvl w:ilvl="0">
      <w:lvlJc w:val="left"/>
      <w:lvlText w:val="(%1)"/>
      <w:numFmt w:val="lowerLetter"/>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2"/>
    </w:lvl>
  </w:abstractNum>
  <w:abstractNum w:abstractNumId="56">
    <w:nsid w:val="CC1016F"/>
    <w:multiLevelType w:val="hybridMultilevel"/>
    <w:lvl w:ilvl="0">
      <w:lvlJc w:val="left"/>
      <w:lvlText w:val="(%1)"/>
      <w:numFmt w:val="decimal"/>
      <w:start w:val="13"/>
    </w:lvl>
  </w:abstractNum>
  <w:abstractNum w:abstractNumId="57">
    <w:nsid w:val="43F18422"/>
    <w:multiLevelType w:val="hybridMultilevel"/>
    <w:lvl w:ilvl="0">
      <w:lvlJc w:val="left"/>
      <w:lvlText w:val="(%1)"/>
      <w:numFmt w:val="decimal"/>
      <w:start w:val="1"/>
    </w:lvl>
  </w:abstractNum>
  <w:abstractNum w:abstractNumId="58">
    <w:nsid w:val="60EF0119"/>
    <w:multiLevelType w:val="hybridMultilevel"/>
    <w:lvl w:ilvl="0">
      <w:lvlJc w:val="left"/>
      <w:lvlText w:val="(%1)"/>
      <w:numFmt w:val="decimal"/>
      <w:start w:val="1"/>
    </w:lvl>
  </w:abstractNum>
  <w:abstractNum w:abstractNumId="59">
    <w:nsid w:val="26F324BA"/>
    <w:multiLevelType w:val="hybridMultilevel"/>
    <w:lvl w:ilvl="0">
      <w:lvlJc w:val="left"/>
      <w:lvlText w:val="(%1)"/>
      <w:numFmt w:val="decimal"/>
      <w:start w:val="2"/>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lowerLetter"/>
      <w:start w:val="1"/>
    </w:lvl>
  </w:abstractNum>
  <w:abstractNum w:abstractNumId="62">
    <w:nsid w:val="7055A5F5"/>
    <w:multiLevelType w:val="hybridMultilevel"/>
    <w:lvl w:ilvl="0">
      <w:lvlJc w:val="left"/>
      <w:lvlText w:val="(%1)"/>
      <w:numFmt w:val="decimal"/>
      <w:start w:val="1"/>
    </w:lvl>
  </w:abstractNum>
  <w:abstractNum w:abstractNumId="63">
    <w:nsid w:val="5FB8370B"/>
    <w:multiLevelType w:val="hybridMultilevel"/>
    <w:lvl w:ilvl="0">
      <w:lvlJc w:val="left"/>
      <w:lvlText w:val="(%1)"/>
      <w:numFmt w:val="decimal"/>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1"/>
    </w:lvl>
  </w:abstractNum>
  <w:abstractNum w:abstractNumId="66">
    <w:nsid w:val="5FB8011C"/>
    <w:multiLevelType w:val="hybridMultilevel"/>
    <w:lvl w:ilvl="0">
      <w:lvlJc w:val="left"/>
      <w:lvlText w:val="(%1)"/>
      <w:numFmt w:val="decimal"/>
      <w:start w:val="1"/>
    </w:lvl>
  </w:abstractNum>
  <w:abstractNum w:abstractNumId="67">
    <w:nsid w:val="6AA78F7F"/>
    <w:multiLevelType w:val="hybridMultilevel"/>
    <w:lvl w:ilvl="0">
      <w:lvlJc w:val="left"/>
      <w:lvlText w:val="%1"/>
      <w:numFmt w:val="decimal"/>
      <w:start w:val="1"/>
    </w:lvl>
    <w:lvl w:ilvl="1">
      <w:lvlJc w:val="left"/>
      <w:lvlText w:val="(%2)"/>
      <w:numFmt w:val="decimal"/>
      <w:start w:val="1"/>
    </w:lvl>
  </w:abstractNum>
  <w:abstractNum w:abstractNumId="68">
    <w:nsid w:val="7672BD23"/>
    <w:multiLevelType w:val="hybridMultilevel"/>
    <w:lvl w:ilvl="0">
      <w:lvlJc w:val="left"/>
      <w:lvlText w:val="(%1)"/>
      <w:numFmt w:val="decimal"/>
      <w:start w:val="3"/>
    </w:lvl>
    <w:lvl w:ilvl="1">
      <w:lvlJc w:val="left"/>
      <w:lvlText w:val="%2"/>
      <w:numFmt w:val="decimal"/>
      <w:start w:val="1"/>
    </w:lvl>
  </w:abstractNum>
  <w:abstractNum w:abstractNumId="69">
    <w:nsid w:val="6FC75AF8"/>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70">
    <w:nsid w:val="6A5F7029"/>
    <w:multiLevelType w:val="hybridMultilevel"/>
    <w:lvl w:ilvl="0">
      <w:lvlJc w:val="left"/>
      <w:lvlText w:val="(%1)"/>
      <w:numFmt w:val="decimal"/>
      <w:start w:val="6"/>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1)"/>
      <w:numFmt w:val="decimal"/>
      <w:start w:val="1"/>
    </w:lvl>
  </w:abstractNum>
  <w:abstractNum w:abstractNumId="73">
    <w:nsid w:val="73A1821B"/>
    <w:multiLevelType w:val="hybridMultilevel"/>
    <w:lvl w:ilvl="0">
      <w:lvlJc w:val="left"/>
      <w:lvlText w:val="(%1)"/>
      <w:numFmt w:val="decimal"/>
      <w:start w:val="1"/>
    </w:lvl>
    <w:lvl w:ilvl="1">
      <w:lvlJc w:val="left"/>
      <w:lvlText w:val="(%2)"/>
      <w:numFmt w:val="lowerLetter"/>
      <w:start w:val="1"/>
    </w:lvl>
  </w:abstractNum>
  <w:abstractNum w:abstractNumId="74">
    <w:nsid w:val="7DE67713"/>
    <w:multiLevelType w:val="hybridMultilevel"/>
    <w:lvl w:ilvl="0">
      <w:lvlJc w:val="left"/>
      <w:lvlText w:val="(%1)"/>
      <w:numFmt w:val="decimal"/>
      <w:start w:val="3"/>
    </w:lvl>
  </w:abstractNum>
  <w:abstractNum w:abstractNumId="75">
    <w:nsid w:val="555C55B5"/>
    <w:multiLevelType w:val="hybridMultilevel"/>
    <w:lvl w:ilvl="0">
      <w:lvlJc w:val="left"/>
      <w:lvlText w:val="%1"/>
      <w:numFmt w:val="lowerRoman"/>
      <w:start w:val="1"/>
    </w:lvl>
    <w:lvl w:ilvl="1">
      <w:lvlJc w:val="left"/>
      <w:lvlText w:val="(%2)"/>
      <w:numFmt w:val="decimal"/>
      <w:start w:val="1"/>
    </w:lvl>
  </w:abstractNum>
  <w:abstractNum w:abstractNumId="76">
    <w:nsid w:val="3FA62ACA"/>
    <w:multiLevelType w:val="hybridMultilevel"/>
    <w:lvl w:ilvl="0">
      <w:lvlJc w:val="left"/>
      <w:lvlText w:val="(%1)"/>
      <w:numFmt w:val="lowerRoman"/>
      <w:start w:val="3"/>
    </w:lvl>
    <w:lvl w:ilvl="1">
      <w:lvlJc w:val="left"/>
      <w:lvlText w:val="%2"/>
      <w:numFmt w:val="decimal"/>
      <w:start w:val="1"/>
    </w:lvl>
  </w:abstractNum>
  <w:abstractNum w:abstractNumId="77">
    <w:nsid w:val="14FCE74E"/>
    <w:multiLevelType w:val="hybridMultilevel"/>
    <w:lvl w:ilvl="0">
      <w:lvlJc w:val="left"/>
      <w:lvlText w:val="(%1)"/>
      <w:numFmt w:val="lowerLetter"/>
      <w:start w:val="2"/>
    </w:lvl>
  </w:abstractNum>
  <w:abstractNum w:abstractNumId="78">
    <w:nsid w:val="6A3DD3E8"/>
    <w:multiLevelType w:val="hybridMultilevel"/>
    <w:lvl w:ilvl="0">
      <w:lvlJc w:val="left"/>
      <w:lvlText w:val="(%1)"/>
      <w:numFmt w:val="decimal"/>
      <w:start w:val="1"/>
    </w:lvl>
  </w:abstractNum>
  <w:abstractNum w:abstractNumId="79">
    <w:nsid w:val="71C91298"/>
    <w:multiLevelType w:val="hybridMultilevel"/>
    <w:lvl w:ilvl="0">
      <w:lvlJc w:val="left"/>
      <w:lvlText w:val="(%1)"/>
      <w:numFmt w:val="decimal"/>
      <w:start w:val="5"/>
    </w:lvl>
  </w:abstractNum>
  <w:abstractNum w:abstractNumId="80">
    <w:nsid w:val="9DAF632"/>
    <w:multiLevelType w:val="hybridMultilevel"/>
    <w:lvl w:ilvl="0">
      <w:lvlJc w:val="left"/>
      <w:lvlText w:val="(%1)"/>
      <w:numFmt w:val="decimal"/>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
      <w:numFmt w:val="bullet"/>
      <w:start w:val="1"/>
    </w:lvl>
  </w:abstractNum>
  <w:abstractNum w:abstractNumId="84">
    <w:nsid w:val="1D545C4D"/>
    <w:multiLevelType w:val="hybridMultilevel"/>
    <w:lvl w:ilvl="0">
      <w:lvlJc w:val="left"/>
      <w:lvlText w:val="•"/>
      <w:numFmt w:val="bullet"/>
      <w:start w:val="1"/>
    </w:lvl>
  </w:abstractNum>
  <w:abstractNum w:abstractNumId="85">
    <w:nsid w:val="59ADEA3D"/>
    <w:multiLevelType w:val="hybridMultilevel"/>
    <w:lvl w:ilvl="0">
      <w:lvlJc w:val="left"/>
      <w:lvlText w:val="•"/>
      <w:numFmt w:val="bullet"/>
      <w:start w:val="1"/>
    </w:lvl>
  </w:abstractNum>
  <w:abstractNum w:abstractNumId="86">
    <w:nsid w:val="288F1A34"/>
    <w:multiLevelType w:val="hybridMultilevel"/>
    <w:lvl w:ilvl="0">
      <w:lvlJc w:val="left"/>
      <w:lvlText w:val="(%1)"/>
      <w:numFmt w:val="decimal"/>
      <w:start w:val="1"/>
    </w:lvl>
  </w:abstractNum>
  <w:abstractNum w:abstractNumId="87">
    <w:nsid w:val="2A155DBC"/>
    <w:multiLevelType w:val="hybridMultilevel"/>
    <w:lvl w:ilvl="0">
      <w:lvlJc w:val="left"/>
      <w:lvlText w:val="(%1)"/>
      <w:numFmt w:val="decimal"/>
      <w:start w:val="1"/>
    </w:lvl>
  </w:abstractNum>
  <w:abstractNum w:abstractNumId="88">
    <w:nsid w:val="1D9F6E5F"/>
    <w:multiLevelType w:val="hybridMultilevel"/>
    <w:lvl w:ilvl="0">
      <w:lvlJc w:val="left"/>
      <w:lvlText w:val="%1"/>
      <w:numFmt w:val="decimal"/>
      <w:start w:val="1"/>
    </w:lvl>
    <w:lvl w:ilvl="1">
      <w:lvlJc w:val="left"/>
      <w:lvlText w:val="(%2)"/>
      <w:numFmt w:val="decimal"/>
      <w:start w:val="2"/>
    </w:lvl>
  </w:abstractNum>
  <w:abstractNum w:abstractNumId="89">
    <w:nsid w:val="97E1B4E"/>
    <w:multiLevelType w:val="hybridMultilevel"/>
    <w:lvl w:ilvl="0">
      <w:lvlJc w:val="left"/>
      <w:lvlText w:val="(%1)"/>
      <w:numFmt w:val="decimal"/>
      <w:start w:val="7"/>
    </w:lvl>
    <w:lvl w:ilvl="1">
      <w:lvlJc w:val="left"/>
      <w:lvlText w:val="%2"/>
      <w:numFmt w:val="decimal"/>
      <w:start w:val="1"/>
    </w:lvl>
  </w:abstractNum>
  <w:abstractNum w:abstractNumId="90">
    <w:nsid w:val="51088277"/>
    <w:multiLevelType w:val="hybridMultilevel"/>
    <w:lvl w:ilvl="0">
      <w:lvlJc w:val="left"/>
      <w:lvlText w:val="(%1)"/>
      <w:numFmt w:val="decimal"/>
      <w:start w:val="1"/>
    </w:lvl>
    <w:lvl w:ilvl="1">
      <w:lvlJc w:val="left"/>
      <w:lvlText w:val="(%2)"/>
      <w:numFmt w:val="lowerLetter"/>
      <w:start w:val="1"/>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2"/>
    </w:lvl>
  </w:abstractNum>
  <w:abstractNum w:abstractNumId="93">
    <w:nsid w:val="415E286C"/>
    <w:multiLevelType w:val="hybridMultilevel"/>
    <w:lvl w:ilvl="0">
      <w:lvlJc w:val="left"/>
      <w:lvlText w:val="(%1)"/>
      <w:numFmt w:val="decimal"/>
      <w:start w:val="1"/>
    </w:lvl>
  </w:abstractNum>
  <w:abstractNum w:abstractNumId="94">
    <w:nsid w:val="7C58FD05"/>
    <w:multiLevelType w:val="hybridMultilevel"/>
    <w:lvl w:ilvl="0">
      <w:lvlJc w:val="left"/>
      <w:lvlText w:val="(%1)"/>
      <w:numFmt w:val="decimal"/>
      <w:start w:val="1"/>
    </w:lvl>
  </w:abstractNum>
  <w:abstractNum w:abstractNumId="95">
    <w:nsid w:val="23D86AAC"/>
    <w:multiLevelType w:val="hybridMultilevel"/>
    <w:lvl w:ilvl="0">
      <w:lvlJc w:val="left"/>
      <w:lvlText w:val="(%1)"/>
      <w:numFmt w:val="decimal"/>
      <w:start w:val="1"/>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1)"/>
      <w:numFmt w:val="decimal"/>
      <w:start w:val="4"/>
    </w:lvl>
  </w:abstractNum>
  <w:abstractNum w:abstractNumId="98">
    <w:nsid w:val="E7FFA2B"/>
    <w:multiLevelType w:val="hybridMultilevel"/>
    <w:lvl w:ilvl="0">
      <w:lvlJc w:val="left"/>
      <w:lvlText w:val="(%1)"/>
      <w:numFmt w:val="decimal"/>
      <w:start w:val="1"/>
    </w:lvl>
  </w:abstractNum>
  <w:abstractNum w:abstractNumId="99">
    <w:nsid w:val="3C5991AA"/>
    <w:multiLevelType w:val="hybridMultilevel"/>
    <w:lvl w:ilvl="0">
      <w:lvlJc w:val="left"/>
      <w:lvlText w:val="(%1)"/>
      <w:numFmt w:val="decimal"/>
      <w:start w:val="1"/>
    </w:lvl>
  </w:abstractNum>
  <w:abstractNum w:abstractNumId="100">
    <w:nsid w:val="4BD8591A"/>
    <w:multiLevelType w:val="hybridMultilevel"/>
    <w:lvl w:ilvl="0">
      <w:lvlJc w:val="left"/>
      <w:lvlText w:val="(%1)"/>
      <w:numFmt w:val="lowerLetter"/>
      <w:start w:val="3"/>
    </w:lvl>
    <w:lvl w:ilvl="1">
      <w:lvlJc w:val="left"/>
      <w:lvlText w:val="(%2)"/>
      <w:numFmt w:val="decimal"/>
      <w:start w:val="2"/>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1"/>
    </w:lvl>
    <w:lvl w:ilvl="1">
      <w:lvlJc w:val="left"/>
      <w:lvlText w:val="(%2)"/>
      <w:numFmt w:val="decimal"/>
      <w:start w:val="18"/>
    </w:lvl>
  </w:abstractNum>
  <w:abstractNum w:abstractNumId="103">
    <w:nsid w:val="2B0D8DBE"/>
    <w:multiLevelType w:val="hybridMultilevel"/>
    <w:lvl w:ilvl="0">
      <w:lvlJc w:val="left"/>
      <w:lvlText w:val="(%1)"/>
      <w:numFmt w:val="decimal"/>
      <w:start w:val="19"/>
    </w:lvl>
    <w:lvl w:ilvl="1">
      <w:lvlJc w:val="left"/>
      <w:lvlText w:val="(%2)"/>
      <w:numFmt w:val="decimal"/>
      <w:start w:val="20"/>
    </w:lvl>
  </w:abstractNum>
  <w:abstractNum w:abstractNumId="104">
    <w:nsid w:val="6C80EC70"/>
    <w:multiLevelType w:val="hybridMultilevel"/>
    <w:lvl w:ilvl="0">
      <w:lvlJc w:val="left"/>
      <w:lvlText w:val="(%1)"/>
      <w:numFmt w:val="decimal"/>
      <w:start w:val="2"/>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24"/>
    </w:lvl>
  </w:abstractNum>
  <w:abstractNum w:abstractNumId="107">
    <w:nsid w:val="2C27173B"/>
    <w:multiLevelType w:val="hybridMultilevel"/>
    <w:lvl w:ilvl="0">
      <w:lvlJc w:val="left"/>
      <w:lvlText w:val="(%1)"/>
      <w:numFmt w:val="decimal"/>
      <w:start w:val="1"/>
    </w:lvl>
  </w:abstractNum>
  <w:abstractNum w:abstractNumId="108">
    <w:nsid w:val="4C9B0904"/>
    <w:multiLevelType w:val="hybridMultilevel"/>
    <w:lvl w:ilvl="0">
      <w:lvlJc w:val="left"/>
      <w:lvlText w:val="(%1)"/>
      <w:numFmt w:val="decimal"/>
      <w:start w:val="1"/>
    </w:lvl>
    <w:lvl w:ilvl="1">
      <w:lvlJc w:val="left"/>
      <w:lvlText w:val="(%2)"/>
      <w:numFmt w:val="lowerLetter"/>
      <w:start w:val="1"/>
    </w:lvl>
  </w:abstractNum>
  <w:abstractNum w:abstractNumId="109">
    <w:nsid w:val="6AA7B75C"/>
    <w:multiLevelType w:val="hybridMultilevel"/>
    <w:lvl w:ilvl="0">
      <w:lvlJc w:val="left"/>
      <w:lvlText w:val="%1"/>
      <w:numFmt w:val="decimal"/>
      <w:start w:val="1"/>
    </w:lvl>
    <w:lvl w:ilvl="1">
      <w:lvlJc w:val="left"/>
      <w:lvlText w:val="(%2)"/>
      <w:numFmt w:val="lowerLetter"/>
      <w:start w:val="3"/>
    </w:lvl>
  </w:abstractNum>
  <w:abstractNum w:abstractNumId="110">
    <w:nsid w:val="1DF029D3"/>
    <w:multiLevelType w:val="hybridMultilevel"/>
    <w:lvl w:ilvl="0">
      <w:lvlJc w:val="left"/>
      <w:lvlText w:val="(%1)"/>
      <w:numFmt w:val="decimal"/>
      <w:start w:val="2"/>
    </w:lvl>
    <w:lvl w:ilvl="1">
      <w:lvlJc w:val="left"/>
      <w:lvlText w:val="%2"/>
      <w:numFmt w:val="lowerLetter"/>
      <w:start w:val="1"/>
    </w:lvl>
  </w:abstractNum>
  <w:abstractNum w:abstractNumId="111">
    <w:nsid w:val="5675FF36"/>
    <w:multiLevelType w:val="hybridMultilevel"/>
    <w:lvl w:ilvl="0">
      <w:lvlJc w:val="left"/>
      <w:lvlText w:val="%1"/>
      <w:numFmt w:val="lowerLetter"/>
      <w:start w:val="1"/>
    </w:lvl>
    <w:lvl w:ilvl="1">
      <w:lvlJc w:val="left"/>
      <w:lvlText w:val="(%2)"/>
      <w:numFmt w:val="decimal"/>
      <w:start w:val="1"/>
    </w:lvl>
  </w:abstractNum>
  <w:abstractNum w:abstractNumId="112">
    <w:nsid w:val="3DD15094"/>
    <w:multiLevelType w:val="hybridMultilevel"/>
    <w:lvl w:ilvl="0">
      <w:lvlJc w:val="left"/>
      <w:lvlText w:val="(%1)"/>
      <w:numFmt w:val="lowerLetter"/>
      <w:start w:val="1"/>
    </w:lvl>
    <w:lvl w:ilvl="1">
      <w:lvlJc w:val="left"/>
      <w:lvlText w:val="(%2)"/>
      <w:numFmt w:val="decimal"/>
      <w:start w:val="2"/>
    </w:lvl>
  </w:abstractNum>
  <w:abstractNum w:abstractNumId="113">
    <w:nsid w:val="3DB012B3"/>
    <w:multiLevelType w:val="hybridMultilevel"/>
    <w:lvl w:ilvl="0">
      <w:lvlJc w:val="left"/>
      <w:lvlText w:val="(%1)"/>
      <w:numFmt w:val="decimal"/>
      <w:start w:val="1"/>
    </w:lvl>
  </w:abstractNum>
  <w:abstractNum w:abstractNumId="114">
    <w:nsid w:val="2708C9AF"/>
    <w:multiLevelType w:val="hybridMultilevel"/>
    <w:lvl w:ilvl="0">
      <w:lvlJc w:val="left"/>
      <w:lvlText w:val="•"/>
      <w:numFmt w:val="bullet"/>
      <w:start w:val="1"/>
    </w:lvl>
    <w:lvl w:ilvl="1">
      <w:lvlJc w:val="left"/>
      <w:lvlText w:val="%2."/>
      <w:numFmt w:val="decimal"/>
      <w:start w:val="1"/>
    </w:lvl>
  </w:abstractNum>
  <w:abstractNum w:abstractNumId="115">
    <w:nsid w:val="5B25ACE2"/>
    <w:multiLevelType w:val="hybridMultilevel"/>
    <w:lvl w:ilvl="0">
      <w:lvlJc w:val="left"/>
      <w:lvlText w:val="•"/>
      <w:numFmt w:val="bullet"/>
      <w:start w:val="1"/>
    </w:lvl>
  </w:abstractNum>
  <w:abstractNum w:abstractNumId="116">
    <w:nsid w:val="175DFCF0"/>
    <w:multiLevelType w:val="hybridMultilevel"/>
    <w:lvl w:ilvl="0">
      <w:lvlJc w:val="left"/>
      <w:lvlText w:val="•"/>
      <w:numFmt w:val="bullet"/>
      <w:start w:val="1"/>
    </w:lvl>
  </w:abstractNum>
  <w:abstractNum w:abstractNumId="117">
    <w:nsid w:val="4F97E3E4"/>
    <w:multiLevelType w:val="hybridMultilevel"/>
    <w:lvl w:ilvl="0">
      <w:lvlJc w:val="left"/>
      <w:lvlText w:val="•"/>
      <w:numFmt w:val="bullet"/>
      <w:start w:val="1"/>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
      <w:numFmt w:val="bullet"/>
      <w:start w:val="1"/>
    </w:lvl>
  </w:abstractNum>
  <w:abstractNum w:abstractNumId="120">
    <w:nsid w:val="5915FF32"/>
    <w:multiLevelType w:val="hybridMultilevel"/>
    <w:lvl w:ilvl="0">
      <w:lvlJc w:val="left"/>
      <w:lvlText w:val="•"/>
      <w:numFmt w:val="bullet"/>
      <w:start w:val="1"/>
    </w:lvl>
  </w:abstractNum>
  <w:abstractNum w:abstractNumId="121">
    <w:nsid w:val="56438D15"/>
    <w:multiLevelType w:val="hybridMultilevel"/>
    <w:lvl w:ilvl="0">
      <w:lvlJc w:val="left"/>
      <w:lvlText w:val="•"/>
      <w:numFmt w:val="bullet"/>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1)"/>
      <w:numFmt w:val="decimal"/>
      <w:start w:val="713"/>
    </w:lvl>
  </w:abstractNum>
  <w:abstractNum w:abstractNumId="124">
    <w:nsid w:val="17A1B582"/>
    <w:multiLevelType w:val="hybridMultilevel"/>
    <w:lvl w:ilvl="0">
      <w:lvlJc w:val="left"/>
      <w:lvlText w:val="•"/>
      <w:numFmt w:val="bullet"/>
      <w:start w:val="1"/>
    </w:lvl>
  </w:abstractNum>
  <w:abstractNum w:abstractNumId="125">
    <w:nsid w:val="4DF72E4E"/>
    <w:multiLevelType w:val="hybridMultilevel"/>
    <w:lvl w:ilvl="0">
      <w:lvlJc w:val="left"/>
      <w:lvlText w:val="•"/>
      <w:numFmt w:val="bullet"/>
      <w:start w:val="1"/>
    </w:lvl>
  </w:abstractNum>
  <w:abstractNum w:abstractNumId="126">
    <w:nsid w:val="5046B5A9"/>
    <w:multiLevelType w:val="hybridMultilevel"/>
    <w:lvl w:ilvl="0">
      <w:lvlJc w:val="left"/>
      <w:lvlText w:val="(%1)"/>
      <w:numFmt w:val="decimal"/>
      <w:start w:val="713"/>
    </w:lvl>
  </w:abstractNum>
  <w:abstractNum w:abstractNumId="127">
    <w:nsid w:val="5D888A08"/>
    <w:multiLevelType w:val="hybridMultilevel"/>
    <w:lvl w:ilvl="0">
      <w:lvlJc w:val="left"/>
      <w:lvlText w:val="•"/>
      <w:numFmt w:val="bullet"/>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2019-12-20T23:06:58Z</dcterms:created>
  <dcterms:modified xsi:type="dcterms:W3CDTF">2019-12-20T23:06:58Z</dcterms:modified>
</cp:coreProperties>
</file>