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00" w:firstLine="8"/>
        <w:spacing w:after="0" w:line="224"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2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Opps Xb Holdco Ltd.</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2,710,524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2,710,524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2,710,524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2,710,524 shares of common stock, par value $0.001 per share of the Issuer (“Common Stock”).</w:t>
      </w:r>
    </w:p>
    <w:p>
      <w:pPr>
        <w:spacing w:after="0" w:line="225" w:lineRule="exact"/>
        <w:rPr>
          <w:rFonts w:ascii="Arial" w:cs="Arial" w:eastAsia="Arial" w:hAnsi="Arial"/>
          <w:sz w:val="18"/>
          <w:szCs w:val="18"/>
          <w:color w:val="auto"/>
        </w:rPr>
      </w:pPr>
    </w:p>
    <w:p>
      <w:pPr>
        <w:ind w:left="580" w:right="180" w:hanging="572"/>
        <w:spacing w:after="0" w:line="26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calculations of percentage ownership herein are based on a total of 70,161,685 shares of Common Stock issued and outstanding as of October 20, 2021, as reported by the Issuer on its Form 10-Q filed with the United States Securities Exchange Commission (the “SEC”) on November 2, 2021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3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Cascade Investment Fund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925,129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925,129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925,129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its capacity as the direct owner of 925,129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4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Opportunities Fund Xb Holdings (Delaware),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1,953,642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1,953,642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1,953,642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its capacity as the direct owner of 1,953,642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5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2,878,771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2,878,771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2,878,771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14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Opportunities Fund Xb Holdings (Delaware), L.P. and Oaktree Cascade Investment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6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36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Fund GP, LLC and the sole shareholder of Oaktree Opps Xb Holdco Ltd. and certain funds and accounts (the “</w:t>
      </w:r>
      <w:r>
        <w:rPr>
          <w:rFonts w:ascii="Arial" w:cs="Arial" w:eastAsia="Arial" w:hAnsi="Arial"/>
          <w:sz w:val="18"/>
          <w:szCs w:val="18"/>
          <w:b w:val="1"/>
          <w:bCs w:val="1"/>
          <w:i w:val="1"/>
          <w:iCs w:val="1"/>
          <w:color w:val="auto"/>
        </w:rPr>
        <w:t>Managed Entities</w:t>
      </w:r>
      <w:r>
        <w:rPr>
          <w:rFonts w:ascii="Arial" w:cs="Arial" w:eastAsia="Arial" w:hAnsi="Arial"/>
          <w:sz w:val="18"/>
          <w:szCs w:val="18"/>
          <w:color w:val="auto"/>
        </w:rPr>
        <w:t>”) that, in the aggregate, are the direct owners of 519,621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260" w:type="dxa"/>
            <w:vAlign w:val="bottom"/>
            <w:tcBorders>
              <w:right w:val="single" w:sz="8" w:color="auto"/>
            </w:tcBorders>
          </w:tcPr>
          <w:p>
            <w:pPr>
              <w:ind w:left="220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8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OCM Holdings I,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5</w:t>
            </w:r>
          </w:p>
        </w:tc>
        <w:tc>
          <w:tcPr>
            <w:tcW w:w="460" w:type="dxa"/>
            <w:vAlign w:val="bottom"/>
            <w:tcBorders>
              <w:right w:val="single" w:sz="8" w:color="auto"/>
            </w:tcBorders>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460" w:type="dxa"/>
            <w:vAlign w:val="bottom"/>
            <w:tcBorders>
              <w:right w:val="single" w:sz="8" w:color="auto"/>
            </w:tcBorders>
          </w:tcPr>
          <w:p>
            <w:pPr>
              <w:spacing w:after="0"/>
              <w:rPr>
                <w:sz w:val="9"/>
                <w:szCs w:val="9"/>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26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26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460" w:type="dxa"/>
            <w:vAlign w:val="bottom"/>
            <w:tcBorders>
              <w:right w:val="single" w:sz="8" w:color="auto"/>
            </w:tcBorders>
          </w:tcPr>
          <w:p>
            <w:pPr>
              <w:spacing w:after="0"/>
              <w:rPr>
                <w:sz w:val="6"/>
                <w:szCs w:val="6"/>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vMerge w:val="continue"/>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26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460" w:type="dxa"/>
            <w:vAlign w:val="bottom"/>
            <w:tcBorders>
              <w:right w:val="single" w:sz="8" w:color="auto"/>
            </w:tcBorders>
          </w:tcPr>
          <w:p>
            <w:pPr>
              <w:spacing w:after="0"/>
              <w:rPr>
                <w:sz w:val="5"/>
                <w:szCs w:val="5"/>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4"/>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9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10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3,230,145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  Solely in its capacity as the sole director of Oaktree Opps Xb Holdco Ltd.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11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3,230,145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12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Atlas OCM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3,230,145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3,230,145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13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14 of 25</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Holdings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15 of 25</w:t>
            </w: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Asset Management Inc.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16 of 25</w:t>
            </w: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BAM Partners Trust</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6,108,916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6,108,916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17 of 25</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6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154" w:lineRule="exact"/>
        <w:rPr>
          <w:sz w:val="20"/>
          <w:szCs w:val="20"/>
          <w:color w:val="auto"/>
        </w:rPr>
      </w:pPr>
    </w:p>
    <w:p>
      <w:pPr>
        <w:ind w:left="1700" w:hanging="558"/>
        <w:spacing w:after="0"/>
        <w:tabs>
          <w:tab w:leader="none" w:pos="1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77056</w:t>
      </w:r>
    </w:p>
    <w:p>
      <w:pPr>
        <w:spacing w:after="0" w:line="1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162"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251" w:lineRule="exact"/>
        <w:rPr>
          <w:sz w:val="20"/>
          <w:szCs w:val="20"/>
          <w:color w:val="auto"/>
        </w:rPr>
      </w:pPr>
    </w:p>
    <w:p>
      <w:pPr>
        <w:ind w:left="1700" w:right="94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Opps Xb Holdco Ltd., a Cayman Islands exempted company (“</w:t>
      </w:r>
      <w:r>
        <w:rPr>
          <w:rFonts w:ascii="Arial" w:cs="Arial" w:eastAsia="Arial" w:hAnsi="Arial"/>
          <w:sz w:val="18"/>
          <w:szCs w:val="18"/>
          <w:b w:val="1"/>
          <w:bCs w:val="1"/>
          <w:i w:val="1"/>
          <w:iCs w:val="1"/>
          <w:color w:val="auto"/>
        </w:rPr>
        <w:t>Xb Holdco</w:t>
      </w:r>
      <w:r>
        <w:rPr>
          <w:rFonts w:ascii="Arial" w:cs="Arial" w:eastAsia="Arial" w:hAnsi="Arial"/>
          <w:sz w:val="18"/>
          <w:szCs w:val="18"/>
          <w:color w:val="auto"/>
        </w:rPr>
        <w:t>”), in its capacity as the direct owner of 2,710,524 shares of Common Stock;</w:t>
      </w:r>
    </w:p>
    <w:p>
      <w:pPr>
        <w:spacing w:after="0" w:line="102" w:lineRule="exact"/>
        <w:rPr>
          <w:rFonts w:ascii="Arial" w:cs="Arial" w:eastAsia="Arial" w:hAnsi="Arial"/>
          <w:sz w:val="18"/>
          <w:szCs w:val="18"/>
          <w:color w:val="auto"/>
        </w:rPr>
      </w:pPr>
    </w:p>
    <w:p>
      <w:pPr>
        <w:ind w:left="1700" w:right="2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Cascade Investment Fund I, L.P., a Delaware limited partnership (“</w:t>
      </w:r>
      <w:r>
        <w:rPr>
          <w:rFonts w:ascii="Arial" w:cs="Arial" w:eastAsia="Arial" w:hAnsi="Arial"/>
          <w:sz w:val="18"/>
          <w:szCs w:val="18"/>
          <w:b w:val="1"/>
          <w:bCs w:val="1"/>
          <w:i w:val="1"/>
          <w:iCs w:val="1"/>
          <w:color w:val="auto"/>
        </w:rPr>
        <w:t>Cascade</w:t>
      </w:r>
      <w:r>
        <w:rPr>
          <w:rFonts w:ascii="Arial" w:cs="Arial" w:eastAsia="Arial" w:hAnsi="Arial"/>
          <w:sz w:val="18"/>
          <w:szCs w:val="18"/>
          <w:color w:val="auto"/>
        </w:rPr>
        <w:t>”), in its capacity as the direct owner of 925,129 Shares;</w:t>
      </w:r>
    </w:p>
    <w:p>
      <w:pPr>
        <w:spacing w:after="0" w:line="102" w:lineRule="exact"/>
        <w:rPr>
          <w:rFonts w:ascii="Arial" w:cs="Arial" w:eastAsia="Arial" w:hAnsi="Arial"/>
          <w:sz w:val="18"/>
          <w:szCs w:val="18"/>
          <w:color w:val="auto"/>
        </w:rPr>
      </w:pPr>
    </w:p>
    <w:p>
      <w:pPr>
        <w:ind w:left="1700" w:right="22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Opportunities Fund Xb Holdings (Delaware), L.P., a Delaware limited partnership (“</w:t>
      </w:r>
      <w:r>
        <w:rPr>
          <w:rFonts w:ascii="Arial" w:cs="Arial" w:eastAsia="Arial" w:hAnsi="Arial"/>
          <w:sz w:val="18"/>
          <w:szCs w:val="18"/>
          <w:b w:val="1"/>
          <w:bCs w:val="1"/>
          <w:i w:val="1"/>
          <w:iCs w:val="1"/>
          <w:color w:val="auto"/>
        </w:rPr>
        <w:t>Xb Holdings</w:t>
      </w:r>
      <w:r>
        <w:rPr>
          <w:rFonts w:ascii="Arial" w:cs="Arial" w:eastAsia="Arial" w:hAnsi="Arial"/>
          <w:sz w:val="18"/>
          <w:szCs w:val="18"/>
          <w:color w:val="auto"/>
        </w:rPr>
        <w:t>”), in its capacity as the direct owner of 1,953,642 shares of Common Stock;</w:t>
      </w:r>
    </w:p>
    <w:p>
      <w:pPr>
        <w:spacing w:after="0" w:line="102"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Fund GP, LLC, a Delaware limited liability company (“</w:t>
      </w:r>
      <w:r>
        <w:rPr>
          <w:rFonts w:ascii="Arial" w:cs="Arial" w:eastAsia="Arial" w:hAnsi="Arial"/>
          <w:sz w:val="18"/>
          <w:szCs w:val="18"/>
          <w:b w:val="1"/>
          <w:bCs w:val="1"/>
          <w:i w:val="1"/>
          <w:iCs w:val="1"/>
          <w:color w:val="auto"/>
        </w:rPr>
        <w:t>Fund GP</w:t>
      </w:r>
      <w:r>
        <w:rPr>
          <w:rFonts w:ascii="Arial" w:cs="Arial" w:eastAsia="Arial" w:hAnsi="Arial"/>
          <w:sz w:val="18"/>
          <w:szCs w:val="18"/>
          <w:color w:val="auto"/>
        </w:rPr>
        <w:t>”), in its capacity as the general partner of Cascade and Xb Holdings;</w:t>
      </w:r>
    </w:p>
    <w:p>
      <w:pPr>
        <w:spacing w:after="0" w:line="102" w:lineRule="exact"/>
        <w:rPr>
          <w:rFonts w:ascii="Arial" w:cs="Arial" w:eastAsia="Arial" w:hAnsi="Arial"/>
          <w:sz w:val="18"/>
          <w:szCs w:val="18"/>
          <w:color w:val="auto"/>
        </w:rPr>
      </w:pPr>
    </w:p>
    <w:p>
      <w:pPr>
        <w:jc w:val="both"/>
        <w:ind w:left="1700" w:right="380" w:hanging="558"/>
        <w:spacing w:after="0" w:line="263"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managing member of Fund GP, the sole shareholder of Xb Holdco and the Managed Entities that, in the aggregate, are the direct owners of 928,628 shares of Common Stock;</w:t>
      </w:r>
    </w:p>
    <w:p>
      <w:pPr>
        <w:spacing w:after="0" w:line="116" w:lineRule="exact"/>
        <w:rPr>
          <w:rFonts w:ascii="Arial" w:cs="Arial" w:eastAsia="Arial" w:hAnsi="Arial"/>
          <w:sz w:val="18"/>
          <w:szCs w:val="18"/>
          <w:color w:val="auto"/>
        </w:rPr>
      </w:pPr>
    </w:p>
    <w:p>
      <w:pPr>
        <w:ind w:left="1700" w:hanging="558"/>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right="8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Holdings, LLC, a Delaware limited liability company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in its capacity as the managing member of Holdings I; and</w:t>
      </w:r>
    </w:p>
    <w:p>
      <w:pPr>
        <w:spacing w:after="0" w:line="102" w:lineRule="exact"/>
        <w:rPr>
          <w:rFonts w:ascii="Arial" w:cs="Arial" w:eastAsia="Arial" w:hAnsi="Arial"/>
          <w:sz w:val="18"/>
          <w:szCs w:val="18"/>
          <w:color w:val="auto"/>
        </w:rPr>
      </w:pPr>
    </w:p>
    <w:p>
      <w:pPr>
        <w:ind w:left="1700" w:right="500" w:hanging="558"/>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Xb Holdco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7" w:name="page18"/>
    <w:bookmarkEnd w:id="17"/>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25</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660" w:right="240" w:hanging="558"/>
        <w:spacing w:after="0" w:line="277"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02" w:lineRule="exact"/>
        <w:rPr>
          <w:rFonts w:ascii="Arial" w:cs="Arial" w:eastAsia="Arial" w:hAnsi="Arial"/>
          <w:sz w:val="18"/>
          <w:szCs w:val="18"/>
          <w:color w:val="auto"/>
        </w:rPr>
      </w:pPr>
    </w:p>
    <w:p>
      <w:pPr>
        <w:ind w:left="1660" w:right="660" w:hanging="558"/>
        <w:spacing w:after="0" w:line="277"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02" w:lineRule="exact"/>
        <w:rPr>
          <w:rFonts w:ascii="Arial" w:cs="Arial" w:eastAsia="Arial" w:hAnsi="Arial"/>
          <w:sz w:val="18"/>
          <w:szCs w:val="18"/>
          <w:color w:val="auto"/>
        </w:rPr>
      </w:pPr>
    </w:p>
    <w:p>
      <w:pPr>
        <w:ind w:left="1660" w:hanging="558"/>
        <w:spacing w:after="0"/>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Oaktree Capital Group, LLC, a Delaware limited liability company (“</w:t>
      </w:r>
      <w:r>
        <w:rPr>
          <w:rFonts w:ascii="Arial" w:cs="Arial" w:eastAsia="Arial" w:hAnsi="Arial"/>
          <w:sz w:val="16"/>
          <w:szCs w:val="16"/>
          <w:b w:val="1"/>
          <w:bCs w:val="1"/>
          <w:i w:val="1"/>
          <w:iCs w:val="1"/>
          <w:color w:val="auto"/>
        </w:rPr>
        <w:t>OCG</w:t>
      </w:r>
      <w:r>
        <w:rPr>
          <w:rFonts w:ascii="Arial" w:cs="Arial" w:eastAsia="Arial" w:hAnsi="Arial"/>
          <w:sz w:val="16"/>
          <w:szCs w:val="16"/>
          <w:color w:val="auto"/>
        </w:rPr>
        <w:t>”), in its capacity as the managing member of Holdings;</w:t>
      </w:r>
    </w:p>
    <w:p>
      <w:pPr>
        <w:spacing w:after="0" w:line="180" w:lineRule="exact"/>
        <w:rPr>
          <w:rFonts w:ascii="Arial" w:cs="Arial" w:eastAsia="Arial" w:hAnsi="Arial"/>
          <w:sz w:val="16"/>
          <w:szCs w:val="16"/>
          <w:color w:val="auto"/>
        </w:rPr>
      </w:pPr>
    </w:p>
    <w:p>
      <w:pPr>
        <w:ind w:left="1660" w:right="460" w:hanging="558"/>
        <w:spacing w:after="0" w:line="277"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02" w:lineRule="exact"/>
        <w:rPr>
          <w:rFonts w:ascii="Arial" w:cs="Arial" w:eastAsia="Arial" w:hAnsi="Arial"/>
          <w:sz w:val="18"/>
          <w:szCs w:val="18"/>
          <w:color w:val="auto"/>
        </w:rPr>
      </w:pPr>
    </w:p>
    <w:p>
      <w:pPr>
        <w:ind w:left="1660" w:right="240" w:hanging="558"/>
        <w:spacing w:after="0" w:line="277"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Brookfield Asset Management Inc., a Canadian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02" w:lineRule="exact"/>
        <w:rPr>
          <w:rFonts w:ascii="Arial" w:cs="Arial" w:eastAsia="Arial" w:hAnsi="Arial"/>
          <w:sz w:val="18"/>
          <w:szCs w:val="18"/>
          <w:color w:val="auto"/>
        </w:rPr>
      </w:pPr>
    </w:p>
    <w:p>
      <w:pPr>
        <w:ind w:left="1660" w:right="500" w:hanging="558"/>
        <w:spacing w:after="0" w:line="277" w:lineRule="auto"/>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BAM Partners Trust, a trust formed under the laws of Ontario (“</w:t>
      </w:r>
      <w:r>
        <w:rPr>
          <w:rFonts w:ascii="Arial" w:cs="Arial" w:eastAsia="Arial" w:hAnsi="Arial"/>
          <w:sz w:val="18"/>
          <w:szCs w:val="18"/>
          <w:b w:val="1"/>
          <w:bCs w:val="1"/>
          <w:i w:val="1"/>
          <w:iCs w:val="1"/>
          <w:color w:val="auto"/>
        </w:rPr>
        <w:t>BAM Partners</w:t>
      </w:r>
      <w:r>
        <w:rPr>
          <w:rFonts w:ascii="Arial" w:cs="Arial" w:eastAsia="Arial" w:hAnsi="Arial"/>
          <w:sz w:val="18"/>
          <w:szCs w:val="18"/>
          <w:color w:val="auto"/>
        </w:rPr>
        <w:t>”), in its capacity as the sole owner of Class B Limited Voting Shares of BAM.</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principal business address of each of the Reporting Persons is 333 S. Grand Avenue, 28th Floor, Los Angeles, CA 90071.</w:t>
      </w:r>
    </w:p>
    <w:p>
      <w:pPr>
        <w:spacing w:after="0" w:line="287" w:lineRule="exact"/>
        <w:rPr>
          <w:sz w:val="20"/>
          <w:szCs w:val="20"/>
          <w:color w:val="auto"/>
        </w:rPr>
      </w:pPr>
    </w:p>
    <w:p>
      <w:pPr>
        <w:ind w:left="1660" w:hanging="558"/>
        <w:spacing w:after="0"/>
        <w:tabs>
          <w:tab w:leader="none" w:pos="1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8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Common Shares, $0.001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75" w:lineRule="exact"/>
        <w:rPr>
          <w:rFonts w:ascii="Arial" w:cs="Arial" w:eastAsia="Arial" w:hAnsi="Arial"/>
          <w:sz w:val="18"/>
          <w:szCs w:val="18"/>
          <w:b w:val="1"/>
          <w:bCs w:val="1"/>
          <w:color w:val="auto"/>
        </w:rPr>
      </w:pPr>
    </w:p>
    <w:p>
      <w:pPr>
        <w:ind w:left="1660" w:hanging="558"/>
        <w:spacing w:after="0"/>
        <w:tabs>
          <w:tab w:leader="none" w:pos="1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G48833118</w:t>
      </w:r>
    </w:p>
    <w:p>
      <w:pPr>
        <w:spacing w:after="0" w:line="252" w:lineRule="exact"/>
        <w:rPr>
          <w:sz w:val="20"/>
          <w:szCs w:val="20"/>
          <w:color w:val="auto"/>
        </w:rPr>
      </w:pPr>
    </w:p>
    <w:p>
      <w:pPr>
        <w:ind w:left="1100" w:right="680" w:hanging="113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93" w:lineRule="exact"/>
        <w:rPr>
          <w:sz w:val="20"/>
          <w:szCs w:val="20"/>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36"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660" w:right="660" w:hanging="558"/>
        <w:spacing w:after="0" w:line="258" w:lineRule="auto"/>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660" w:hanging="55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520065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18" w:name="page19"/>
    <w:bookmarkEnd w:id="18"/>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19 of 25</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56"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The responses of the Reporting Persons to Rows 5-9 and 11 in each of their respective cover pages to this Schedule 13G are incorporated herein by reference.</w:t>
      </w:r>
    </w:p>
    <w:p>
      <w:pPr>
        <w:spacing w:after="0" w:line="170" w:lineRule="exact"/>
        <w:rPr>
          <w:sz w:val="20"/>
          <w:szCs w:val="20"/>
          <w:color w:val="auto"/>
        </w:rPr>
      </w:pPr>
    </w:p>
    <w:p>
      <w:pPr>
        <w:ind w:left="1140" w:right="300"/>
        <w:spacing w:after="0" w:line="277" w:lineRule="auto"/>
        <w:rPr>
          <w:sz w:val="20"/>
          <w:szCs w:val="20"/>
          <w:color w:val="auto"/>
        </w:rPr>
      </w:pPr>
      <w:r>
        <w:rPr>
          <w:rFonts w:ascii="Arial" w:cs="Arial" w:eastAsia="Arial" w:hAnsi="Arial"/>
          <w:sz w:val="18"/>
          <w:szCs w:val="18"/>
          <w:color w:val="auto"/>
        </w:rPr>
        <w:t>Xb Holdco directly holds 2,710,524 Shares, constituting approximately 3.9% of the total issued and outstanding Shares and has the sole power to vote and dispose of such shares.</w:t>
      </w:r>
    </w:p>
    <w:p>
      <w:pPr>
        <w:spacing w:after="0" w:line="170"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Cascade directly holds 925,129 Shares, constituting approximately 1.3% of the total issued and outstanding Shares and has the sole power to vote and dispose of such shares.</w:t>
      </w:r>
    </w:p>
    <w:p>
      <w:pPr>
        <w:spacing w:after="0" w:line="170" w:lineRule="exact"/>
        <w:rPr>
          <w:sz w:val="20"/>
          <w:szCs w:val="20"/>
          <w:color w:val="auto"/>
        </w:rPr>
      </w:pPr>
    </w:p>
    <w:p>
      <w:pPr>
        <w:ind w:left="1140" w:right="160"/>
        <w:spacing w:after="0" w:line="277" w:lineRule="auto"/>
        <w:rPr>
          <w:sz w:val="20"/>
          <w:szCs w:val="20"/>
          <w:color w:val="auto"/>
        </w:rPr>
      </w:pPr>
      <w:r>
        <w:rPr>
          <w:rFonts w:ascii="Arial" w:cs="Arial" w:eastAsia="Arial" w:hAnsi="Arial"/>
          <w:sz w:val="18"/>
          <w:szCs w:val="18"/>
          <w:color w:val="auto"/>
        </w:rPr>
        <w:t>Xb Holdings directly holds 1,953,642 Shares, constituting approximately 2.8% of the total issued and outstanding Shares and has the sole power to vote and dispose of such shares.</w:t>
      </w:r>
    </w:p>
    <w:p>
      <w:pPr>
        <w:spacing w:after="0" w:line="170" w:lineRule="exact"/>
        <w:rPr>
          <w:sz w:val="20"/>
          <w:szCs w:val="20"/>
          <w:color w:val="auto"/>
        </w:rPr>
      </w:pPr>
    </w:p>
    <w:p>
      <w:pPr>
        <w:ind w:left="1140" w:right="160"/>
        <w:spacing w:after="0" w:line="263" w:lineRule="auto"/>
        <w:rPr>
          <w:sz w:val="20"/>
          <w:szCs w:val="20"/>
          <w:color w:val="auto"/>
        </w:rPr>
      </w:pPr>
      <w:r>
        <w:rPr>
          <w:rFonts w:ascii="Arial" w:cs="Arial" w:eastAsia="Arial" w:hAnsi="Arial"/>
          <w:sz w:val="18"/>
          <w:szCs w:val="18"/>
          <w:color w:val="auto"/>
        </w:rPr>
        <w:t>Fund GP, in its capacity as the general partner of Cascade and Xb Holdings, has the ability to direct the management of Cascade’s and Xb Holdings’ business, including the power to vote and dispose of securities held by Cascade and Xb Holdings; therefore Fund GP may be deemed to beneficially own the Shares held by Cascade and Xb Holdings.</w:t>
      </w:r>
    </w:p>
    <w:p>
      <w:pPr>
        <w:spacing w:after="0" w:line="184" w:lineRule="exact"/>
        <w:rPr>
          <w:sz w:val="20"/>
          <w:szCs w:val="20"/>
          <w:color w:val="auto"/>
        </w:rPr>
      </w:pPr>
    </w:p>
    <w:p>
      <w:pPr>
        <w:ind w:left="1140" w:right="40"/>
        <w:spacing w:after="0" w:line="293" w:lineRule="auto"/>
        <w:rPr>
          <w:sz w:val="20"/>
          <w:szCs w:val="20"/>
          <w:color w:val="auto"/>
        </w:rPr>
      </w:pPr>
      <w:r>
        <w:rPr>
          <w:rFonts w:ascii="Arial" w:cs="Arial" w:eastAsia="Arial" w:hAnsi="Arial"/>
          <w:sz w:val="16"/>
          <w:szCs w:val="16"/>
          <w:color w:val="auto"/>
        </w:rPr>
        <w:t>GP I, in its capacity as the sole shareholder of Xb Holdco and the Managed Funds, has the ability to appoint and remove the directors and direct the management of the business of Xb Holdco and the Managed Funds, including the power to direct the decisions of Xb Holdco and the Managed Funds regarding the vote and disposition of securities held by Xb Holdco and the Managed Funds. Additionally, GP I, in its capacity as the managing member of Fund GP, has the ability to direct the management of Fund GP’s business, including the power to direct the decisions of Fund GP regarding the vote and disposition of securities held by Cascade and Xb Holdings. Therefore, GP I may be deemed to have indirect beneficial ownership of the Shares held by Xb Holdco, the Managed Funds, Cascade and Xb Holdings.</w:t>
      </w:r>
    </w:p>
    <w:p>
      <w:pPr>
        <w:spacing w:after="0" w:line="164" w:lineRule="exact"/>
        <w:rPr>
          <w:sz w:val="20"/>
          <w:szCs w:val="20"/>
          <w:color w:val="auto"/>
        </w:rPr>
      </w:pPr>
    </w:p>
    <w:p>
      <w:pPr>
        <w:ind w:left="1140" w:right="120"/>
        <w:spacing w:after="0" w:line="259" w:lineRule="auto"/>
        <w:rPr>
          <w:sz w:val="20"/>
          <w:szCs w:val="20"/>
          <w:color w:val="auto"/>
        </w:rPr>
      </w:pPr>
      <w:r>
        <w:rPr>
          <w:rFonts w:ascii="Arial" w:cs="Arial" w:eastAsia="Arial" w:hAnsi="Arial"/>
          <w:sz w:val="18"/>
          <w:szCs w:val="18"/>
          <w:color w:val="auto"/>
        </w:rPr>
        <w:t>Capital I, in its capacity as the general partner of GP I, has the ability to direct the management of GP I’s business, including the power to direct the decisions of GP I regarding the vote and disposition of securities held by Xb Holdco, the Managed Funds, Cascade and Xb Holdings; therefore, Capital I may be deemed to have indirect beneficial ownership of the Shares held by Xb Holdco, the Managed Funds, Cascade and Xb Holdings.</w:t>
      </w:r>
    </w:p>
    <w:p>
      <w:pPr>
        <w:spacing w:after="0" w:line="187" w:lineRule="exact"/>
        <w:rPr>
          <w:sz w:val="20"/>
          <w:szCs w:val="20"/>
          <w:color w:val="auto"/>
        </w:rPr>
      </w:pPr>
    </w:p>
    <w:p>
      <w:pPr>
        <w:ind w:left="1140" w:right="120"/>
        <w:spacing w:after="0" w:line="259" w:lineRule="auto"/>
        <w:rPr>
          <w:sz w:val="20"/>
          <w:szCs w:val="20"/>
          <w:color w:val="auto"/>
        </w:rPr>
      </w:pPr>
      <w:r>
        <w:rPr>
          <w:rFonts w:ascii="Arial" w:cs="Arial" w:eastAsia="Arial" w:hAnsi="Arial"/>
          <w:sz w:val="18"/>
          <w:szCs w:val="18"/>
          <w:color w:val="auto"/>
        </w:rPr>
        <w:t>Holdings I, in its capacity as the general partner of Capital I, has the ability to direct the management of Capital I’s business, including the power to direct the decisions of Capital I regarding the vote and disposition of securities held by Xb Holdco, the Managed Funds, Cascade and Xb Holdings; therefore, Holdings I may be deemed to have indirect beneficial ownership of the Shares held by Xb Holdco, the Managed Funds, Cascade and Xb Holdings.</w:t>
      </w:r>
    </w:p>
    <w:p>
      <w:pPr>
        <w:spacing w:after="0" w:line="187"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Holdings, in its capacity as the managing member of Holdings I, has the ability to direct the management of Holding I’s business, including the power to direct the decisions of Holdings I regarding the vote and disposition of securities held by Xb Holdco, the Managed Funds, Cascade and Xb Holdings; therefore, Holdings may be deemed to have indirect beneficial ownership of the Shares held by Xb Holdco, the Managed Funds, Cascade and Xb Holdings.</w:t>
      </w:r>
    </w:p>
    <w:p>
      <w:pPr>
        <w:spacing w:after="0" w:line="187" w:lineRule="exact"/>
        <w:rPr>
          <w:sz w:val="20"/>
          <w:szCs w:val="20"/>
          <w:color w:val="auto"/>
        </w:rPr>
      </w:pPr>
    </w:p>
    <w:p>
      <w:pPr>
        <w:jc w:val="both"/>
        <w:ind w:left="1140" w:right="60"/>
        <w:spacing w:after="0" w:line="301" w:lineRule="auto"/>
        <w:rPr>
          <w:sz w:val="20"/>
          <w:szCs w:val="20"/>
          <w:color w:val="auto"/>
        </w:rPr>
      </w:pPr>
      <w:r>
        <w:rPr>
          <w:rFonts w:ascii="Arial" w:cs="Arial" w:eastAsia="Arial" w:hAnsi="Arial"/>
          <w:sz w:val="16"/>
          <w:szCs w:val="16"/>
          <w:color w:val="auto"/>
        </w:rPr>
        <w:t>Management, in its capacity as the sole director of Xb Holdco and as the duly appointed investment manager of the Managed Entities, has the ability to direct the management of Xb Holdco and the Managed Entities, including the power to direct the decisions of Xb Holdco and the Managed Entities regarding the vote and disposition of securities held by Xb Holdco and the Managed Entities; therefore, Management may be deemed to have indirect beneficial ownership of the Shares held by Xb Holdco and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9" w:name="page20"/>
    <w:bookmarkEnd w:id="19"/>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20 of 25</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Management GP, in its capacity as the general partner of Management, has the ability to direct the management of Management’s business, including the power to direct the decisions of Management regarding the vote and disposition of securities held by Xb Holdco and the Managed Entities; therefore, Management GP may be deemed to have indirect beneficial ownership of the Shares held by Xb Holdco and the Managed Entities.</w:t>
      </w:r>
    </w:p>
    <w:p>
      <w:pPr>
        <w:spacing w:after="0" w:line="18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Atlas, in its capacity as the sole managing member of Management GP, has the ability to direct the management of Management GP’s business, including the power to direct the decisions of Management GP regarding the vote and disposition of securities held by Xb Holdco and the Managed Entities; therefore, Management GP may be deemed to have indirect beneficial ownership of the Shares held by Xb Holdco and the Managed Entities.</w:t>
      </w:r>
    </w:p>
    <w:p>
      <w:pPr>
        <w:spacing w:after="0" w:line="187" w:lineRule="exact"/>
        <w:rPr>
          <w:sz w:val="20"/>
          <w:szCs w:val="20"/>
          <w:color w:val="auto"/>
        </w:rPr>
      </w:pPr>
    </w:p>
    <w:p>
      <w:pPr>
        <w:ind w:left="1100" w:right="240"/>
        <w:spacing w:after="0" w:line="259" w:lineRule="auto"/>
        <w:rPr>
          <w:sz w:val="20"/>
          <w:szCs w:val="20"/>
          <w:color w:val="auto"/>
        </w:rPr>
      </w:pPr>
      <w:r>
        <w:rPr>
          <w:rFonts w:ascii="Arial" w:cs="Arial" w:eastAsia="Arial" w:hAnsi="Arial"/>
          <w:sz w:val="18"/>
          <w:szCs w:val="18"/>
          <w:color w:val="auto"/>
        </w:rPr>
        <w:t>OCG, in its capacity as the managing member of Holdings, has the ability to direct the management of Holdings’ business, including the power to direct the decisions of Holdings regarding the vote and disposition of securities held by Xb Holdco, the Managed Entities, Cascade and Xb Holdings; therefore, OCG may be deemed to have indirect beneficial ownership of the Shares held by Xb Holdco, the Managed Entities, Cascade and Xb Holdings.</w:t>
      </w:r>
    </w:p>
    <w:p>
      <w:pPr>
        <w:spacing w:after="0" w:line="187" w:lineRule="exact"/>
        <w:rPr>
          <w:sz w:val="20"/>
          <w:szCs w:val="20"/>
          <w:color w:val="auto"/>
        </w:rPr>
      </w:pPr>
    </w:p>
    <w:p>
      <w:pPr>
        <w:ind w:left="1100" w:right="40"/>
        <w:spacing w:after="0" w:line="279" w:lineRule="auto"/>
        <w:rPr>
          <w:sz w:val="20"/>
          <w:szCs w:val="20"/>
          <w:color w:val="auto"/>
        </w:rPr>
      </w:pPr>
      <w:r>
        <w:rPr>
          <w:rFonts w:ascii="Arial" w:cs="Arial" w:eastAsia="Arial" w:hAnsi="Arial"/>
          <w:sz w:val="17"/>
          <w:szCs w:val="17"/>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Xb Holdco, the Managed Entities, Cascade and Xb Holdings; therefore, OCGH GP may be deemed to have indirect beneficial ownership of the Shares held by Xb Holdco, the Managed Entities, Cascade and Xb Holdings.</w:t>
      </w:r>
    </w:p>
    <w:p>
      <w:pPr>
        <w:spacing w:after="0" w:line="171"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Xb Holdco, the Managed Entities, Cascade and Xb Holdings; therefore BAM may be deemed to have indirect beneficial ownership of the Shares held by Xb Holdco, the Managed Entities, Cascade and Xb Holdings.</w:t>
      </w:r>
    </w:p>
    <w:p>
      <w:pPr>
        <w:spacing w:after="0" w:line="171"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BAM Partners, in its capacity as the sole owner of Class B Limited Voting Shares of BAM, has the ability to appoint and remove certain directors of BAM and, as such, may indirectly control the decisions of BAM regarding the vote and disposition of securities held by Xb Holdco, the Managed Entities, Cascade and Xb Holdings; therefore BAM Partners may be deemed to have indirect beneficial ownership of the Shares held by Xb Holdco, the Managed Entities, Cascade and Xb Holdings.</w:t>
      </w:r>
    </w:p>
    <w:p>
      <w:pPr>
        <w:spacing w:after="0" w:line="187" w:lineRule="exact"/>
        <w:rPr>
          <w:sz w:val="20"/>
          <w:szCs w:val="20"/>
          <w:color w:val="auto"/>
        </w:rPr>
      </w:pPr>
    </w:p>
    <w:p>
      <w:pPr>
        <w:ind w:left="1100" w:right="2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and except to the extent of its pecuniary interest, such beneficial ownership is expressly disclaimed by each Reporting Person.</w:t>
      </w:r>
    </w:p>
    <w:p>
      <w:pPr>
        <w:spacing w:after="0" w:line="171" w:lineRule="exact"/>
        <w:rPr>
          <w:sz w:val="20"/>
          <w:szCs w:val="20"/>
          <w:color w:val="auto"/>
        </w:rPr>
      </w:pPr>
    </w:p>
    <w:p>
      <w:pPr>
        <w:ind w:left="1100" w:right="140"/>
        <w:spacing w:after="0" w:line="277" w:lineRule="auto"/>
        <w:rPr>
          <w:sz w:val="20"/>
          <w:szCs w:val="20"/>
          <w:color w:val="auto"/>
        </w:rPr>
      </w:pPr>
      <w:r>
        <w:rPr>
          <w:rFonts w:ascii="Arial" w:cs="Arial" w:eastAsia="Arial" w:hAnsi="Arial"/>
          <w:sz w:val="18"/>
          <w:szCs w:val="18"/>
          <w:color w:val="auto"/>
        </w:rPr>
        <w:t>All ownership percentages of the securities reported in this Statement are based on 70,161,685 Shares outstanding as of October 20, 2021, as reported by the Issuer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460375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G48833118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21 of 25</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1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40" w:type="dxa"/>
            <w:vAlign w:val="bottom"/>
          </w:tcPr>
          <w:p>
            <w:pPr>
              <w:spacing w:after="0"/>
              <w:rPr>
                <w:sz w:val="24"/>
                <w:szCs w:val="24"/>
                <w:color w:val="auto"/>
              </w:rPr>
            </w:pPr>
          </w:p>
        </w:tc>
      </w:tr>
    </w:tbl>
    <w:p>
      <w:pPr>
        <w:spacing w:after="0" w:line="229" w:lineRule="exact"/>
        <w:rPr>
          <w:sz w:val="20"/>
          <w:szCs w:val="20"/>
          <w:color w:val="auto"/>
        </w:rPr>
      </w:pPr>
    </w:p>
    <w:p>
      <w:pPr>
        <w:ind w:left="114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256" w:lineRule="exact"/>
        <w:rPr>
          <w:sz w:val="20"/>
          <w:szCs w:val="20"/>
          <w:color w:val="auto"/>
        </w:rPr>
      </w:pPr>
    </w:p>
    <w:p>
      <w:pPr>
        <w:jc w:val="both"/>
        <w:ind w:left="1140" w:right="1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1" w:name="page22"/>
    <w:bookmarkEnd w:id="21"/>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22 of 25</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OPPS XB HOLDCO LTD.</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CASCADE INVESTMENT FUND I GP, L.P.</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OPPORTUNITIES FUND Xb HOLDINGS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L.P.</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FUND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2" w:name="page23"/>
    <w:bookmarkEnd w:id="22"/>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25</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OAKTREE CAPITAL MANAGEMENT GP, LLC</w:t>
      </w:r>
    </w:p>
    <w:p>
      <w:pPr>
        <w:spacing w:after="0" w:line="16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674370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3" w:name="page24"/>
    <w:bookmarkEnd w:id="23"/>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25</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ATLAS OCM HOLDINGS,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365"/>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979"/>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4" w:name="page25"/>
    <w:bookmarkEnd w:id="24"/>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25</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OPPS XB HOLDCO LTD.</w:t>
      </w:r>
    </w:p>
    <w:p>
      <w:pPr>
        <w:sectPr>
          <w:pgSz w:w="11900" w:h="16838" w:orient="portrait"/>
          <w:cols w:equalWidth="0" w:num="1">
            <w:col w:w="11240"/>
          </w:cols>
          <w:pgMar w:left="320" w:top="796" w:right="339" w:bottom="1440" w:gutter="0" w:footer="0" w:header="0"/>
        </w:sectPr>
      </w:pP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CASCADE INVESTMENT FUND I GP, L.P.</w:t>
      </w:r>
    </w:p>
    <w:p>
      <w:pPr>
        <w:sectPr>
          <w:pgSz w:w="11900" w:h="16838" w:orient="portrait"/>
          <w:cols w:equalWidth="0" w:num="1">
            <w:col w:w="11240"/>
          </w:cols>
          <w:pgMar w:left="320" w:top="796" w:right="339" w:bottom="1440" w:gutter="0" w:footer="0" w:header="0"/>
          <w:type w:val="continuous"/>
        </w:sectPr>
      </w:pP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OPPORTUNITIES FUND Xb HOLDINGS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L.P.</w:t>
      </w:r>
    </w:p>
    <w:p>
      <w:pPr>
        <w:sectPr>
          <w:pgSz w:w="11900" w:h="16838" w:orient="portrait"/>
          <w:cols w:equalWidth="0" w:num="1">
            <w:col w:w="11240"/>
          </w:cols>
          <w:pgMar w:left="320" w:top="796" w:right="339" w:bottom="1440" w:gutter="0" w:footer="0" w:header="0"/>
          <w:type w:val="continuous"/>
        </w:sectPr>
      </w:pP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FUND GP, LLC</w:t>
      </w:r>
    </w:p>
    <w:p>
      <w:pPr>
        <w:sectPr>
          <w:pgSz w:w="11900" w:h="16838" w:orient="portrait"/>
          <w:cols w:equalWidth="0" w:num="1">
            <w:col w:w="11240"/>
          </w:cols>
          <w:pgMar w:left="320" w:top="796" w:right="339" w:bottom="1440" w:gutter="0" w:footer="0" w:header="0"/>
          <w:type w:val="continuous"/>
        </w:sectPr>
      </w:pP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143"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6" w:name="page27"/>
    <w:bookmarkEnd w:id="26"/>
    <w:p>
      <w:pPr>
        <w:ind w:left="452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OAKTREE CAPITAL MANAGEMENT GP, LLC</w:t>
      </w:r>
    </w:p>
    <w:p>
      <w:pPr>
        <w:spacing w:after="0" w:line="16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674370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32" w:right="1440" w:bottom="1440" w:gutter="0" w:footer="0" w:header="0"/>
        </w:sectPr>
      </w:pPr>
    </w:p>
    <w:bookmarkStart w:id="27" w:name="page28"/>
    <w:bookmarkEnd w:id="27"/>
    <w:p>
      <w:pPr>
        <w:ind w:left="5640"/>
        <w:spacing w:after="0"/>
        <w:rPr>
          <w:sz w:val="20"/>
          <w:szCs w:val="20"/>
          <w:color w:val="auto"/>
        </w:rPr>
      </w:pPr>
      <w:r>
        <w:rPr>
          <w:rFonts w:ascii="Arial" w:cs="Arial" w:eastAsia="Arial" w:hAnsi="Arial"/>
          <w:sz w:val="18"/>
          <w:szCs w:val="18"/>
          <w:color w:val="auto"/>
        </w:rPr>
        <w:t>ATLAS OCM HOLDINGS,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364"/>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979"/>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2022-02-14T16:32:01Z</dcterms:created>
  <dcterms:modified xsi:type="dcterms:W3CDTF">2022-02-14T16:32:01Z</dcterms:modified>
</cp:coreProperties>
</file>