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903605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140"/>
        <w:spacing w:after="0"/>
        <w:tabs>
          <w:tab w:leader="none" w:pos="51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6"/>
          <w:szCs w:val="16"/>
          <w:b w:val="1"/>
          <w:bCs w:val="1"/>
          <w:color w:val="auto"/>
        </w:rPr>
        <w:t>Form 10-Q</w:t>
      </w:r>
    </w:p>
    <w:p>
      <w:pPr>
        <w:spacing w:after="0" w:line="1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ind w:left="400"/>
        <w:spacing w:after="0"/>
        <w:tabs>
          <w:tab w:leader="none" w:pos="34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2021</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7"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Weatherford International plc</w:t>
      </w:r>
    </w:p>
    <w:p>
      <w:pPr>
        <w:spacing w:after="0" w:line="5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7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Ireland</w:t>
            </w:r>
          </w:p>
        </w:tc>
        <w:tc>
          <w:tcPr>
            <w:tcW w:w="3620" w:type="dxa"/>
            <w:vAlign w:val="bottom"/>
          </w:tcPr>
          <w:p>
            <w:pPr>
              <w:jc w:val="right"/>
              <w:ind w:right="129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85"/>
        </w:trPr>
        <w:tc>
          <w:tcPr>
            <w:tcW w:w="7240" w:type="dxa"/>
            <w:vAlign w:val="bottom"/>
            <w:gridSpan w:val="2"/>
          </w:tcPr>
          <w:p>
            <w:pPr>
              <w:ind w:left="720"/>
              <w:spacing w:after="0"/>
              <w:rPr>
                <w:sz w:val="20"/>
                <w:szCs w:val="20"/>
                <w:color w:val="auto"/>
              </w:rPr>
            </w:pPr>
            <w:r>
              <w:rPr>
                <w:rFonts w:ascii="Arial" w:cs="Arial" w:eastAsia="Arial" w:hAnsi="Arial"/>
                <w:sz w:val="18"/>
                <w:szCs w:val="18"/>
                <w:b w:val="1"/>
                <w:bCs w:val="1"/>
                <w:color w:val="auto"/>
              </w:rPr>
              <w:t>2000 St. James Place , Houston   , Texas</w:t>
            </w:r>
          </w:p>
        </w:tc>
        <w:tc>
          <w:tcPr>
            <w:tcW w:w="3620" w:type="dxa"/>
            <w:vAlign w:val="bottom"/>
          </w:tcPr>
          <w:p>
            <w:pPr>
              <w:jc w:val="right"/>
              <w:ind w:right="1490"/>
              <w:spacing w:after="0"/>
              <w:rPr>
                <w:sz w:val="20"/>
                <w:szCs w:val="20"/>
                <w:color w:val="auto"/>
              </w:rPr>
            </w:pPr>
            <w:r>
              <w:rPr>
                <w:rFonts w:ascii="Arial" w:cs="Arial" w:eastAsia="Arial" w:hAnsi="Arial"/>
                <w:sz w:val="18"/>
                <w:szCs w:val="18"/>
                <w:b w:val="1"/>
                <w:bCs w:val="1"/>
                <w:color w:val="auto"/>
              </w:rPr>
              <w:t>77056</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75"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266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0"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p>
      <w:pPr>
        <w:ind w:left="1360"/>
        <w:spacing w:after="0"/>
        <w:tabs>
          <w:tab w:leader="none" w:pos="4540" w:val="left"/>
          <w:tab w:leader="none" w:pos="71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6969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35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1934 during the preceding 12 months (or for such shorter period that the registrant was required to file such reports), and (2) has been subject to such filing</w:t>
      </w:r>
    </w:p>
    <w:p>
      <w:pPr>
        <w:spacing w:after="0" w:line="27"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firstLine="405"/>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000" w:type="dxa"/>
        <w:tblCellMar>
          <w:top w:w="0" w:type="dxa"/>
          <w:left w:w="0" w:type="dxa"/>
          <w:bottom w:w="0" w:type="dxa"/>
          <w:right w:w="0" w:type="dxa"/>
        </w:tblCellMar>
      </w:tblP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60"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23, 2021, there were 70,120,153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Form 10-Q for the Three Months Ended March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80" w:type="dxa"/>
            <w:vAlign w:val="bottom"/>
            <w:gridSpan w:val="3"/>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80" w:type="dxa"/>
            <w:vAlign w:val="bottom"/>
            <w:gridSpan w:val="6"/>
          </w:tcPr>
          <w:p>
            <w:pPr>
              <w:ind w:left="380"/>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15"/>
            <w:shd w:val="clear" w:color="auto" w:fill="CCEEFF"/>
          </w:tcPr>
          <w:p>
            <w:pPr>
              <w:spacing w:after="0" w:line="16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6780" w:type="dxa"/>
            <w:vAlign w:val="bottom"/>
            <w:tcBorders>
              <w:top w:val="single" w:sz="8" w:color="CCEEFF"/>
            </w:tcBorders>
            <w:gridSpan w:val="3"/>
          </w:tcPr>
          <w:p>
            <w:pPr>
              <w:spacing w:after="0"/>
              <w:rPr>
                <w:sz w:val="16"/>
                <w:szCs w:val="16"/>
                <w:color w:val="auto"/>
              </w:rPr>
            </w:pPr>
          </w:p>
        </w:tc>
        <w:tc>
          <w:tcPr>
            <w:tcW w:w="720" w:type="dxa"/>
            <w:vAlign w:val="bottom"/>
            <w:tcBorders>
              <w:top w:val="single" w:sz="8" w:color="CCEEFF"/>
            </w:tcBorders>
            <w:gridSpan w:val="4"/>
          </w:tcPr>
          <w:p>
            <w:pPr>
              <w:jc w:val="center"/>
              <w:ind w:left="45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5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Financial Condition and Results of Operations.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16</w:t>
              </w:r>
            </w:hyperlink>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14"/>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Item 3. Quantitative and Qualitative Disclosures About Market Risk.</w:t>
              </w:r>
            </w:hyperlink>
          </w:p>
        </w:tc>
        <w:tc>
          <w:tcPr>
            <w:tcW w:w="2900" w:type="dxa"/>
            <w:vAlign w:val="bottom"/>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4. Controls and Procedures.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100" w:type="dxa"/>
            <w:vAlign w:val="bottom"/>
            <w:tcBorders>
              <w:top w:val="single" w:sz="8" w:color="0000FF"/>
            </w:tcBorders>
            <w:gridSpan w:val="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800" w:type="dxa"/>
            <w:vAlign w:val="bottom"/>
            <w:tcBorders>
              <w:top w:val="single" w:sz="8" w:color="CCEEFF"/>
            </w:tcBorders>
          </w:tcPr>
          <w:p>
            <w:pPr>
              <w:spacing w:after="0"/>
              <w:rPr>
                <w:sz w:val="22"/>
                <w:szCs w:val="22"/>
                <w:color w:val="auto"/>
              </w:rPr>
            </w:pPr>
          </w:p>
        </w:tc>
        <w:tc>
          <w:tcPr>
            <w:tcW w:w="2080" w:type="dxa"/>
            <w:vAlign w:val="bottom"/>
            <w:tcBorders>
              <w:top w:val="single" w:sz="8" w:color="CCEEFF"/>
            </w:tcBorders>
          </w:tcPr>
          <w:p>
            <w:pPr>
              <w:spacing w:after="0"/>
              <w:rPr>
                <w:sz w:val="22"/>
                <w:szCs w:val="22"/>
                <w:color w:val="auto"/>
              </w:rPr>
            </w:pPr>
          </w:p>
        </w:tc>
        <w:tc>
          <w:tcPr>
            <w:tcW w:w="290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 OTHER INFORMATION</w:t>
              </w:r>
            </w:hyperlink>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860" w:type="dxa"/>
            <w:vAlign w:val="bottom"/>
            <w:tcBorders>
              <w:top w:val="single" w:sz="8" w:color="0000FF"/>
            </w:tcBorders>
            <w:gridSpan w:val="10"/>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1. Legal Proceedings.</w:t>
              </w:r>
            </w:hyperlink>
          </w:p>
        </w:tc>
        <w:tc>
          <w:tcPr>
            <w:tcW w:w="7080" w:type="dxa"/>
            <w:vAlign w:val="bottom"/>
            <w:tcBorders>
              <w:top w:val="single" w:sz="8" w:color="CCEEFF"/>
            </w:tcBorders>
            <w:gridSpan w:val="5"/>
          </w:tcPr>
          <w:p>
            <w:pPr>
              <w:spacing w:after="0"/>
              <w:rPr>
                <w:sz w:val="16"/>
                <w:szCs w:val="16"/>
                <w:color w:val="auto"/>
              </w:rPr>
            </w:pPr>
          </w:p>
        </w:tc>
        <w:tc>
          <w:tcPr>
            <w:tcW w:w="1260" w:type="dxa"/>
            <w:vAlign w:val="bottom"/>
            <w:tcBorders>
              <w:top w:val="single" w:sz="8" w:color="CCEEFF"/>
            </w:tcBorders>
            <w:gridSpan w:val="5"/>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1A. Risk Factors.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40" w:type="dxa"/>
            <w:vAlign w:val="bottom"/>
            <w:gridSpan w:val="15"/>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2. Unregistered Sales of Equity Securities and Use of Proceeds.</w:t>
              </w:r>
            </w:hyperlink>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27">
              <w:r>
                <w:rPr>
                  <w:rFonts w:ascii="Arial" w:cs="Arial" w:eastAsia="Arial" w:hAnsi="Arial"/>
                  <w:sz w:val="18"/>
                  <w:szCs w:val="18"/>
                  <w:color w:val="0000FF"/>
                  <w:w w:val="94"/>
                </w:rPr>
                <w:t>Item 3.</w:t>
              </w:r>
            </w:hyperlink>
          </w:p>
        </w:tc>
        <w:tc>
          <w:tcPr>
            <w:tcW w:w="9400" w:type="dxa"/>
            <w:vAlign w:val="bottom"/>
            <w:gridSpan w:val="14"/>
            <w:shd w:val="clear" w:color="auto" w:fill="CCEEFF"/>
          </w:tcPr>
          <w:p>
            <w:pPr>
              <w:ind w:lef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27">
              <w:r>
                <w:rPr>
                  <w:rFonts w:ascii="Arial" w:cs="Arial" w:eastAsia="Arial" w:hAnsi="Arial"/>
                  <w:sz w:val="18"/>
                  <w:szCs w:val="18"/>
                  <w:color w:val="0000FF"/>
                  <w:w w:val="94"/>
                </w:rPr>
                <w:t>Item 4.</w:t>
              </w:r>
            </w:hyperlink>
          </w:p>
        </w:tc>
        <w:tc>
          <w:tcPr>
            <w:tcW w:w="2380" w:type="dxa"/>
            <w:vAlign w:val="bottom"/>
            <w:gridSpan w:val="10"/>
          </w:tcPr>
          <w:p>
            <w:pPr>
              <w:ind w:lef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7020" w:type="dxa"/>
            <w:vAlign w:val="bottom"/>
            <w:gridSpan w:val="4"/>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27">
              <w:r>
                <w:rPr>
                  <w:rFonts w:ascii="Arial" w:cs="Arial" w:eastAsia="Arial" w:hAnsi="Arial"/>
                  <w:sz w:val="18"/>
                  <w:szCs w:val="18"/>
                  <w:color w:val="0000FF"/>
                  <w:w w:val="94"/>
                </w:rPr>
                <w:t>Item 5.</w:t>
              </w:r>
            </w:hyperlink>
          </w:p>
        </w:tc>
        <w:tc>
          <w:tcPr>
            <w:tcW w:w="1380" w:type="dxa"/>
            <w:vAlign w:val="bottom"/>
            <w:gridSpan w:val="4"/>
            <w:shd w:val="clear" w:color="auto" w:fill="CCEEFF"/>
          </w:tcPr>
          <w:p>
            <w:pPr>
              <w:ind w:left="20"/>
              <w:spacing w:after="0" w:line="189" w:lineRule="exact"/>
              <w:rPr>
                <w:rFonts w:ascii="Arial" w:cs="Arial" w:eastAsia="Arial" w:hAnsi="Arial"/>
                <w:sz w:val="18"/>
                <w:szCs w:val="18"/>
                <w:color w:val="0000FF"/>
                <w:w w:val="92"/>
              </w:rPr>
            </w:pPr>
            <w:hyperlink w:anchor="page27">
              <w:r>
                <w:rPr>
                  <w:rFonts w:ascii="Arial" w:cs="Arial" w:eastAsia="Arial" w:hAnsi="Arial"/>
                  <w:sz w:val="18"/>
                  <w:szCs w:val="18"/>
                  <w:color w:val="0000FF"/>
                  <w:w w:val="92"/>
                </w:rPr>
                <w:t>Other Information.</w:t>
              </w:r>
            </w:hyperlink>
          </w:p>
        </w:tc>
        <w:tc>
          <w:tcPr>
            <w:tcW w:w="8020" w:type="dxa"/>
            <w:vAlign w:val="bottom"/>
            <w:gridSpan w:val="10"/>
            <w:shd w:val="clear" w:color="auto" w:fill="CCEEFF"/>
          </w:tcPr>
          <w:p>
            <w:pPr>
              <w:spacing w:after="0"/>
              <w:rPr>
                <w:sz w:val="16"/>
                <w:szCs w:val="16"/>
                <w:color w:val="auto"/>
              </w:rPr>
            </w:pPr>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28">
              <w:r>
                <w:rPr>
                  <w:rFonts w:ascii="Arial" w:cs="Arial" w:eastAsia="Arial" w:hAnsi="Arial"/>
                  <w:sz w:val="18"/>
                  <w:szCs w:val="18"/>
                  <w:color w:val="0000FF"/>
                  <w:w w:val="94"/>
                </w:rPr>
                <w:t>Item 6.</w:t>
              </w:r>
            </w:hyperlink>
          </w:p>
        </w:tc>
        <w:tc>
          <w:tcPr>
            <w:tcW w:w="1380" w:type="dxa"/>
            <w:vAlign w:val="bottom"/>
            <w:gridSpan w:val="4"/>
          </w:tcPr>
          <w:p>
            <w:pPr>
              <w:ind w:lef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8020" w:type="dxa"/>
            <w:vAlign w:val="bottom"/>
            <w:gridSpan w:val="10"/>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tcPr>
          <w:p>
            <w:pPr>
              <w:spacing w:after="0"/>
              <w:rPr>
                <w:sz w:val="18"/>
                <w:szCs w:val="18"/>
                <w:color w:val="auto"/>
              </w:rPr>
            </w:pPr>
          </w:p>
        </w:tc>
      </w:tr>
      <w:tr>
        <w:trPr>
          <w:trHeight w:val="891"/>
        </w:trPr>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940" w:type="dxa"/>
            <w:vAlign w:val="bottom"/>
            <w:tcBorders>
              <w:top w:val="single" w:sz="8" w:color="CCEEFF"/>
            </w:tcBorders>
            <w:gridSpan w:val="12"/>
          </w:tcPr>
          <w:p>
            <w:pPr>
              <w:jc w:val="right"/>
              <w:ind w:right="1220"/>
              <w:spacing w:after="0"/>
              <w:rPr>
                <w:sz w:val="20"/>
                <w:szCs w:val="20"/>
                <w:color w:val="auto"/>
              </w:rPr>
            </w:pPr>
            <w:r>
              <w:rPr>
                <w:rFonts w:ascii="Arial" w:cs="Arial" w:eastAsia="Arial" w:hAnsi="Arial"/>
                <w:sz w:val="18"/>
                <w:szCs w:val="18"/>
                <w:color w:val="auto"/>
              </w:rPr>
              <w:t>1</w:t>
            </w:r>
          </w:p>
        </w:tc>
        <w:tc>
          <w:tcPr>
            <w:tcW w:w="29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1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58"/>
        </w:trPr>
        <w:tc>
          <w:tcPr>
            <w:tcW w:w="18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920" w:type="dxa"/>
            <w:vAlign w:val="bottom"/>
          </w:tcPr>
          <w:p>
            <w:pPr>
              <w:jc w:val="center"/>
              <w:ind w:left="235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41"/>
        </w:trPr>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360" w:type="dxa"/>
            <w:vAlign w:val="bottom"/>
            <w:gridSpan w:val="3"/>
          </w:tcPr>
          <w:p>
            <w:pPr>
              <w:ind w:left="10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73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23"/>
        </w:trPr>
        <w:tc>
          <w:tcPr>
            <w:tcW w:w="7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23"/>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360" w:type="dxa"/>
            <w:vAlign w:val="bottom"/>
            <w:gridSpan w:val="3"/>
          </w:tcPr>
          <w:p>
            <w:pPr>
              <w:ind w:left="100"/>
              <w:spacing w:after="0"/>
              <w:rPr>
                <w:sz w:val="20"/>
                <w:szCs w:val="20"/>
                <w:color w:val="auto"/>
              </w:rPr>
            </w:pPr>
            <w:r>
              <w:rPr>
                <w:rFonts w:ascii="Arial" w:cs="Arial" w:eastAsia="Arial" w:hAnsi="Arial"/>
                <w:sz w:val="18"/>
                <w:szCs w:val="18"/>
                <w:color w:val="auto"/>
              </w:rPr>
              <w:t>Cost of Products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7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7360" w:type="dxa"/>
            <w:vAlign w:val="bottom"/>
            <w:gridSpan w:val="3"/>
          </w:tcPr>
          <w:p>
            <w:pPr>
              <w:ind w:left="1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360" w:type="dxa"/>
            <w:vAlign w:val="bottom"/>
            <w:gridSpan w:val="3"/>
          </w:tcPr>
          <w:p>
            <w:pPr>
              <w:ind w:left="100"/>
              <w:spacing w:after="0"/>
              <w:rPr>
                <w:sz w:val="20"/>
                <w:szCs w:val="20"/>
                <w:color w:val="auto"/>
              </w:rPr>
            </w:pPr>
            <w:r>
              <w:rPr>
                <w:rFonts w:ascii="Arial" w:cs="Arial" w:eastAsia="Arial" w:hAnsi="Arial"/>
                <w:sz w:val="18"/>
                <w:szCs w:val="18"/>
                <w:color w:val="auto"/>
              </w:rPr>
              <w:t>Impairments and Other Charges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73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26</w:t>
            </w:r>
          </w:p>
        </w:tc>
      </w:tr>
      <w:tr>
        <w:trPr>
          <w:trHeight w:val="223"/>
        </w:trPr>
        <w:tc>
          <w:tcPr>
            <w:tcW w:w="7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r>
      <w:tr>
        <w:trPr>
          <w:trHeight w:val="223"/>
        </w:trPr>
        <w:tc>
          <w:tcPr>
            <w:tcW w:w="73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50"/>
        </w:trPr>
        <w:tc>
          <w:tcPr>
            <w:tcW w:w="7360" w:type="dxa"/>
            <w:vAlign w:val="bottom"/>
            <w:gridSpan w:val="3"/>
          </w:tcPr>
          <w:p>
            <w:pPr>
              <w:ind w:left="1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Reorganization Items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3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(25)</w:t>
            </w:r>
          </w:p>
        </w:tc>
      </w:tr>
      <w:tr>
        <w:trPr>
          <w:trHeight w:val="223"/>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7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7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3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0"/>
        </w:trPr>
        <w:tc>
          <w:tcPr>
            <w:tcW w:w="7360" w:type="dxa"/>
            <w:vAlign w:val="bottom"/>
            <w:tcBorders>
              <w:top w:val="single" w:sz="8" w:color="CCEEFF"/>
              <w:bottom w:val="single" w:sz="8" w:color="auto"/>
            </w:tcBorders>
            <w:gridSpan w:val="3"/>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&amp; Diluted Loss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7360" w:type="dxa"/>
            <w:vAlign w:val="bottom"/>
            <w:gridSpan w:val="3"/>
          </w:tcPr>
          <w:p>
            <w:pPr>
              <w:ind w:left="20"/>
              <w:spacing w:after="0"/>
              <w:rPr>
                <w:sz w:val="20"/>
                <w:szCs w:val="20"/>
                <w:color w:val="auto"/>
              </w:rPr>
            </w:pPr>
            <w:r>
              <w:rPr>
                <w:rFonts w:ascii="Arial" w:cs="Arial" w:eastAsia="Arial" w:hAnsi="Arial"/>
                <w:sz w:val="18"/>
                <w:szCs w:val="18"/>
                <w:color w:val="auto"/>
              </w:rPr>
              <w:t>Basic &amp; Diluted Weighted Average Shares Outstanding</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459"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5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3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4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16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rPr>
              <w:t>(UNAUDITED)</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4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0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1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49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30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4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7"/>
              </w:rPr>
              <w:t>Comprehensive Income Attributable to Noncontrolling Interests</w:t>
            </w:r>
          </w:p>
        </w:tc>
        <w:tc>
          <w:tcPr>
            <w:tcW w:w="30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4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4160" w:type="dxa"/>
            <w:vAlign w:val="bottom"/>
            <w:tcBorders>
              <w:bottom w:val="single" w:sz="8" w:color="auto"/>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6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98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3/31/2021</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76"/>
        </w:trPr>
        <w:tc>
          <w:tcPr>
            <w:tcW w:w="79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3"/>
              </w:rPr>
              <w:t>Accounts Receivable, Net of Allowance for Credit Losses of $32 at March 31, 2021 and $32 at December</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1600" w:type="dxa"/>
            <w:vAlign w:val="bottom"/>
            <w:gridSpan w:val="2"/>
          </w:tcPr>
          <w:p>
            <w:pPr>
              <w:ind w:left="100"/>
              <w:spacing w:after="0"/>
              <w:rPr>
                <w:sz w:val="20"/>
                <w:szCs w:val="20"/>
                <w:color w:val="auto"/>
              </w:rPr>
            </w:pPr>
            <w:r>
              <w:rPr>
                <w:rFonts w:ascii="Arial" w:cs="Arial" w:eastAsia="Arial" w:hAnsi="Arial"/>
                <w:sz w:val="18"/>
                <w:szCs w:val="18"/>
                <w:color w:val="auto"/>
              </w:rPr>
              <w:t>31, 2020</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175"/>
        </w:trPr>
        <w:tc>
          <w:tcPr>
            <w:tcW w:w="79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3"/>
              </w:rPr>
              <w:t>Property, Plant and Equipment, Net of Accumulated Depreciation of $430 at March 31, 2021 and $367 at</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December 31, 2020</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Intangible Assets, Net of Accumulated Amortization of $212 at March 31, 2021 and $173 at December 31,</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0"/>
        </w:trPr>
        <w:tc>
          <w:tcPr>
            <w:tcW w:w="79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Ordinary Shares - Par Value $0.001; Authorized 1,356 shares, Issued and Outstanding 70 shares at March</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31, 2021 and December 31, 2020</w:t>
            </w:r>
          </w:p>
        </w:tc>
        <w:tc>
          <w:tcPr>
            <w:tcW w:w="220" w:type="dxa"/>
            <w:vAlign w:val="bottom"/>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3"/>
          </w:tcPr>
          <w:p>
            <w:pPr>
              <w:ind w:left="10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 w:name="page6"/>
    <w:bookmarkEnd w:id="5"/>
    <w:p>
      <w:pPr>
        <w:ind w:left="18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2020</w:t>
            </w: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Goodwill Impairment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Long-lived Asset Impairments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Write-Downs and Other Charges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Used in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Short-term Debt,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Consideration Payment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 Net of Refunds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476" w:right="479" w:bottom="1440" w:gutter="0" w:footer="0" w:header="0"/>
        </w:sectPr>
      </w:pPr>
    </w:p>
    <w:bookmarkStart w:id="6" w:name="page7"/>
    <w:bookmarkEnd w:id="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or “Weatherford”)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2020 (“2020 Annual Report”).</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Please refer to “Note 1 – Summary of Significant Accounting Policies” of our Consolidated Financial Statements from our 2020 Annual Report for the discussion on our significant accounting policies. Certain reclassifications of the financial statements and accompanying footnotes for the three months ended March 31, 2020 have been made to conform to the presentation for the three months ended March 31, 2021.</w:t>
      </w: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Impairments and Other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recorded the following in “Impairments and Other Charges” on the accompanying Condensed Consolidated Statements of Operations: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Charges,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Impairment and Other Charges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recognized long-lived asset and goodwill impairments as further described in “Note 4 – Long-Lived Asset Impairments” and “Note 5 –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 w:name="page8"/>
    <w:bookmarkEnd w:id="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Inventories, Net</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Inventories, net of reserves of $137 million and $119 million as of March 31, 2021 and December 31, 2020, respectively by category in the table below. During the three months ended March 31, 2021 and 2020, we recognized excess and obsolete inventory charges of $17 million and $2 million, respectively, recorded in “Cost of Products” on our Condensed Consolidated Statements of Operations.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3/31/2021</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Work in Process and Raw Materials, Components and Supplies</w:t>
            </w:r>
          </w:p>
        </w:tc>
        <w:tc>
          <w:tcPr>
            <w:tcW w:w="1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Long-lived Asset Impairments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long-lived asset impairments in the three months ended March 31, 2021.</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three months ended March 31, 2020, the global economic and industry conditions resulting from the decline in demand and impact from the COVID-19 pandemic were identified as impairment indicators. As a result, we performed interim impairment assessments as of March 31, 2020, of our property, plant and equipment, definite-lived intangible assets, goodwill and right of use assets with the assistance of third-party valuation advisors. Based on our impairment test, we determined the carrying amount of certain long-lived assets exceeded their respective fair values and recognized $640 million of long-lived asset impairments in “Long-lived Asset Impairments” on the accompanying Condensed Consolidated Statements of Operations during the three months ended March 31, 2020. See the impairment to goodwill and intangible assets at “Note 5 – Goodwill and Intangible Assets.”</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our long-lived assets were determined using discounted cash flow under the income approach or Level 3 fair value analyses. The income approach required significant assumptions to determine the fair value of an asset or asset group including the estimated discounted future cash flows, specifically the forecasted revenue, forecasted operating margins and the discount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details the long-lived asset impairments by asset and segment recognized.</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 2020</w:t>
            </w:r>
          </w:p>
        </w:tc>
        <w:tc>
          <w:tcPr>
            <w:tcW w:w="116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Western Hemisphere</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Eastern Hemisphere</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Impairment Charges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goodwill as of December 31, 2020 and March 31, 2021. The cumulative impairment loss for goodwill was $239 million.</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three months ended March 31, 2020, based on our goodwill impairment assessment that determined the fair value of our reporting units were less than their carrying values, we recognized goodwill impairment of $167 million in our Eastern Hemisphere segment, included in “Impairments and Other Charges” on the accompanying Condensed Consolidated Statements of Operations. We identified the impairment indicators as discussed in “Note 4 – Long-Lived Asset Impairments” that triggered interim quantitative goodwill assessments as of March 31, 2020. The fair values of our reporting units were determined using a combination of the income approach and the market approach for comparable companies in our industry, a Level 3 fair value analysis. Determining the fair value of the reporting units requires management to develop significant judgments, including estimating and discounting future cash flows by reporting unit, specifically forecasted revenue, forecasted operating margins and discount rates.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definite-lived intangible assets, net of accumulated amortization, were as follows:</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3/31/2021</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Acquired Technology</w:t>
            </w:r>
          </w:p>
        </w:tc>
        <w:tc>
          <w:tcPr>
            <w:tcW w:w="2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427</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2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344</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771</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did not recognize any impairment of intangible assets in the three months ended March 31, 2021. For the three months ended March 31, 2020, based on our impairment test, we recognized intangible asset impairments of $137 million of our developed and acquired technology.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was $39 million and $46 million for the three months ended March 31, 2021 and 2020, respectively, and is reported in Selling, General and Administrative on our Condensed Consolidated Statements of Operations. Accumulated amortization as of March 31, 2021 and December 31, 2020, was $161 million and $132 million, respectively, for Developed and Acquired Technology and $51 million and $41 million, respectively, for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Restructuring Charges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and 2020, we incurred restructuring charges of zero and $26 million, respectively, in “Restructuring Charges” on the accompanying Condensed Consolidated Statements of Operations. Additional charges with respect to our ongoing cost reduction actions may be recognized in subsequent periods.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table presents restructuring charges for the first quarter of 2021 and 2020.</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120" w:type="dxa"/>
            <w:vAlign w:val="bottom"/>
          </w:tcPr>
          <w:p>
            <w:pPr>
              <w:spacing w:after="0"/>
              <w:rPr>
                <w:sz w:val="19"/>
                <w:szCs w:val="19"/>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1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0" w:type="dxa"/>
            <w:vAlign w:val="bottom"/>
          </w:tcPr>
          <w:p>
            <w:pPr>
              <w:spacing w:after="0"/>
              <w:rPr>
                <w:sz w:val="19"/>
                <w:szCs w:val="19"/>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Facility Exit Charges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120" w:type="dxa"/>
            <w:vAlign w:val="bottom"/>
          </w:tcPr>
          <w:p>
            <w:pPr>
              <w:spacing w:after="0"/>
              <w:rPr>
                <w:sz w:val="21"/>
                <w:szCs w:val="21"/>
                <w:color w:val="auto"/>
              </w:rPr>
            </w:pPr>
          </w:p>
        </w:tc>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restructuring charges by reporting segment and Corporate for the first quarter of 2021 and 2020.</w:t>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4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Restructuring Charges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restructuring accrual activity for the three months ended March 31,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26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8"/>
              </w:rPr>
              <w:t>Accrued Balance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0"/>
              </w:rPr>
              <w:t>Accrued Balance at</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2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at December 31,</w:t>
            </w:r>
          </w:p>
        </w:tc>
        <w:tc>
          <w:tcPr>
            <w:tcW w:w="300" w:type="dxa"/>
            <w:vAlign w:val="bottom"/>
          </w:tcPr>
          <w:p>
            <w:pPr>
              <w:spacing w:after="0"/>
              <w:rPr>
                <w:sz w:val="15"/>
                <w:szCs w:val="15"/>
                <w:color w:val="auto"/>
              </w:rPr>
            </w:pPr>
          </w:p>
        </w:tc>
        <w:tc>
          <w:tcPr>
            <w:tcW w:w="11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Charges</w:t>
            </w: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6"/>
              </w:rPr>
              <w:t>Cash Payments</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2021</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Reserve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tbl>
      <w:tblPr>
        <w:tblLayout w:type="fixed"/>
        <w:tblInd w:w="340" w:type="dxa"/>
        <w:tblCellMar>
          <w:top w:w="0" w:type="dxa"/>
          <w:left w:w="0" w:type="dxa"/>
          <w:bottom w:w="0" w:type="dxa"/>
          <w:right w:w="0" w:type="dxa"/>
        </w:tblCellMar>
      </w:tblPr>
      <w:tr>
        <w:trPr>
          <w:trHeight w:val="207"/>
        </w:trPr>
        <w:tc>
          <w:tcPr>
            <w:tcW w:w="52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5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7. Borrowings and Other Obligations</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3/31/2021</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340" w:type="dxa"/>
            <w:vAlign w:val="bottom"/>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Current Portion</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40" w:type="dxa"/>
            <w:vAlign w:val="bottom"/>
          </w:tcPr>
          <w:p>
            <w:pPr>
              <w:spacing w:after="0"/>
              <w:rPr>
                <w:sz w:val="19"/>
                <w:szCs w:val="19"/>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Short-term Financing Arrangements</w:t>
            </w:r>
          </w:p>
        </w:tc>
        <w:tc>
          <w:tcPr>
            <w:tcW w:w="2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340" w:type="dxa"/>
            <w:vAlign w:val="bottom"/>
          </w:tcPr>
          <w:p>
            <w:pPr>
              <w:spacing w:after="0"/>
              <w:rPr>
                <w:sz w:val="21"/>
                <w:szCs w:val="21"/>
                <w:color w:val="auto"/>
              </w:rPr>
            </w:pPr>
          </w:p>
        </w:tc>
        <w:tc>
          <w:tcPr>
            <w:tcW w:w="4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4900" w:type="dxa"/>
            <w:vAlign w:val="bottom"/>
            <w:tcBorders>
              <w:top w:val="single" w:sz="8" w:color="CCEEFF"/>
              <w:bottom w:val="single" w:sz="8" w:color="auto"/>
            </w:tcBorders>
            <w:gridSpan w:val="2"/>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57"/>
        </w:trPr>
        <w:tc>
          <w:tcPr>
            <w:tcW w:w="340" w:type="dxa"/>
            <w:vAlign w:val="bottom"/>
          </w:tcPr>
          <w:p>
            <w:pPr>
              <w:spacing w:after="0"/>
              <w:rPr>
                <w:sz w:val="22"/>
                <w:szCs w:val="22"/>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8.75% Senior Secured Notes due 2024</w:t>
            </w:r>
          </w:p>
        </w:tc>
        <w:tc>
          <w:tcPr>
            <w:tcW w:w="20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340" w:type="dxa"/>
            <w:vAlign w:val="bottom"/>
          </w:tcPr>
          <w:p>
            <w:pPr>
              <w:spacing w:after="0"/>
              <w:rPr>
                <w:sz w:val="19"/>
                <w:szCs w:val="19"/>
                <w:color w:val="auto"/>
              </w:rPr>
            </w:pPr>
          </w:p>
        </w:tc>
        <w:tc>
          <w:tcPr>
            <w:tcW w:w="4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Long-term Portion</w:t>
            </w:r>
          </w:p>
        </w:tc>
        <w:tc>
          <w:tcPr>
            <w:tcW w:w="20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1"/>
        </w:trPr>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Exit Notes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Upon our emergence from bankruptcy on December 13, 2019, we entered into an indenture with Deutsche Bank Trust Company Americas, as trustee and issued unsecured 11.00% Exit Notes in an aggregate principal amount of $2.1 billion maturing on December 1, 2024 (the “Exit Notes”). Interest on the Exit Notes accrues at the rate of 11.00% per annum and is payable semiannually in arrears on June 1 and December 1, which commenced on June 1,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Notes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August 28, 2020, we entered into an indenture with Wilmington Trust, National Association, as trustee and collateral agent, and issued the 8.75% Senior Secured Notes in an aggregate principal amount of $500 million maturing September 1, 2024 (the “Senior Secured Notes”). Interest on the Senior Secured Notes accrues at the rate of 8.75% per annum and is payable semiannually in arrears on March 1 and September 1, commencing on March 1, 2021.</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LC Credit Agreement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13, 2019, we entered into the senior secured letter of credit agreement in an aggregate amount of $195 million maturing on June 13, 2024 with the lenders party thereto and Deutsche Bank Trust Company Americas as administrative agent (the “LC Credit Agreement”). The LC Credit Agreement is used for the issuance of bid and performance letters of credit of the Company and certain of its subsidiaries. On August 28, 2020, we amended the LC Credit Agreement to, among other things, increase the aggregate commitments to $215 million, modify the maturity date to May 29, 2024 and reduce the minimum liquidity covenant to $175 million.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2021, we had approximately $160 million in outstanding letters of credit under the LC Credit Agreement and availability of $55 million.</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$328 million of letters of credit outstanding, consisting of the $160 million mentioned above under the LC Credit Agreement and another $168 million under various uncommitted facilities (of which there was $163 million in cash collateral held and recorded in “Restricted Cash” on our Condensed Consolidated Balance Sheets).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Accrued Interest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and December 31, 2020, we had approximately $80 million and $34 million, respectively in “Other Current Liabilities” primarily related to the Exit Notes and Senior Secured Notes.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1" w:name="page12"/>
    <w:bookmarkEnd w:id="11"/>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the Exit Notes and Senior Secured 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3/31/2021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5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8.75% Senior Secured Notes due 2024</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bl>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Disputes, Litigation and Legal Contingencies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many of the Company’s litigation matters and other disputes have been delayed due to court closures or other mandated accommodations.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March 31, 2021 and December 31, 2020 were $44 million and $43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plaintiffs filed their response on July 3, 2020. The defendants filed a reply brief on August 3, 2020. Their motion to dismiss is pending before the Court.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Shareholders’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three months ended March 31,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153"/>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5"/>
              </w:rPr>
              <w:t>Capital in Excess</w:t>
            </w:r>
          </w:p>
        </w:tc>
        <w:tc>
          <w:tcPr>
            <w:tcW w:w="260" w:type="dxa"/>
            <w:vAlign w:val="bottom"/>
          </w:tcPr>
          <w:p>
            <w:pPr>
              <w:spacing w:after="0"/>
              <w:rPr>
                <w:sz w:val="14"/>
                <w:szCs w:val="14"/>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Retained</w:t>
            </w:r>
          </w:p>
        </w:tc>
        <w:tc>
          <w:tcPr>
            <w:tcW w:w="260" w:type="dxa"/>
            <w:vAlign w:val="bottom"/>
          </w:tcPr>
          <w:p>
            <w:pPr>
              <w:spacing w:after="0"/>
              <w:rPr>
                <w:sz w:val="14"/>
                <w:szCs w:val="14"/>
                <w:color w:val="auto"/>
              </w:rPr>
            </w:pPr>
          </w:p>
        </w:tc>
        <w:tc>
          <w:tcPr>
            <w:tcW w:w="1480" w:type="dxa"/>
            <w:vAlign w:val="bottom"/>
          </w:tcPr>
          <w:p>
            <w:pPr>
              <w:jc w:val="center"/>
              <w:ind w:right="133"/>
              <w:spacing w:after="0" w:line="162" w:lineRule="exact"/>
              <w:rPr>
                <w:sz w:val="20"/>
                <w:szCs w:val="20"/>
                <w:color w:val="auto"/>
              </w:rPr>
            </w:pPr>
            <w:r>
              <w:rPr>
                <w:rFonts w:ascii="Arial" w:cs="Arial" w:eastAsia="Arial" w:hAnsi="Arial"/>
                <w:sz w:val="16"/>
                <w:szCs w:val="16"/>
                <w:b w:val="1"/>
                <w:bCs w:val="1"/>
                <w:color w:val="auto"/>
                <w:w w:val="98"/>
              </w:rPr>
              <w:t>Other</w:t>
            </w:r>
          </w:p>
        </w:tc>
        <w:tc>
          <w:tcPr>
            <w:tcW w:w="1400" w:type="dxa"/>
            <w:vAlign w:val="bottom"/>
            <w:gridSpan w:val="2"/>
            <w:vMerge w:val="restart"/>
          </w:tcPr>
          <w:p>
            <w:pPr>
              <w:jc w:val="right"/>
              <w:ind w:right="51"/>
              <w:spacing w:after="0"/>
              <w:rPr>
                <w:sz w:val="20"/>
                <w:szCs w:val="20"/>
                <w:color w:val="auto"/>
              </w:rPr>
            </w:pPr>
            <w:r>
              <w:rPr>
                <w:rFonts w:ascii="Arial" w:cs="Arial" w:eastAsia="Arial" w:hAnsi="Arial"/>
                <w:sz w:val="16"/>
                <w:szCs w:val="16"/>
                <w:b w:val="1"/>
                <w:bCs w:val="1"/>
                <w:color w:val="auto"/>
              </w:rPr>
              <w:t>Non-controlling</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Total Shareholders’</w:t>
            </w:r>
          </w:p>
        </w:tc>
        <w:tc>
          <w:tcPr>
            <w:tcW w:w="0" w:type="dxa"/>
            <w:vAlign w:val="bottom"/>
          </w:tcPr>
          <w:p>
            <w:pPr>
              <w:spacing w:after="0"/>
              <w:rPr>
                <w:sz w:val="1"/>
                <w:szCs w:val="1"/>
                <w:color w:val="auto"/>
              </w:rPr>
            </w:pPr>
          </w:p>
        </w:tc>
      </w:tr>
      <w:tr>
        <w:trPr>
          <w:trHeight w:val="162"/>
        </w:trPr>
        <w:tc>
          <w:tcPr>
            <w:tcW w:w="3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5"/>
              </w:rPr>
              <w:t>of Par Value</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Income (Loss)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Interests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March 31, 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three months ended March 31, 2021 and 2020:</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68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Currency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Defined Benefit</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80" w:type="dxa"/>
            <w:vAlign w:val="bottom"/>
          </w:tcPr>
          <w:p>
            <w:pPr>
              <w:jc w:val="center"/>
              <w:ind w:left="163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vMerge w:val="continue"/>
          </w:tcPr>
          <w:p>
            <w:pPr>
              <w:spacing w:after="0"/>
              <w:rPr>
                <w:sz w:val="19"/>
                <w:szCs w:val="19"/>
                <w:color w:val="auto"/>
              </w:rPr>
            </w:pPr>
          </w:p>
        </w:tc>
        <w:tc>
          <w:tcPr>
            <w:tcW w:w="2680" w:type="dxa"/>
            <w:vAlign w:val="bottom"/>
            <w:tcBorders>
              <w:bottom w:val="single" w:sz="8" w:color="auto"/>
            </w:tcBorders>
          </w:tcPr>
          <w:p>
            <w:pPr>
              <w:jc w:val="center"/>
              <w:ind w:left="1610"/>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6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6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6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(95)</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6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Loss per Share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basic and diluted weighted average shares outstanding and loss per share for the three months ended March 31, 2021 and 2020:</w:t>
      </w:r>
    </w:p>
    <w:p>
      <w:pPr>
        <w:spacing w:after="0" w:line="8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Weatherford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three months ended March 31, 2021 and 2020 exclude 9 million and 8 million, respectively, potential ordinary shares for restricted share units, performance share units,</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3" w:name="page14"/>
    <w:bookmarkEnd w:id="1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phantom restricted share units, and warrants outstanding as we had net losses for those periods and their inclusion would be anti-dilutive.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Revenues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are attributable to countries based on the ultimate destination of the sale of products or performance of services. Our two product lines are as follows: (1) Completion and Production and (2) Drilling, Evaluation and Intervention. The unmanned equipment that we lease to customers as operating leases consists primarily of drilling rental tools (in the Drilling, Evaluation and Intervention product line) and artificial lift pumping equipment (in the Completion and Production product line). These equipment rental revenues are generally provided based on call-out work orders that include fixed per unit prices and are derived from short-term contracts.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disaggregate our product and service revenues by major product line and geographic region for the three months ended March 31, 2021 and 2020 and includes equipment revenues recognized under lease accounting standards of $28 million for the three months ended March 31, 2021, and $57 million for the three months ended March 31, 2020.</w:t>
      </w:r>
    </w:p>
    <w:p>
      <w:pPr>
        <w:spacing w:after="0" w:line="99"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for Western Hemisphere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Completion and Production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Drilling, Evaluation and Intervention</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Western Hemisphere Revenue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50"/>
        </w:trPr>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 Revenue for Eastern Hemisphere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120" w:type="dxa"/>
            <w:vAlign w:val="bottom"/>
          </w:tcPr>
          <w:p>
            <w:pPr>
              <w:ind w:left="100"/>
              <w:spacing w:after="0"/>
              <w:rPr>
                <w:sz w:val="20"/>
                <w:szCs w:val="20"/>
                <w:color w:val="auto"/>
              </w:rPr>
            </w:pPr>
            <w:r>
              <w:rPr>
                <w:rFonts w:ascii="Arial" w:cs="Arial" w:eastAsia="Arial" w:hAnsi="Arial"/>
                <w:sz w:val="18"/>
                <w:szCs w:val="18"/>
                <w:color w:val="auto"/>
              </w:rPr>
              <w:t>Completion and Production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5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Drilling, Evaluation and Intervention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Eastern Hemisphere Revenue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50"/>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 by Geographic Areas: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5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Western Hemisphere</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36"/>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Middle East &amp; North Africa and Asia</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Europe/Sub-Sahara Africa/Russia</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5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Eastern Hemisphere</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6"/>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contract assets (including unbilled receivables), and customer advances and deposits (contract liabilities classified as deferred revenues). Our receivables are primarily derived from contract sales of products and services, which are included in “Accounts Receivable, Net” on the Condensed Consolidated Balance Sheets, and was $758 million and $792 million at March 31, 2021 and December 31, 2021, respectively. Total accounts receivable, net was $793 million and $826 million at March 31, 2021 and December 31, 2020, respectively. Contract assets were immaterial in both periods ending March 31, 2021 and December 31, 2020.</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totaled $43 million and $37 million at March 31, 2021 and December 31, 2020. Revenue recognized for the three months ended March 31, 2021 that were included in the contract liabilities balance at the beginning of 2021 was $18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following table, estimated revenue for contracts with original performance obligations greater than twelve months are expected to be recognized in the future related to performance obligations that are either unsatisfied or partially unsatisfied as of March 31,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2020 Annual Report.</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83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Total Segment Operating Income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3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Total Operating Income (Loss) Before Impairments, Restructuring and Other Charges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Impairments and Other Charges </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(26)</w:t>
            </w:r>
          </w:p>
        </w:tc>
      </w:tr>
      <w:tr>
        <w:trPr>
          <w:trHeight w:val="223"/>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832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Reorganization Items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20" w:right="360" w:hanging="250"/>
        <w:spacing w:after="0" w:line="275" w:lineRule="auto"/>
        <w:tabs>
          <w:tab w:leader="none" w:pos="411"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Corporate also includes eliminations of intercompany margins associated with transfers of assets and inventory that were nil in the three months ended March 31, 2021 and $8 million in the three months ended March 31, 2020.</w:t>
      </w: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right="60" w:hanging="250"/>
        <w:spacing w:after="0" w:line="275"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2020, primarily includes the impairment of goodwill, property, plant and equipment, intangibles and right of use assets and other charges. See “Note 4 – Long-Lived Asset Impairments” and “Note 5 – Goodwill and Intangible Assets” for additional information.</w:t>
      </w: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ind w:left="600" w:hanging="268"/>
        <w:spacing w:after="0"/>
        <w:tabs>
          <w:tab w:leader="none" w:pos="6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determined our quarterly tax provision using the year-to-date effective tax rate because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three months ended March 31, 2021, we recognized tax expense of $23 million on a loss before income taxes of $87 million compared to tax expense of $44 million on a loss before income taxes of $914 million for the three months ended March 31, 2020. Our income tax provisions generally do not correlate to our consolidated income (loss) before tax. Our income taxes provisions are primarily driven by profits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 Tax expense for the three months ended March 31, 2020 included $20 million to recognize valuation allowance in jurisdictions where we are no longer able to forecast taxable income as a result of our liquidity position as of March 31, 2020.</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March 31, 2021, we anticipate that it is reasonably possible that our uncertain tax positions of $233 million may decrease by up to $3 million in the next twelve months due to expiration of statutes of limitations, settlements and/or conclusions of tax examinations.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three months ended March 31, 2021, there were no material tax impacts to our Condensed Consolidated Financial Statements related to COVID-19 tax relief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conduct operations in over 75 countries and have service and sales locations in oil and natural gas producing regions globally. Our operational performance is reviewed on a geographic basis, and we report the Western Hemisphere and Eastern Hemisphere as separate, distinct reporting segments.</w:t>
      </w: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two product lines are as follows: (1) Completion and Production and (2) Drilling, Evaluation and Intervention.</w:t>
      </w:r>
    </w:p>
    <w:p>
      <w:pPr>
        <w:spacing w:after="0" w:line="238" w:lineRule="exact"/>
        <w:rPr>
          <w:sz w:val="20"/>
          <w:szCs w:val="20"/>
          <w:color w:val="auto"/>
        </w:rPr>
      </w:pPr>
    </w:p>
    <w:p>
      <w:pPr>
        <w:jc w:val="both"/>
        <w:ind w:left="820" w:hanging="326"/>
        <w:spacing w:after="0" w:line="259" w:lineRule="auto"/>
        <w:tabs>
          <w:tab w:leader="none" w:pos="81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i w:val="1"/>
          <w:iCs w:val="1"/>
          <w:color w:val="auto"/>
        </w:rPr>
        <w:t>(“C&amp;P”)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production optimization services and a complete production ecosystem, featuring our artificial-lift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w:t>
      </w:r>
    </w:p>
    <w:p>
      <w:pPr>
        <w:spacing w:after="0" w:line="213" w:lineRule="exact"/>
        <w:rPr>
          <w:rFonts w:ascii="Arial" w:cs="Arial" w:eastAsia="Arial" w:hAnsi="Arial"/>
          <w:sz w:val="18"/>
          <w:szCs w:val="18"/>
          <w:b w:val="1"/>
          <w:bCs w:val="1"/>
          <w:i w:val="1"/>
          <w:iCs w:val="1"/>
          <w:color w:val="auto"/>
        </w:rPr>
      </w:pPr>
    </w:p>
    <w:p>
      <w:pPr>
        <w:jc w:val="both"/>
        <w:ind w:left="820" w:hanging="326"/>
        <w:spacing w:after="0" w:line="255"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i w:val="1"/>
          <w:iCs w:val="1"/>
          <w:color w:val="auto"/>
        </w:rPr>
        <w:t>(“DEI”)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comprises a suite of services ranging from early well planning to reservoir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totaled $832 million in the three months ended March 31, 2021, a decrease of $383 million, or 32%, compared to the three months ended March 31, 2020. This was primarily a result of a decline in demand for services and products related to the global health and economic crisis related to the COVID-19 pandemic, which began negatively impacting our business and industry late in the first quarter of 2020. Our revenue decline was predominantly driven by lower activity levels across both our C&amp;P and DEI product lines. Revenues decreased 1% sequentially, with 6% decline in the Eastern Hemisphere driven by lower activity levels across both our C&amp;P and DEI product lines, offset by 5% growth in the Western Hemisphere due to increased DEI sales and seasonally higher activity in North America.</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operating results in the three months ended March 31, 2021, improved $809 million, or 98%, compared to the three months ended March 31, 2020, and improved 88% sequentially, primarily from lower impairment and restructuring charges and a decline in our research and development expense reflecting the cost improvement initiatives that were implemented during 2020. These cost improvements were partially offset by the decline in demand for our products and services due to the COVID-19 pandemic.</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operating income in the three months ended March 31, 2021 was $5 million , a decrease of $42 million compared to the three months ended March 31, 2020. The decrease was driven by the decline in demand for services across both our C&amp;P and DEI product lines. Segment operating income decreased $8 million sequentially, driven by the lower activity levels in C&amp;P and DEI in the Eastern Hemisphere offset by increased activity and operating improvements in the Western Hemisphere.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Impairments and Other Charges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we did not have significant impairments and other charges. For the three months ended March 31, 2020, significant impairments and other charges totaled $843 million and included $640 million of long-lived asset impairments, $167 million of goodwill impairment, $26 million of restructuring charges and $10 million of other charges.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2021, we filed a Form 10 Registration Statement (“Form 10”) with the United States Securities and Exchange Commission (“SEC”) to register our ordinary shares pursuant to Section 12(b) of the Securities Exchange Act of 1934 (as amended, the “Exchange Act”), with no additional shares to be offered for sale.</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voluntary filing of the Form 10 is subject to SEC review and, upon its effectiveness, we will be subject to the reporting requirements of the Exchange Act. In conjunction with the Form 10 becoming effective, we have applied to list our ordinary shares on The Nasdaq Stock Market LLC stock exchange (“Nasdaq”) under the ticker symbol “WFRD”, subject to approval from Nasdaq and the Company’s compliance with the applicable listing requirements. We currently expect that the registration and listing process will be completed during the second quarter of 2021.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charts set forth certain statistics that reflect historical market conditions.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The table below shows the average oil (West Texas Intermediate (“WTI”)) and natural gas (Henry Hub) prices during the three months ended March 31, 2021 and 2020.</w:t>
      </w:r>
    </w:p>
    <w:p>
      <w:pPr>
        <w:spacing w:after="0" w:line="2"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78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3/31/2021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3/31/2020</w:t>
            </w: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tc>
        <w:tc>
          <w:tcPr>
            <w:tcW w:w="23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r>
      <w:tr>
        <w:trPr>
          <w:trHeight w:val="229"/>
        </w:trPr>
        <w:tc>
          <w:tcPr>
            <w:tcW w:w="49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tc>
        <w:tc>
          <w:tcPr>
            <w:tcW w:w="2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$3.56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1760" w:hanging="168"/>
        <w:spacing w:after="0" w:line="219" w:lineRule="auto"/>
        <w:tabs>
          <w:tab w:leader="none" w:pos="176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 (rounded to the nearest dollar)</w:t>
      </w:r>
    </w:p>
    <w:p>
      <w:pPr>
        <w:spacing w:after="0" w:line="23" w:lineRule="exact"/>
        <w:rPr>
          <w:rFonts w:ascii="Arial" w:cs="Arial" w:eastAsia="Arial" w:hAnsi="Arial"/>
          <w:sz w:val="20"/>
          <w:szCs w:val="20"/>
          <w:color w:val="auto"/>
          <w:vertAlign w:val="superscript"/>
        </w:rPr>
      </w:pPr>
    </w:p>
    <w:p>
      <w:pPr>
        <w:ind w:left="1760" w:hanging="168"/>
        <w:spacing w:after="0" w:line="200" w:lineRule="auto"/>
        <w:tabs>
          <w:tab w:leader="none" w:pos="176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(Btu), or MMBtu</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historical average rig counts based on the weekly Baker Hughes Company rig count information were as follows:</w:t>
      </w:r>
    </w:p>
    <w:p>
      <w:pPr>
        <w:spacing w:after="0" w:line="104"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0"/>
              </w:rPr>
              <w:t>Three Months Ended</w:t>
            </w:r>
          </w:p>
        </w:tc>
        <w:tc>
          <w:tcPr>
            <w:tcW w:w="1160" w:type="dxa"/>
            <w:vAlign w:val="bottom"/>
            <w:tcBorders>
              <w:bottom w:val="single" w:sz="8" w:color="auto"/>
            </w:tcBorders>
          </w:tcPr>
          <w:p>
            <w:pPr>
              <w:spacing w:after="0"/>
              <w:rPr>
                <w:sz w:val="20"/>
                <w:szCs w:val="20"/>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3/31/2021</w:t>
            </w:r>
          </w:p>
        </w:tc>
        <w:tc>
          <w:tcPr>
            <w:tcW w:w="1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12/31/2020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3/31/2020</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663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48"/>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9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Global demand for oil was lower in the first quarter of 2021 compared to the first quarter of 2020, as the COVID-19 pandemic which began late in the first quarter of 2020, remains ongoing. Beginning in the first quarter of 2020, governments around the world responded to the COVID-19 pandemic with lockdowns, resulting in significantly reduced travel. Global stocks of crude and refined products increased as oil supply could not respond quickly enough to balance the market. These factors contributed to the resulting precipitous decline in commodity prices through the remainder of 2020, rising oil and gas inventory levels, decreased realized and expected levels of oil and gas demand, decreased level of production capacity and geopolitical uncertainty. During the second half of 2020, the Organization of Petroleum Exporting Countries (“OPEC”) led a supply alliance that agreed to production limits, which stabilized and improved oil prices. During the three months ended March 31, 2021, oil and natural gas prices have improved and with less volatility compared to prior year, however rig counts remain approximately 40% lower than the same period in the prior year as our industry adjusted operational structure in the last year in response to lower demand.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customer activity shutdowns, travel constraints and access restrictions to customer work locations continue to cause significant uncertainty for the global economy, resulting in the decline in the global demand for oil and gas in the first quarter of 2021 compared to the first quarter of 2020.</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continue to closely monitor the global impacts surrounding the COVID-19 pandemic, including operational and manufacturing disruptions, logistical constraints and travel restrictions.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will continue to affect how we and our customers and suppliers work.</w:t>
      </w:r>
    </w:p>
    <w:p>
      <w:pPr>
        <w:spacing w:after="0" w:line="2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continuously improve crew rotations and management practices to minimize our employees’ exposure to COVID-19 while at client facilities. Our identification and management of COVID-19 cases evolve with the latest guidance through the development of updated protocols, advanced testing and response procedures. Faced with these challenges, we evolved our digital portfolio and enhanced our applications to offer fully-integrated digital oilfield solutions. We also increased our offerings of automated well construction and remote monitoring and predictive analytics related to our product offerings.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Oil prices have risen recently, buoyed by recent supply policies led by OPEC and other high oil exporting non-OPEC nations (“OPEC+”). We expect continued improvements in our customer activity levels with the ongoing COVID-19 vaccine rollout and multinational economic stimulus actions which is expected to provide a measured pathway to oil demand recovery throughout 2021. We anticipate industry activity will continue to slowly recover in the second half of 2021, with higher activity levels more likely to occur during 2022. We expect our consolidated revenues in 2021 to align with current activity levels and are expected to be in line with our annualized second-half 2020 results. This is expected to be comprised of growth in the Western Hemisphere of low- to mid-single digits, and contraction in the low-single digits in the Eastern Hemisphere.</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oilfield services industry growth is highly dependent on many external factors, such as the global response to the COVID-19 pandemic, our customers’ capital expenditures, world economic and political conditions, the price of oil and natural gas, member-country quota compliance within the OPEC, weather conditions and other factors.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In addition, as consolidation of the oil and gas services industry continues due to market conditions, there has been an increased demand for companies with specialized products, services and technologies. We believe we are well positioned to satisfy our customers’ needs, but the level of improvement in our businesses in the future will depend heavily on pricing, volume of work, and our ability to offer solutions to more efficiently extract oil and gas, control costs, and penetrate new and existing markets with our newly developed technologies. Over the long-term, we expect the world’s demand for energy will rise from current levels requiring increased oil field services and more advanced technology from the oilfield service industry. We remain focused on delivering innovative and cost-efficient solutions for customers to assist them in achieving their operational, safety and environmental objectives.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challenges also include adverse market conditions that could make our targeted cost reduction benefits more difficult to recruit new and retain existing employees. Increasing investor and government focus on environmental and social governance factors can impact demand for our products and services. The cyclicality of the energy industry and the pandemic continues to impact the demand for our products and services which strongly depend on the level of exploration and development activity and the completion phase of the well life cycle or on the number of wells and the type of production systems used. We are following our long-term strategy aimed at achieving profitability in our businesses, servicing our customers and creating value for our shareholders. Our long-term success will be determined by our ability to manage effectively the cyclicality of our industry, including potential prolonged industry downturns, our ability to respond to industry demands and periods of over-supply or uncertain oil prices, and ultimately to generate consistent positive cash flow and positive returns on the invested capital.</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consolidated results of operations and financial information by operating segment and other selected information for the periods indicated.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Favorable (Unfavorable)</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6"/>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Seq</w:t>
            </w: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23"/>
        </w:trPr>
        <w:tc>
          <w:tcPr>
            <w:tcW w:w="5260" w:type="dxa"/>
            <w:vAlign w:val="bottom"/>
          </w:tcPr>
          <w:p>
            <w:pPr>
              <w:ind w:left="6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03/31/21</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12/31/20</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03/31/20</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14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6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Segment Operating Income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line="169" w:lineRule="exact"/>
              <w:rPr>
                <w:sz w:val="20"/>
                <w:szCs w:val="20"/>
                <w:color w:val="auto"/>
              </w:rPr>
            </w:pPr>
            <w:r>
              <w:rPr>
                <w:rFonts w:ascii="Arial" w:cs="Arial" w:eastAsia="Arial" w:hAnsi="Arial"/>
                <w:sz w:val="18"/>
                <w:szCs w:val="18"/>
                <w:color w:val="auto"/>
                <w:w w:val="94"/>
              </w:rPr>
              <w:t>Total Operating Income Before Impairments, Restructuring and Other</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28 %</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Impairments and Other Charges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Loss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totaled $832 million in the three months ended March 31, 2021. This is a decrease of $383 million, or 32%, compared to revenues in the three months ended March 31, 2020 was primarily a result of a decline in demand for services and products related to the pandemic, which began negatively impacting our industry late in the first quarter of 2020. The sequential consolidated revenue decline was 1%, with 6% decline in the Eastern Hemisphere driven by lower activity levels across both our C&amp;P and DEI product lines offset by 5% growth in the Western Hemisphere due to increased DEI sales and seasonally higher activity.</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Western Hemisphere revenues decreased $198 million, or 34%, for the three months ended March 31, 2021 compared to the three months ended March 31, 2020 due to lower demand for service and product activity across both product lines as a result of the decrease in demand in services. Western Hemisphere revenues increased 5% sequentially due to increased DEI sales and seasonally higher activity.</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Eastern Hemisphere revenues decreased $185 million, or 30%, for the three months ended March 31, 2021 compared to the three months ended March 31, 2020 related to a decline in activity resulting in lower service and product sales in both our C&amp;P and DEI product lines. Eastern Hemisphere revenues decreased 6% sequentially driven by lower activity levels across both our C&amp;P and DEI product lines, partially offset by improved DEI sales in the Europe and the Middle East.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operating loss in the three months ended March 31, 2021, decreased $809 million, or 98%, compared to the three months ended March 31, 2020, and decreased 88% sequentially, primarily from lower impairment and restructuring charges and a decline in our research and development expense reflecting the cost improvement initiatives that were implemented during 2020. These cost improvements were partially offset by the decline in demand for our products and services due to the COVID-19 pandemic.</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operating income in the three months ended March 31, 2021 was $5 million, a decrease of $42 million compared to the three months ended March 31, 2020. The decrease was driven by the decline in demand for services across both our C&amp;P and DEI product lines, partially offset by our lower cost structure. Segment operating income decreased $8 million sequentially, driven by the lower activity levels in C&amp;P and DEI in the Eastern Hemisphere offset by increased activity and operating improvements in the Western Hemisphere.</w:t>
      </w:r>
    </w:p>
    <w:p>
      <w:pPr>
        <w:spacing w:after="0" w:line="2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Western Hemisphere segment operating income in the three months ended March 31, 2021of $24 million decreased $5 million compared to the three months ended March 31, 2020. The decrease was impacted by adverse weather in the United States, lower activity levels in North America, and the decline in demand for services and oil and gas partially offset by improvements in C&amp;P related activities in Latin America, lower operational and employee costs. Western Hemisphere segment operating income improved $10 million sequentially due to increased DEI sales and seasonally higher activity.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Eastern Hemisphere segment operating loss of $19 million for the three months ended March 31, 2021 deteriorated by $37 million, compared to the three months ended March 31, 2020 and deteriorated by $18 million sequentially. The deterioration was driven by driven by lower activity levels across both our C&amp;P and DEI product lines, partially offset by lower operational and employee costs.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was $70 million for three months ended March 31, 2021. The interest expense represents interest on our 11.0% Exit Notes due 2024 (“Exit Notes”) and our 8.75% Senior Secured Notes due 2024 (“Senior Secured Notes”) as well as accretion expense amortized on our deferred issuance costs and discount on our Senior Secured Notes. Interest expense was $58 million for the three months ended March 31, 2020. The interest expense represents interest on our Exit Notes. See “Note 7 – Borrowings and Other Obligations” to the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Expenses, gains and losses that are realized or incurred as of or subsequent to the July 1, 2019 bankruptcy petition date and as a direct result of the bankruptcy cases and emergence from bankruptcy on December 13, 2019 were recorded under “Reorganization Items” on our Condensed Consolidated Statements of Operations. For the three months ended March 31, 2021 and 2020 “Reorganization Items” were zero and $9 million, respectively.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 was $4 million for the three months ended March 31, 2021 compared to other expense of $25 million for the three months ended March 31, 2020. Other expense is made up of letter of credit fees, other financing charges and foreign exchange losses, primarily attributed to currency losses in countries with no or limited markets to hedge. The improvement was primarily due to lower currency volatility this quarter compared to the significant volatility in the same period of the prior year following the start of the COVID-19 pandemic.</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determined that because small changes in estimated ordinary annual income would result in significant changes in the estimated annual effective tax rate, using the year-to-date effective tax rate is appropriate for determining the quarterly provision for income taxes. The year-to-date effective tax rate treats the year-to-date period as if it was the annual period and determines the income tax expense or benefit on that basis. We will continue to use this method each quarter until the annual effective tax rate method is deemed appropriate. For the three months ended March 31, 2021, we recognized tax expense of $23 million on a loss before income taxes of $87 million compared to tax expense of $44 million on a loss before income taxes of $914 million for the three months ended March 31, 2020. Our income tax provisions generally do not correlate to our consolidated income (loss) before tax. Our income taxes provisions are primarily driven by profits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 Tax expense for the three months ended March 31, 2020 included $20 million to recognize valuation allowance in jurisdictions where we are no longer able to forecast taxable income as a result of our liquidity position as of March 31, 2020.</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March 31, 2021, we anticipate that it is reasonably possible that our uncertain tax positions of $233 million may decrease by up to $3 million in the next twelve months due to expiration of statutes of limitations, settlements and/or conclusions of tax examinations.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three months ended March 31, 2021, there were no material tax impacts to our Condensed Consolidated Financial Statements related to COVID-19 tax relief measures.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Facility Consolidation and Severance Charges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“Note 6 – Restructuring, Facility Consolidation and Severance Charges” to our Condensed Consolidated Financial Statements for additional details of our charges by segment.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2021, we had total cash and cash equivalents and restricted cash of $1.3 billion, which increased $58 million compared to the year ended December 31, 2020. Included in total cash and cash equivalents was $166 million and $167 million of restricted cash at March 31, 2021 and December 31, 2020, respectively. Restricted cash is primarily cash collateral for letters of credit not held under the senior secured letter of credit agreement. The following table summarizes cash flows provided by (used in) each type of activity and a reconciliation of operating cash flow to non-GAAP free cash flow for the three months ended March 31, 2021 and March 31, 2020:</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Reconciliation of Operating Cash Flow to Non-GAAP Free Cash Flow:</w:t>
            </w: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for Property, Plant and Equipment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7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Non-GAAP Free Cash Flow</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operating activities was $74 million for the three months ended March 31, 2021 compared to $30 million for the three months ended March 31, 2020. The improvement for the three months ended March 31, 2021 was primarily driven by collections on our accounts receivables and inventory utilization, partially offset by higher interest payments.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used in investing activities was $3 million for the three months ended March 31, 2021 compared to cash used in investing activities of $35 million for the three months ended March 31, 2020. During the three months ended March 31, 2021, the primary uses of cash in investing activities were capital expenditures of $15 million for property, plant and equipment, offset by proceeds of $11 million from other asset dispositions. During the three months ended March 31, 2020, the primary uses of cash in investing activities were (i) capital expenditures of $38 million for property, plant and equipment, offset by proceeds of $6 million from other asset dispositions.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cash used in financing activities was $9 million primarily for the repayment of debt obligations for the three months ended March 31, 2021 compared to $20 million primarily for the repayment of debt and a $12 million deferred payment for our acquisition of a joint venture in the Middle East for the three months ended March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free cash flow (“free cash flow”) represents cash provided by (used in) operating activities less capital expenditures for property, plant and equipment plus proceeds from the disposition of assets. Operating cash flow was $74 million and $30 million in the three months ended March 31, 2021 and 2020, respectively. Free cash flow was a positive $70 million and negative $2 million in the three months ended March 31, 2021 and 2020, respectively. Management believes that free cash flow is useful to investors and management as an important liquidity measure of our ability to generate cash, pay obligations and grow the business and shareholder value. It is a non-GAAP financial measure that should be considered in addition to, not as substitute for or superior to, cash provided by (used in) operating activities.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sources of available liquidity include cash generated by our operations, cash and cash equivalent balances, accounts receivable factoring, and dispositions of businesses or capital assets that no longer fit our long-term strategy. We historically have accessed banks for short-term loans and have accessed the capital markets with debt and equity offerings. While the market has stabilized recently, the energy industry’s access to capital remains constrained. Although we may have access to capital markets, it may not be on terms that are commercially acceptable to the Company. Based upon current and anticipated levels of operations, we believe we will have sufficient cash from operations and cash on hand to fund our expected financial obligations and cash requirements (discussed below) both in the short-term and long-term.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Due to the significance of the recent disruption in the oil and gas industry, we could experience delayed customer payments and payment defaults associated with customer liquidity issues.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cash requirements will continue to include interest payments on our long-term debt, payments for capital expenditures, repayment of financed leases, payments for short-term working capital needs and costs associated with our revenue and restructuring payments, including severance. Our cash requirements may also include awards under our employee incentive programs and other amounts to settle litigation related matters.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2021, we had $2.1 billion in aggregate principal amount maturing on December 1, 2024 and $500 million in aggregate principal amount maturing on September 1, 2024 for our Exit Notes and Senior Secured Notes, respectively. We expect to have interest payments of approximately $275 million annually until their maturity. Please see “Note 7 – Borrowings and Other Obligations” for additional details. Our 2021 payments on operating leases are expected to be $67 million and capital spending is expected to be in the range of $100 million – $130 million.</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(including restricted cash of $166 million primarily related to cash collateral on our letters of credit) totaled $1.3 billion at March 31, 2021, and are held by subsidiaries outside of Ireland. At March 31, 2021 we had $169 million of our cash and cash equivalents that cannot be immediately repatriated from various countries due to country central bank controls or other regulations. Based on the nature of our structure, other than the restrictions noted above, we foresee we are able to redeploy cash with minimal to no incremental tax.</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2021, our Moody’s Investor Services credit rating on the Senior Secured Notes and the senior secured letter of credit agreement maturing on June 13, 2024 with the lenders party thereto and Deutsche Bank Trust Company Americas as administrative agent (the “LC Credit Agreement”) was Ba3, with a negative outlook. Our Exit Notes have a credit rating of B3 with a negative outlook. At March 31, 2021, our S&amp;P credit rating on our Senior Secured Notes and our LC Credit Agreement was B-, with a negative outlook. The credit rating on our Exit Notes was CCC with a negative outlook. The ratings from both agencies remain unchanged from the ratings assigned at the end of 2020.</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we may continue to have access to credit markets, our credit rating, restrictions under our Exit Notes, Senior Secured Notes and LC Credit Agreement, and the industry downturn, could limit our ability to raise capital, refinance our existing debt, or could cause us to refinance or issue debt with less favorable and more restrictive terms and conditions, and could increase certain fees and interest of our borrowings.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Annual Report on Form 10-K for the year ended December 31, 2020 (“2020 Annual Report”).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Surety Bonds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$328 million of letters of credit outstanding, consisting of $160 million under the LC Credit Agreement and $168 million under various uncommitted facilities (of which there was $163 million in cash collateral held and recorded in “Restricted Cash” on our Consolidated Balance Sheets).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Latin America we utilize surety bonds as part of our customary business practice and as of March 31, 2021, we had surety bonds outstanding of $321 million. Any of our outstanding letters of credit or surety bonds could be called by the beneficiaries should we breach certain contractual or performance obligations. If the beneficiaries were to call the letters of credit under our LC Credit Agreement or surety bonds, our available liquidity would be reduced by the amount called.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 is based upon our Condensed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2020 Annual Report filed on 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 Risk Factors”, sets forth certain risks and uncertainties relating to our forward-looking statements that may cause actual results to be materially different from our present expectations or projections:</w:t>
      </w:r>
    </w:p>
    <w:p>
      <w:pPr>
        <w:spacing w:after="0" w:line="204" w:lineRule="exact"/>
        <w:rPr>
          <w:sz w:val="20"/>
          <w:szCs w:val="20"/>
          <w:color w:val="auto"/>
        </w:rPr>
      </w:pPr>
    </w:p>
    <w:p>
      <w:pPr>
        <w:jc w:val="both"/>
        <w:ind w:left="740" w:hanging="327"/>
        <w:spacing w:after="0" w:line="254"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9"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40" w:right="200" w:hanging="327"/>
        <w:spacing w:after="0" w:line="260"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as well as stock exchange listing rules.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 under the Exchange Act and the Securities Act of 1933 (as amended). For additional information regarding risks and uncertainties, see our other filings with the SEC. In the event of an inconsistency between any prior or current SEC filing, the most recent filing will control.</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6" w:name="page27"/>
    <w:bookmarkEnd w:id="2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the change in the fair value of our debt as discussed in “Note 7 – Borrowings and Other Obligations” to our Condensed Consolidated Financial Statements, our exposure to market risk has not changed materially since December 31, 2020.</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Disclosure controls and procedures (as defined in Rules 13a-15(e) and 15d-15(e)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are designed to 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March 31, 2021. Based on that evaluation, our CEO and CFO concluded that our disclosure controls and procedures were effective as of March 31, 2021.</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March 31, 2021 that has materially affected, or is reasonably likely to materially affect, our internal control over financial reporting.</w:t>
      </w: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 Disputes, Litigation and Contingencies” to our Condensed Consolidated Financial Statements for details regarding our ongoing disputes and litigation.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2020 Annual Report, Part I, under the heading “Item 1A. – Risk Factors”, our registration statement on Form 10-12B filed with the SEC on March 29, 2021 (our “Form 10-12B”), Part I, under the heading “Item 1A. – Risk Factors,” and other information included and incorporated by reference in this report. As of March 31, 2021, there have been no material changes in our assessment of our risk factors from those set forth in our 2020 Annual Report and our Form 10-12B filed on March 29, 2021.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2021, we issued 102,797 of our ordinary shares upon the vesting of outstanding performance stock units, net of shares withheld to satisfy statutory minimum tax withholding obligations. These securities were issued under the Second Amended and Restated 2019 Executive Incentive Plan dated October 30, 2020 without registration in reliance on the exemptions afforded by Rule 701 under the Securities Act or by Section 4(a)(2) of the Securities Act, as well as under analogous state “blue sky” laws.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7" w:name="page28"/>
    <w:bookmarkEnd w:id="2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Exhibit</w:t>
            </w:r>
          </w:p>
        </w:tc>
        <w:tc>
          <w:tcPr>
            <w:tcW w:w="35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Description</w:t>
            </w:r>
          </w:p>
        </w:tc>
        <w:tc>
          <w:tcPr>
            <w:tcW w:w="4720" w:type="dxa"/>
            <w:vAlign w:val="bottom"/>
            <w:vMerge w:val="restart"/>
          </w:tcPr>
          <w:p>
            <w:pPr>
              <w:ind w:left="2460"/>
              <w:spacing w:after="0"/>
              <w:rPr>
                <w:sz w:val="20"/>
                <w:szCs w:val="20"/>
                <w:color w:val="auto"/>
              </w:rPr>
            </w:pPr>
            <w:r>
              <w:rPr>
                <w:rFonts w:ascii="Arial" w:cs="Arial" w:eastAsia="Arial" w:hAnsi="Arial"/>
                <w:sz w:val="18"/>
                <w:szCs w:val="18"/>
                <w:b w:val="1"/>
                <w:bCs w:val="1"/>
                <w:color w:val="auto"/>
              </w:rPr>
              <w:t>Original Filed Exhibit</w:t>
            </w:r>
          </w:p>
        </w:tc>
        <w:tc>
          <w:tcPr>
            <w:tcW w:w="1520" w:type="dxa"/>
            <w:vAlign w:val="bottom"/>
            <w:vMerge w:val="restart"/>
          </w:tcPr>
          <w:p>
            <w:pPr>
              <w:ind w:left="540"/>
              <w:spacing w:after="0"/>
              <w:rPr>
                <w:sz w:val="20"/>
                <w:szCs w:val="20"/>
                <w:color w:val="auto"/>
              </w:rPr>
            </w:pPr>
            <w:r>
              <w:rPr>
                <w:rFonts w:ascii="Arial" w:cs="Arial" w:eastAsia="Arial" w:hAnsi="Arial"/>
                <w:sz w:val="18"/>
                <w:szCs w:val="18"/>
                <w:b w:val="1"/>
                <w:bCs w:val="1"/>
                <w:color w:val="auto"/>
                <w:w w:val="92"/>
              </w:rPr>
              <w:t>File Number</w:t>
            </w:r>
          </w:p>
        </w:tc>
        <w:tc>
          <w:tcPr>
            <w:tcW w:w="0" w:type="dxa"/>
            <w:vAlign w:val="bottom"/>
          </w:tcPr>
          <w:p>
            <w:pPr>
              <w:spacing w:after="0"/>
              <w:rPr>
                <w:sz w:val="1"/>
                <w:szCs w:val="1"/>
                <w:color w:val="auto"/>
              </w:rPr>
            </w:pPr>
          </w:p>
        </w:tc>
      </w:tr>
      <w:tr>
        <w:trPr>
          <w:trHeight w:val="234"/>
        </w:trPr>
        <w:tc>
          <w:tcPr>
            <w:tcW w:w="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Number</w:t>
            </w:r>
          </w:p>
        </w:tc>
        <w:tc>
          <w:tcPr>
            <w:tcW w:w="3540" w:type="dxa"/>
            <w:vAlign w:val="bottom"/>
            <w:vMerge w:val="continue"/>
          </w:tcPr>
          <w:p>
            <w:pPr>
              <w:spacing w:after="0"/>
              <w:rPr>
                <w:sz w:val="20"/>
                <w:szCs w:val="20"/>
                <w:color w:val="auto"/>
              </w:rPr>
            </w:pPr>
          </w:p>
        </w:tc>
        <w:tc>
          <w:tcPr>
            <w:tcW w:w="472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8" w:lineRule="exact"/>
        <w:rPr>
          <w:sz w:val="20"/>
          <w:szCs w:val="20"/>
          <w:color w:val="auto"/>
        </w:rPr>
      </w:pPr>
    </w:p>
    <w:p>
      <w:pPr>
        <w:ind w:left="20"/>
        <w:spacing w:after="0"/>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40">
        <w:r>
          <w:rPr>
            <w:rFonts w:ascii="Arial" w:cs="Arial" w:eastAsia="Arial" w:hAnsi="Arial"/>
            <w:sz w:val="16"/>
            <w:szCs w:val="16"/>
            <w:u w:val="single" w:color="auto"/>
            <w:color w:val="0000FF"/>
          </w:rPr>
          <w:t>Weatherford International plc Short-Term Incentive Plan.</w:t>
        </w:r>
      </w:hyperlink>
    </w:p>
    <w:p>
      <w:pPr>
        <w:spacing w:after="0" w:line="20" w:lineRule="exact"/>
        <w:rPr>
          <w:sz w:val="20"/>
          <w:szCs w:val="20"/>
          <w:color w:val="auto"/>
        </w:rPr>
      </w:pPr>
      <w:r>
        <w:rPr>
          <w:sz w:val="20"/>
          <w:szCs w:val="20"/>
          <w:color w:val="auto"/>
        </w:rPr>
        <w:br w:type="column"/>
      </w:r>
    </w:p>
    <w:p>
      <w:pPr>
        <w:ind w:right="520"/>
        <w:spacing w:after="0" w:line="235" w:lineRule="auto"/>
        <w:rPr>
          <w:sz w:val="20"/>
          <w:szCs w:val="20"/>
          <w:color w:val="auto"/>
        </w:rPr>
      </w:pPr>
      <w:r>
        <w:rPr>
          <w:rFonts w:ascii="Arial" w:cs="Arial" w:eastAsia="Arial" w:hAnsi="Arial"/>
          <w:sz w:val="18"/>
          <w:szCs w:val="18"/>
          <w:color w:val="auto"/>
        </w:rPr>
        <w:t>Exhibit 10.1 to the Company’s Current File No. 1-36504 Report on Form 8-K filed January 8, 2021</w:t>
      </w:r>
    </w:p>
    <w:p>
      <w:pPr>
        <w:spacing w:after="0" w:line="1" w:lineRule="exact"/>
        <w:rPr>
          <w:sz w:val="20"/>
          <w:szCs w:val="20"/>
          <w:color w:val="auto"/>
        </w:rPr>
      </w:pPr>
    </w:p>
    <w:p>
      <w:pPr>
        <w:sectPr>
          <w:pgSz w:w="11900" w:h="16838" w:orient="portrait"/>
          <w:cols w:equalWidth="0" w:num="2">
            <w:col w:w="5660" w:space="720"/>
            <w:col w:w="4860"/>
          </w:cols>
          <w:pgMar w:left="320" w:top="476"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220" w:type="dxa"/>
            <w:vAlign w:val="bottom"/>
          </w:tcPr>
          <w:p>
            <w:pPr>
              <w:jc w:val="right"/>
              <w:ind w:right="710"/>
              <w:spacing w:after="0" w:line="203" w:lineRule="exact"/>
              <w:rPr>
                <w:sz w:val="20"/>
                <w:szCs w:val="20"/>
                <w:color w:val="auto"/>
              </w:rPr>
            </w:pPr>
            <w:r>
              <w:rPr>
                <w:rFonts w:ascii="Arial" w:cs="Arial" w:eastAsia="Arial" w:hAnsi="Arial"/>
                <w:sz w:val="18"/>
                <w:szCs w:val="18"/>
                <w:color w:val="auto"/>
                <w:w w:val="95"/>
              </w:rPr>
              <w:t>10.2*</w:t>
            </w:r>
          </w:p>
        </w:tc>
        <w:tc>
          <w:tcPr>
            <w:tcW w:w="4460" w:type="dxa"/>
            <w:vAlign w:val="bottom"/>
            <w:gridSpan w:val="3"/>
          </w:tcPr>
          <w:p>
            <w:pPr>
              <w:spacing w:after="0" w:line="203" w:lineRule="exact"/>
              <w:rPr>
                <w:rFonts w:ascii="Arial" w:cs="Arial" w:eastAsia="Arial" w:hAnsi="Arial"/>
                <w:sz w:val="18"/>
                <w:szCs w:val="18"/>
                <w:color w:val="0000FF"/>
              </w:rPr>
            </w:pPr>
            <w:hyperlink r:id="rId41">
              <w:r>
                <w:rPr>
                  <w:rFonts w:ascii="Arial" w:cs="Arial" w:eastAsia="Arial" w:hAnsi="Arial"/>
                  <w:sz w:val="18"/>
                  <w:szCs w:val="18"/>
                  <w:color w:val="0000FF"/>
                </w:rPr>
                <w:t>Form of Restricted Share Unit Award Agreement.</w:t>
              </w:r>
            </w:hyperlink>
          </w:p>
        </w:tc>
        <w:tc>
          <w:tcPr>
            <w:tcW w:w="3700" w:type="dxa"/>
            <w:vAlign w:val="bottom"/>
          </w:tcPr>
          <w:p>
            <w:pPr>
              <w:ind w:left="680"/>
              <w:spacing w:after="0" w:line="203" w:lineRule="exact"/>
              <w:rPr>
                <w:sz w:val="20"/>
                <w:szCs w:val="20"/>
                <w:color w:val="auto"/>
              </w:rPr>
            </w:pPr>
            <w:r>
              <w:rPr>
                <w:rFonts w:ascii="Arial" w:cs="Arial" w:eastAsia="Arial" w:hAnsi="Arial"/>
                <w:sz w:val="18"/>
                <w:szCs w:val="18"/>
                <w:color w:val="auto"/>
                <w:w w:val="98"/>
              </w:rPr>
              <w:t>Exhibit 10.2 to the Company’s Current</w:t>
            </w:r>
          </w:p>
        </w:tc>
      </w:tr>
      <w:tr>
        <w:trPr>
          <w:trHeight w:val="222"/>
        </w:trPr>
        <w:tc>
          <w:tcPr>
            <w:tcW w:w="1220" w:type="dxa"/>
            <w:vAlign w:val="bottom"/>
          </w:tcPr>
          <w:p>
            <w:pPr>
              <w:spacing w:after="0"/>
              <w:rPr>
                <w:sz w:val="19"/>
                <w:szCs w:val="19"/>
                <w:color w:val="auto"/>
              </w:rPr>
            </w:pPr>
          </w:p>
        </w:tc>
        <w:tc>
          <w:tcPr>
            <w:tcW w:w="358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00" w:type="dxa"/>
            <w:vAlign w:val="bottom"/>
          </w:tcPr>
          <w:p>
            <w:pPr>
              <w:ind w:left="680"/>
              <w:spacing w:after="0"/>
              <w:rPr>
                <w:sz w:val="20"/>
                <w:szCs w:val="20"/>
                <w:color w:val="auto"/>
              </w:rPr>
            </w:pPr>
            <w:r>
              <w:rPr>
                <w:rFonts w:ascii="Arial" w:cs="Arial" w:eastAsia="Arial" w:hAnsi="Arial"/>
                <w:sz w:val="18"/>
                <w:szCs w:val="18"/>
                <w:color w:val="auto"/>
                <w:w w:val="90"/>
              </w:rPr>
              <w:t>Report on Form 8-K filed January 8, 2021</w:t>
            </w:r>
          </w:p>
        </w:tc>
      </w:tr>
      <w:tr>
        <w:trPr>
          <w:trHeight w:val="197"/>
        </w:trPr>
        <w:tc>
          <w:tcPr>
            <w:tcW w:w="1220" w:type="dxa"/>
            <w:vAlign w:val="bottom"/>
          </w:tcPr>
          <w:p>
            <w:pPr>
              <w:jc w:val="right"/>
              <w:ind w:right="710"/>
              <w:spacing w:after="0" w:line="190" w:lineRule="exact"/>
              <w:rPr>
                <w:sz w:val="20"/>
                <w:szCs w:val="20"/>
                <w:color w:val="auto"/>
              </w:rPr>
            </w:pPr>
            <w:r>
              <w:rPr>
                <w:rFonts w:ascii="Arial" w:cs="Arial" w:eastAsia="Arial" w:hAnsi="Arial"/>
                <w:sz w:val="18"/>
                <w:szCs w:val="18"/>
                <w:color w:val="auto"/>
                <w:w w:val="95"/>
              </w:rPr>
              <w:t>10.3*</w:t>
            </w:r>
          </w:p>
        </w:tc>
        <w:tc>
          <w:tcPr>
            <w:tcW w:w="4460" w:type="dxa"/>
            <w:vAlign w:val="bottom"/>
            <w:gridSpan w:val="3"/>
          </w:tcPr>
          <w:p>
            <w:pPr>
              <w:spacing w:after="0" w:line="190" w:lineRule="exact"/>
              <w:rPr>
                <w:rFonts w:ascii="Arial" w:cs="Arial" w:eastAsia="Arial" w:hAnsi="Arial"/>
                <w:sz w:val="18"/>
                <w:szCs w:val="18"/>
                <w:color w:val="0000FF"/>
              </w:rPr>
            </w:pPr>
            <w:hyperlink r:id="rId42">
              <w:r>
                <w:rPr>
                  <w:rFonts w:ascii="Arial" w:cs="Arial" w:eastAsia="Arial" w:hAnsi="Arial"/>
                  <w:sz w:val="18"/>
                  <w:szCs w:val="18"/>
                  <w:color w:val="0000FF"/>
                </w:rPr>
                <w:t>Form of Performance Share Unit Award Agreement.</w:t>
              </w:r>
            </w:hyperlink>
          </w:p>
        </w:tc>
        <w:tc>
          <w:tcPr>
            <w:tcW w:w="3700" w:type="dxa"/>
            <w:vAlign w:val="bottom"/>
          </w:tcPr>
          <w:p>
            <w:pPr>
              <w:ind w:left="680"/>
              <w:spacing w:after="0" w:line="190" w:lineRule="exact"/>
              <w:rPr>
                <w:sz w:val="20"/>
                <w:szCs w:val="20"/>
                <w:color w:val="auto"/>
              </w:rPr>
            </w:pPr>
            <w:r>
              <w:rPr>
                <w:rFonts w:ascii="Arial" w:cs="Arial" w:eastAsia="Arial" w:hAnsi="Arial"/>
                <w:sz w:val="18"/>
                <w:szCs w:val="18"/>
                <w:color w:val="auto"/>
                <w:w w:val="98"/>
              </w:rPr>
              <w:t>Exhibit 10.3 to the Company’s Current</w:t>
            </w:r>
          </w:p>
        </w:tc>
      </w:tr>
      <w:tr>
        <w:trPr>
          <w:trHeight w:val="191"/>
        </w:trPr>
        <w:tc>
          <w:tcPr>
            <w:tcW w:w="1220" w:type="dxa"/>
            <w:vAlign w:val="bottom"/>
          </w:tcPr>
          <w:p>
            <w:pPr>
              <w:spacing w:after="0"/>
              <w:rPr>
                <w:sz w:val="16"/>
                <w:szCs w:val="16"/>
                <w:color w:val="auto"/>
              </w:rPr>
            </w:pPr>
          </w:p>
        </w:tc>
        <w:tc>
          <w:tcPr>
            <w:tcW w:w="35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80" w:type="dxa"/>
            <w:vAlign w:val="bottom"/>
          </w:tcPr>
          <w:p>
            <w:pPr>
              <w:spacing w:after="0"/>
              <w:rPr>
                <w:sz w:val="16"/>
                <w:szCs w:val="16"/>
                <w:color w:val="auto"/>
              </w:rPr>
            </w:pPr>
          </w:p>
        </w:tc>
        <w:tc>
          <w:tcPr>
            <w:tcW w:w="3700" w:type="dxa"/>
            <w:vAlign w:val="bottom"/>
          </w:tcPr>
          <w:p>
            <w:pPr>
              <w:ind w:left="680"/>
              <w:spacing w:after="0" w:line="191" w:lineRule="exact"/>
              <w:rPr>
                <w:sz w:val="20"/>
                <w:szCs w:val="20"/>
                <w:color w:val="auto"/>
              </w:rPr>
            </w:pPr>
            <w:r>
              <w:rPr>
                <w:rFonts w:ascii="Arial" w:cs="Arial" w:eastAsia="Arial" w:hAnsi="Arial"/>
                <w:sz w:val="18"/>
                <w:szCs w:val="18"/>
                <w:color w:val="auto"/>
                <w:w w:val="90"/>
              </w:rPr>
              <w:t>Report on Form 8-K filed January 8,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No. 1-36504</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11" w:lineRule="exact"/>
        <w:rPr>
          <w:sz w:val="20"/>
          <w:szCs w:val="20"/>
          <w:color w:val="auto"/>
        </w:rPr>
      </w:pPr>
    </w:p>
    <w:p>
      <w:pPr>
        <w:sectPr>
          <w:pgSz w:w="11900" w:h="16838" w:orient="portrait"/>
          <w:cols w:equalWidth="0" w:num="2">
            <w:col w:w="9400" w:space="80"/>
            <w:col w:w="176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1240" w:type="dxa"/>
            <w:vAlign w:val="bottom"/>
          </w:tcPr>
          <w:p>
            <w:pPr>
              <w:jc w:val="right"/>
              <w:ind w:right="710"/>
              <w:spacing w:after="0" w:line="174" w:lineRule="exact"/>
              <w:rPr>
                <w:sz w:val="20"/>
                <w:szCs w:val="20"/>
                <w:color w:val="auto"/>
              </w:rPr>
            </w:pPr>
            <w:r>
              <w:rPr>
                <w:rFonts w:ascii="Arial" w:cs="Arial" w:eastAsia="Arial" w:hAnsi="Arial"/>
                <w:sz w:val="18"/>
                <w:szCs w:val="18"/>
                <w:color w:val="auto"/>
                <w:w w:val="99"/>
              </w:rPr>
              <w:t>10.4*</w:t>
            </w:r>
          </w:p>
        </w:tc>
        <w:tc>
          <w:tcPr>
            <w:tcW w:w="5020" w:type="dxa"/>
            <w:vAlign w:val="bottom"/>
            <w:gridSpan w:val="4"/>
          </w:tcPr>
          <w:p>
            <w:pPr>
              <w:spacing w:after="0" w:line="174" w:lineRule="exact"/>
              <w:rPr>
                <w:rFonts w:ascii="Arial" w:cs="Arial" w:eastAsia="Arial" w:hAnsi="Arial"/>
                <w:sz w:val="18"/>
                <w:szCs w:val="18"/>
                <w:color w:val="0000FF"/>
              </w:rPr>
            </w:pPr>
            <w:hyperlink r:id="rId44">
              <w:r>
                <w:rPr>
                  <w:rFonts w:ascii="Arial" w:cs="Arial" w:eastAsia="Arial" w:hAnsi="Arial"/>
                  <w:sz w:val="18"/>
                  <w:szCs w:val="18"/>
                  <w:color w:val="0000FF"/>
                </w:rPr>
                <w:t>Form of Phantom Share Unit Award Agreement.</w:t>
              </w:r>
            </w:hyperlink>
          </w:p>
        </w:tc>
        <w:tc>
          <w:tcPr>
            <w:tcW w:w="3180" w:type="dxa"/>
            <w:vAlign w:val="bottom"/>
          </w:tcPr>
          <w:p>
            <w:pPr>
              <w:ind w:left="120"/>
              <w:spacing w:after="0" w:line="174" w:lineRule="exact"/>
              <w:rPr>
                <w:sz w:val="20"/>
                <w:szCs w:val="20"/>
                <w:color w:val="auto"/>
              </w:rPr>
            </w:pPr>
            <w:r>
              <w:rPr>
                <w:rFonts w:ascii="Arial" w:cs="Arial" w:eastAsia="Arial" w:hAnsi="Arial"/>
                <w:sz w:val="18"/>
                <w:szCs w:val="18"/>
                <w:color w:val="auto"/>
                <w:w w:val="99"/>
              </w:rPr>
              <w:t>Exhibit 10.4 to the Company’s Current</w:t>
            </w:r>
          </w:p>
        </w:tc>
        <w:tc>
          <w:tcPr>
            <w:tcW w:w="1800" w:type="dxa"/>
            <w:vAlign w:val="bottom"/>
          </w:tcPr>
          <w:p>
            <w:pPr>
              <w:ind w:left="40"/>
              <w:spacing w:after="0" w:line="174" w:lineRule="exact"/>
              <w:rPr>
                <w:sz w:val="20"/>
                <w:szCs w:val="20"/>
                <w:color w:val="auto"/>
              </w:rPr>
            </w:pPr>
            <w:r>
              <w:rPr>
                <w:rFonts w:ascii="Arial" w:cs="Arial" w:eastAsia="Arial" w:hAnsi="Arial"/>
                <w:sz w:val="18"/>
                <w:szCs w:val="18"/>
                <w:color w:val="auto"/>
              </w:rPr>
              <w:t>File No. 1-36504</w:t>
            </w:r>
          </w:p>
        </w:tc>
      </w:tr>
      <w:tr>
        <w:trPr>
          <w:trHeight w:val="196"/>
        </w:trPr>
        <w:tc>
          <w:tcPr>
            <w:tcW w:w="1240" w:type="dxa"/>
            <w:vAlign w:val="bottom"/>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Pr>
          <w:p>
            <w:pPr>
              <w:ind w:left="120"/>
              <w:spacing w:after="0" w:line="196" w:lineRule="exact"/>
              <w:rPr>
                <w:sz w:val="20"/>
                <w:szCs w:val="20"/>
                <w:color w:val="auto"/>
              </w:rPr>
            </w:pPr>
            <w:r>
              <w:rPr>
                <w:rFonts w:ascii="Arial" w:cs="Arial" w:eastAsia="Arial" w:hAnsi="Arial"/>
                <w:sz w:val="18"/>
                <w:szCs w:val="18"/>
                <w:color w:val="auto"/>
                <w:w w:val="91"/>
              </w:rPr>
              <w:t>Report on Form 8-K filed January 8, 2021</w:t>
            </w:r>
          </w:p>
        </w:tc>
        <w:tc>
          <w:tcPr>
            <w:tcW w:w="1800" w:type="dxa"/>
            <w:vAlign w:val="bottom"/>
          </w:tcPr>
          <w:p>
            <w:pPr>
              <w:spacing w:after="0"/>
              <w:rPr>
                <w:sz w:val="17"/>
                <w:szCs w:val="17"/>
                <w:color w:val="auto"/>
              </w:rPr>
            </w:pPr>
          </w:p>
        </w:tc>
      </w:tr>
      <w:tr>
        <w:trPr>
          <w:trHeight w:val="189"/>
        </w:trPr>
        <w:tc>
          <w:tcPr>
            <w:tcW w:w="1240" w:type="dxa"/>
            <w:vAlign w:val="bottom"/>
            <w:shd w:val="clear" w:color="auto" w:fill="CCEEFF"/>
          </w:tcPr>
          <w:p>
            <w:pPr>
              <w:jc w:val="right"/>
              <w:ind w:right="710"/>
              <w:spacing w:after="0" w:line="189" w:lineRule="exact"/>
              <w:rPr>
                <w:sz w:val="20"/>
                <w:szCs w:val="20"/>
                <w:color w:val="auto"/>
              </w:rPr>
            </w:pPr>
            <w:r>
              <w:rPr>
                <w:rFonts w:ascii="Arial" w:cs="Arial" w:eastAsia="Arial" w:hAnsi="Arial"/>
                <w:sz w:val="18"/>
                <w:szCs w:val="18"/>
                <w:color w:val="auto"/>
                <w:w w:val="99"/>
              </w:rPr>
              <w:t>10.5*</w:t>
            </w:r>
          </w:p>
        </w:tc>
        <w:tc>
          <w:tcPr>
            <w:tcW w:w="5020" w:type="dxa"/>
            <w:vAlign w:val="bottom"/>
            <w:gridSpan w:val="4"/>
            <w:shd w:val="clear" w:color="auto" w:fill="CCEEFF"/>
          </w:tcPr>
          <w:p>
            <w:pPr>
              <w:spacing w:after="0" w:line="189"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Amended and Restated Performance Share Unit Award Agreement -</w:t>
              </w:r>
            </w:hyperlink>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Exhibit 10.24 to the Company’s Annual</w:t>
            </w:r>
          </w:p>
        </w:tc>
        <w:tc>
          <w:tcPr>
            <w:tcW w:w="18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File No. 1-36504</w:t>
            </w: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492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Girish K. Saligram.</w:t>
              </w:r>
            </w:hyperlink>
          </w:p>
        </w:tc>
        <w:tc>
          <w:tcPr>
            <w:tcW w:w="100" w:type="dxa"/>
            <w:vAlign w:val="bottom"/>
            <w:tcBorders>
              <w:top w:val="single" w:sz="8" w:color="CCEEFF"/>
            </w:tcBorders>
            <w:shd w:val="clear" w:color="auto" w:fill="CCEEFF"/>
          </w:tcPr>
          <w:p>
            <w:pPr>
              <w:spacing w:after="0"/>
              <w:rPr>
                <w:sz w:val="14"/>
                <w:szCs w:val="14"/>
                <w:color w:val="auto"/>
              </w:rPr>
            </w:pPr>
          </w:p>
        </w:tc>
        <w:tc>
          <w:tcPr>
            <w:tcW w:w="31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8"/>
                <w:szCs w:val="18"/>
                <w:color w:val="auto"/>
                <w:w w:val="94"/>
              </w:rPr>
              <w:t>Report on Form 10-K for the year ended</w:t>
            </w:r>
          </w:p>
        </w:tc>
        <w:tc>
          <w:tcPr>
            <w:tcW w:w="1800" w:type="dxa"/>
            <w:vAlign w:val="bottom"/>
            <w:tcBorders>
              <w:top w:val="single" w:sz="8" w:color="CCEEFF"/>
            </w:tcBorders>
            <w:shd w:val="clear" w:color="auto" w:fill="CCEEFF"/>
          </w:tcPr>
          <w:p>
            <w:pPr>
              <w:spacing w:after="0"/>
              <w:rPr>
                <w:sz w:val="14"/>
                <w:szCs w:val="14"/>
                <w:color w:val="auto"/>
              </w:rPr>
            </w:pPr>
          </w:p>
        </w:tc>
      </w:tr>
      <w:tr>
        <w:trPr>
          <w:trHeight w:val="135"/>
        </w:trPr>
        <w:tc>
          <w:tcPr>
            <w:tcW w:w="12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0000FF"/>
            </w:tcBorders>
            <w:shd w:val="clear" w:color="auto" w:fill="CCEEFF"/>
          </w:tcPr>
          <w:p>
            <w:pPr>
              <w:spacing w:after="0"/>
              <w:rPr>
                <w:sz w:val="11"/>
                <w:szCs w:val="11"/>
                <w:color w:val="auto"/>
              </w:rPr>
            </w:pPr>
          </w:p>
        </w:tc>
        <w:tc>
          <w:tcPr>
            <w:tcW w:w="2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CCEEFF"/>
            </w:tcBorders>
            <w:shd w:val="clear" w:color="auto" w:fill="CCEEFF"/>
          </w:tcPr>
          <w:p>
            <w:pPr>
              <w:ind w:left="120"/>
              <w:spacing w:after="0" w:line="135" w:lineRule="exact"/>
              <w:rPr>
                <w:sz w:val="20"/>
                <w:szCs w:val="20"/>
                <w:color w:val="auto"/>
              </w:rPr>
            </w:pPr>
            <w:r>
              <w:rPr>
                <w:rFonts w:ascii="Arial" w:cs="Arial" w:eastAsia="Arial" w:hAnsi="Arial"/>
                <w:sz w:val="15"/>
                <w:szCs w:val="15"/>
                <w:color w:val="auto"/>
              </w:rPr>
              <w:t>December 31, 2020 filed February 19,</w:t>
            </w:r>
          </w:p>
        </w:tc>
        <w:tc>
          <w:tcPr>
            <w:tcW w:w="1800" w:type="dxa"/>
            <w:vAlign w:val="bottom"/>
            <w:tcBorders>
              <w:top w:val="single" w:sz="8" w:color="CCEEFF"/>
            </w:tcBorders>
            <w:shd w:val="clear" w:color="auto" w:fill="CCEEFF"/>
          </w:tcPr>
          <w:p>
            <w:pPr>
              <w:spacing w:after="0"/>
              <w:rPr>
                <w:sz w:val="11"/>
                <w:szCs w:val="11"/>
                <w:color w:val="auto"/>
              </w:rPr>
            </w:pPr>
          </w:p>
        </w:tc>
      </w:tr>
      <w:tr>
        <w:trPr>
          <w:trHeight w:val="230"/>
        </w:trPr>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18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476" w:right="339" w:bottom="1440" w:gutter="0" w:footer="0" w:header="0"/>
          <w:type w:val="continuous"/>
        </w:sectPr>
      </w:pPr>
    </w:p>
    <w:p>
      <w:pPr>
        <w:ind w:left="20"/>
        <w:spacing w:after="0"/>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46">
        <w:r>
          <w:rPr>
            <w:rFonts w:ascii="Arial" w:cs="Arial" w:eastAsia="Arial" w:hAnsi="Arial"/>
            <w:sz w:val="16"/>
            <w:szCs w:val="16"/>
            <w:u w:val="single" w:color="auto"/>
            <w:color w:val="0000FF"/>
          </w:rPr>
          <w:t>LTCIP Amended Award Agreement adopted March 17, 2021.</w:t>
        </w:r>
      </w:hyperlink>
    </w:p>
    <w:p>
      <w:pPr>
        <w:spacing w:after="0" w:line="20" w:lineRule="exact"/>
        <w:rPr>
          <w:sz w:val="20"/>
          <w:szCs w:val="20"/>
          <w:color w:val="auto"/>
        </w:rPr>
      </w:pPr>
      <w:r>
        <w:rPr>
          <w:sz w:val="20"/>
          <w:szCs w:val="20"/>
          <w:color w:val="auto"/>
        </w:rPr>
        <w:br w:type="column"/>
      </w:r>
    </w:p>
    <w:p>
      <w:pPr>
        <w:ind w:right="520"/>
        <w:spacing w:after="0" w:line="225" w:lineRule="auto"/>
        <w:rPr>
          <w:sz w:val="20"/>
          <w:szCs w:val="20"/>
          <w:color w:val="auto"/>
        </w:rPr>
      </w:pPr>
      <w:r>
        <w:rPr>
          <w:rFonts w:ascii="Arial" w:cs="Arial" w:eastAsia="Arial" w:hAnsi="Arial"/>
          <w:sz w:val="18"/>
          <w:szCs w:val="18"/>
          <w:color w:val="auto"/>
        </w:rPr>
        <w:t>Filed as Exhibit 10.37 to the Company’s File No. 1-36504 Amended Annual Report on Form 10-K/A for the year ended December 31, 2021</w:t>
      </w:r>
    </w:p>
    <w:p>
      <w:pPr>
        <w:spacing w:after="0"/>
        <w:rPr>
          <w:sz w:val="20"/>
          <w:szCs w:val="20"/>
          <w:color w:val="auto"/>
        </w:rPr>
      </w:pPr>
      <w:r>
        <w:rPr>
          <w:rFonts w:ascii="Arial" w:cs="Arial" w:eastAsia="Arial" w:hAnsi="Arial"/>
          <w:sz w:val="18"/>
          <w:szCs w:val="18"/>
          <w:color w:val="auto"/>
        </w:rPr>
        <w:t>filed March 18, 2021</w:t>
      </w:r>
    </w:p>
    <w:p>
      <w:pPr>
        <w:spacing w:after="0" w:line="3" w:lineRule="exact"/>
        <w:rPr>
          <w:sz w:val="20"/>
          <w:szCs w:val="20"/>
          <w:color w:val="auto"/>
        </w:rPr>
      </w:pPr>
    </w:p>
    <w:p>
      <w:pPr>
        <w:sectPr>
          <w:pgSz w:w="11900" w:h="16838" w:orient="portrait"/>
          <w:cols w:equalWidth="0" w:num="2">
            <w:col w:w="5680" w:space="700"/>
            <w:col w:w="486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4160" w:type="dxa"/>
            <w:vAlign w:val="bottom"/>
            <w:tcBorders>
              <w:bottom w:val="single" w:sz="8" w:color="0000FF"/>
            </w:tcBorders>
            <w:shd w:val="clear" w:color="auto" w:fill="CCEEFF"/>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Offer letter to Desmond J. Mills, dated February 24, 2021</w:t>
              </w:r>
            </w:hyperlink>
          </w:p>
        </w:tc>
        <w:tc>
          <w:tcPr>
            <w:tcW w:w="5840" w:type="dxa"/>
            <w:vAlign w:val="bottom"/>
            <w:tcBorders>
              <w:bottom w:val="single" w:sz="8" w:color="CCEEFF"/>
            </w:tcBorders>
            <w:gridSpan w:val="3"/>
            <w:shd w:val="clear" w:color="auto" w:fill="CCEEFF"/>
          </w:tcPr>
          <w:p>
            <w:pPr>
              <w:spacing w:after="0"/>
              <w:rPr>
                <w:sz w:val="19"/>
                <w:szCs w:val="19"/>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00" w:type="dxa"/>
            <w:vAlign w:val="bottom"/>
            <w:gridSpan w:val="4"/>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Certification of Chief Executive Officer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4160" w:type="dxa"/>
            <w:vAlign w:val="bottom"/>
            <w:tcBorders>
              <w:top w:val="single" w:sz="8" w:color="0000FF"/>
            </w:tcBorders>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10"/>
        </w:trPr>
        <w:tc>
          <w:tcPr>
            <w:tcW w:w="12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7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 of Chief Financial Officer pursuant to Section 302 of the Sarbanes-Oxley Act of 2002.</w:t>
              </w:r>
            </w:hyperlink>
          </w:p>
        </w:tc>
        <w:tc>
          <w:tcPr>
            <w:tcW w:w="282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00" w:type="dxa"/>
            <w:vAlign w:val="bottom"/>
            <w:gridSpan w:val="4"/>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Certification of Chief Executive Officer pursuant to Section 906 of the Sarbanes-Oxley Act of 2002.</w:t>
              </w:r>
            </w:hyperlink>
          </w:p>
        </w:tc>
      </w:tr>
      <w:tr>
        <w:trPr>
          <w:trHeight w:val="21"/>
        </w:trPr>
        <w:tc>
          <w:tcPr>
            <w:tcW w:w="1240" w:type="dxa"/>
            <w:vAlign w:val="bottom"/>
          </w:tcPr>
          <w:p>
            <w:pPr>
              <w:spacing w:after="0" w:line="20" w:lineRule="exact"/>
              <w:rPr>
                <w:sz w:val="1"/>
                <w:szCs w:val="1"/>
                <w:color w:val="auto"/>
              </w:rPr>
            </w:pPr>
          </w:p>
        </w:tc>
        <w:tc>
          <w:tcPr>
            <w:tcW w:w="4160" w:type="dxa"/>
            <w:vAlign w:val="bottom"/>
            <w:tcBorders>
              <w:top w:val="single" w:sz="8" w:color="0000FF"/>
            </w:tcBorders>
          </w:tcPr>
          <w:p>
            <w:pPr>
              <w:spacing w:after="0" w:line="20" w:lineRule="exact"/>
              <w:rPr>
                <w:sz w:val="1"/>
                <w:szCs w:val="1"/>
                <w:color w:val="auto"/>
              </w:rPr>
            </w:pPr>
          </w:p>
        </w:tc>
        <w:tc>
          <w:tcPr>
            <w:tcW w:w="3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09"/>
        </w:trPr>
        <w:tc>
          <w:tcPr>
            <w:tcW w:w="12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7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Chief Financial Officer pursuant to Section 906 of the Sarbanes-Oxley Act of 2002.</w:t>
              </w:r>
            </w:hyperlink>
          </w:p>
        </w:tc>
        <w:tc>
          <w:tcPr>
            <w:tcW w:w="282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00" w:type="dxa"/>
            <w:vAlign w:val="bottom"/>
            <w:gridSpan w:val="4"/>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240" w:type="dxa"/>
            <w:vAlign w:val="bottom"/>
          </w:tcPr>
          <w:p>
            <w:pPr>
              <w:spacing w:after="0"/>
              <w:rPr>
                <w:sz w:val="19"/>
                <w:szCs w:val="19"/>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left="1240" w:hanging="1214"/>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8" w:name="page29"/>
    <w:bookmarkEnd w:id="2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499"/>
        </w:trPr>
        <w:tc>
          <w:tcPr>
            <w:tcW w:w="3980" w:type="dxa"/>
            <w:vAlign w:val="bottom"/>
          </w:tcPr>
          <w:p>
            <w:pPr>
              <w:spacing w:after="0"/>
              <w:rPr>
                <w:sz w:val="20"/>
                <w:szCs w:val="20"/>
                <w:color w:val="auto"/>
              </w:rPr>
            </w:pPr>
            <w:r>
              <w:rPr>
                <w:rFonts w:ascii="Arial" w:cs="Arial" w:eastAsia="Arial" w:hAnsi="Arial"/>
                <w:sz w:val="18"/>
                <w:szCs w:val="18"/>
                <w:color w:val="auto"/>
              </w:rPr>
              <w:t>Date: May 6, 2021</w:t>
            </w:r>
          </w:p>
        </w:tc>
        <w:tc>
          <w:tcPr>
            <w:tcW w:w="7040" w:type="dxa"/>
            <w:vAlign w:val="bottom"/>
            <w:gridSpan w:val="2"/>
          </w:tcPr>
          <w:p>
            <w:pPr>
              <w:ind w:left="2660"/>
              <w:spacing w:after="0"/>
              <w:rPr>
                <w:sz w:val="20"/>
                <w:szCs w:val="20"/>
                <w:color w:val="auto"/>
              </w:rPr>
            </w:pPr>
            <w:r>
              <w:rPr>
                <w:rFonts w:ascii="Arial" w:cs="Arial" w:eastAsia="Arial" w:hAnsi="Arial"/>
                <w:sz w:val="18"/>
                <w:szCs w:val="18"/>
                <w:color w:val="auto"/>
              </w:rPr>
              <w:t>By: /s/ H. Keith Jennings</w:t>
            </w:r>
          </w:p>
        </w:tc>
      </w:tr>
      <w:tr>
        <w:trPr>
          <w:trHeight w:val="222"/>
        </w:trPr>
        <w:tc>
          <w:tcPr>
            <w:tcW w:w="3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Keith Jennings</w:t>
            </w:r>
          </w:p>
        </w:tc>
      </w:tr>
      <w:tr>
        <w:trPr>
          <w:trHeight w:val="229"/>
        </w:trPr>
        <w:tc>
          <w:tcPr>
            <w:tcW w:w="3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May 6, 2021</w:t>
            </w:r>
          </w:p>
        </w:tc>
        <w:tc>
          <w:tcPr>
            <w:tcW w:w="7040" w:type="dxa"/>
            <w:vAlign w:val="bottom"/>
            <w:gridSpan w:val="2"/>
          </w:tcPr>
          <w:p>
            <w:pPr>
              <w:ind w:left="2660"/>
              <w:spacing w:after="0"/>
              <w:rPr>
                <w:sz w:val="20"/>
                <w:szCs w:val="20"/>
                <w:color w:val="auto"/>
              </w:rPr>
            </w:pPr>
            <w:r>
              <w:rPr>
                <w:rFonts w:ascii="Arial" w:cs="Arial" w:eastAsia="Arial" w:hAnsi="Arial"/>
                <w:sz w:val="18"/>
                <w:szCs w:val="18"/>
                <w:color w:val="auto"/>
              </w:rPr>
              <w:t>By: /s/ Desmond J. Mills</w:t>
            </w:r>
          </w:p>
        </w:tc>
      </w:tr>
      <w:tr>
        <w:trPr>
          <w:trHeight w:val="222"/>
        </w:trPr>
        <w:tc>
          <w:tcPr>
            <w:tcW w:w="3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Desmond J. Mills</w:t>
            </w:r>
          </w:p>
        </w:tc>
      </w:tr>
      <w:tr>
        <w:trPr>
          <w:trHeight w:val="229"/>
        </w:trPr>
        <w:tc>
          <w:tcPr>
            <w:tcW w:w="3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0"/>
        </w:trPr>
        <w:tc>
          <w:tcPr>
            <w:tcW w:w="3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76"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172085</wp:posOffset>
            </wp:positionV>
            <wp:extent cx="30861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24 February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Desmond Mills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Dear Desmond,</w:t>
      </w:r>
    </w:p>
    <w:p>
      <w:pPr>
        <w:spacing w:after="0" w:line="24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At Weatherford, we have an exceptional team of people working together in more than 100 countries around the world to solve the toughest energy challenges through a unique portfolio of technologies and safe, efficient processes.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We are delighted to extend the following job offer to join us at Weatherford.</w:t>
      </w:r>
    </w:p>
    <w:p>
      <w:pPr>
        <w:spacing w:after="0" w:line="243" w:lineRule="exact"/>
        <w:rPr>
          <w:sz w:val="20"/>
          <w:szCs w:val="20"/>
          <w:color w:val="auto"/>
        </w:rPr>
      </w:pPr>
    </w:p>
    <w:p>
      <w:pPr>
        <w:ind w:right="400"/>
        <w:spacing w:after="0" w:line="243" w:lineRule="auto"/>
        <w:rPr>
          <w:sz w:val="20"/>
          <w:szCs w:val="20"/>
          <w:color w:val="auto"/>
        </w:rPr>
      </w:pPr>
      <w:r>
        <w:rPr>
          <w:rFonts w:ascii="Arial" w:cs="Arial" w:eastAsia="Arial" w:hAnsi="Arial"/>
          <w:sz w:val="20"/>
          <w:szCs w:val="20"/>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appreciate your careful consideration of the terms and conditions included in this offer letter. A summary of your benefits can be found on the following pages.</w:t>
      </w:r>
    </w:p>
    <w:p>
      <w:pPr>
        <w:spacing w:after="0" w:line="231"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Please note that Weatherford has implemented a temporary suspension of the Weatherford International, LLC 401(k) Savings Plan 401K company matching contributions. Our intent is for the suspension to be temporary and will be subject to regular review. We are committed to reinstating company matching contributions as soon as the market and business conditions improve.</w:t>
      </w:r>
    </w:p>
    <w:p>
      <w:pPr>
        <w:spacing w:after="0" w:line="21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This offer is contingent upon you successfully providing the necessary pre-hire documentation (including evidence of your right to work) and successful completion of any pre-hire testing relevant to your employment location.</w:t>
      </w:r>
    </w:p>
    <w:p>
      <w:pPr>
        <w:spacing w:after="0" w:line="231"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Please review the enclosed information and contact your HR representative if you have any questions or concerns. I would appreciate your acceptance of this new opportunity by signing below and returning your signed copy as soon as possible. The offer will remain open for 3 business days, after which time it will automatically expire.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welcoming you to Weatherford.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 Jessica Lovorn</w:t>
      </w:r>
    </w:p>
    <w:p>
      <w:pPr>
        <w:spacing w:after="0"/>
        <w:rPr>
          <w:sz w:val="20"/>
          <w:szCs w:val="20"/>
          <w:color w:val="auto"/>
        </w:rPr>
      </w:pPr>
      <w:r>
        <w:rPr>
          <w:rFonts w:ascii="Arial" w:cs="Arial" w:eastAsia="Arial" w:hAnsi="Arial"/>
          <w:sz w:val="20"/>
          <w:szCs w:val="20"/>
          <w:b w:val="1"/>
          <w:bCs w:val="1"/>
          <w:color w:val="CE1141"/>
        </w:rPr>
        <w:t>Jessica Lovorn</w:t>
      </w:r>
    </w:p>
    <w:p>
      <w:pPr>
        <w:spacing w:after="0"/>
        <w:rPr>
          <w:sz w:val="20"/>
          <w:szCs w:val="20"/>
          <w:color w:val="auto"/>
        </w:rPr>
      </w:pPr>
      <w:r>
        <w:rPr>
          <w:rFonts w:ascii="Arial" w:cs="Arial" w:eastAsia="Arial" w:hAnsi="Arial"/>
          <w:sz w:val="20"/>
          <w:szCs w:val="20"/>
          <w:b w:val="1"/>
          <w:bCs w:val="1"/>
          <w:color w:val="CE1141"/>
        </w:rPr>
        <w:t>Director HR</w:t>
      </w:r>
    </w:p>
    <w:p>
      <w:pPr>
        <w:spacing w:after="0"/>
        <w:rPr>
          <w:sz w:val="20"/>
          <w:szCs w:val="20"/>
          <w:color w:val="auto"/>
        </w:rPr>
      </w:pPr>
      <w:r>
        <w:rPr>
          <w:rFonts w:ascii="Arial" w:cs="Arial" w:eastAsia="Arial" w:hAnsi="Arial"/>
          <w:sz w:val="20"/>
          <w:szCs w:val="20"/>
          <w:b w:val="1"/>
          <w:bCs w:val="1"/>
          <w:color w:val="CE1141"/>
        </w:rPr>
        <w:t>Weatherford International LLC</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Weatherford Human Resources</w:t>
      </w:r>
    </w:p>
    <w:p>
      <w:pPr>
        <w:spacing w:after="0"/>
        <w:rPr>
          <w:sz w:val="20"/>
          <w:szCs w:val="20"/>
          <w:color w:val="auto"/>
        </w:rPr>
      </w:pPr>
      <w:r>
        <w:rPr>
          <w:rFonts w:ascii="Arial" w:cs="Arial" w:eastAsia="Arial" w:hAnsi="Arial"/>
          <w:sz w:val="20"/>
          <w:szCs w:val="20"/>
          <w:color w:val="auto"/>
        </w:rPr>
        <w:t>On and behalf of Weatherford</w:t>
      </w:r>
    </w:p>
    <w:p>
      <w:pPr>
        <w:sectPr>
          <w:pgSz w:w="11900" w:h="16838" w:orient="portrait"/>
          <w:cols w:equalWidth="0" w:num="1">
            <w:col w:w="11240"/>
          </w:cols>
          <w:pgMar w:left="320" w:top="11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PERSONAL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Name</w:t>
            </w:r>
          </w:p>
        </w:tc>
        <w:tc>
          <w:tcPr>
            <w:tcW w:w="6340" w:type="dxa"/>
            <w:vAlign w:val="bottom"/>
            <w:tcBorders>
              <w:top w:val="single" w:sz="8" w:color="BFBFBF"/>
              <w:bottom w:val="single" w:sz="8" w:color="BFBFBF"/>
            </w:tcBorders>
          </w:tcPr>
          <w:p>
            <w:pPr>
              <w:spacing w:after="0"/>
              <w:rPr>
                <w:sz w:val="20"/>
                <w:szCs w:val="20"/>
                <w:color w:val="auto"/>
              </w:rPr>
            </w:pPr>
            <w:r>
              <w:rPr>
                <w:rFonts w:ascii="Arial" w:cs="Arial" w:eastAsia="Arial" w:hAnsi="Arial"/>
                <w:sz w:val="20"/>
                <w:szCs w:val="20"/>
                <w:b w:val="1"/>
                <w:bCs w:val="1"/>
                <w:color w:val="CE1141"/>
              </w:rPr>
              <w:t>DESMOND MILLS</w:t>
            </w:r>
          </w:p>
        </w:tc>
      </w:tr>
      <w:tr>
        <w:trPr>
          <w:trHeight w:val="237"/>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Employer</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WEATHERFORD INTERNATIONAL LLC</w:t>
            </w:r>
          </w:p>
        </w:tc>
      </w:tr>
      <w:tr>
        <w:trPr>
          <w:trHeight w:val="236"/>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Position Title</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CHIEF ACCOUNTING OFFICER</w:t>
            </w:r>
          </w:p>
        </w:tc>
      </w:tr>
      <w:tr>
        <w:trPr>
          <w:trHeight w:val="222"/>
        </w:trPr>
        <w:tc>
          <w:tcPr>
            <w:tcW w:w="4600" w:type="dxa"/>
            <w:vAlign w:val="bottom"/>
            <w:tcBorders>
              <w:right w:val="single" w:sz="8" w:color="BFBFBF"/>
            </w:tcBorders>
          </w:tcPr>
          <w:p>
            <w:pPr>
              <w:ind w:left="20"/>
              <w:spacing w:after="0" w:line="223" w:lineRule="exact"/>
              <w:rPr>
                <w:sz w:val="20"/>
                <w:szCs w:val="20"/>
                <w:color w:val="auto"/>
              </w:rPr>
            </w:pPr>
            <w:r>
              <w:rPr>
                <w:rFonts w:ascii="Arial" w:cs="Arial" w:eastAsia="Arial" w:hAnsi="Arial"/>
                <w:sz w:val="20"/>
                <w:szCs w:val="20"/>
                <w:color w:val="auto"/>
              </w:rPr>
              <w:t>Location</w:t>
            </w:r>
          </w:p>
        </w:tc>
        <w:tc>
          <w:tcPr>
            <w:tcW w:w="6340" w:type="dxa"/>
            <w:vAlign w:val="bottom"/>
          </w:tcPr>
          <w:p>
            <w:pPr>
              <w:spacing w:after="0" w:line="223" w:lineRule="exact"/>
              <w:rPr>
                <w:sz w:val="20"/>
                <w:szCs w:val="20"/>
                <w:color w:val="auto"/>
              </w:rPr>
            </w:pPr>
            <w:r>
              <w:rPr>
                <w:rFonts w:ascii="Arial" w:cs="Arial" w:eastAsia="Arial" w:hAnsi="Arial"/>
                <w:sz w:val="20"/>
                <w:szCs w:val="20"/>
                <w:b w:val="1"/>
                <w:bCs w:val="1"/>
                <w:color w:val="CE1141"/>
              </w:rPr>
              <w:t>2000 ST JAMES PLACE</w:t>
            </w:r>
          </w:p>
        </w:tc>
      </w:tr>
      <w:tr>
        <w:trPr>
          <w:trHeight w:val="230"/>
        </w:trPr>
        <w:tc>
          <w:tcPr>
            <w:tcW w:w="4600" w:type="dxa"/>
            <w:vAlign w:val="bottom"/>
            <w:tcBorders>
              <w:right w:val="single" w:sz="8" w:color="BFBFBF"/>
            </w:tcBorders>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20"/>
                <w:szCs w:val="20"/>
                <w:b w:val="1"/>
                <w:bCs w:val="1"/>
                <w:color w:val="CE1141"/>
              </w:rPr>
              <w:t>HOUSTON</w:t>
            </w:r>
          </w:p>
        </w:tc>
      </w:tr>
      <w:tr>
        <w:trPr>
          <w:trHeight w:val="229"/>
        </w:trPr>
        <w:tc>
          <w:tcPr>
            <w:tcW w:w="4600" w:type="dxa"/>
            <w:vAlign w:val="bottom"/>
            <w:tcBorders>
              <w:right w:val="single" w:sz="8" w:color="BFBFBF"/>
            </w:tcBorders>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20"/>
                <w:szCs w:val="20"/>
                <w:b w:val="1"/>
                <w:bCs w:val="1"/>
                <w:color w:val="CE1141"/>
              </w:rPr>
              <w:t>TEXAS</w:t>
            </w:r>
          </w:p>
        </w:tc>
      </w:tr>
      <w:tr>
        <w:trPr>
          <w:trHeight w:val="261"/>
        </w:trPr>
        <w:tc>
          <w:tcPr>
            <w:tcW w:w="4600" w:type="dxa"/>
            <w:vAlign w:val="bottom"/>
            <w:tcBorders>
              <w:right w:val="single" w:sz="8" w:color="BFBFBF"/>
            </w:tcBorders>
          </w:tcPr>
          <w:p>
            <w:pPr>
              <w:spacing w:after="0"/>
              <w:rPr>
                <w:sz w:val="22"/>
                <w:szCs w:val="22"/>
                <w:color w:val="auto"/>
              </w:rPr>
            </w:pPr>
          </w:p>
        </w:tc>
        <w:tc>
          <w:tcPr>
            <w:tcW w:w="6340" w:type="dxa"/>
            <w:vAlign w:val="bottom"/>
          </w:tcPr>
          <w:p>
            <w:pPr>
              <w:spacing w:after="0"/>
              <w:rPr>
                <w:sz w:val="20"/>
                <w:szCs w:val="20"/>
                <w:color w:val="auto"/>
              </w:rPr>
            </w:pPr>
            <w:r>
              <w:rPr>
                <w:rFonts w:ascii="Arial" w:cs="Arial" w:eastAsia="Arial" w:hAnsi="Arial"/>
                <w:sz w:val="20"/>
                <w:szCs w:val="20"/>
                <w:b w:val="1"/>
                <w:bCs w:val="1"/>
                <w:color w:val="CE1141"/>
              </w:rPr>
              <w:t>77056</w:t>
            </w:r>
          </w:p>
        </w:tc>
      </w:tr>
      <w:tr>
        <w:trPr>
          <w:trHeight w:val="23"/>
        </w:trPr>
        <w:tc>
          <w:tcPr>
            <w:tcW w:w="4600" w:type="dxa"/>
            <w:vAlign w:val="bottom"/>
            <w:tcBorders>
              <w:bottom w:val="single" w:sz="8" w:color="BFBFBF"/>
              <w:right w:val="single" w:sz="8" w:color="BFBFBF"/>
            </w:tcBorders>
          </w:tcPr>
          <w:p>
            <w:pPr>
              <w:spacing w:after="0"/>
              <w:rPr>
                <w:sz w:val="2"/>
                <w:szCs w:val="2"/>
                <w:color w:val="auto"/>
              </w:rPr>
            </w:pPr>
          </w:p>
        </w:tc>
        <w:tc>
          <w:tcPr>
            <w:tcW w:w="6340" w:type="dxa"/>
            <w:vAlign w:val="bottom"/>
            <w:tcBorders>
              <w:bottom w:val="single" w:sz="8" w:color="BFBFBF"/>
            </w:tcBorders>
          </w:tcPr>
          <w:p>
            <w:pPr>
              <w:spacing w:after="0"/>
              <w:rPr>
                <w:sz w:val="2"/>
                <w:szCs w:val="2"/>
                <w:color w:val="auto"/>
              </w:rPr>
            </w:pPr>
          </w:p>
        </w:tc>
      </w:tr>
      <w:tr>
        <w:trPr>
          <w:trHeight w:val="430"/>
        </w:trPr>
        <w:tc>
          <w:tcPr>
            <w:tcW w:w="4600" w:type="dxa"/>
            <w:vAlign w:val="bottom"/>
          </w:tcPr>
          <w:p>
            <w:pPr>
              <w:spacing w:after="0"/>
              <w:rPr>
                <w:sz w:val="20"/>
                <w:szCs w:val="20"/>
                <w:color w:val="auto"/>
              </w:rPr>
            </w:pPr>
            <w:r>
              <w:rPr>
                <w:rFonts w:ascii="Arial" w:cs="Arial" w:eastAsia="Arial" w:hAnsi="Arial"/>
                <w:sz w:val="20"/>
                <w:szCs w:val="20"/>
                <w:b w:val="1"/>
                <w:bCs w:val="1"/>
                <w:color w:val="C00000"/>
              </w:rPr>
              <w:t>POINT OF CONTACT</w:t>
            </w:r>
          </w:p>
        </w:tc>
        <w:tc>
          <w:tcPr>
            <w:tcW w:w="6340" w:type="dxa"/>
            <w:vAlign w:val="bottom"/>
          </w:tcPr>
          <w:p>
            <w:pPr>
              <w:spacing w:after="0"/>
              <w:rPr>
                <w:sz w:val="24"/>
                <w:szCs w:val="24"/>
                <w:color w:val="auto"/>
              </w:rPr>
            </w:pPr>
          </w:p>
        </w:tc>
      </w:tr>
      <w:tr>
        <w:trPr>
          <w:trHeight w:val="266"/>
        </w:trPr>
        <w:tc>
          <w:tcPr>
            <w:tcW w:w="4600" w:type="dxa"/>
            <w:vAlign w:val="bottom"/>
            <w:tcBorders>
              <w:bottom w:val="single" w:sz="8" w:color="BFBFBF"/>
            </w:tcBorders>
          </w:tcPr>
          <w:p>
            <w:pPr>
              <w:spacing w:after="0"/>
              <w:rPr>
                <w:sz w:val="23"/>
                <w:szCs w:val="23"/>
                <w:color w:val="auto"/>
              </w:rPr>
            </w:pPr>
          </w:p>
        </w:tc>
        <w:tc>
          <w:tcPr>
            <w:tcW w:w="6340" w:type="dxa"/>
            <w:vAlign w:val="bottom"/>
            <w:tcBorders>
              <w:bottom w:val="single" w:sz="8" w:color="BFBFBF"/>
            </w:tcBorders>
          </w:tcPr>
          <w:p>
            <w:pPr>
              <w:spacing w:after="0"/>
              <w:rPr>
                <w:sz w:val="23"/>
                <w:szCs w:val="23"/>
                <w:color w:val="auto"/>
              </w:rPr>
            </w:pPr>
          </w:p>
        </w:tc>
      </w:tr>
      <w:tr>
        <w:trPr>
          <w:trHeight w:val="237"/>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Manager</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HK JENNINGS</w:t>
            </w:r>
          </w:p>
        </w:tc>
      </w:tr>
      <w:tr>
        <w:trPr>
          <w:trHeight w:val="237"/>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HR Representative</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JESSICA LOVORN</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EMPLOYMENT PACKAGE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0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BASE SALARY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$325,000</w:t>
      </w:r>
    </w:p>
    <w:p>
      <w:pPr>
        <w:spacing w:after="0"/>
        <w:rPr>
          <w:sz w:val="20"/>
          <w:szCs w:val="20"/>
          <w:color w:val="auto"/>
        </w:rPr>
      </w:pPr>
      <w:r>
        <w:rPr>
          <w:rFonts w:ascii="Arial" w:cs="Arial" w:eastAsia="Arial" w:hAnsi="Arial"/>
          <w:sz w:val="20"/>
          <w:szCs w:val="20"/>
          <w:color w:val="auto"/>
        </w:rPr>
        <w:t>Your base salary will be paid semi-monthly via the normal payroll cycle.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START DATE</w:t>
      </w:r>
    </w:p>
    <w:p>
      <w:pPr>
        <w:spacing w:after="0" w:line="24"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Your start date is anticipated to be 22 March 2021 and will be confirmed following successful completion of all pre-employment testing and, if applicable, on the obtaining of any necessary immigration documentation required to allow you to work.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BENEFITS PROGRAM</w:t>
      </w:r>
    </w:p>
    <w:p>
      <w:pPr>
        <w:spacing w:after="0" w:line="24"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We are pleased to offer you participation in Weatherford’s benefits program on your first day of employment. Please see enclosed Weatherford Benefits Summary.</w:t>
      </w:r>
    </w:p>
    <w:p>
      <w:pPr>
        <w:spacing w:after="0" w:line="231"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ANNUAL LEAVE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15 DAYS PER YEAR</w:t>
      </w:r>
    </w:p>
    <w:p>
      <w:pPr>
        <w:spacing w:after="0" w:line="246" w:lineRule="auto"/>
        <w:rPr>
          <w:sz w:val="20"/>
          <w:szCs w:val="20"/>
          <w:color w:val="auto"/>
        </w:rPr>
      </w:pPr>
      <w:r>
        <w:rPr>
          <w:rFonts w:ascii="Arial" w:cs="Arial" w:eastAsia="Arial" w:hAnsi="Arial"/>
          <w:sz w:val="20"/>
          <w:szCs w:val="20"/>
          <w:color w:val="auto"/>
        </w:rPr>
        <w:t>Entitlement to annual leave will accrue on a calendar year basis and will be pro-rated in the first year of employment in line with your employment start date.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COMPANY HOLIDAYS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10 DAYS PER YEAR</w:t>
      </w:r>
    </w:p>
    <w:p>
      <w:pPr>
        <w:spacing w:after="0"/>
        <w:rPr>
          <w:sz w:val="20"/>
          <w:szCs w:val="20"/>
          <w:color w:val="auto"/>
        </w:rPr>
      </w:pPr>
      <w:r>
        <w:rPr>
          <w:rFonts w:ascii="Arial" w:cs="Arial" w:eastAsia="Arial" w:hAnsi="Arial"/>
          <w:sz w:val="20"/>
          <w:szCs w:val="20"/>
          <w:color w:val="auto"/>
        </w:rPr>
        <w:t>You will be eligible for ten (10) Company designated holidays.</w:t>
      </w:r>
    </w:p>
    <w:p>
      <w:pPr>
        <w:sectPr>
          <w:pgSz w:w="11900" w:h="16838" w:orient="portrait"/>
          <w:cols w:equalWidth="0" w:num="1">
            <w:col w:w="11120"/>
          </w:cols>
          <w:pgMar w:left="320" w:top="1440" w:right="4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SHORT-TERM INCENTIVE PLAN (STI)</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UP TO 60% “ON TARGET” PARTICIPATION RATE</w:t>
      </w:r>
    </w:p>
    <w:p>
      <w:pPr>
        <w:jc w:val="both"/>
        <w:ind w:right="880"/>
        <w:spacing w:after="0" w:line="241" w:lineRule="auto"/>
        <w:rPr>
          <w:sz w:val="20"/>
          <w:szCs w:val="20"/>
          <w:color w:val="auto"/>
        </w:rPr>
      </w:pPr>
      <w:r>
        <w:rPr>
          <w:rFonts w:ascii="Arial" w:cs="Arial" w:eastAsia="Arial" w:hAnsi="Arial"/>
          <w:sz w:val="20"/>
          <w:szCs w:val="20"/>
          <w:color w:val="auto"/>
        </w:rPr>
        <w:t>You are eligible to participate in the Weatherford Short-Term Incentive Plan (STI) applicable to your role. The “on target” participation rate is subject to the rules of the Plan. Any incentive payout from the Plan will be prorated for your period of employment, calculated from your hire date. If you join on or after 1 October of a calendar year, you will not be eligible to participate in the Plan for that year. Any payout from the Plan is subject to the Company’s and your own personal performance, and you must be employed with Weatherford at the time of the incentive payment.</w:t>
      </w:r>
    </w:p>
    <w:p>
      <w:pPr>
        <w:spacing w:after="0" w:line="222" w:lineRule="exact"/>
        <w:rPr>
          <w:sz w:val="20"/>
          <w:szCs w:val="20"/>
          <w:color w:val="auto"/>
        </w:rPr>
      </w:pPr>
    </w:p>
    <w:p>
      <w:pPr>
        <w:jc w:val="both"/>
        <w:ind w:right="880"/>
        <w:spacing w:after="0" w:line="272" w:lineRule="auto"/>
        <w:rPr>
          <w:sz w:val="20"/>
          <w:szCs w:val="20"/>
          <w:color w:val="auto"/>
        </w:rPr>
      </w:pPr>
      <w:r>
        <w:rPr>
          <w:rFonts w:ascii="Arial" w:cs="Arial" w:eastAsia="Arial" w:hAnsi="Arial"/>
          <w:sz w:val="19"/>
          <w:szCs w:val="19"/>
          <w:color w:val="auto"/>
        </w:rPr>
        <w:t>The Plan is non-contractual. The Plan is operated at the discretion of the Company and can be changed or removed at any time. Participation in the Plan in one year does not guarantee participation or a right to participate in future years.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LONG TERM INCENTIVE (LTI)</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15,439 PSUs; 30,879 RSUs; 22,648 PHANTOM RSUs</w:t>
      </w:r>
    </w:p>
    <w:p>
      <w:pPr>
        <w:jc w:val="both"/>
        <w:spacing w:after="0" w:line="241" w:lineRule="auto"/>
        <w:rPr>
          <w:sz w:val="20"/>
          <w:szCs w:val="20"/>
          <w:color w:val="auto"/>
        </w:rPr>
      </w:pPr>
      <w:r>
        <w:rPr>
          <w:rFonts w:ascii="Arial" w:cs="Arial" w:eastAsia="Arial" w:hAnsi="Arial"/>
          <w:sz w:val="20"/>
          <w:szCs w:val="20"/>
          <w:color w:val="auto"/>
        </w:rPr>
        <w:t>You are eligible for consideration under Weatherford’s Annual Long-Term Incentive (“LTI”) program. Your eligibility to receive awards under the LTI program is subject to approval by the Board of Weatherford International and subject always to the terms and conditions of 2019 Equity Incentive Plan for Weatherford International, as may be amended from time to time by Weatherford International.</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commence employment by 22 March, you will be eligible to participate in the 2021 plan for the full year. If you commence employment after 22 March, your 2022 vesting will be pro-rated to reflect your period of employment in 2021.</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LTI awards to be granted to you shall be in the following amounts:</w:t>
      </w:r>
    </w:p>
    <w:p>
      <w:pPr>
        <w:spacing w:after="0" w:line="243" w:lineRule="exact"/>
        <w:rPr>
          <w:sz w:val="20"/>
          <w:szCs w:val="20"/>
          <w:color w:val="auto"/>
        </w:rPr>
      </w:pPr>
    </w:p>
    <w:p>
      <w:pPr>
        <w:jc w:val="both"/>
        <w:ind w:left="660" w:hanging="328"/>
        <w:spacing w:after="0"/>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15,439 PSUs – Awards made under the Performance Share Unit (“PSU”) award agreement will cliff vest following a 2-year performance period. The “Performance Period” shall mean the two fiscal-year period commencing on the first day of the fiscal year of the Company in which the Grant Date occurs. The actual number of PSUs that are earned, if any, pursuant to the terms and conditions of the applicable award agreement is subject to increase or decrease based on the Company’s actual performance against the performance goals set forth below and may range from 0% to 200% of the target award, rounded to the nearest whole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Performance Goals / Metrics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[Redacted]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Weighting of Metrics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WEIGHT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THRESHOLD</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TARGET</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MAXIMUM</w:t>
            </w:r>
          </w:p>
        </w:tc>
      </w:tr>
      <w:tr>
        <w:trPr>
          <w:trHeight w:val="23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EBITDA %</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50%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50%</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200%</w:t>
            </w:r>
          </w:p>
        </w:tc>
      </w:tr>
      <w:tr>
        <w:trPr>
          <w:trHeight w:val="237"/>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OCF CONV %</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50%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50%</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200%</w:t>
            </w:r>
          </w:p>
        </w:tc>
      </w:tr>
    </w:tbl>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551815</wp:posOffset>
            </wp:positionV>
            <wp:extent cx="30861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660" w:right="20" w:hanging="328"/>
        <w:spacing w:after="0" w:line="205"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30,879 RSUs – Awards made under the Restricted Stock Unit (“RSU”) award agreement will vest in equal tranches over a two-year period and will vest one half on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the grant date, and the remaining one-half vesting upon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the grant date.</w:t>
      </w:r>
    </w:p>
    <w:p>
      <w:pPr>
        <w:jc w:val="both"/>
        <w:ind w:left="660" w:hanging="328"/>
        <w:spacing w:after="0" w:line="222"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22,648 Phantom RSUs – Awards made under the Phantom Unit award agreement will track the company’s stock price and will vest in equal installments over a two-year period and vest one half on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the grant date, and the remaining one half vesting upon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the grant date. Phantom RSUs may settle (i) in cash, (ii) Company shares or (iii) any combination of cash and Company shares, each at the Company’s sole discretion; provided, however, that the maximum cumulative cash payout you will be entitled to receive under the Phantom RSU Award shall be $260,000.</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awards granted in 2021 will be subject to a 2-year vesting or performance period. Any future grants, annual or otherwise, will be at the discretion of the Board and subject to the terms and conditions of the current or future Long-Term Incentive Program in place. Future grants may have different vesting periods or be subject to performance or other metrics that vary from the awards that you will be granted by way of your acceptance of this offer. The award of any incentive is discretionary, and all awards are subject to approval of the company’s management and to the terms and conditions of the applicable award agreement(s), which shall be consistent with the terms of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RELOCATION</w:t>
      </w:r>
    </w:p>
    <w:p>
      <w:pPr>
        <w:spacing w:after="0" w:line="24"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We are pleased to offer you participation in Weatherford’s relocation program. The terms and conditions of the program are attached. The Company hereby agrees to provide you with a waiver of section 11.4 of the Domestic Relocation Business Practice and agrees that the sale of your home, as represented to us by you, will be allowed to participate in the program and will be eligible for the benefits offered under the program. Additionally, and notwithstanding anything in the policy to the contrary (including the $5,000 closing cost cap), Weatherford agrees to reimburse you for all customary buyers’ closing costs, including inspections, associated with your purchase of a home in the Houston, Texas general metro area; provided, however, this obligation of Weatherford shall not apply to any mortgage financing costs (i.e., points paid to reduce mortgage rates or other similar items). Additionally, Weatherford hereby agrees to provide you with a waiver of section 7.1 of the Domestic Relocation Business Practice and agrees that you are eligible for up to 120 days of temporary accommodation.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SEVERANCE PROTECTION</w:t>
      </w:r>
    </w:p>
    <w:p>
      <w:pPr>
        <w:spacing w:after="0" w:line="2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In the event your employment with the Company should be terminated unilaterally by the Company without cause within the first 12 months of your commencement date, the Company agrees that you will receive as severance an amount equal to your annual base salary (“Severance Protection Payment”). Any Severance Protection Payment will be subject to standard tax withholdings. After the 1st anniversary of your commencement date, you will then be subject to the Severance Protection Payment of 6 months of your monthly base salary.</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551815</wp:posOffset>
            </wp:positionV>
            <wp:extent cx="30861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PRE-EMPLOYMENT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0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This offer of employment and your subsequent employment with Weatherford are contingent upon the following conditions:</w:t>
      </w:r>
    </w:p>
    <w:p>
      <w:pPr>
        <w:spacing w:after="0" w:line="219"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Proof of your right to work</w:t>
      </w:r>
      <w:r>
        <w:rPr>
          <w:rFonts w:ascii="Arial" w:cs="Arial" w:eastAsia="Arial" w:hAnsi="Arial"/>
          <w:sz w:val="19"/>
          <w:szCs w:val="19"/>
          <w:color w:val="auto"/>
        </w:rPr>
        <w:t>. You will be required to produce evidence that you have the legal right to work on your first day.</w:t>
      </w:r>
    </w:p>
    <w:p>
      <w:pPr>
        <w:spacing w:after="0" w:line="35" w:lineRule="exact"/>
        <w:rPr>
          <w:rFonts w:ascii="Arial" w:cs="Arial" w:eastAsia="Arial" w:hAnsi="Arial"/>
          <w:sz w:val="19"/>
          <w:szCs w:val="19"/>
          <w:color w:val="auto"/>
        </w:rPr>
      </w:pPr>
    </w:p>
    <w:p>
      <w:pPr>
        <w:ind w:left="340" w:hanging="332"/>
        <w:spacing w:after="0" w:line="239"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Satisfactory completion of a company medical examination / drug and alcohol test. </w:t>
      </w:r>
      <w:r>
        <w:rPr>
          <w:rFonts w:ascii="Arial" w:cs="Arial" w:eastAsia="Arial" w:hAnsi="Arial"/>
          <w:sz w:val="20"/>
          <w:szCs w:val="20"/>
          <w:color w:val="auto"/>
        </w:rPr>
        <w:t>You will be required to pass a drug</w:t>
      </w:r>
      <w:r>
        <w:rPr>
          <w:rFonts w:ascii="Arial" w:cs="Arial" w:eastAsia="Arial" w:hAnsi="Arial"/>
          <w:sz w:val="20"/>
          <w:szCs w:val="20"/>
          <w:b w:val="1"/>
          <w:bCs w:val="1"/>
          <w:color w:val="auto"/>
        </w:rPr>
        <w:t xml:space="preserve"> </w:t>
      </w:r>
      <w:r>
        <w:rPr>
          <w:rFonts w:ascii="Arial" w:cs="Arial" w:eastAsia="Arial" w:hAnsi="Arial"/>
          <w:sz w:val="20"/>
          <w:szCs w:val="20"/>
          <w:color w:val="auto"/>
        </w:rPr>
        <w:t>and alcohol test and / or medical prior to commencing employment.</w:t>
      </w:r>
    </w:p>
    <w:p>
      <w:pPr>
        <w:ind w:left="340" w:hanging="332"/>
        <w:spacing w:after="0" w:line="239"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Receipt of background / reference check</w:t>
      </w:r>
      <w:r>
        <w:rPr>
          <w:rFonts w:ascii="Arial" w:cs="Arial" w:eastAsia="Arial" w:hAnsi="Arial"/>
          <w:sz w:val="20"/>
          <w:szCs w:val="20"/>
          <w:color w:val="auto"/>
        </w:rPr>
        <w:t>. You must complete the necessary background check and / or provide the</w:t>
      </w:r>
      <w:r>
        <w:rPr>
          <w:rFonts w:ascii="Arial" w:cs="Arial" w:eastAsia="Arial" w:hAnsi="Arial"/>
          <w:sz w:val="20"/>
          <w:szCs w:val="20"/>
          <w:b w:val="1"/>
          <w:bCs w:val="1"/>
          <w:color w:val="auto"/>
        </w:rPr>
        <w:t xml:space="preserve"> </w:t>
      </w:r>
      <w:r>
        <w:rPr>
          <w:rFonts w:ascii="Arial" w:cs="Arial" w:eastAsia="Arial" w:hAnsi="Arial"/>
          <w:sz w:val="20"/>
          <w:szCs w:val="20"/>
          <w:color w:val="auto"/>
        </w:rPr>
        <w:t>names of referees (one of whom should be your most recent employer);</w:t>
      </w:r>
    </w:p>
    <w:p>
      <w:pPr>
        <w:jc w:val="both"/>
        <w:ind w:left="340" w:hanging="332"/>
        <w:spacing w:after="0" w:line="239"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Verification of your qualifications by Weatherford. </w:t>
      </w:r>
      <w:r>
        <w:rPr>
          <w:rFonts w:ascii="Arial" w:cs="Arial" w:eastAsia="Arial" w:hAnsi="Arial"/>
          <w:sz w:val="20"/>
          <w:szCs w:val="20"/>
          <w:color w:val="auto"/>
        </w:rPr>
        <w:t>This will either form part of your background check or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produce evidence of your educational / professional qualifications to the company before or on the first day of your employment.</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Satisfactory completion of any probationary period.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offer of employment, you certify that:</w:t>
      </w:r>
    </w:p>
    <w:p>
      <w:pPr>
        <w:spacing w:after="0" w:line="243" w:lineRule="exact"/>
        <w:rPr>
          <w:sz w:val="20"/>
          <w:szCs w:val="20"/>
          <w:color w:val="auto"/>
        </w:rPr>
      </w:pPr>
    </w:p>
    <w:p>
      <w:pPr>
        <w:ind w:left="340" w:right="120" w:hanging="332"/>
        <w:spacing w:after="0" w:line="243"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20"/>
          <w:szCs w:val="20"/>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letter does not represent an offer of employment for any specified term. Your employment will be at will, which means that either you or Weatherford may terminate your employment at any time for any reason or no reason whatsoever.</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Please confirm your acceptance of this offer by electronically signing this offer letter. Upon your acceptance of this offer, you will be contacted to schedule a convenient time and location for the company medical / drug and alcohol test.</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are excited to have you join us and look forward to working together to make Weatherford a leader in the oilfield service marketplace.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8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Printed Name</w:t>
            </w:r>
          </w:p>
        </w:tc>
        <w:tc>
          <w:tcPr>
            <w:tcW w:w="7060" w:type="dxa"/>
            <w:vAlign w:val="bottom"/>
            <w:tcBorders>
              <w:top w:val="single" w:sz="8" w:color="BFBFBF"/>
              <w:bottom w:val="single" w:sz="8" w:color="BFBFBF"/>
            </w:tcBorders>
          </w:tcPr>
          <w:p>
            <w:pPr>
              <w:ind w:left="20"/>
              <w:spacing w:after="0"/>
              <w:rPr>
                <w:sz w:val="20"/>
                <w:szCs w:val="20"/>
                <w:color w:val="auto"/>
              </w:rPr>
            </w:pPr>
            <w:r>
              <w:rPr>
                <w:rFonts w:ascii="Arial" w:cs="Arial" w:eastAsia="Arial" w:hAnsi="Arial"/>
                <w:sz w:val="20"/>
                <w:szCs w:val="20"/>
                <w:color w:val="auto"/>
              </w:rPr>
              <w:t>Desmond J. Mills</w:t>
            </w:r>
          </w:p>
        </w:tc>
      </w:tr>
      <w:tr>
        <w:trPr>
          <w:trHeight w:val="237"/>
        </w:trPr>
        <w:tc>
          <w:tcPr>
            <w:tcW w:w="4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Signature</w:t>
            </w:r>
          </w:p>
        </w:tc>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20"/>
                <w:szCs w:val="20"/>
                <w:color w:val="auto"/>
              </w:rPr>
              <w:t>/s/ Desmond J. Mills</w:t>
            </w:r>
          </w:p>
        </w:tc>
      </w:tr>
      <w:tr>
        <w:trPr>
          <w:trHeight w:val="236"/>
        </w:trPr>
        <w:tc>
          <w:tcPr>
            <w:tcW w:w="4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Date</w:t>
            </w:r>
          </w:p>
        </w:tc>
        <w:tc>
          <w:tcPr>
            <w:tcW w:w="7060" w:type="dxa"/>
            <w:vAlign w:val="bottom"/>
            <w:tcBorders>
              <w:bottom w:val="single" w:sz="8" w:color="BFBFBF"/>
            </w:tcBorders>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May 6, 2021</w:t>
      </w:r>
    </w:p>
    <w:p>
      <w:pPr>
        <w:spacing w:after="0" w:line="2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4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 May 6, 2021</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48895</wp:posOffset>
            </wp:positionV>
            <wp:extent cx="3068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Vice President and</w:t>
      </w:r>
    </w:p>
    <w:p>
      <w:pPr>
        <w:spacing w:after="0" w:line="7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March 31, 2021 as filed with the Securities and Exchange Commission on the date hereof (the "Report"), I, Girishchandra K. Saligram,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606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Girishchandra K. Saligram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March 31, 2021 as filed with the Securities and Exchange Commission on the date hereof (the "Report"), I, H. Keith Jennings, Chief Financial Officer of the Company, certify, pursuant to 18 U.S.C. Section 1350, as adopted pursuant to Section 906 of the Sarbanes-Oxley Act of 2002, that:</w:t>
      </w:r>
    </w:p>
    <w:p>
      <w:pPr>
        <w:spacing w:after="0" w:line="192"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48895</wp:posOffset>
            </wp:positionV>
            <wp:extent cx="345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lvl w:ilvl="1">
      <w:lvlJc w:val="left"/>
      <w:lvlText w:val="%2."/>
      <w:numFmt w:val="decimal"/>
      <w:start w:val="1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04"/>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3"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pn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jpe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40" Type="http://schemas.openxmlformats.org/officeDocument/2006/relationships/hyperlink" Target="http://www.sec.gov/Archives/edgar/data/1603923/000095014221000038/eh210124017_ex1001.htm" TargetMode="External"/><Relationship Id="rId41" Type="http://schemas.openxmlformats.org/officeDocument/2006/relationships/hyperlink" Target="http://www.sec.gov/Archives/edgar/data/1603923/000095014221000038/eh210124017_ex1002.htm" TargetMode="External"/><Relationship Id="rId42" Type="http://schemas.openxmlformats.org/officeDocument/2006/relationships/hyperlink" Target="http://www.sec.gov/Archives/edgar/data/1603923/000095014221000038/eh210124017_ex1003.htm" TargetMode="External"/><Relationship Id="rId44" Type="http://schemas.openxmlformats.org/officeDocument/2006/relationships/hyperlink" Target="http://www.sec.gov/Archives/edgar/data/1603923/000095014221000038/eh210124017_ex1004.htm" TargetMode="External"/><Relationship Id="rId45" Type="http://schemas.openxmlformats.org/officeDocument/2006/relationships/hyperlink" Target="http://www.sec.gov/Archives/edgar/data/1603923/000160392321000013/exhibit1024amendedandresta.htm" TargetMode="External"/><Relationship Id="rId46" Type="http://schemas.openxmlformats.org/officeDocument/2006/relationships/hyperlink" Target="https://www.sec.gov/Archives/edgar/data/1603923/000160392321000018/exhibit1037ltcipamendeda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2021-05-06T16:13:18Z</dcterms:created>
  <dcterms:modified xsi:type="dcterms:W3CDTF">2021-05-06T16:13:18Z</dcterms:modified>
</cp:coreProperties>
</file>