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142240</wp:posOffset>
            </wp:positionV>
            <wp:extent cx="58845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4545" cy="20955"/>
                    </a:xfrm>
                    <a:prstGeom prst="rect">
                      <a:avLst/>
                    </a:prstGeom>
                    <a:noFill/>
                  </pic:spPr>
                </pic:pic>
              </a:graphicData>
            </a:graphic>
          </wp:anchor>
        </w:drawing>
      </w:r>
    </w:p>
    <w:p>
      <w:pPr>
        <w:spacing w:after="0" w:line="321" w:lineRule="exact"/>
        <w:rPr>
          <w:sz w:val="24"/>
          <w:szCs w:val="24"/>
          <w:color w:val="auto"/>
        </w:rPr>
      </w:pPr>
    </w:p>
    <w:p>
      <w:pPr>
        <w:ind w:left="506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60"/>
        <w:spacing w:after="0"/>
        <w:rPr>
          <w:sz w:val="20"/>
          <w:szCs w:val="20"/>
          <w:color w:val="auto"/>
        </w:rPr>
      </w:pPr>
      <w:r>
        <w:rPr>
          <w:rFonts w:ascii="Arial" w:cs="Arial" w:eastAsia="Arial" w:hAnsi="Arial"/>
          <w:sz w:val="22"/>
          <w:szCs w:val="22"/>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142240</wp:posOffset>
            </wp:positionV>
            <wp:extent cx="58845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4545" cy="20955"/>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142240</wp:posOffset>
            </wp:positionV>
            <wp:extent cx="58845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4545" cy="20955"/>
                    </a:xfrm>
                    <a:prstGeom prst="rect">
                      <a:avLst/>
                    </a:prstGeom>
                    <a:noFill/>
                  </pic:spPr>
                </pic:pic>
              </a:graphicData>
            </a:graphic>
          </wp:anchor>
        </w:drawing>
      </w:r>
    </w:p>
    <w:p>
      <w:pPr>
        <w:spacing w:after="0" w:line="321"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142240</wp:posOffset>
            </wp:positionV>
            <wp:extent cx="588454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4545" cy="21590"/>
                    </a:xfrm>
                    <a:prstGeom prst="rect">
                      <a:avLst/>
                    </a:prstGeom>
                    <a:noFill/>
                  </pic:spPr>
                </pic:pic>
              </a:graphicData>
            </a:graphic>
          </wp:anchor>
        </w:drawing>
      </w:r>
    </w:p>
    <w:p>
      <w:pPr>
        <w:spacing w:after="0" w:line="321"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80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ind w:right="140"/>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500"/>
          </w:cols>
          <w:pgMar w:left="160" w:top="140"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106680</wp:posOffset>
            </wp:positionH>
            <wp:positionV relativeFrom="page">
              <wp:posOffset>38100</wp:posOffset>
            </wp:positionV>
            <wp:extent cx="7355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5205" cy="8255"/>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33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820" w:type="dxa"/>
            <w:vAlign w:val="bottom"/>
          </w:tcPr>
          <w:p>
            <w:pPr>
              <w:ind w:left="100"/>
              <w:spacing w:after="0"/>
              <w:rPr>
                <w:sz w:val="20"/>
                <w:szCs w:val="20"/>
                <w:color w:val="auto"/>
              </w:rPr>
            </w:pPr>
            <w:r>
              <w:rPr>
                <w:rFonts w:ascii="Arial" w:cs="Arial" w:eastAsia="Arial" w:hAnsi="Arial"/>
                <w:sz w:val="22"/>
                <w:szCs w:val="22"/>
                <w:color w:val="auto"/>
              </w:rPr>
              <w:t>NAMES OF REPORTING PERSONS</w:t>
            </w:r>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Harris Associates L.P.</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04-3276558</w:t>
            </w:r>
          </w:p>
        </w:tc>
        <w:tc>
          <w:tcPr>
            <w:tcW w:w="6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(a) [ ]</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(b) [ ]</w:t>
            </w:r>
          </w:p>
        </w:tc>
        <w:tc>
          <w:tcPr>
            <w:tcW w:w="6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82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Delaware</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82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6020" w:type="dxa"/>
            <w:vAlign w:val="bottom"/>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8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820" w:type="dxa"/>
            <w:vAlign w:val="bottom"/>
          </w:tcPr>
          <w:p>
            <w:pPr>
              <w:ind w:left="180"/>
              <w:spacing w:after="0" w:line="243" w:lineRule="exact"/>
              <w:rPr>
                <w:sz w:val="20"/>
                <w:szCs w:val="20"/>
                <w:color w:val="auto"/>
              </w:rPr>
            </w:pPr>
            <w:r>
              <w:rPr>
                <w:rFonts w:ascii="Arial" w:cs="Arial" w:eastAsia="Arial" w:hAnsi="Arial"/>
                <w:sz w:val="22"/>
                <w:szCs w:val="22"/>
                <w:color w:val="auto"/>
              </w:rPr>
              <w:t>6. SHARED VOTING POWER</w:t>
            </w:r>
          </w:p>
        </w:tc>
        <w:tc>
          <w:tcPr>
            <w:tcW w:w="6020" w:type="dxa"/>
            <w:vAlign w:val="bottom"/>
          </w:tcPr>
          <w:p>
            <w:pPr>
              <w:jc w:val="right"/>
              <w:ind w:right="5412"/>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82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6020" w:type="dxa"/>
            <w:vAlign w:val="bottom"/>
            <w:vMerge w:val="restart"/>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820" w:type="dxa"/>
            <w:vAlign w:val="bottom"/>
            <w:vMerge w:val="continue"/>
          </w:tcPr>
          <w:p>
            <w:pPr>
              <w:spacing w:after="0"/>
              <w:rPr>
                <w:sz w:val="21"/>
                <w:szCs w:val="21"/>
                <w:color w:val="auto"/>
              </w:rPr>
            </w:pPr>
          </w:p>
        </w:tc>
        <w:tc>
          <w:tcPr>
            <w:tcW w:w="6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82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6020" w:type="dxa"/>
            <w:vAlign w:val="bottom"/>
            <w:vMerge w:val="restart"/>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820" w:type="dxa"/>
            <w:vAlign w:val="bottom"/>
            <w:vMerge w:val="continue"/>
          </w:tcPr>
          <w:p>
            <w:pPr>
              <w:spacing w:after="0"/>
              <w:rPr>
                <w:sz w:val="23"/>
                <w:szCs w:val="23"/>
                <w:color w:val="auto"/>
              </w:rPr>
            </w:pPr>
          </w:p>
        </w:tc>
        <w:tc>
          <w:tcPr>
            <w:tcW w:w="6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0</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 ]</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0.0%</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82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IA</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6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08" w:right="17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106680</wp:posOffset>
            </wp:positionH>
            <wp:positionV relativeFrom="page">
              <wp:posOffset>38100</wp:posOffset>
            </wp:positionV>
            <wp:extent cx="735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55205" cy="8255"/>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338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820" w:type="dxa"/>
            <w:vAlign w:val="bottom"/>
          </w:tcPr>
          <w:p>
            <w:pPr>
              <w:ind w:left="100"/>
              <w:spacing w:after="0"/>
              <w:rPr>
                <w:sz w:val="20"/>
                <w:szCs w:val="20"/>
                <w:color w:val="auto"/>
              </w:rPr>
            </w:pPr>
            <w:r>
              <w:rPr>
                <w:rFonts w:ascii="Arial" w:cs="Arial" w:eastAsia="Arial" w:hAnsi="Arial"/>
                <w:sz w:val="22"/>
                <w:szCs w:val="22"/>
                <w:color w:val="auto"/>
              </w:rPr>
              <w:t>NAMES OF REPORTING PERSONS</w:t>
            </w:r>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Harris Associates Inc.</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04-3276549</w:t>
            </w:r>
          </w:p>
        </w:tc>
        <w:tc>
          <w:tcPr>
            <w:tcW w:w="6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(a) [ ]</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(b) [ ]</w:t>
            </w:r>
          </w:p>
        </w:tc>
        <w:tc>
          <w:tcPr>
            <w:tcW w:w="6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82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Delaware</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82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6020" w:type="dxa"/>
            <w:vAlign w:val="bottom"/>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8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820" w:type="dxa"/>
            <w:vAlign w:val="bottom"/>
          </w:tcPr>
          <w:p>
            <w:pPr>
              <w:ind w:left="180"/>
              <w:spacing w:after="0" w:line="243" w:lineRule="exact"/>
              <w:rPr>
                <w:sz w:val="20"/>
                <w:szCs w:val="20"/>
                <w:color w:val="auto"/>
              </w:rPr>
            </w:pPr>
            <w:r>
              <w:rPr>
                <w:rFonts w:ascii="Arial" w:cs="Arial" w:eastAsia="Arial" w:hAnsi="Arial"/>
                <w:sz w:val="22"/>
                <w:szCs w:val="22"/>
                <w:color w:val="auto"/>
              </w:rPr>
              <w:t>6. SHARED VOTING POWER</w:t>
            </w:r>
          </w:p>
        </w:tc>
        <w:tc>
          <w:tcPr>
            <w:tcW w:w="6020" w:type="dxa"/>
            <w:vAlign w:val="bottom"/>
          </w:tcPr>
          <w:p>
            <w:pPr>
              <w:jc w:val="right"/>
              <w:ind w:right="5412"/>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82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6020" w:type="dxa"/>
            <w:vAlign w:val="bottom"/>
            <w:vMerge w:val="restart"/>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820" w:type="dxa"/>
            <w:vAlign w:val="bottom"/>
            <w:vMerge w:val="continue"/>
          </w:tcPr>
          <w:p>
            <w:pPr>
              <w:spacing w:after="0"/>
              <w:rPr>
                <w:sz w:val="21"/>
                <w:szCs w:val="21"/>
                <w:color w:val="auto"/>
              </w:rPr>
            </w:pPr>
          </w:p>
        </w:tc>
        <w:tc>
          <w:tcPr>
            <w:tcW w:w="6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82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6020" w:type="dxa"/>
            <w:vAlign w:val="bottom"/>
            <w:vMerge w:val="restart"/>
          </w:tcPr>
          <w:p>
            <w:pPr>
              <w:jc w:val="right"/>
              <w:ind w:right="54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820" w:type="dxa"/>
            <w:vAlign w:val="bottom"/>
            <w:vMerge w:val="continue"/>
          </w:tcPr>
          <w:p>
            <w:pPr>
              <w:spacing w:after="0"/>
              <w:rPr>
                <w:sz w:val="23"/>
                <w:szCs w:val="23"/>
                <w:color w:val="auto"/>
              </w:rPr>
            </w:pPr>
          </w:p>
        </w:tc>
        <w:tc>
          <w:tcPr>
            <w:tcW w:w="6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0</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 ]</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8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0.0%</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82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CO</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6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08" w:right="1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106680</wp:posOffset>
            </wp:positionH>
            <wp:positionV relativeFrom="page">
              <wp:posOffset>38100</wp:posOffset>
            </wp:positionV>
            <wp:extent cx="735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55205" cy="8255"/>
                    </a:xfrm>
                    <a:prstGeom prst="rect">
                      <a:avLst/>
                    </a:prstGeom>
                    <a:noFill/>
                  </pic:spPr>
                </pic:pic>
              </a:graphicData>
            </a:graphic>
          </wp:anchor>
        </w:drawing>
        <w:t>Item 1.</w:t>
      </w:r>
    </w:p>
    <w:p>
      <w:pPr>
        <w:spacing w:after="0" w:line="125" w:lineRule="exact"/>
        <w:rPr>
          <w:sz w:val="20"/>
          <w:szCs w:val="20"/>
          <w:color w:val="auto"/>
        </w:rPr>
      </w:pPr>
    </w:p>
    <w:p>
      <w:pPr>
        <w:ind w:left="1880" w:hanging="940"/>
        <w:spacing w:after="0"/>
        <w:tabs>
          <w:tab w:leader="none" w:pos="18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880" w:right="5220" w:hanging="940"/>
        <w:spacing w:after="0" w:line="334" w:lineRule="auto"/>
        <w:tabs>
          <w:tab w:leader="none" w:pos="18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Weststrasse 1, 6340 Baar, Switzerland CH 6340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880" w:hanging="940"/>
        <w:spacing w:after="0"/>
        <w:tabs>
          <w:tab w:leader="none" w:pos="18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8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88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880" w:hanging="940"/>
        <w:spacing w:after="0"/>
        <w:tabs>
          <w:tab w:leader="none" w:pos="18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880" w:right="342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9" w:lineRule="exact"/>
        <w:rPr>
          <w:rFonts w:ascii="Arial" w:cs="Arial" w:eastAsia="Arial" w:hAnsi="Arial"/>
          <w:sz w:val="22"/>
          <w:szCs w:val="22"/>
          <w:b w:val="1"/>
          <w:bCs w:val="1"/>
          <w:color w:val="auto"/>
        </w:rPr>
      </w:pPr>
    </w:p>
    <w:p>
      <w:pPr>
        <w:ind w:left="1880" w:hanging="940"/>
        <w:spacing w:after="0"/>
        <w:tabs>
          <w:tab w:leader="none" w:pos="18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8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88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880" w:right="7140" w:hanging="940"/>
        <w:spacing w:after="0" w:line="334" w:lineRule="auto"/>
        <w:tabs>
          <w:tab w:leader="none" w:pos="18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Ordinary Shares</w:t>
      </w:r>
    </w:p>
    <w:p>
      <w:pPr>
        <w:spacing w:after="0" w:line="12" w:lineRule="exact"/>
        <w:rPr>
          <w:rFonts w:ascii="Arial" w:cs="Arial" w:eastAsia="Arial" w:hAnsi="Arial"/>
          <w:sz w:val="19"/>
          <w:szCs w:val="19"/>
          <w:b w:val="1"/>
          <w:bCs w:val="1"/>
          <w:color w:val="auto"/>
        </w:rPr>
      </w:pPr>
    </w:p>
    <w:p>
      <w:pPr>
        <w:ind w:left="1880" w:right="8060" w:hanging="940"/>
        <w:spacing w:after="0" w:line="334" w:lineRule="auto"/>
        <w:tabs>
          <w:tab w:leader="none" w:pos="18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G48833100</w:t>
      </w:r>
    </w:p>
    <w:p>
      <w:pPr>
        <w:spacing w:after="0" w:line="13"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400"/>
          </w:cols>
          <w:pgMar w:left="240" w:top="343" w:right="259" w:bottom="0" w:gutter="0" w:footer="0" w:header="0"/>
        </w:sectPr>
      </w:pPr>
    </w:p>
    <w:p>
      <w:pPr>
        <w:spacing w:after="0" w:line="131" w:lineRule="exact"/>
        <w:rPr>
          <w:sz w:val="20"/>
          <w:szCs w:val="20"/>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246"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368"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368"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368"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880" w:hanging="940"/>
        <w:spacing w:after="0"/>
        <w:tabs>
          <w:tab w:leader="none" w:pos="1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color w:val="auto"/>
        </w:rPr>
        <w:t>Insurance Company as defined in Section 3(a)(19) of the Act (15 U.S.C. 78c).</w:t>
      </w:r>
    </w:p>
    <w:p>
      <w:pPr>
        <w:spacing w:after="0" w:line="137"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An employee benefit plan or endowment fund in accordance with Rule 240.13d-1(b)</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(1)(ii)(F);</w:t>
      </w:r>
    </w:p>
    <w:p>
      <w:pPr>
        <w:spacing w:after="0" w:line="10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parent holding company or control person in accordance with Rule 240.13d-1(b)(1) (ii)(G);</w:t>
      </w:r>
    </w:p>
    <w:p>
      <w:pPr>
        <w:spacing w:after="0" w:line="9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A church plan that is excluded from the definition of an investment company under Section 3(c)(14) of the Investment Company Act of 1940 (15 U.S.C. 80a-3);</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3240" w:space="720"/>
            <w:col w:w="7440"/>
          </w:cols>
          <w:pgMar w:left="240" w:top="343" w:right="259" w:bottom="0" w:gutter="0" w:footer="0" w:header="0"/>
          <w:type w:val="continuous"/>
        </w:sectPr>
      </w:pPr>
    </w:p>
    <w:p>
      <w:pPr>
        <w:spacing w:after="0"/>
        <w:tabs>
          <w:tab w:leader="none" w:pos="9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880" w:hanging="940"/>
        <w:spacing w:after="0"/>
        <w:tabs>
          <w:tab w:leader="none" w:pos="1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880" w:right="60"/>
        <w:spacing w:after="0" w:line="250"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0</w:t>
      </w:r>
    </w:p>
    <w:p>
      <w:pPr>
        <w:spacing w:after="0" w:line="201" w:lineRule="exact"/>
        <w:rPr>
          <w:rFonts w:ascii="Arial" w:cs="Arial" w:eastAsia="Arial" w:hAnsi="Arial"/>
          <w:sz w:val="22"/>
          <w:szCs w:val="22"/>
          <w:color w:val="auto"/>
        </w:rPr>
      </w:pPr>
    </w:p>
    <w:p>
      <w:pPr>
        <w:ind w:left="1880" w:right="360"/>
        <w:spacing w:after="0" w:line="238" w:lineRule="auto"/>
        <w:rPr>
          <w:rFonts w:ascii="Arial" w:cs="Arial" w:eastAsia="Arial" w:hAnsi="Arial"/>
          <w:sz w:val="22"/>
          <w:szCs w:val="22"/>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03" w:lineRule="exact"/>
        <w:rPr>
          <w:rFonts w:ascii="Arial" w:cs="Arial" w:eastAsia="Arial" w:hAnsi="Arial"/>
          <w:sz w:val="22"/>
          <w:szCs w:val="22"/>
          <w:color w:val="auto"/>
        </w:rPr>
      </w:pPr>
    </w:p>
    <w:p>
      <w:pPr>
        <w:ind w:left="1880" w:hanging="940"/>
        <w:spacing w:after="0"/>
        <w:tabs>
          <w:tab w:leader="none" w:pos="1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0.0%</w:t>
      </w:r>
    </w:p>
    <w:p>
      <w:pPr>
        <w:spacing w:after="0" w:line="125" w:lineRule="exact"/>
        <w:rPr>
          <w:rFonts w:ascii="Arial" w:cs="Arial" w:eastAsia="Arial" w:hAnsi="Arial"/>
          <w:sz w:val="22"/>
          <w:szCs w:val="22"/>
          <w:color w:val="auto"/>
        </w:rPr>
      </w:pPr>
    </w:p>
    <w:p>
      <w:pPr>
        <w:ind w:left="1880" w:hanging="940"/>
        <w:spacing w:after="0"/>
        <w:tabs>
          <w:tab w:leader="none" w:pos="1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880" w:type="dxa"/>
        <w:tblCellMar>
          <w:top w:w="0" w:type="dxa"/>
          <w:left w:w="0" w:type="dxa"/>
          <w:bottom w:w="0" w:type="dxa"/>
          <w:right w:w="0" w:type="dxa"/>
        </w:tblCellMar>
      </w:tblPr>
      <w:tr>
        <w:trPr>
          <w:trHeight w:val="274"/>
        </w:trPr>
        <w:tc>
          <w:tcPr>
            <w:tcW w:w="1180" w:type="dxa"/>
            <w:vAlign w:val="bottom"/>
          </w:tcPr>
          <w:p>
            <w:pPr>
              <w:spacing w:after="0"/>
              <w:rPr>
                <w:sz w:val="20"/>
                <w:szCs w:val="20"/>
                <w:color w:val="auto"/>
              </w:rPr>
            </w:pPr>
            <w:r>
              <w:rPr>
                <w:rFonts w:ascii="Arial" w:cs="Arial" w:eastAsia="Arial" w:hAnsi="Arial"/>
                <w:sz w:val="22"/>
                <w:szCs w:val="22"/>
                <w:color w:val="auto"/>
              </w:rPr>
              <w:t>(i)</w:t>
            </w:r>
          </w:p>
        </w:tc>
        <w:tc>
          <w:tcPr>
            <w:tcW w:w="4960" w:type="dxa"/>
            <w:vAlign w:val="bottom"/>
          </w:tcPr>
          <w:p>
            <w:pPr>
              <w:ind w:left="900"/>
              <w:spacing w:after="0"/>
              <w:rPr>
                <w:sz w:val="20"/>
                <w:szCs w:val="20"/>
                <w:color w:val="auto"/>
              </w:rPr>
            </w:pPr>
            <w:r>
              <w:rPr>
                <w:rFonts w:ascii="Arial" w:cs="Arial" w:eastAsia="Arial" w:hAnsi="Arial"/>
                <w:sz w:val="22"/>
                <w:szCs w:val="22"/>
                <w:color w:val="auto"/>
              </w:rPr>
              <w:t>sole power to vote or to direct the vote</w:t>
            </w:r>
          </w:p>
        </w:tc>
        <w:tc>
          <w:tcPr>
            <w:tcW w:w="62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1180" w:type="dxa"/>
            <w:vAlign w:val="bottom"/>
          </w:tcPr>
          <w:p>
            <w:pPr>
              <w:spacing w:after="0"/>
              <w:rPr>
                <w:sz w:val="20"/>
                <w:szCs w:val="20"/>
                <w:color w:val="auto"/>
              </w:rPr>
            </w:pPr>
            <w:r>
              <w:rPr>
                <w:rFonts w:ascii="Arial" w:cs="Arial" w:eastAsia="Arial" w:hAnsi="Arial"/>
                <w:sz w:val="22"/>
                <w:szCs w:val="22"/>
                <w:color w:val="auto"/>
              </w:rPr>
              <w:t>(ii)</w:t>
            </w:r>
          </w:p>
        </w:tc>
        <w:tc>
          <w:tcPr>
            <w:tcW w:w="4960" w:type="dxa"/>
            <w:vAlign w:val="bottom"/>
          </w:tcPr>
          <w:p>
            <w:pPr>
              <w:ind w:left="900"/>
              <w:spacing w:after="0"/>
              <w:rPr>
                <w:sz w:val="20"/>
                <w:szCs w:val="20"/>
                <w:color w:val="auto"/>
              </w:rPr>
            </w:pPr>
            <w:r>
              <w:rPr>
                <w:rFonts w:ascii="Arial" w:cs="Arial" w:eastAsia="Arial" w:hAnsi="Arial"/>
                <w:sz w:val="22"/>
                <w:szCs w:val="22"/>
                <w:color w:val="auto"/>
              </w:rPr>
              <w:t>shared power to vote or to direct the vote</w:t>
            </w:r>
          </w:p>
        </w:tc>
        <w:tc>
          <w:tcPr>
            <w:tcW w:w="620" w:type="dxa"/>
            <w:vAlign w:val="bottom"/>
          </w:tcPr>
          <w:p>
            <w:pPr>
              <w:jc w:val="right"/>
              <w:spacing w:after="0"/>
              <w:rPr>
                <w:sz w:val="20"/>
                <w:szCs w:val="20"/>
                <w:color w:val="auto"/>
              </w:rPr>
            </w:pPr>
            <w:r>
              <w:rPr>
                <w:rFonts w:ascii="Arial" w:cs="Arial" w:eastAsia="Arial" w:hAnsi="Arial"/>
                <w:sz w:val="22"/>
                <w:szCs w:val="22"/>
                <w:color w:val="auto"/>
              </w:rPr>
              <w:t>0</w:t>
            </w:r>
          </w:p>
        </w:tc>
      </w:tr>
    </w:tbl>
    <w:p>
      <w:pPr>
        <w:sectPr>
          <w:pgSz w:w="11900" w:h="16838" w:orient="portrait"/>
          <w:cols w:equalWidth="0" w:num="1">
            <w:col w:w="11400"/>
          </w:cols>
          <w:pgMar w:left="240" w:top="343" w:right="259" w:bottom="0" w:gutter="0" w:footer="0" w:header="0"/>
          <w:type w:val="continuous"/>
        </w:sectPr>
      </w:pPr>
    </w:p>
    <w:bookmarkStart w:id="4" w:name="page5"/>
    <w:bookmarkEnd w:id="4"/>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(iii)</w:t>
            </w:r>
          </w:p>
        </w:tc>
        <w:tc>
          <w:tcPr>
            <w:tcW w:w="5380" w:type="dxa"/>
            <w:vAlign w:val="bottom"/>
          </w:tcPr>
          <w:p>
            <w:pPr>
              <w:ind w:left="880"/>
              <w:spacing w:after="0"/>
              <w:rPr>
                <w:sz w:val="20"/>
                <w:szCs w:val="20"/>
                <w:color w:val="auto"/>
              </w:rPr>
            </w:pPr>
            <w:r>
              <w:rPr>
                <w:rFonts w:ascii="Arial" w:cs="Arial" w:eastAsia="Arial" w:hAnsi="Arial"/>
                <w:sz w:val="22"/>
                <w:szCs w:val="22"/>
                <w:color w:val="auto"/>
                <w:w w:val="90"/>
              </w:rPr>
              <w:t>sole power to dispose or to direct the disposition of</w:t>
            </w:r>
          </w:p>
        </w:tc>
        <w:tc>
          <w:tcPr>
            <w:tcW w:w="1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65"/>
        </w:trPr>
        <w:tc>
          <w:tcPr>
            <w:tcW w:w="1200" w:type="dxa"/>
            <w:vAlign w:val="bottom"/>
          </w:tcPr>
          <w:p>
            <w:pPr>
              <w:spacing w:after="0"/>
              <w:rPr>
                <w:sz w:val="20"/>
                <w:szCs w:val="20"/>
                <w:color w:val="auto"/>
              </w:rPr>
            </w:pPr>
            <w:r>
              <w:rPr>
                <w:rFonts w:ascii="Arial" w:cs="Arial" w:eastAsia="Arial" w:hAnsi="Arial"/>
                <w:sz w:val="22"/>
                <w:szCs w:val="22"/>
                <w:color w:val="auto"/>
              </w:rPr>
              <w:t>(iv)</w:t>
            </w:r>
          </w:p>
        </w:tc>
        <w:tc>
          <w:tcPr>
            <w:tcW w:w="5380" w:type="dxa"/>
            <w:vAlign w:val="bottom"/>
          </w:tcPr>
          <w:p>
            <w:pPr>
              <w:ind w:left="880"/>
              <w:spacing w:after="0"/>
              <w:rPr>
                <w:sz w:val="20"/>
                <w:szCs w:val="20"/>
                <w:color w:val="auto"/>
              </w:rPr>
            </w:pPr>
            <w:r>
              <w:rPr>
                <w:rFonts w:ascii="Arial" w:cs="Arial" w:eastAsia="Arial" w:hAnsi="Arial"/>
                <w:sz w:val="22"/>
                <w:szCs w:val="22"/>
                <w:color w:val="auto"/>
                <w:w w:val="90"/>
              </w:rPr>
              <w:t>shared power to dispose or to direct the disposition</w:t>
            </w:r>
          </w:p>
        </w:tc>
        <w:tc>
          <w:tcPr>
            <w:tcW w:w="1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4"/>
        </w:trPr>
        <w:tc>
          <w:tcPr>
            <w:tcW w:w="1200" w:type="dxa"/>
            <w:vAlign w:val="bottom"/>
          </w:tcPr>
          <w:p>
            <w:pPr>
              <w:spacing w:after="0"/>
              <w:rPr>
                <w:sz w:val="23"/>
                <w:szCs w:val="23"/>
                <w:color w:val="auto"/>
              </w:rPr>
            </w:pPr>
          </w:p>
        </w:tc>
        <w:tc>
          <w:tcPr>
            <w:tcW w:w="5380" w:type="dxa"/>
            <w:vAlign w:val="bottom"/>
          </w:tcPr>
          <w:p>
            <w:pPr>
              <w:ind w:left="880"/>
              <w:spacing w:after="0"/>
              <w:rPr>
                <w:sz w:val="20"/>
                <w:szCs w:val="20"/>
                <w:color w:val="auto"/>
              </w:rPr>
            </w:pPr>
            <w:r>
              <w:rPr>
                <w:rFonts w:ascii="Arial" w:cs="Arial" w:eastAsia="Arial" w:hAnsi="Arial"/>
                <w:sz w:val="22"/>
                <w:szCs w:val="22"/>
                <w:color w:val="auto"/>
              </w:rPr>
              <w:t>of</w:t>
            </w:r>
          </w:p>
        </w:tc>
        <w:tc>
          <w:tcPr>
            <w:tcW w:w="180" w:type="dxa"/>
            <w:vAlign w:val="bottom"/>
          </w:tcPr>
          <w:p>
            <w:pPr>
              <w:spacing w:after="0"/>
              <w:rPr>
                <w:sz w:val="23"/>
                <w:szCs w:val="23"/>
                <w:color w:val="auto"/>
              </w:rPr>
            </w:pPr>
          </w:p>
        </w:tc>
      </w:tr>
    </w:tbl>
    <w:p>
      <w:pPr>
        <w:spacing w:after="0" w:line="80"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40" w:right="6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40" w:hanging="930"/>
        <w:spacing w:after="0" w:line="256" w:lineRule="auto"/>
        <w:tabs>
          <w:tab w:leader="none" w:pos="92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940" w:right="2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40"/>
          </w:cols>
          <w:pgMar w:left="240" w:top="38" w:right="319" w:bottom="1440" w:gutter="0" w:footer="0" w:header="0"/>
        </w:sectPr>
      </w:pPr>
    </w:p>
    <w:bookmarkStart w:id="5" w:name="page6"/>
    <w:bookmarkEnd w:id="5"/>
    <w:p>
      <w:pPr>
        <w:jc w:val="center"/>
        <w:ind w:right="-3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106680</wp:posOffset>
            </wp:positionH>
            <wp:positionV relativeFrom="page">
              <wp:posOffset>38100</wp:posOffset>
            </wp:positionV>
            <wp:extent cx="7355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55205" cy="8255"/>
                    </a:xfrm>
                    <a:prstGeom prst="rect">
                      <a:avLst/>
                    </a:prstGeom>
                    <a:noFill/>
                  </pic:spPr>
                </pic:pic>
              </a:graphicData>
            </a:graphic>
          </wp:anchor>
        </w:drawing>
        <w:t>SIGNATURE</w:t>
      </w:r>
    </w:p>
    <w:p>
      <w:pPr>
        <w:spacing w:after="0" w:line="334" w:lineRule="exact"/>
        <w:rPr>
          <w:sz w:val="20"/>
          <w:szCs w:val="20"/>
          <w:color w:val="auto"/>
        </w:rPr>
      </w:pPr>
    </w:p>
    <w:p>
      <w:pPr>
        <w:ind w:left="240" w:right="33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Harris Associates L.P.</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Rana J. Wright</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Date: February 14, 2019</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Name: Rana J. Wright</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Title: General Counsel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339"/>
      </w:cols>
      <w:pgMar w:left="1120" w:top="3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2019-12-19T22:13:08Z</dcterms:created>
  <dcterms:modified xsi:type="dcterms:W3CDTF">2019-12-19T22:13:08Z</dcterms:modified>
</cp:coreProperties>
</file>