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10-Q</w:t>
      </w:r>
    </w:p>
    <w:p>
      <w:pPr>
        <w:spacing w:after="0" w:line="230"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2015</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8"/>
              </w:rPr>
              <w:t>Ireland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5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4900" w:type="dxa"/>
            <w:vAlign w:val="bottom"/>
          </w:tcPr>
          <w:p>
            <w:pPr>
              <w:jc w:val="center"/>
              <w:spacing w:after="0"/>
              <w:rPr>
                <w:sz w:val="20"/>
                <w:szCs w:val="20"/>
                <w:color w:val="auto"/>
              </w:rPr>
            </w:pPr>
            <w:r>
              <w:rPr>
                <w:rFonts w:ascii="Arial" w:cs="Arial" w:eastAsia="Arial" w:hAnsi="Arial"/>
                <w:sz w:val="18"/>
                <w:szCs w:val="18"/>
                <w:b w:val="1"/>
                <w:bCs w:val="1"/>
                <w:color w:val="auto"/>
                <w:w w:val="92"/>
              </w:rPr>
              <w:t>CH 6340</w:t>
            </w:r>
          </w:p>
        </w:tc>
      </w:tr>
      <w:tr>
        <w:trPr>
          <w:trHeight w:val="27"/>
        </w:trPr>
        <w:tc>
          <w:tcPr>
            <w:tcW w:w="60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52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33" w:lineRule="exact"/>
        <w:rPr>
          <w:sz w:val="24"/>
          <w:szCs w:val="24"/>
          <w:color w:val="auto"/>
        </w:r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34290</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3340" w:val="left"/>
          <w:tab w:leader="none" w:pos="5940" w:val="left"/>
          <w:tab w:leader="none" w:pos="8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13, 2015, there were 779,042,745 shares of Weatherford ordinary shares, $0.001 par value per share, outstanding.</w:t>
      </w:r>
    </w:p>
    <w:p>
      <w:pPr>
        <w:sectPr>
          <w:pgSz w:w="11900" w:h="16838" w:orient="portrait"/>
          <w:cols w:equalWidth="0" w:num="1">
            <w:col w:w="11420"/>
          </w:cols>
          <w:pgMar w:left="240" w:top="107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Nine Months Ended September 30, 2015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32</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32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17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92"/>
              </w:rPr>
              <w:t>Three Months Ended</w:t>
            </w:r>
          </w:p>
        </w:tc>
        <w:tc>
          <w:tcPr>
            <w:tcW w:w="220" w:type="dxa"/>
            <w:vAlign w:val="bottom"/>
          </w:tcPr>
          <w:p>
            <w:pPr>
              <w:spacing w:after="0"/>
              <w:rPr>
                <w:sz w:val="17"/>
                <w:szCs w:val="17"/>
                <w:color w:val="auto"/>
              </w:rPr>
            </w:pPr>
          </w:p>
        </w:tc>
        <w:tc>
          <w:tcPr>
            <w:tcW w:w="1940" w:type="dxa"/>
            <w:vAlign w:val="bottom"/>
            <w:gridSpan w:val="4"/>
          </w:tcPr>
          <w:p>
            <w:pPr>
              <w:jc w:val="right"/>
              <w:ind w:right="255"/>
              <w:spacing w:after="0"/>
              <w:rPr>
                <w:sz w:val="20"/>
                <w:szCs w:val="20"/>
                <w:color w:val="auto"/>
              </w:rPr>
            </w:pPr>
            <w:r>
              <w:rPr>
                <w:rFonts w:ascii="Arial" w:cs="Arial" w:eastAsia="Arial" w:hAnsi="Arial"/>
                <w:sz w:val="17"/>
                <w:szCs w:val="17"/>
                <w:b w:val="1"/>
                <w:bCs w:val="1"/>
                <w:color w:val="auto"/>
                <w:w w:val="99"/>
              </w:rPr>
              <w:t>Nine Months Ended</w:t>
            </w:r>
          </w:p>
        </w:tc>
        <w:tc>
          <w:tcPr>
            <w:tcW w:w="0" w:type="dxa"/>
            <w:vAlign w:val="bottom"/>
          </w:tcPr>
          <w:p>
            <w:pPr>
              <w:spacing w:after="0"/>
              <w:rPr>
                <w:sz w:val="1"/>
                <w:szCs w:val="1"/>
                <w:color w:val="auto"/>
              </w:rPr>
            </w:pPr>
          </w:p>
        </w:tc>
      </w:tr>
      <w:tr>
        <w:trPr>
          <w:trHeight w:val="222"/>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89"/>
              </w:rPr>
              <w:t>September 30,</w:t>
            </w:r>
          </w:p>
        </w:tc>
        <w:tc>
          <w:tcPr>
            <w:tcW w:w="220" w:type="dxa"/>
            <w:vAlign w:val="bottom"/>
          </w:tcPr>
          <w:p>
            <w:pPr>
              <w:spacing w:after="0"/>
              <w:rPr>
                <w:sz w:val="19"/>
                <w:szCs w:val="19"/>
                <w:color w:val="auto"/>
              </w:rPr>
            </w:pPr>
          </w:p>
        </w:tc>
        <w:tc>
          <w:tcPr>
            <w:tcW w:w="1940" w:type="dxa"/>
            <w:vAlign w:val="bottom"/>
            <w:gridSpan w:val="4"/>
          </w:tcPr>
          <w:p>
            <w:pPr>
              <w:jc w:val="right"/>
              <w:ind w:right="455"/>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31"/>
        </w:trPr>
        <w:tc>
          <w:tcPr>
            <w:tcW w:w="69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5"/>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5"/>
              <w:spacing w:after="0"/>
              <w:rPr>
                <w:sz w:val="20"/>
                <w:szCs w:val="20"/>
                <w:color w:val="auto"/>
              </w:rPr>
            </w:pPr>
            <w:r>
              <w:rPr>
                <w:rFonts w:ascii="Arial" w:cs="Arial" w:eastAsia="Arial" w:hAnsi="Arial"/>
                <w:sz w:val="17"/>
                <w:szCs w:val="17"/>
                <w:b w:val="1"/>
                <w:bCs w:val="1"/>
                <w:color w:val="auto"/>
              </w:rPr>
              <w:t>2014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Products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1,552</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2,779</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6,696</w:t>
            </w:r>
          </w:p>
        </w:tc>
        <w:tc>
          <w:tcPr>
            <w:tcW w:w="0" w:type="dxa"/>
            <w:vAlign w:val="bottom"/>
          </w:tcPr>
          <w:p>
            <w:pPr>
              <w:spacing w:after="0"/>
              <w:rPr>
                <w:sz w:val="1"/>
                <w:szCs w:val="1"/>
                <w:color w:val="auto"/>
              </w:rPr>
            </w:pPr>
          </w:p>
        </w:tc>
      </w:tr>
      <w:tr>
        <w:trPr>
          <w:trHeight w:val="219"/>
        </w:trPr>
        <w:tc>
          <w:tcPr>
            <w:tcW w:w="698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2,237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3,877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7,421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11,184</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3,425</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1,625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5,128</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993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1,228</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Long-Lived Assets Impairment and Other Related Charges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 and Equity Investment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Restructuring Charges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Litigation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(Gain) Loss on Sale of Businesses, Net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31"/>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10,711</w:t>
            </w:r>
          </w:p>
        </w:tc>
        <w:tc>
          <w:tcPr>
            <w:tcW w:w="0" w:type="dxa"/>
            <w:vAlign w:val="bottom"/>
          </w:tcPr>
          <w:p>
            <w:pPr>
              <w:spacing w:after="0"/>
              <w:rPr>
                <w:sz w:val="1"/>
                <w:szCs w:val="1"/>
                <w:color w:val="auto"/>
              </w:rPr>
            </w:pPr>
          </w:p>
        </w:tc>
      </w:tr>
      <w:tr>
        <w:trPr>
          <w:trHeight w:val="318"/>
        </w:trPr>
        <w:tc>
          <w:tcPr>
            <w:tcW w:w="69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Interest Expense, Net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Currency Devaluation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Other, Net</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1"/>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Income (Loss) Before Income Taxes</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(Provision) Benefit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9"/>
        </w:trPr>
        <w:tc>
          <w:tcPr>
            <w:tcW w:w="698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8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Income (Loss) Attributable to Weatherford</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311"/>
        </w:trPr>
        <w:tc>
          <w:tcPr>
            <w:tcW w:w="6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Income (Loss) Per Share Attributable to Weatherford:</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Diluted</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20"/>
                <w:szCs w:val="20"/>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Weighted Average Shares Outstanding:</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Diluted</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779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INCOME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76"/>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160" w:type="dxa"/>
            <w:vAlign w:val="bottom"/>
          </w:tcPr>
          <w:p>
            <w:pPr>
              <w:spacing w:after="0"/>
              <w:rPr>
                <w:sz w:val="24"/>
                <w:szCs w:val="24"/>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7"/>
        </w:trPr>
        <w:tc>
          <w:tcPr>
            <w:tcW w:w="8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Accounts Receivable, Net of Allowance for Uncollectible Accounts of $116 in 2015 and $108 in 2014</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3,015</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7,944</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8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Property, Plant and Equipment, Net of Accumulated Depreciation of $7,168 and $6,895</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6,394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7,123</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Intangible Assets, Net of Accumulated Amortization of $761 and $733</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440</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727</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1,736</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Accrued Salaries and Benefits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909</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4,027</w:t>
            </w:r>
          </w:p>
        </w:tc>
      </w:tr>
      <w:tr>
        <w:trPr>
          <w:trHeight w:val="297"/>
        </w:trPr>
        <w:tc>
          <w:tcPr>
            <w:tcW w:w="8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6,798</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1,031</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11,856</w:t>
            </w:r>
          </w:p>
        </w:tc>
      </w:tr>
      <w:tr>
        <w:trPr>
          <w:trHeight w:val="291"/>
        </w:trPr>
        <w:tc>
          <w:tcPr>
            <w:tcW w:w="8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0"/>
        </w:trPr>
        <w:tc>
          <w:tcPr>
            <w:tcW w:w="8460" w:type="dxa"/>
            <w:vAlign w:val="bottom"/>
          </w:tcPr>
          <w:p>
            <w:pPr>
              <w:ind w:left="40"/>
              <w:spacing w:after="0"/>
              <w:rPr>
                <w:sz w:val="20"/>
                <w:szCs w:val="20"/>
                <w:color w:val="auto"/>
              </w:rPr>
            </w:pPr>
            <w:r>
              <w:rPr>
                <w:rFonts w:ascii="Arial" w:cs="Arial" w:eastAsia="Arial" w:hAnsi="Arial"/>
                <w:sz w:val="16"/>
                <w:szCs w:val="16"/>
                <w:color w:val="auto"/>
                <w:w w:val="90"/>
              </w:rPr>
              <w:t>Shares - Par Value $0.001; Authorized 1,356 shares, Issued and Outstanding 779 shares at September 30, 2015 and 774 shares at</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8460" w:type="dxa"/>
            <w:vAlign w:val="bottom"/>
          </w:tcPr>
          <w:p>
            <w:pPr>
              <w:ind w:left="40"/>
              <w:spacing w:after="0"/>
              <w:rPr>
                <w:sz w:val="20"/>
                <w:szCs w:val="20"/>
                <w:color w:val="auto"/>
              </w:rPr>
            </w:pPr>
            <w:r>
              <w:rPr>
                <w:rFonts w:ascii="Arial" w:cs="Arial" w:eastAsia="Arial" w:hAnsi="Arial"/>
                <w:sz w:val="16"/>
                <w:szCs w:val="16"/>
                <w:color w:val="auto"/>
              </w:rPr>
              <w:t>December 31, 2014</w:t>
            </w:r>
          </w:p>
        </w:tc>
        <w:tc>
          <w:tcPr>
            <w:tcW w:w="16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in Excess of Par Value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5,411</w:t>
            </w: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2,427</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Weatherford Shareholders’ Equity</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6,958</w:t>
            </w:r>
          </w:p>
        </w:tc>
      </w:tr>
      <w:tr>
        <w:trPr>
          <w:trHeight w:val="3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7,033</w:t>
            </w:r>
          </w:p>
        </w:tc>
      </w:tr>
      <w:tr>
        <w:trPr>
          <w:trHeight w:val="3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9"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Long-Lived Assets Impairment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and Other Asset Related Charges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Goodwill and Equity Investment Impairment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Currency Devaluation and Related Charges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Businesses,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 Net of Effect of Businesses Acquired: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Billings in Excess of Costs and Estimated Earnings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Businesses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 Businesses,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Borrowings of Short-term Debt, Net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Executive Deferred Compensation Plan Treasury Shares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Financing Activities, Net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03"/>
        </w:trPr>
        <w:tc>
          <w:tcPr>
            <w:tcW w:w="8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Income Taxes Paid, Net of Refunds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9"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The accompanying unaudited Condensed Consolidated Financial Statements of Weatherford International plc (the “Company”) are prepared in accordance with generally accepted accounting principles in the United States of America (“U.S. GAAP”) and include all adjustments of a normal recurring nature which, in our opinion, are necessary to present fairly our Condensed Consolidated Balance Sheets at September 30, 2015 and December 31, 2014, Condensed Consolidated Statements of Operations and Condensed Consolidated Statements of Comprehensive Income (Loss) for the three and nine months ended September 30, 2015 and 2014, and Condensed Consolidated Statements of Cash Flows for the nine months ended September 30, 2015 and 2014.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181"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2014 included in our Annual Report on Form 10-K. The results of operations for the three and nine months ended September 30, 2015 are not necessarily indicative of the results expected for the year ending December 31, 2015.</w:t>
      </w:r>
    </w:p>
    <w:p>
      <w:pPr>
        <w:spacing w:after="0" w:line="172"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intangible assets and goodwill, property, plant and equipment,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first quarter of 2015, we changed our business structure to better align with management’s current view and future growth objectives. This change involved separating our Land Drilling Rigs business into a reportable segment resulting in a total of five reportable segments. We have recast prior periods to conform to the current business segment presentation. See “Note 15 – Segment Information” for additional information.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Currency Devaluation and Related Charges</w:t>
      </w:r>
    </w:p>
    <w:p>
      <w:pPr>
        <w:spacing w:after="0" w:line="2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currency devaluation and related charges resulting from certain devaluations and depreciation were $26 million and $68 million for the three and nine months ended September 30, 2015, respectively, and are included in current earnings in the line captioned “Currency Devaluation and Related Charges” on the accompanying Condensed Consolidated Statements of Operations.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September 30, 2015, currency devaluation and related charges reflect the impact of the 10% devaluation of the Angolan kwanza of $20 million and the depreciated Kazakhstani tenge of $6 million. The Kazakhstani tenge depreciated 31% after the Kazakhstan Central Bank abandoned its peg of the tenge to the U.S. dollar.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nine months ended September 30, 2015, currency devaluation and related charges reflect the impacts of the continued devaluation of the Angolan kwanza of $36 million, the recognized remeasurement charges of $26 million related to the Venezuelan bolivar and $6 million related to the depreciated Kazakhstani tenge. The Angolan kwanza charges reflect currency devaluations of approximately 11% in the second quarter and 10% in the third quarter of 2015. The Venezuelan bolivar charge reflects remeasurement charges when we began using the latest Venezuelan currency exchange system known as the “Marginal Currency System” or SIMADI. At September 30, 2015 our net monetary asset position denominated in Angolan kwanza was approximately $139 million. The net monetary positions denominated in Venezuelan bolivar and Kazakhstani tenge were not material.</w:t>
      </w:r>
    </w:p>
    <w:p>
      <w:pPr>
        <w:spacing w:after="0" w:line="174" w:lineRule="exact"/>
        <w:rPr>
          <w:sz w:val="20"/>
          <w:szCs w:val="20"/>
          <w:color w:val="auto"/>
        </w:rPr>
      </w:pPr>
    </w:p>
    <w:p>
      <w:pPr>
        <w:ind w:left="340" w:right="8100" w:hanging="332"/>
        <w:spacing w:after="0" w:line="503" w:lineRule="auto"/>
        <w:tabs>
          <w:tab w:leader="none" w:pos="24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From time to time, we acquire assets and businesses we believe are important to our long-term strategy or dispose of assets and businesses that are no longer a strategic fit within our business. We did not complete any material acquisitions or divestitures during the nine months ended September 30, 2015.</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2014, we acquired an additional 30% ownership interest in a joint venture in China. We paid $13 million for the incremental interest, thereby increasing our ownership interest from 45% to 75% and gaining control of the joint venture. As a result of this transaction, we adjusted our previously held equity investment to fair value, recognizing a $16 million gain, and we applied the consolidation method of accounting, recognizing $6 million of goodwill and $30 million of cash.</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2012, we acquired a company that designs and produces well completion tools. Our purchase consideration included a contingent consideration arrangement valued at approximately $3 million at December 31, 2014. At September 30, 2015, the contingent consideration arrangement was valued at approximately $15 million and is expected to be settled in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completed the sale of our pipeline and specialty services business. We received cash consideration of $246 million ($245 million, net of cash disposed) and recognized a gain of approximately $49 million.</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July 2014, we completed the sale of our land drilling and workover rig operations in Russia and Venezuela. We received cash consideration upon closing of $499 million ($486 million, net of cash disposed). As a result of our commitment to sell, we recognized a $143 million long-lived assets impairment loss and a $121 million goodwill impairment loss. Of the $121 million goodwill impairment, $95 million pertained to goodwill attributable to our divested land drilling and workover rig operations in Russia. See “Note 7 – Goodwill” regarding the impact of the 2014 goodwill impairment.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response to the significant decline in the price of crude oil and our anticipation of a lower level of exploration and production spending in 2015, we initiated a plan to reduce our overall costs and workforce to better align with anticipated activity levels. This cost reduction plan (the “2015 Plan”) included a workforce reduction and other cost reduction measures initiated across our geographic regions. During 2015, we have increased the expected workforce reduction by 75% from the originally planned workforce reduction due to the continued weakness in the price and demand of crude oil, as well as lower than expected exploration and production spending in 2015.</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2015 Plan, we recognized restructuring charges of $49 million and $159 million in the three and nine months ended September 30, 2015, respectively. For the three and nine months ended September 30, 2015, our restructuring charges include termination (severance) benefits of $40 million and $99 million, respectively, and other restructuring charges of $9 million and $60 million, respectively. Other restructuring charges for the nine months ended September 30, 2015 include asset write-offs of $23 million related to Yemen due to the political disruption and $28 million in other regions. Other restructuring charges also include exit costs, contract termination costs, relocation costs and other associated costs.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2014, we announced a cost reduction plan (the “2014 Plan”), which included a worldwide workforce reduction and other cost reduction measures. In the three and nine months ended September 30, 2014, the 2014 Plan restructuring charges include one-time termination (severance) benefits of $21 million and $119 million, asset impairment charges of $117 million and $138 million and other restructuring charges of $16 million and $26 million, respectively. Other restructuring charges include contract termination costs, relocation costs and other associated costs.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the components of the 2015 Plan and the 2014 Plan restructuring charges by segment for the three and nine months ended September 30, 2015 and 2014.</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8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0"/>
              </w:rPr>
              <w:t>Three Months Ended September 30, 2015</w:t>
            </w:r>
          </w:p>
        </w:tc>
      </w:tr>
      <w:tr>
        <w:trPr>
          <w:trHeight w:val="27"/>
        </w:trPr>
        <w:tc>
          <w:tcPr>
            <w:tcW w:w="5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60" w:type="dxa"/>
            <w:vAlign w:val="bottom"/>
          </w:tcPr>
          <w:p>
            <w:pPr>
              <w:spacing w:after="0"/>
              <w:rPr>
                <w:sz w:val="23"/>
                <w:szCs w:val="23"/>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8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0"/>
              </w:rPr>
              <w:t>Three Months Ended September 30, 2014</w:t>
            </w:r>
          </w:p>
        </w:tc>
      </w:tr>
      <w:tr>
        <w:trPr>
          <w:trHeight w:val="27"/>
        </w:trPr>
        <w:tc>
          <w:tcPr>
            <w:tcW w:w="5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3"/>
                <w:szCs w:val="23"/>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2014 Plan</w:t>
            </w:r>
          </w:p>
        </w:tc>
        <w:tc>
          <w:tcPr>
            <w:tcW w:w="360" w:type="dxa"/>
            <w:vAlign w:val="bottom"/>
          </w:tcPr>
          <w:p>
            <w:pPr>
              <w:spacing w:after="0"/>
              <w:rPr>
                <w:sz w:val="23"/>
                <w:szCs w:val="23"/>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111</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5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5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 2015</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5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Restructuring</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2015 Plan</w:t>
            </w:r>
          </w:p>
        </w:tc>
        <w:tc>
          <w:tcPr>
            <w:tcW w:w="142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54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Charges</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4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54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40" w:type="dxa"/>
            <w:vAlign w:val="bottom"/>
            <w:tcBorders>
              <w:bottom w:val="single" w:sz="8" w:color="auto"/>
            </w:tcBorders>
            <w:gridSpan w:val="6"/>
          </w:tcPr>
          <w:p>
            <w:pPr>
              <w:spacing w:after="0" w:line="20" w:lineRule="exact"/>
              <w:rPr>
                <w:sz w:val="1"/>
                <w:szCs w:val="1"/>
                <w:color w:val="auto"/>
              </w:rPr>
            </w:pPr>
          </w:p>
        </w:tc>
      </w:tr>
      <w:tr>
        <w:trPr>
          <w:trHeight w:val="581"/>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 2014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5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Restructuring</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2014 Plan</w:t>
            </w:r>
          </w:p>
        </w:tc>
        <w:tc>
          <w:tcPr>
            <w:tcW w:w="142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54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Charges</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4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108</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158</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54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283</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both plans that will be paid pursuant to the respective arrangements and statutory requirements.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960" w:type="dxa"/>
            <w:vAlign w:val="bottom"/>
            <w:gridSpan w:val="6"/>
          </w:tcPr>
          <w:p>
            <w:pPr>
              <w:ind w:left="20"/>
              <w:spacing w:after="0"/>
              <w:rPr>
                <w:sz w:val="20"/>
                <w:szCs w:val="20"/>
                <w:color w:val="auto"/>
              </w:rPr>
            </w:pPr>
            <w:r>
              <w:rPr>
                <w:rFonts w:ascii="Arial" w:cs="Arial" w:eastAsia="Arial" w:hAnsi="Arial"/>
                <w:sz w:val="18"/>
                <w:szCs w:val="18"/>
                <w:b w:val="1"/>
                <w:bCs w:val="1"/>
                <w:color w:val="auto"/>
              </w:rPr>
              <w:t>At September 30, 2015</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rPr>
              <w:t>2015 Plan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2014 Plan</w:t>
            </w:r>
          </w:p>
        </w:tc>
        <w:tc>
          <w:tcPr>
            <w:tcW w:w="2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Total Severance</w:t>
            </w: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r>
      <w:tr>
        <w:trPr>
          <w:trHeight w:val="270"/>
        </w:trPr>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24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Restructuring</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20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Restructuring</w:t>
            </w:r>
          </w:p>
        </w:tc>
        <w:tc>
          <w:tcPr>
            <w:tcW w:w="200" w:type="dxa"/>
            <w:vAlign w:val="bottom"/>
          </w:tcPr>
          <w:p>
            <w:pPr>
              <w:spacing w:after="0"/>
              <w:rPr>
                <w:sz w:val="23"/>
                <w:szCs w:val="23"/>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Restructuring</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3"/>
                <w:szCs w:val="2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200" w:type="dxa"/>
            <w:vAlign w:val="bottom"/>
          </w:tcPr>
          <w:p>
            <w:pPr>
              <w:spacing w:after="0"/>
              <w:rPr>
                <w:sz w:val="23"/>
                <w:szCs w:val="23"/>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r>
      <w:tr>
        <w:trPr>
          <w:trHeight w:val="27"/>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Corporate and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57"/>
        </w:trPr>
        <w:tc>
          <w:tcPr>
            <w:tcW w:w="328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46"/>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43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8880" w:type="dxa"/>
            <w:vAlign w:val="bottom"/>
            <w:gridSpan w:val="12"/>
          </w:tcPr>
          <w:p>
            <w:pPr>
              <w:ind w:left="120"/>
              <w:spacing w:after="0"/>
              <w:rPr>
                <w:sz w:val="20"/>
                <w:szCs w:val="20"/>
                <w:color w:val="auto"/>
              </w:rPr>
            </w:pPr>
            <w:r>
              <w:rPr>
                <w:rFonts w:ascii="Arial" w:cs="Arial" w:eastAsia="Arial" w:hAnsi="Arial"/>
                <w:sz w:val="18"/>
                <w:szCs w:val="18"/>
                <w:color w:val="auto"/>
              </w:rPr>
              <w:t>The following table presents the restructuring liability activity for the nine months ended September 30, 2015.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Nine Months Ended September 30, 2015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Percentage-of-Completion Contracts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and nine months ended September 30, 2015, we recognized estimated project losses of $44 million and $71 million, respectively, related to our long-term early production facility construction contract in Iraq accounted for under the percentage-of-completion method. Total estimated losses on these projects were $450 million at September 30, 2015.</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2015, our percentage-of-completion project estimates include $144 million of claims revenue and $21 million of back charges. Our costs in excess of billings as of September 30, 2015 were $93 million and are included in the “Other Current Assets” line on the Consolidated Balance Sheet. We also have a variety of unapproved contract change orders or claims that are not included in our revenues as of September 30, 2015. The amounts associated with these contract change orders or claims are included in revenue only when they can be estimated reliably and their realization is reasonably assured.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and nine months ended September 30, 2014, we recognized estimated project losses of $10 million and $38 million, respectively. Total estimated losses on these projects were $345 million at September 30, 2014. As of September 30, 2014, our percentage-of-completion project estimates include $27 million of claims revenue. Claims revenue of $6 million was recognized during the three months ended September 30, 2014 and $34 million of claims revenue was recognized during the nine months ended September 30,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5. Inventories, Net</w:t>
            </w:r>
          </w:p>
        </w:tc>
        <w:tc>
          <w:tcPr>
            <w:tcW w:w="3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3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20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380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0" w:type="dxa"/>
            <w:vAlign w:val="bottom"/>
            <w:vMerge w:val="restart"/>
          </w:tcPr>
          <w:p>
            <w:pPr>
              <w:jc w:val="right"/>
              <w:ind w:right="2350"/>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0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2"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Long-lived Asset Impairments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third quarter of 2015, we did not recognize any long-lived asset impairments. During the second quarter of 2015, we recognized $124 million of long-lived asset impairment charges in our North America segment. Based on the following impairment indicators, we performed an analysis of our pressure pumping assets and recorded long-lived asset impairment charges to adjust the assets to fair value. Impairment indicators include: the continued weakness in crude oil prices contributed to lower exploration and production spending and a decline in the utilization of our pressure pumping assets. The decline in oil prices and its impact on demand represented a significant adverse change in the business climate and an indication that these long-lived assets may not be recoverable. See “Note 9 – Fair Value of Financial Instruments, Assets and Equity Investments” for additional information regarding the fair value determination.</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second quarter of 2015, we prepared an analysis to determine the fair value of our equity investments in less than majority owned entities. Upon completion of this valuation, we determined that the fair value attributable to an equity investment was significantly below its carrying value. We assessed this decline in value as other than temporary and recognized an impairment loss of $20 million in the second quarter of 2015. See “Note 9 – Fair Value of Financial Instruments, Assets and Equity Investments” for additional information regarding the fair value determination.</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July 2014, we completed the sale of our rig operations in Russia and Venezuela. We expected the sale would significantly impact the revenues and results of our Russia operations. We considered the associated circumstances and determined that the fair values of our Russia and Latin America rig operations were below their carrying amounts. As a result of our commitment to sell, we recorded a $143 million long-lived assets impairment charge.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perform an impairment test for goodwill and indefinite-lived intangible assets annually as of October 1, or more frequently if indicators of potential impairment exist. Due to the change in our reporting segments (See “Note 15 – Segment Information”), we now report Land Drilling Rigs as a segment. The goodwill associated with the Land Drilling Rigs reporting unit was previously impaired in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nine months ended September 30, 2015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Europe/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MENA/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SSA/</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Latin</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Land Drilling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America</w:t>
            </w: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Asia Pacific</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Russia</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America</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Rigs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price and other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8. Short-term Borrowings and Current Portion of Long-term Debt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0"/>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4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12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 program</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Revolving credit agreement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364-day term loan facility</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Other short-term bank loans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a $2.25 billion unsecured, revolving credit agreement (the “Credit Agreement”) that matures on July 13, 2017. The Credit Agreement can be used for a combination of borrowings, support for our $2.25 billion commercial paper program and issuances of letters of credit. This agreement requires that we maintain a debt-to-total capitalization ratio of less than 60% and we were in compliance with this covenant at September 30, 2015. At September 30, 2015, we had $1.2 billion available under the Credit Agreement, and there were $16 million in outstanding letters of credit in addition to the commercial paper and borrowings under the Credit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short-term borrowings with various domestic and international institutions pursuant to uncommitted credit facilities. At September 30, 2015, we had $241 million in short-term borrowings under these arrangements, including $180 million borrowed under a credit agreement entered into in March 2014 that matures on March 20, 2016 (with respect to $150 million) and June 20, 2016 (with respect to the remaining $30 million), with a LIBOR-based weighted average interest rate of 1.86% as of September 30, 2015. In addition, we had $552 million of letters of credit under various uncommitted facilities and $157 million of surety bonds, primarily performance bonds, issued by financial sureties against an indemnification from us at September 30, 2015.</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portion of long-term debt at September 30, 2015 is primarily related to our 5.5% senior notes maturing February 2016 and our capital leases.</w:t>
      </w:r>
    </w:p>
    <w:p>
      <w:pPr>
        <w:spacing w:after="0" w:line="24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April 9, 2015, we repaid the remaining balance of $175 million of our 364-day term loan facility. In the three and nine months ended September 30, 2015, through a series of open market transactions, we repurchased certain of our 4.5% senior notes, 5.95% senior notes, 6.5% senior notes, 6.75% senior notes and 7.00% senior notes with a total book value of $236 million and $396 million, respectively. We recognized a cumulative gain of approximately $35 million and $47 million, respectively, on these transactions in the line captioned “Other, Net” on the accompanying Consolidated Statements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32"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5980" w:hanging="332"/>
        <w:spacing w:after="0" w:line="566" w:lineRule="auto"/>
        <w:tabs>
          <w:tab w:leader="none" w:pos="24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Assets and Equity Investments </w:t>
      </w:r>
      <w:r>
        <w:rPr>
          <w:rFonts w:ascii="Arial" w:cs="Arial" w:eastAsia="Arial" w:hAnsi="Arial"/>
          <w:sz w:val="16"/>
          <w:szCs w:val="16"/>
          <w:b w:val="1"/>
          <w:bCs w:val="1"/>
          <w:i w:val="1"/>
          <w:iCs w:val="1"/>
          <w:color w:val="auto"/>
        </w:rPr>
        <w:t>Financial Instruments Measured and Recognized at Fair Value</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Other than the derivative instruments discussed in “Note 10 – Derivative Instruments,” we had no other material assets or liabilities measured and recognized at fair value on a recurring basis at September 30, 2015 and December 31, 2014.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short-term borrowings and long-term debt. The carrying value of our commercial paper and other short-term borrowings approximates their fair value due to the short-term duration of the associated interest rate periods.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0"/>
        </w:trPr>
        <w:tc>
          <w:tcPr>
            <w:tcW w:w="6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68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5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6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6,733</w:t>
            </w:r>
          </w:p>
        </w:tc>
      </w:tr>
      <w:tr>
        <w:trPr>
          <w:trHeight w:val="243"/>
        </w:trPr>
        <w:tc>
          <w:tcPr>
            <w:tcW w:w="680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5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6,259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6,660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second quarter of 2015, long-lived pressure pumping assets and an equity investment were impaired and written down to their estimated fair values. The level 3 fair value of the long-lived assets was determined using a combination of the cost approach and the market approach, which used inputs that included replacement costs (unobservable), physical deterioration estimates (unobservable), and market sales data for comparable assets. The equity investment level 3 fair value was determined using an income based approach utilizing estimates of future cash flow, discount rate, long-term growth rate, and marketability discount, all of which were unobservable.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second quarter of 2014, long-lived assets in the rig operations in Russia and Venezuela and goodwill for the Russia reporting unit were impaired and written down to their estimated fair values. The level 3 fair value of the long-lived assets in the rig operations was determined using the market approach that considered the estimated sales price of those businesses. The goodwill level 3 fair value was determined using a combination of the income and market approaches with observable inputs that consisted of earnings multiples and unobservable inputs that included estimates of future cash flows, discount rate, long-term growth rate, and control premiums.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light of events in the global credit markets and the potential impact of these events on the liquidity of the banking industry, we continue to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Level 2 values for financial assets and liabilities are based on quoted prices in inactive markets, or whose values are based on models using observable inputs other than quoted prices. Level 2 inputs to those models are observable either directly or indirectly for substantially the full term of the asset or liability.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use interest rate swaps to help mitigate exposures related to changes in the fair values of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 As of September 30, 2015, we had net unamortized premiums of $26 million associated with interest rate swap terminations. These premiums are being amortized over the remaining term of the originally hedged debt as a reduction in interest expense which are included in the line captioned “Interest Expense, Net” on the accompanying Condensed Consolidated Statements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September 30, 2015 and December 31, 2014, we had outstanding foreign currency forward contracts with notional amounts aggregating to $1.4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forward contracts and cross-currency swaps are not designated as hedges, and the changes in fair value of the contracts are recorded each period in the line captioned “Other, Net” on the accompanying Condensed Consolidated Statements of Operations.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fair values of these foreign currency forward contracts and amounts receivable or owed associated with closed foreign currency contracts and the total estimated fair values of our cross-currency contracts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September 30, 2015</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December 31, 2014</w:t>
            </w:r>
          </w:p>
        </w:tc>
        <w:tc>
          <w:tcPr>
            <w:tcW w:w="2400" w:type="dxa"/>
            <w:vAlign w:val="bottom"/>
          </w:tcPr>
          <w:p>
            <w:pPr>
              <w:ind w:left="6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Other Liabilities</w:t>
            </w:r>
          </w:p>
        </w:tc>
      </w:tr>
      <w:tr>
        <w:trPr>
          <w:trHeight w:val="7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14</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 of derivative instruments designated as fair value hedges and those not designated as hedges on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60" w:type="dxa"/>
            <w:vAlign w:val="bottom"/>
            <w:gridSpan w:val="8"/>
          </w:tcPr>
          <w:p>
            <w:pPr>
              <w:ind w:left="260"/>
              <w:spacing w:after="0"/>
              <w:rPr>
                <w:sz w:val="20"/>
                <w:szCs w:val="20"/>
                <w:color w:val="auto"/>
              </w:rPr>
            </w:pPr>
            <w:r>
              <w:rPr>
                <w:rFonts w:ascii="Arial" w:cs="Arial" w:eastAsia="Arial" w:hAnsi="Arial"/>
                <w:sz w:val="18"/>
                <w:szCs w:val="18"/>
                <w:b w:val="1"/>
                <w:bCs w:val="1"/>
                <w:color w:val="auto"/>
                <w:w w:val="94"/>
              </w:rPr>
              <w:t>Gain (Loss) Recognized in Income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18"/>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ind w:left="420"/>
              <w:spacing w:after="0"/>
              <w:rPr>
                <w:sz w:val="20"/>
                <w:szCs w:val="20"/>
                <w:color w:val="auto"/>
              </w:rPr>
            </w:pPr>
            <w:r>
              <w:rPr>
                <w:rFonts w:ascii="Arial" w:cs="Arial" w:eastAsia="Arial" w:hAnsi="Arial"/>
                <w:sz w:val="18"/>
                <w:szCs w:val="18"/>
                <w:b w:val="1"/>
                <w:bCs w:val="1"/>
                <w:color w:val="auto"/>
                <w:w w:val="94"/>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1"/>
              </w:rPr>
              <w:t>Nine Months Ended</w:t>
            </w:r>
          </w:p>
        </w:tc>
        <w:tc>
          <w:tcPr>
            <w:tcW w:w="206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ind w:left="68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September 30,</w:t>
            </w:r>
          </w:p>
        </w:tc>
        <w:tc>
          <w:tcPr>
            <w:tcW w:w="2060" w:type="dxa"/>
            <w:vAlign w:val="bottom"/>
          </w:tcPr>
          <w:p>
            <w:pPr>
              <w:spacing w:after="0"/>
              <w:rPr>
                <w:sz w:val="20"/>
                <w:szCs w:val="20"/>
                <w:color w:val="auto"/>
              </w:rPr>
            </w:pPr>
          </w:p>
        </w:tc>
      </w:tr>
      <w:tr>
        <w:trPr>
          <w:trHeight w:val="27"/>
        </w:trPr>
        <w:tc>
          <w:tcPr>
            <w:tcW w:w="4580" w:type="dxa"/>
            <w:vAlign w:val="bottom"/>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780" w:type="dxa"/>
            <w:vAlign w:val="bottom"/>
          </w:tcPr>
          <w:p>
            <w:pPr>
              <w:ind w:left="400"/>
              <w:spacing w:after="0"/>
              <w:rPr>
                <w:sz w:val="20"/>
                <w:szCs w:val="20"/>
                <w:color w:val="auto"/>
              </w:rPr>
            </w:pPr>
            <w:r>
              <w:rPr>
                <w:rFonts w:ascii="Arial" w:cs="Arial" w:eastAsia="Arial" w:hAnsi="Arial"/>
                <w:sz w:val="18"/>
                <w:szCs w:val="18"/>
                <w:b w:val="1"/>
                <w:bCs w:val="1"/>
                <w:color w:val="auto"/>
                <w:w w:val="89"/>
              </w:rPr>
              <w:t>2015</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60" w:type="dxa"/>
            <w:vAlign w:val="bottom"/>
          </w:tcPr>
          <w:p>
            <w:pPr>
              <w:ind w:left="5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7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(32)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78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Net</w:t>
            </w: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We estimate our annual effective tax rate based on year-to-date operating results and our forecast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three and nine months ended September 30, 2015, we had a $65 million and $197 million tax benefit, respectively, on a loss before income taxes of $226 million and $948 million, respectively. Our results for the three months ended September 30, 2015, includes $49 million of restructuring charges, $44 million of project losses and $26 million of currency devaluation and related losses related to the Angolan kwanza and Kazakhstani tenge with no significant tax benefit. Our results for the nine months ended September 30, 2015, includes $159 million of restructuring charges, $112 million of litigation settlements, $71 million of project losses, $68 million of currency devaluation and related losses and $20 million of equity investment impairment, all with no significant tax benefit.</w:t>
      </w:r>
    </w:p>
    <w:p>
      <w:pPr>
        <w:spacing w:after="0" w:line="166"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$11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For the three and nine months ended September 30, 2014, we had a tax provision of $98 million and $136 million on an income before income taxes of $187 million and $60 million, respectively. Our results for the three months ended September 30, 2014 were impacted by discrete income before tax items, including restructuring charges of approximately $154 million, with no significant tax benefit. Our results for the nine months ended September 30, 2014, included a $143 million impairment loss ($121 million, net of tax) to record the land drilling and workover rig operations in Russia and Venezuela at fair value and a $121 million impairment charge to goodwill triggered by the planned sale of our land drilling and workover rig operations in Russia and Venezuela, which was non-deductible for income tax purposes. Our results for the nine months ended September 30, 2014 were also impacted by discrete income before tax items, including restructuring charges of $283 million and project losses of $50 million, with no significant tax benefit.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summarizes our shareholders’ equity activity for the nine months ended September 30, 2015 and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Capital In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Non-</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6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Par Value of</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Excess of Par</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Treasury</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16"/>
        </w:trPr>
        <w:tc>
          <w:tcPr>
            <w:tcW w:w="2640" w:type="dxa"/>
            <w:vAlign w:val="bottom"/>
            <w:vMerge w:val="continue"/>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Issued Shares</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Consolidation of Joint Venture</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5"/>
              </w:rPr>
              <w:t>Change in Common Shares, Treasury</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6"/>
                <w:szCs w:val="16"/>
                <w:color w:val="auto"/>
                <w:w w:val="94"/>
              </w:rPr>
              <w:t>Shares and Paid in Capital Associated</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with Redomestication</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September 30, 2014</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5,390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2,902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7,942</w:t>
            </w:r>
          </w:p>
        </w:tc>
        <w:tc>
          <w:tcPr>
            <w:tcW w:w="0" w:type="dxa"/>
            <w:vAlign w:val="bottom"/>
          </w:tcPr>
          <w:p>
            <w:pPr>
              <w:spacing w:after="0"/>
              <w:rPr>
                <w:sz w:val="1"/>
                <w:szCs w:val="1"/>
                <w:color w:val="auto"/>
              </w:rPr>
            </w:pPr>
          </w:p>
        </w:tc>
      </w:tr>
      <w:tr>
        <w:trPr>
          <w:trHeight w:val="271"/>
        </w:trPr>
        <w:tc>
          <w:tcPr>
            <w:tcW w:w="2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3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Exercised</w:t>
            </w:r>
          </w:p>
        </w:tc>
        <w:tc>
          <w:tcPr>
            <w:tcW w:w="3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September 30, 2015</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presents the changes in our accumulated other comprehensive income (loss) by component for the nine months ended September 30, 2015 and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Currency Translation</w:t>
            </w: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Deferred Loss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Adjustment</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Pension</w:t>
            </w:r>
          </w:p>
        </w:tc>
        <w:tc>
          <w:tcPr>
            <w:tcW w:w="16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Derivatives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2014</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2015</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49"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other comprehensive income before reclassifications from the defined benefit pension component of other comprehensive income for the nine months ended September 30, 2015 relates to the conversion of one of our international pension plans from a defined benefit plan to a defined contribution plan. In addition, other comprehensive income reflects the reclassification of our deferred loss on derivatives related to the early redemption of our senior notes.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reclassification from the currency translation adjustment component of other comprehensive income includes $90 million for the nine months ended September 30, 2014 from the sale of our land drilling and workover rig operations in Russia and Venezuela and pipeline and specialty services business. This amount was recognized in the “</w:t>
      </w:r>
      <w:r>
        <w:rPr>
          <w:rFonts w:ascii="Arial" w:cs="Arial" w:eastAsia="Arial" w:hAnsi="Arial"/>
          <w:sz w:val="16"/>
          <w:szCs w:val="16"/>
          <w:color w:val="auto"/>
        </w:rPr>
        <w:t>(Gain) Loss on Sale of Businesses, Net</w:t>
      </w:r>
      <w:r>
        <w:rPr>
          <w:rFonts w:ascii="Arial" w:cs="Arial" w:eastAsia="Arial" w:hAnsi="Arial"/>
          <w:sz w:val="17"/>
          <w:szCs w:val="17"/>
          <w:color w:val="auto"/>
        </w:rPr>
        <w:t>” line in our Condensed Consolidated Statement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w w:val="94"/>
              </w:rPr>
              <w:t>The following discloses basic and diluted weighted average shares outstanding:</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0"/>
        </w:trPr>
        <w:tc>
          <w:tcPr>
            <w:tcW w:w="7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6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7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r>
      <w:tr>
        <w:trPr>
          <w:trHeight w:val="27"/>
        </w:trPr>
        <w:tc>
          <w:tcPr>
            <w:tcW w:w="76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6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43"/>
        </w:trPr>
        <w:tc>
          <w:tcPr>
            <w:tcW w:w="760" w:type="dxa"/>
            <w:vAlign w:val="bottom"/>
          </w:tcPr>
          <w:p>
            <w:pPr>
              <w:spacing w:after="0"/>
              <w:rPr>
                <w:sz w:val="21"/>
                <w:szCs w:val="21"/>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Dilutive effect of:</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60" w:type="dxa"/>
            <w:vAlign w:val="bottom"/>
          </w:tcPr>
          <w:p>
            <w:pPr>
              <w:spacing w:after="0"/>
              <w:rPr>
                <w:sz w:val="2"/>
                <w:szCs w:val="2"/>
                <w:color w:val="auto"/>
              </w:rPr>
            </w:pPr>
          </w:p>
        </w:tc>
        <w:tc>
          <w:tcPr>
            <w:tcW w:w="5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60" w:type="dxa"/>
            <w:vAlign w:val="bottom"/>
          </w:tcPr>
          <w:p>
            <w:pPr>
              <w:spacing w:after="0"/>
              <w:rPr>
                <w:sz w:val="23"/>
                <w:szCs w:val="23"/>
                <w:color w:val="auto"/>
              </w:rPr>
            </w:pPr>
          </w:p>
        </w:tc>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Stock options, restricted shares and performance units</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60" w:type="dxa"/>
            <w:vAlign w:val="bottom"/>
          </w:tcPr>
          <w:p>
            <w:pPr>
              <w:spacing w:after="0"/>
              <w:rPr>
                <w:sz w:val="22"/>
                <w:szCs w:val="22"/>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r>
      <w:tr>
        <w:trPr>
          <w:trHeight w:val="20"/>
        </w:trPr>
        <w:tc>
          <w:tcPr>
            <w:tcW w:w="7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diluted weighted average shares outstanding for the three months ended September 30, 2014 exclude potential shares that are anti-dilutive, such as options where the exercise price exceeds the current market price of our stock. Diluted weighted average shares outstanding for the three and nine months ended September 30, 2015 and nine months ended September 30, 2014 exclude potential shares for stock options, restricted shares and performance units outstanding as we have net losses for that period and their inclusion would be anti-dilutive.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discloses the number of anti-dilutive shares excluded:</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9"/>
              </w:rPr>
              <w:t>September 30,</w:t>
            </w:r>
          </w:p>
        </w:tc>
        <w:tc>
          <w:tcPr>
            <w:tcW w:w="1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3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2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CCEEFF"/>
            </w:tcBorders>
            <w:shd w:val="clear" w:color="auto" w:fill="CCEEFF"/>
          </w:tcPr>
          <w:p>
            <w:pPr>
              <w:spacing w:after="0"/>
              <w:rPr>
                <w:sz w:val="15"/>
                <w:szCs w:val="15"/>
                <w:color w:val="auto"/>
              </w:rPr>
            </w:pPr>
          </w:p>
        </w:tc>
        <w:tc>
          <w:tcPr>
            <w:tcW w:w="23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3860" w:type="dxa"/>
            <w:vAlign w:val="bottom"/>
          </w:tcPr>
          <w:p>
            <w:pPr>
              <w:spacing w:after="0"/>
              <w:rPr>
                <w:sz w:val="24"/>
                <w:szCs w:val="24"/>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recognized the following employee share-based compensation expense during the three and nine months ended September 30, 2015 and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80" w:type="dxa"/>
            <w:vAlign w:val="bottom"/>
            <w:gridSpan w:val="4"/>
          </w:tcPr>
          <w:p>
            <w:pPr>
              <w:ind w:left="400"/>
              <w:spacing w:after="0"/>
              <w:rPr>
                <w:sz w:val="20"/>
                <w:szCs w:val="20"/>
                <w:color w:val="auto"/>
              </w:rPr>
            </w:pPr>
            <w:r>
              <w:rPr>
                <w:rFonts w:ascii="Arial" w:cs="Arial" w:eastAsia="Arial" w:hAnsi="Arial"/>
                <w:sz w:val="18"/>
                <w:szCs w:val="18"/>
                <w:b w:val="1"/>
                <w:bCs w:val="1"/>
                <w:color w:val="auto"/>
                <w:w w:val="93"/>
              </w:rPr>
              <w:t>Three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08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820" w:type="dxa"/>
            <w:vAlign w:val="bottom"/>
          </w:tcPr>
          <w:p>
            <w:pPr>
              <w:ind w:left="400"/>
              <w:spacing w:after="0"/>
              <w:rPr>
                <w:sz w:val="20"/>
                <w:szCs w:val="20"/>
                <w:color w:val="auto"/>
              </w:rPr>
            </w:pPr>
            <w:r>
              <w:rPr>
                <w:rFonts w:ascii="Arial" w:cs="Arial" w:eastAsia="Arial" w:hAnsi="Arial"/>
                <w:sz w:val="18"/>
                <w:szCs w:val="18"/>
                <w:b w:val="1"/>
                <w:bCs w:val="1"/>
                <w:color w:val="auto"/>
                <w:w w:val="99"/>
              </w:rPr>
              <w:t>2015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82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nine months ended September 30, 2015, we granted approximately 1.6 million performance units, which will vest with continued employment, if the Company meets certain market-based performance goals. The performance units have a weighted average grant date fair value of $10.45 per share based on the Monte Carlo simulation method. The assumptions used in the Monte Carlo simulation included a risk-free rate of 0.51%, volatility of 46.1% and a zero dividend yield. As of September 30, 2015, there was $16 million of unrecognized compensation related to our performance units. This cost is expected to be recognized over a weighted average period of 2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nine months ended September 30, 2015, we also granted 6.8 million restricted shares at a weighted average grant date fair value of $12.73 per share. As of September 30, 2015, there was $104 million of unrecognized compensation related to our unvested restricted share grants. This cost is expected to be recognized over a weighted average period of 2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first quarter of 2015, we changed our business structure to better align with management’s current view and future growth objectives. This involved separating our Land Drilling Rigs business into a reportable segment resulting in a total of five reportable segments which are North America, MENA/Asia Pacific, Europe/SSA/Russia, Latin America and Land Drilling Rigs. The operational performance of our segments is reviewed and managed primarily on a geographic basis, and we report the regional segments as separate, distinct reporting segments. In addition, the operations we intend to divest, in the case of our Land Drilling Rigs business, is reviewed and managed apart from our regional segments. Our corporate and other expenses that do not individually meet the criteria for segment reporting continue to be reported separately as Corporate and Research and Development. Each business reflects a reportable segment led by separate business segment management that reports directly or indirectly to our chief operating decision maker (“CODM”). Our CODM assesses performance and allocates resources on the basis of the five reportable segments. We have revised our business segment reporting to reflect our current management approach and recast prior periods to conform to the current business segment presentation.</w:t>
      </w:r>
    </w:p>
    <w:p>
      <w:pPr>
        <w:spacing w:after="0" w:line="167" w:lineRule="exact"/>
        <w:rPr>
          <w:sz w:val="20"/>
          <w:szCs w:val="20"/>
          <w:color w:val="auto"/>
        </w:rPr>
      </w:pPr>
    </w:p>
    <w:p>
      <w:pPr>
        <w:jc w:val="both"/>
        <w:ind w:left="60" w:firstLine="324"/>
        <w:spacing w:after="0" w:line="257" w:lineRule="auto"/>
        <w:rPr>
          <w:sz w:val="20"/>
          <w:szCs w:val="20"/>
          <w:color w:val="auto"/>
        </w:rPr>
      </w:pPr>
      <w:r>
        <w:rPr>
          <w:rFonts w:ascii="Arial" w:cs="Arial" w:eastAsia="Arial" w:hAnsi="Arial"/>
          <w:sz w:val="18"/>
          <w:szCs w:val="18"/>
          <w:color w:val="auto"/>
        </w:rPr>
        <w:t>Certain leased equipment of our Land Drilling Rigs and North America pressure pumping business includes contractual residual value guarantees at September 30, 2015. We maintain a liability of $80 million related to these guarantees which is recorded as “Other Non-Current Liabilities” on our Condensed Consolidated Balance Sheets. Certain of our supply agreements contain minimum purchase commitments and we maintain a liability at September 30, 2015, of $78 million, of which $65 million is recorded as “Other Current Liabilities” and $13 million as “Other Non-Current Liabilities” on our Condensed Consolidated Balance Sheets.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7"/>
          </w:tcPr>
          <w:p>
            <w:pPr>
              <w:jc w:val="center"/>
              <w:ind w:right="250"/>
              <w:spacing w:after="0"/>
              <w:rPr>
                <w:sz w:val="20"/>
                <w:szCs w:val="20"/>
                <w:color w:val="auto"/>
              </w:rPr>
            </w:pPr>
            <w:r>
              <w:rPr>
                <w:rFonts w:ascii="Arial" w:cs="Arial" w:eastAsia="Arial" w:hAnsi="Arial"/>
                <w:sz w:val="18"/>
                <w:szCs w:val="18"/>
                <w:b w:val="1"/>
                <w:bCs w:val="1"/>
                <w:color w:val="auto"/>
                <w:w w:val="90"/>
              </w:rPr>
              <w:t>Three Months Ended September 30, 2015</w:t>
            </w: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00" w:type="dxa"/>
            <w:vAlign w:val="bottom"/>
          </w:tcPr>
          <w:p>
            <w:pPr>
              <w:spacing w:after="0"/>
              <w:rPr>
                <w:sz w:val="20"/>
                <w:szCs w:val="20"/>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Impairment and Other Related Charges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8890</wp:posOffset>
            </wp:positionV>
            <wp:extent cx="383349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3495" cy="26035"/>
                    </a:xfrm>
                    <a:prstGeom prst="rect">
                      <a:avLst/>
                    </a:prstGeom>
                    <a:noFill/>
                  </pic:spPr>
                </pic:pic>
              </a:graphicData>
            </a:graphic>
          </wp:anchor>
        </w:drawing>
      </w:r>
    </w:p>
    <w:p>
      <w:pPr>
        <w:spacing w:after="0" w:line="24" w:lineRule="exact"/>
        <w:rPr>
          <w:sz w:val="20"/>
          <w:szCs w:val="20"/>
          <w:color w:val="auto"/>
        </w:rPr>
      </w:pPr>
    </w:p>
    <w:p>
      <w:pPr>
        <w:ind w:left="500" w:hanging="330"/>
        <w:spacing w:after="0" w:line="255"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September 30, 2015 includes pressure pumping business related charges of $15 million and supply agreement charges related to a non-core business divestiture of $2 million.</w:t>
      </w:r>
    </w:p>
    <w:p>
      <w:pPr>
        <w:spacing w:after="0" w:line="1" w:lineRule="exact"/>
        <w:rPr>
          <w:rFonts w:ascii="Arial" w:cs="Arial" w:eastAsia="Arial" w:hAnsi="Arial"/>
          <w:sz w:val="16"/>
          <w:szCs w:val="16"/>
          <w:color w:val="auto"/>
        </w:rPr>
      </w:pPr>
    </w:p>
    <w:p>
      <w:pPr>
        <w:ind w:left="500" w:right="20" w:hanging="330"/>
        <w:spacing w:after="0" w:line="263" w:lineRule="auto"/>
        <w:tabs>
          <w:tab w:leader="none" w:pos="50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three months ended September 30, 2015, we recognized restructuring charges of $49 million: $9 million in North America, $5 million in MENA/Asia Pacific, $11 million in Europe/SSA/Russia, $10 million in Latin America, $6 million in Land Drilling Rigs and $8 million in Corporate and Research and Development.</w:t>
      </w:r>
    </w:p>
    <w:p>
      <w:pPr>
        <w:ind w:left="500" w:right="20" w:hanging="330"/>
        <w:spacing w:after="0" w:line="257"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three months ended September 30, 2015 includes professional and other fees of $7 million, facility closure fees of $2 million, and divestiture related charges of $2 million.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7"/>
          </w:tcPr>
          <w:p>
            <w:pPr>
              <w:jc w:val="center"/>
              <w:ind w:right="250"/>
              <w:spacing w:after="0"/>
              <w:rPr>
                <w:sz w:val="20"/>
                <w:szCs w:val="20"/>
                <w:color w:val="auto"/>
              </w:rPr>
            </w:pPr>
            <w:r>
              <w:rPr>
                <w:rFonts w:ascii="Arial" w:cs="Arial" w:eastAsia="Arial" w:hAnsi="Arial"/>
                <w:sz w:val="18"/>
                <w:szCs w:val="18"/>
                <w:b w:val="1"/>
                <w:bCs w:val="1"/>
                <w:color w:val="auto"/>
                <w:w w:val="90"/>
              </w:rPr>
              <w:t>Three Months Ended September 30, 2014</w:t>
            </w:r>
          </w:p>
        </w:tc>
      </w:tr>
      <w:tr>
        <w:trPr>
          <w:trHeight w:val="27"/>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00" w:type="dxa"/>
            <w:vAlign w:val="bottom"/>
          </w:tcPr>
          <w:p>
            <w:pPr>
              <w:spacing w:after="0"/>
              <w:rPr>
                <w:sz w:val="20"/>
                <w:szCs w:val="20"/>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 Net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70"/>
        </w:trPr>
        <w:tc>
          <w:tcPr>
            <w:tcW w:w="53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500" w:hanging="330"/>
        <w:spacing w:after="0" w:line="249"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three months ended September 30, 2014, we recognized restructuring charges of $154 million: $16 million in North America, $111 million in MENA/Asia Pacific, $9 million in Europe/SSA/Russia, $13 million in Latin America and $5 million in Land Drilling Rigs.</w:t>
      </w:r>
    </w:p>
    <w:p>
      <w:pPr>
        <w:ind w:left="500" w:hanging="330"/>
        <w:spacing w:after="0" w:line="257"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three months ended September 30, 2014 includes professional fees related to the divestiture of our non-core businesses, restatement related litigation, the settlement of the U.S. government investigations and other charges.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Nine Months Ended September 30, 2015</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360" w:type="dxa"/>
            <w:vAlign w:val="bottom"/>
          </w:tcPr>
          <w:p>
            <w:pPr>
              <w:spacing w:after="0"/>
              <w:rPr>
                <w:sz w:val="20"/>
                <w:szCs w:val="20"/>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00" w:type="dxa"/>
            <w:vAlign w:val="bottom"/>
          </w:tcPr>
          <w:p>
            <w:pPr>
              <w:spacing w:after="0"/>
              <w:rPr>
                <w:sz w:val="20"/>
                <w:szCs w:val="20"/>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12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MENA/Asia Pacific</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Land Drilling Rigs</w:t>
            </w:r>
          </w:p>
        </w:tc>
        <w:tc>
          <w:tcPr>
            <w:tcW w:w="3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128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Impairment and Other Related Charges </w:t>
            </w:r>
            <w:r>
              <w:rPr>
                <w:rFonts w:ascii="Arial" w:cs="Arial" w:eastAsia="Arial" w:hAnsi="Arial"/>
                <w:sz w:val="25"/>
                <w:szCs w:val="25"/>
                <w:color w:val="auto"/>
                <w:vertAlign w:val="superscript"/>
              </w:rPr>
              <w:t>(a)</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Equity Investment Impairment</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Litigation Charges</w:t>
            </w: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Sale of Businesses, Net</w:t>
            </w:r>
          </w:p>
        </w:tc>
        <w:tc>
          <w:tcPr>
            <w:tcW w:w="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70"/>
        </w:trPr>
        <w:tc>
          <w:tcPr>
            <w:tcW w:w="53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0"/>
        </w:trPr>
        <w:tc>
          <w:tcPr>
            <w:tcW w:w="12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500" w:hanging="330"/>
        <w:spacing w:after="0" w:line="249"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nine months ended September 30, 2015 includes asset impairment charges of $124 million, pressure pumping business related charges of $52 million and supply agreement charges related to a non-core business divestiture of $32 million.</w:t>
      </w:r>
    </w:p>
    <w:p>
      <w:pPr>
        <w:jc w:val="both"/>
        <w:ind w:left="500" w:hanging="330"/>
        <w:spacing w:after="0" w:line="248"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nine months ended September 30, 2015, we recognized restructuring charges of $159 million: $38 million in North America, $40 million in MENA/Asia Pacific, $32 million in Europe/SSA/Russia, $26 million in Latin America, $12 million in Land Drilling Rigs and $11 million in Corporate and Research and Development.</w:t>
      </w:r>
    </w:p>
    <w:p>
      <w:pPr>
        <w:ind w:left="500" w:right="20" w:hanging="330"/>
        <w:spacing w:after="0" w:line="245"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8"/>
          <w:szCs w:val="18"/>
          <w:color w:val="auto"/>
        </w:rPr>
        <w:t xml:space="preserve">The </w:t>
      </w:r>
      <w:r>
        <w:rPr>
          <w:rFonts w:ascii="Arial" w:cs="Arial" w:eastAsia="Arial" w:hAnsi="Arial"/>
          <w:sz w:val="16"/>
          <w:szCs w:val="16"/>
          <w:color w:val="auto"/>
        </w:rPr>
        <w:t>nine months ended September 30, 2015 includes professional and other fees of $18 million, facility closure fees of $5 million, and divestiture related charges of $7</w:t>
      </w:r>
      <w:r>
        <w:rPr>
          <w:rFonts w:ascii="Arial" w:cs="Arial" w:eastAsia="Arial" w:hAnsi="Arial"/>
          <w:sz w:val="18"/>
          <w:szCs w:val="18"/>
          <w:color w:val="auto"/>
        </w:rPr>
        <w:t xml:space="preserve"> </w:t>
      </w:r>
      <w:r>
        <w:rPr>
          <w:rFonts w:ascii="Arial" w:cs="Arial" w:eastAsia="Arial" w:hAnsi="Arial"/>
          <w:sz w:val="16"/>
          <w:szCs w:val="16"/>
          <w:color w:val="auto"/>
        </w:rPr>
        <w:t>million.</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6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90"/>
              </w:rPr>
              <w:t>Nine Months Ended September 30, 2014</w:t>
            </w: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Net</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Income</w:t>
            </w: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34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from</w:t>
            </w: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Revenues</w:t>
            </w:r>
          </w:p>
        </w:tc>
        <w:tc>
          <w:tcPr>
            <w:tcW w:w="340" w:type="dxa"/>
            <w:vAlign w:val="bottom"/>
          </w:tcPr>
          <w:p>
            <w:pPr>
              <w:spacing w:after="0"/>
              <w:rPr>
                <w:sz w:val="20"/>
                <w:szCs w:val="20"/>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Operations</w:t>
            </w:r>
          </w:p>
        </w:tc>
        <w:tc>
          <w:tcPr>
            <w:tcW w:w="300" w:type="dxa"/>
            <w:vAlign w:val="bottom"/>
          </w:tcPr>
          <w:p>
            <w:pPr>
              <w:spacing w:after="0"/>
              <w:rPr>
                <w:sz w:val="20"/>
                <w:szCs w:val="20"/>
                <w:color w:val="auto"/>
              </w:rPr>
            </w:pPr>
          </w:p>
        </w:tc>
        <w:tc>
          <w:tcPr>
            <w:tcW w:w="16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 Impairment</w:t>
            </w: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Gain on Sale of Business, Net</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(e)</w:t>
            </w:r>
          </w:p>
        </w:tc>
        <w:tc>
          <w:tcPr>
            <w:tcW w:w="3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8890</wp:posOffset>
            </wp:positionV>
            <wp:extent cx="38163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16350" cy="26035"/>
                    </a:xfrm>
                    <a:prstGeom prst="rect">
                      <a:avLst/>
                    </a:prstGeom>
                    <a:noFill/>
                  </pic:spPr>
                </pic:pic>
              </a:graphicData>
            </a:graphic>
          </wp:anchor>
        </w:drawing>
      </w:r>
    </w:p>
    <w:p>
      <w:pPr>
        <w:spacing w:after="0" w:line="24" w:lineRule="exact"/>
        <w:rPr>
          <w:sz w:val="20"/>
          <w:szCs w:val="20"/>
          <w:color w:val="auto"/>
        </w:rPr>
      </w:pPr>
    </w:p>
    <w:p>
      <w:pPr>
        <w:jc w:val="both"/>
        <w:ind w:left="500" w:hanging="330"/>
        <w:spacing w:after="0" w:line="25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nine months ended September 30, 2014, we recognized restructuring charges of $283 million: $44 million in North America, $128 million in MENA/Asia Pacific, $36 million in Europe/SSA/Russia, $36 million in Latin America, $9 million in Land Drilling Rigs and $30 million in Corporate and Research and Development.</w:t>
      </w:r>
    </w:p>
    <w:p>
      <w:pPr>
        <w:spacing w:after="0" w:line="1" w:lineRule="exact"/>
        <w:rPr>
          <w:rFonts w:ascii="Arial" w:cs="Arial" w:eastAsia="Arial" w:hAnsi="Arial"/>
          <w:sz w:val="16"/>
          <w:szCs w:val="16"/>
          <w:color w:val="auto"/>
        </w:rPr>
      </w:pPr>
    </w:p>
    <w:p>
      <w:pPr>
        <w:jc w:val="both"/>
        <w:ind w:left="500" w:hanging="330"/>
        <w:spacing w:after="0" w:line="25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nine months ended September 30, 2014 includes professional fees of $64 million related to the divestiture of our non-core businesses, restatement related litigation, the settlement of the U.S. government investigations, the remediation of our material weakness related to income taxes and our 2014 redomestication from Switzerland to Ireland and other charges of $8 million.</w:t>
      </w:r>
    </w:p>
    <w:p>
      <w:pPr>
        <w:sectPr>
          <w:pgSz w:w="11900" w:h="16838" w:orient="portrait"/>
          <w:cols w:equalWidth="0" w:num="1">
            <w:col w:w="11420"/>
          </w:cols>
          <w:pgMar w:left="240" w:top="432"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32"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180" w:hanging="332"/>
        <w:spacing w:after="0" w:line="566" w:lineRule="auto"/>
        <w:tabs>
          <w:tab w:leader="none" w:pos="28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Litigation and Contingencies </w:t>
      </w:r>
      <w:r>
        <w:rPr>
          <w:rFonts w:ascii="Arial" w:cs="Arial" w:eastAsia="Arial" w:hAnsi="Arial"/>
          <w:sz w:val="16"/>
          <w:szCs w:val="16"/>
          <w:b w:val="1"/>
          <w:bCs w:val="1"/>
          <w:i w:val="1"/>
          <w:iCs w:val="1"/>
          <w:color w:val="auto"/>
        </w:rPr>
        <w:t>Shareholder Litigation</w:t>
      </w:r>
    </w:p>
    <w:p>
      <w:pPr>
        <w:spacing w:after="0" w:line="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in our U.S. Securities and Exchange Commission (the “SEC”) filings since 2007. Those shareholder derivative cases, captioned </w:t>
      </w:r>
      <w:r>
        <w:rPr>
          <w:rFonts w:ascii="Arial" w:cs="Arial" w:eastAsia="Arial" w:hAnsi="Arial"/>
          <w:sz w:val="16"/>
          <w:szCs w:val="16"/>
          <w:i w:val="1"/>
          <w:iCs w:val="1"/>
          <w:color w:val="auto"/>
        </w:rPr>
        <w:t>Neff v. Brady, et al.</w:t>
      </w:r>
      <w:r>
        <w:rPr>
          <w:rFonts w:ascii="Arial" w:cs="Arial" w:eastAsia="Arial" w:hAnsi="Arial"/>
          <w:sz w:val="16"/>
          <w:szCs w:val="16"/>
          <w:color w:val="auto"/>
        </w:rPr>
        <w:t xml:space="preserve">, No. 201040764, </w:t>
      </w:r>
      <w:r>
        <w:rPr>
          <w:rFonts w:ascii="Arial" w:cs="Arial" w:eastAsia="Arial" w:hAnsi="Arial"/>
          <w:sz w:val="16"/>
          <w:szCs w:val="16"/>
          <w:i w:val="1"/>
          <w:iCs w:val="1"/>
          <w:color w:val="auto"/>
        </w:rPr>
        <w:t>Rosner v. Brady, et al.</w:t>
      </w:r>
      <w:r>
        <w:rPr>
          <w:rFonts w:ascii="Arial" w:cs="Arial" w:eastAsia="Arial" w:hAnsi="Arial"/>
          <w:sz w:val="16"/>
          <w:szCs w:val="16"/>
          <w:color w:val="auto"/>
        </w:rPr>
        <w:t xml:space="preserve">, No. 201047343, and </w:t>
      </w:r>
      <w:r>
        <w:rPr>
          <w:rFonts w:ascii="Arial" w:cs="Arial" w:eastAsia="Arial" w:hAnsi="Arial"/>
          <w:sz w:val="16"/>
          <w:szCs w:val="16"/>
          <w:i w:val="1"/>
          <w:iCs w:val="1"/>
          <w:color w:val="auto"/>
        </w:rPr>
        <w:t>Hess v. Duroc-Danner, et al.</w:t>
      </w:r>
      <w:r>
        <w:rPr>
          <w:rFonts w:ascii="Arial" w:cs="Arial" w:eastAsia="Arial" w:hAnsi="Arial"/>
          <w:sz w:val="16"/>
          <w:szCs w:val="16"/>
          <w:color w:val="auto"/>
        </w:rPr>
        <w:t xml:space="preserve">, No. 201040765, were filed in Harris County, Texas state court and consolidated (collectively referred to as the “Neff Case”). In 2014, one of the three cases, </w:t>
      </w:r>
      <w:r>
        <w:rPr>
          <w:rFonts w:ascii="Arial" w:cs="Arial" w:eastAsia="Arial" w:hAnsi="Arial"/>
          <w:sz w:val="16"/>
          <w:szCs w:val="16"/>
          <w:i w:val="1"/>
          <w:iCs w:val="1"/>
          <w:color w:val="auto"/>
        </w:rPr>
        <w:t>Hess v. Duroc-Danner, et al.</w:t>
      </w:r>
      <w:r>
        <w:rPr>
          <w:rFonts w:ascii="Arial" w:cs="Arial" w:eastAsia="Arial" w:hAnsi="Arial"/>
          <w:sz w:val="16"/>
          <w:szCs w:val="16"/>
          <w:color w:val="auto"/>
        </w:rPr>
        <w:t>, No. 201040765, was voluntarily dismissed from the Neff Case. Other shareholder demand letters covering the same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Neff Case. That case, captioned </w:t>
      </w:r>
      <w:r>
        <w:rPr>
          <w:rFonts w:ascii="Arial" w:cs="Arial" w:eastAsia="Arial" w:hAnsi="Arial"/>
          <w:sz w:val="16"/>
          <w:szCs w:val="16"/>
          <w:i w:val="1"/>
          <w:iCs w:val="1"/>
          <w:color w:val="auto"/>
        </w:rPr>
        <w:t>Erste-Sparinvest KAG v. Duroc-Danner, et al.,</w:t>
      </w:r>
      <w:r>
        <w:rPr>
          <w:rFonts w:ascii="Arial" w:cs="Arial" w:eastAsia="Arial" w:hAnsi="Arial"/>
          <w:sz w:val="16"/>
          <w:szCs w:val="16"/>
          <w:color w:val="auto"/>
        </w:rPr>
        <w:t xml:space="preserve"> No. 201420933 (Harris County, Texas) was consolidated into the Neff Case in September 2014. A motion to dismiss was granted May 15, 2015 and an appeal was filed on June 15, 2015.</w:t>
      </w:r>
    </w:p>
    <w:p>
      <w:pPr>
        <w:spacing w:after="0" w:line="1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reliably predict the outcome of the appeal including the amount of any possible loss. If one or more negative outcomes were to occur relative to these cases, the aggregate impact to our financial condition could be material.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purported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1:12-cv-02121-LAK for $120 million. The case had been filed in the federal court in the Southern District of New York in March 2012, and alleged that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certain current and former officers of Weatherford violated the federal securities laws in connection with the restatements of our historical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statements. The settlement amount was paid into escrow in August 2015. The settlement is subject to notice to the class and court approval. A final hearing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be held November 3, 2015.</w:t>
      </w:r>
    </w:p>
    <w:p>
      <w:pPr>
        <w:spacing w:after="0" w:line="2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We signed a stipulation of settlement in June 2014 to resolve two shareholder derivative actions related to the Company’s restatement of its financial statements and material weakness in internal controls over financial reporting for income taxes. On June 24, 2015, the U.S. District Court for the Southern District of New York approved the settlement and entered final judgment in one of the two cases, </w:t>
      </w:r>
      <w:r>
        <w:rPr>
          <w:rFonts w:ascii="Arial" w:cs="Arial" w:eastAsia="Arial" w:hAnsi="Arial"/>
          <w:sz w:val="16"/>
          <w:szCs w:val="16"/>
          <w:i w:val="1"/>
          <w:iCs w:val="1"/>
          <w:color w:val="auto"/>
        </w:rPr>
        <w:t>Wandel v. Duroc-Danner, et al.</w:t>
      </w:r>
      <w:r>
        <w:rPr>
          <w:rFonts w:ascii="Arial" w:cs="Arial" w:eastAsia="Arial" w:hAnsi="Arial"/>
          <w:sz w:val="16"/>
          <w:szCs w:val="16"/>
          <w:color w:val="auto"/>
        </w:rPr>
        <w:t xml:space="preserve">, No. 1:12-cv-01305-LAK (SDNY). By agreement with the plaintiffs, a substantially identical shareholder derivative case, </w:t>
      </w:r>
      <w:r>
        <w:rPr>
          <w:rFonts w:ascii="Arial" w:cs="Arial" w:eastAsia="Arial" w:hAnsi="Arial"/>
          <w:sz w:val="16"/>
          <w:szCs w:val="16"/>
          <w:i w:val="1"/>
          <w:iCs w:val="1"/>
          <w:color w:val="auto"/>
        </w:rPr>
        <w:t>Iron Workers Mid-South Pension Fund v. Duroc-Danner, 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No. 201119822, pending in Harris County, Texas state court was voluntarily dismissed with prejudice. The two cases, purportedly brought on behalf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against certain current and former officers and directors, alleged breaches of duty related to our material weakness and restatements. The settlement included an agreed upon set of revised corporate procedures, no monetary payment by the defendants, and an award of attorneys’ fees for the plaintiff’s counsel, which we paid in July 2015. There was no admission of liability or fault by any party in connection with the settlement.</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January 30, 2015, the U.S. District Court for the Southern District of New York approved the settlement of a purported shareholder class action captioned </w:t>
      </w:r>
      <w:r>
        <w:rPr>
          <w:rFonts w:ascii="Arial" w:cs="Arial" w:eastAsia="Arial" w:hAnsi="Arial"/>
          <w:sz w:val="18"/>
          <w:szCs w:val="18"/>
          <w:i w:val="1"/>
          <w:iCs w:val="1"/>
          <w:color w:val="auto"/>
        </w:rPr>
        <w:t>Dobina v. Weatherford International Ltd.</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No. 1:11-cv-01646-LAK (SDNY), for $53 million. The action named Weatherford and certain current and former officers as defendants. It alleged violation of the federal securities laws in connection with the material weakness in our internal controls over financial reporting for income taxes, and restatement of our historical financial statements announced in March 2011. The settlement was entirely funded by our insurers.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Internal Investigations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17, 2014, the U.S. District Court for the Southern District of Texas approved the settlement agreements between us and certain of our subsidiaries and the U.S. Department of Justice (“DOJ”). On November 26, 2013, we announced that we and our subsidiaries also entered into settlement agreements with the U.S. Departments of Treasury and Commerce and with the SEC, which the U.S. District Court for the Southern District of Texas entered on December 20, 2013. These agreements collectively resolved investigations of prior alleged violations by us and certain of our subsidiaries relating to certain trade sanctions laws, participation in the United Nations oil-for-food program governing sales of goods into Iraq and non-compliance with FCPA matters.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$253 million payable by us and our subsidiaries was paid in January and February 2014 pursuant to the terms of the settlement agreements. These agreements include a requirement to retain, for a period of at least 18 months, an independent monitor responsible for assessing our compliance with the terms of the agreement so as to address and reduce the risk of recurrence of alleged misconduct, after which we would continue to evaluate our own compliance program and make periodic reports to the DOJ and SEC and maintain agreed upon compliance monitoring and reporting systems. In April 2014, the independent monitor was retained and the compliance assessment period began. These agreements also require us to retain an independent third party to retroactively audit our compliance with U.S. export control laws for the years 2012, 2013 and 2014. This audit is on-going.</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and DOJ are also investigating the circumstances surrounding the material weakness in our internal controls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We are unable to predict the outcome of these matters due to the inherent uncertainties presented by such investigations,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we are aware of various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 In addition we have certain claims, disputes and pending litigation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New Accounting Pronouncements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2015, the Financial Accounting Standards Board (“FASB”) issued ASU 2015-16</w:t>
      </w:r>
      <w:r>
        <w:rPr>
          <w:rFonts w:ascii="Arial" w:cs="Arial" w:eastAsia="Arial" w:hAnsi="Arial"/>
          <w:sz w:val="18"/>
          <w:szCs w:val="18"/>
          <w:i w:val="1"/>
          <w:iCs w:val="1"/>
          <w:color w:val="auto"/>
        </w:rPr>
        <w:t>, Business Combinations (Topic 805):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Measurement-Period Adjustments, </w:t>
      </w:r>
      <w:r>
        <w:rPr>
          <w:rFonts w:ascii="Arial" w:cs="Arial" w:eastAsia="Arial" w:hAnsi="Arial"/>
          <w:sz w:val="18"/>
          <w:szCs w:val="18"/>
          <w:color w:val="auto"/>
        </w:rPr>
        <w:t>which requires that an acquirer recognize adjustments to provisional amounts that are identified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period in the reporting period in which the adjustment amounts are determined. The new standard will be effective for annual periods, including interim periods within those annual periods, beginning after December 15, 2015. Early adoption is permitted. We are evaluating the impact that this new standard will have on our Consolidated Financial Statements.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Simplifying the Measurement of Inventory</w:t>
      </w:r>
      <w:r>
        <w:rPr>
          <w:rFonts w:ascii="Arial" w:cs="Arial" w:eastAsia="Arial" w:hAnsi="Arial"/>
          <w:sz w:val="16"/>
          <w:szCs w:val="16"/>
          <w:color w:val="auto"/>
        </w:rPr>
        <w:t>, which requires inventory not measured using either the last in, first out (LIFO) or the retail inventory method to be measured at the lower of cost and net realizable value. Net realizable value is the estimated selling price in the ordinary course of business, less reasonably predictable cost of completion, disposal, and transportation. The new standard will be effective for fiscal years beginning after December 15, 2016, including interim periods within those fiscal years, and will be applied prospectively. Early adoption is permitted. We are evaluating the impact that this new standard will have on our Consolidated Financial Statements.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April 2015, the FASB issued ASU 2015-05,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Fees Paid in a Cloud Computing Arrangement</w:t>
      </w:r>
      <w:r>
        <w:rPr>
          <w:rFonts w:ascii="Arial" w:cs="Arial" w:eastAsia="Arial" w:hAnsi="Arial"/>
          <w:sz w:val="18"/>
          <w:szCs w:val="18"/>
          <w:color w:val="auto"/>
        </w:rPr>
        <w:t>, which addresses the accounting for fees paid in a cloud computing arrangement and provides guidance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whether a cloud computing arrangement includes a software license. The new standard is effective for annual periods, including interim periods within those annual periods, beginning after December 15, 2015. Early adoption is permitted. We are evaluating the impact, if any, of adopting this new standard on our Consolidated Financial Statements.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 Imputation of Interest (Subtopic 835-30): Simplifying the Presentation of Debt Issuance Costs</w:t>
      </w:r>
      <w:r>
        <w:rPr>
          <w:rFonts w:ascii="Arial" w:cs="Arial" w:eastAsia="Arial" w:hAnsi="Arial"/>
          <w:sz w:val="17"/>
          <w:szCs w:val="17"/>
          <w:color w:val="auto"/>
        </w:rPr>
        <w:t>, which requires that debt issuance costs related to a recognized debt liability be presented in the balance sheet as a direct deduction from the carrying amount of that debt liability. The new standard is effective for fiscal years beginning after December 15, 2015, and interim periods within those fiscal years. Early adoption is permitted. We are currently evaluating the impact this guidance will have on our Consolidated Financial Statements.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which amends the guidelines for determining whether certain legal entities should be consolidated and reduces the number of consolidation models. The new standard is effective for annual and interim periods in fiscal years beginning after December 15, 2015. Early adoption is permitted. We are currently evaluating the impact this standard will have on our Consolidated Financial Statements.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will require an entity to recognize revenue to depict the transfer of promised goods or services to customers in an amount that reflects the consideration to which the entity expects to be entitled in exchange for those goods or services. ASU 2014-09 will replace most existing revenue recognition guidance in GAAP when it becomes effective. ASU 2015-14,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 (Topic 606): Deferral of the Effective Date</w:t>
      </w:r>
      <w:r>
        <w:rPr>
          <w:rFonts w:ascii="Arial" w:cs="Arial" w:eastAsia="Arial" w:hAnsi="Arial"/>
          <w:sz w:val="16"/>
          <w:szCs w:val="16"/>
          <w:color w:val="auto"/>
        </w:rPr>
        <w:t>, deferred the effective date of ASU 2014-09 to annual and interim periods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beginning after December 15, 2017. Earlier application is permitted only as of annual and interim reporting periods in fiscal years beginning after December 15, 2016. ASU 2014-09 permits either a retrospective application or a cumulative effect transition method. We have not yet selected the application date or a transition method, and we are currently evaluating the impact the adoption of this standard would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September 30, 2015 and December 31, 2014: (1) 6.35% senior notes and (2) 6.80% senior notes.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obligations of Weatherford Bermuda were guaranteed by Weatherford Delaware at September 30, 2015 and December 31, 2014: (1) revolving credit facility, (2) 5.50% senior notes, (3) 6.50% senior notes, (4) 6.00% senior notes, (5) 7.00% senior notes, (6) 9.625% senior notes, (7) 9.875% senior notes, (8) 5.125% senior notes, (9) 6.75% senior notes, (10) 4.50% senior notes and (11) 5.95% senior notes.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3,198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(7,933)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2,669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(10,711)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(8,735)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7,162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(8,831)</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1,454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6,551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9,808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10,284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5,001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7,528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9,839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9,778</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31,256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(41,602)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16,799</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9,730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(32,856)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10,945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8,672</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10,537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10,312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33,328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(43,960)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7,143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Capital Contributions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or for periods prior to June 17, 2014, to our predecessor, Weatherford International Ltd. (“Weatherford Switzerland”), a Swiss joint-stock corporation and its subsidiaries on a consolidated basis.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the Condensed Consolidated Financial Statements and Notes included with this report and our Consolidated Financial Statements, Notes and related MD&amp;A for the year ended December 31, 2014 included in our Annual Report on Form 10-K.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“Item 1A. -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2015, we changed our business structure to better align with management’s current view and future growth objectives. This change involved separating our Land Drilling Rigs business into a reportable segment resulting in a total of five reportable segments which are North America, MENA/Asia Pacific, Europe/SSA/Russia, Latin America and Land Drilling Rigs. We have recast prior periods to conform to the current business segment presentation. See “Note 15 – Segment Information” for additional information.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conduct operations in over 100 countries and have service and sales locations in nearly all of the oil and natural gas producing regions in the world.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operational performance is reviewed on a geographic basis, and we report these regions as separate, distinct reporting segments mentioned previously.</w:t>
      </w:r>
    </w:p>
    <w:p>
      <w:pPr>
        <w:spacing w:after="0" w:line="2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products, equipment and services to the oil and natural gas exploration and production industry, both on land and offshore, through our product service line groups: (1) Formation Evaluation and Well Construction, (2) Completion and Production, and (3) Land Drilling Rigs, which together comprise a total of 14 service lines.</w:t>
      </w:r>
    </w:p>
    <w:p>
      <w:pPr>
        <w:spacing w:after="0" w:line="181" w:lineRule="exact"/>
        <w:rPr>
          <w:sz w:val="20"/>
          <w:szCs w:val="20"/>
          <w:color w:val="auto"/>
        </w:rPr>
      </w:pPr>
    </w:p>
    <w:p>
      <w:pPr>
        <w:jc w:val="both"/>
        <w:ind w:left="740" w:hanging="327"/>
        <w:spacing w:after="0" w:line="264"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service line group includes Managed-Pressure Drilling, Drilling Services,Tubular Running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Drilling Tools, Wireline Services, Testing and Production Services, Re-entry and Fishing, Cementing, Liner Systems, Integrated Laboratory Services and Surface Logging.</w:t>
      </w:r>
    </w:p>
    <w:p>
      <w:pPr>
        <w:spacing w:after="0" w:line="73"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service line group includes Artificial Lift Systems, Stimulation and Completion Systems.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3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are delivered and services are performed.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Throughout 2014, we successfully sold several of our non-core businesses and investments. We received cash proceeds totaling over $1.7 billion from these dispositions and used $1.2 billion of the proceeds to reduce debt. For the year ended December 31, 2014, we recognized a gain on these dispositions of $349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Impairments and Other Related Charges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2015, the continued weakness in crude oil prices contributed to lower exploration and production spending and a decline in the utilization of our pressure pumping assets. Based on these impairment indicators, we performed an analysis of our pressure pumping business and recorded charges of $176 million in the nine months ended September 30, 2015, including long-lived assets impairment charges of $124 million to adjust the assets to fair value in our North America segment and $52 million of other pressure pumping business related charges. In the three and nine months ended September 30, 2015, we also incurred supply agreement charges of $2 million and $32 million, respectively, related to the divestiture of a non-core business. In connection with our long-lived asset impairment in the second quarter of 2015, we prepared an analysis to determine the fair value of our equity investments in less than majority owned entities. We assessed these declines in value as other than temporary and recognized an impairment loss of $20 million during the second quarter of 2015. In July 2014, we completed the sale of our rig operations in Russia and Venezuela. As a result of our commitment to sell, we recorded a $143 million long-lived assets impairment charge. See “Note 6 – Long-Lived Asset Impairments” for additional information.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June 30, 2015, we settled a purported securities class action for $120 million in exchange for the dismissal with prejudice of the litigation and the unconditional release of all claims captioned </w:t>
      </w:r>
      <w:r>
        <w:rPr>
          <w:rFonts w:ascii="Arial" w:cs="Arial" w:eastAsia="Arial" w:hAnsi="Arial"/>
          <w:sz w:val="18"/>
          <w:szCs w:val="18"/>
          <w:i w:val="1"/>
          <w:iCs w:val="1"/>
          <w:color w:val="auto"/>
        </w:rPr>
        <w:t>Freedman v. Weatherford International Ltd., et al.</w:t>
      </w:r>
      <w:r>
        <w:rPr>
          <w:rFonts w:ascii="Arial" w:cs="Arial" w:eastAsia="Arial" w:hAnsi="Arial"/>
          <w:sz w:val="18"/>
          <w:szCs w:val="18"/>
          <w:color w:val="auto"/>
        </w:rPr>
        <w:t>, that was filed in the Southern District of New York against us and certain current and former officers in March 2012. The settlement agreement was subject to notice to the class, approval by the U.S. District Court for the Southern District of New York and other conditions and was paid in August 2015. See “Note 16 – Disputes, Litigation and Contingencies” for additional information.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changes in the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historical market conditions: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1" w:lineRule="exact"/>
              <w:rPr>
                <w:sz w:val="20"/>
                <w:szCs w:val="20"/>
                <w:color w:val="auto"/>
              </w:rPr>
            </w:pPr>
            <w:r>
              <w:rPr>
                <w:rFonts w:ascii="Arial" w:cs="Arial" w:eastAsia="Arial" w:hAnsi="Arial"/>
                <w:sz w:val="30"/>
                <w:szCs w:val="30"/>
                <w:b w:val="1"/>
                <w:bCs w:val="1"/>
                <w:color w:val="auto"/>
                <w:w w:val="88"/>
                <w:vertAlign w:val="subscript"/>
              </w:rPr>
              <w:t>Gas</w:t>
            </w:r>
            <w:r>
              <w:rPr>
                <w:rFonts w:ascii="Arial" w:cs="Arial" w:eastAsia="Arial" w:hAnsi="Arial"/>
                <w:sz w:val="12"/>
                <w:szCs w:val="12"/>
                <w:b w:val="1"/>
                <w:bCs w:val="1"/>
                <w:color w:val="auto"/>
                <w:w w:val="88"/>
              </w:rPr>
              <w:t xml:space="preserve"> (b)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2014</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2,294</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2014</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Price per barrel of West Texas Intermediate (“WTI”) crude oil as of the date indicated at Cushing, Oklahoma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Price per MM/BTU as of the date indicated at Henry Hub Louisiana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Thomson Reuters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Average rig count for the period indicated – </w:t>
      </w:r>
      <w:r>
        <w:rPr>
          <w:rFonts w:ascii="Arial" w:cs="Arial" w:eastAsia="Arial" w:hAnsi="Arial"/>
          <w:sz w:val="18"/>
          <w:szCs w:val="18"/>
          <w:i w:val="1"/>
          <w:iCs w:val="1"/>
          <w:color w:val="auto"/>
        </w:rPr>
        <w:t>Source:</w:t>
      </w:r>
      <w:r>
        <w:rPr>
          <w:rFonts w:ascii="Arial" w:cs="Arial" w:eastAsia="Arial" w:hAnsi="Arial"/>
          <w:sz w:val="18"/>
          <w:szCs w:val="18"/>
          <w:color w:val="auto"/>
        </w:rPr>
        <w:t xml:space="preserve"> Baker Hughes Rig Count</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nine months of 2015, oil prices ranged from a high of $61.82 per barrel in mid-June to a low of $38.24 per barrel in mid-August. Natural gas ranged from a high of $3.21 MM/BTU in mid-January to a low of $2.51 MM/BTU in mid-April. Factors influencing oil and natural gas prices during the period include hydrocarbon inventory levels, realized and expected global economic growth, realized and expected levels of hydrocarbon demand, level of production capacity within the Organization of Petroleum Exporting Countries (“OPEC”), weather and geopolitical uncertainty.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entered into 2015 challenged by the recent steep decline in oil prices. This decline has materially reduced capital spending by our customers which has reduced our revenue, both through lower activity levels and pricing. Our response to this environment will be to continue to focus on developing our core businesses while rationalizing our cost base and improving cash flow. In the fourth quarter of 2014, responsive to these changing market conditions, we commenced a reduction in force exercise initially targeting 8,000 positions. During 2015, we increased the expected reduction by 75% due to the continued weakness in the price of crude oil, further reductions in activity from our customers and lower than expected exploration and production spending.</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half of 2015, we increased the targeted workforce reduction to 11,000 and then again in the third quarter of 2015 to a target of 14,000 with an increased focus on support functions. We completed the previously announced targeted headcount reduction of 11,000 as of September 30, 2015 and expect a realized annualized savings of $803 million from this cost reduction initiative.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also closed over 60 operating facilities across North America through the first half of 2015. In the third quarter, we have closed over 10 additional facilities and expect to close an additional 20 by the end of the year. In addition to our headcount and operating facility reductions, we have closed five of our planned manufacturing and service facilities during the year. We will close the sixth manufacturing and service facility by the end of 2015 with additional closures in early 2016.</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nine months ended September 30, 2015, North America continued to be severely impacted by both lower volume and pricing pressure as our customers reduced spending due to the decline in commodity prices. For the remainder of the year, we expect North America to continue to be impacted by the curtailment of activity and show further reductions, which will be partially offset by our efforts to rationalize our cost structure. Internationally, we expect Latin America and Sub-Sahara Africa to show further reductions over the remainder of the year while the Middle East/North Africa and Russia are expected to show continued resilient year-on-year performance through the 2015 market decline with the fourth quarter remaining relatively flat compared to the third quarter.</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Over the longer term, we believe the outlook for our core businesses is favorable. As well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which in turn increases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 objectives. It is also our intention to divest our remaining land drilling rigs. Upon completion, the cash proceeds from any divestitures are expected to be used to repay or repurchase debt. Debt reduction from divestiture proceeds, working capital or other sources may include the repurchase of our outstanding senior notes prior to their maturity in the open market, either through a privately negotiated transaction or otherwise.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50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500" w:type="dxa"/>
            <w:vAlign w:val="bottom"/>
          </w:tcPr>
          <w:p>
            <w:pPr>
              <w:ind w:left="120"/>
              <w:spacing w:after="0"/>
              <w:rPr>
                <w:sz w:val="20"/>
                <w:szCs w:val="20"/>
                <w:color w:val="auto"/>
              </w:rPr>
            </w:pPr>
            <w:r>
              <w:rPr>
                <w:rFonts w:ascii="Arial" w:cs="Arial" w:eastAsia="Arial" w:hAnsi="Arial"/>
                <w:sz w:val="18"/>
                <w:szCs w:val="18"/>
                <w:color w:val="auto"/>
              </w:rPr>
              <w:t>Land Drilling Rigs</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5500" w:type="dxa"/>
            <w:vAlign w:val="bottom"/>
          </w:tcPr>
          <w:p>
            <w:pPr>
              <w:ind w:left="26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Segment Operating Income</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Assets Impairment and Other Related Charges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Goodwill and Equity Investment Impairment</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Gain on Sale of Businesses, Net</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Currency Devaluation and Related Charges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233 %</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7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870"/>
              <w:spacing w:after="0"/>
              <w:rPr>
                <w:sz w:val="20"/>
                <w:szCs w:val="20"/>
                <w:color w:val="auto"/>
              </w:rPr>
            </w:pPr>
            <w:r>
              <w:rPr>
                <w:rFonts w:ascii="Arial" w:cs="Arial" w:eastAsia="Arial" w:hAnsi="Arial"/>
                <w:sz w:val="18"/>
                <w:szCs w:val="18"/>
                <w:color w:val="auto"/>
                <w:w w:val="79"/>
              </w:rPr>
              <w:t>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Nine Months Ended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Favorable</w:t>
            </w:r>
          </w:p>
        </w:tc>
        <w:tc>
          <w:tcPr>
            <w:tcW w:w="100" w:type="dxa"/>
            <w:vAlign w:val="bottom"/>
          </w:tcPr>
          <w:p>
            <w:pPr>
              <w:spacing w:after="0"/>
              <w:rPr>
                <w:sz w:val="2"/>
                <w:szCs w:val="2"/>
                <w:color w:val="auto"/>
              </w:rPr>
            </w:pPr>
          </w:p>
        </w:tc>
        <w:tc>
          <w:tcPr>
            <w:tcW w:w="14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(Unfavorable)</w:t>
            </w:r>
          </w:p>
        </w:tc>
        <w:tc>
          <w:tcPr>
            <w:tcW w:w="10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MENA/Asia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200" w:type="dxa"/>
            <w:vAlign w:val="bottom"/>
          </w:tcPr>
          <w:p>
            <w:pPr>
              <w:ind w:left="260"/>
              <w:spacing w:after="0"/>
              <w:rPr>
                <w:sz w:val="20"/>
                <w:szCs w:val="20"/>
                <w:color w:val="auto"/>
              </w:rPr>
            </w:pPr>
            <w:r>
              <w:rPr>
                <w:rFonts w:ascii="Arial" w:cs="Arial" w:eastAsia="Arial" w:hAnsi="Arial"/>
                <w:sz w:val="18"/>
                <w:szCs w:val="18"/>
                <w:color w:val="auto"/>
              </w:rPr>
              <w:t>Subtotal</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Land Drilling Rigs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520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 (Expense):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MENA/Asia Pacific</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Europe/SSA/Russia</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Land Drilling Rigs</w:t>
            </w: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Segment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Long-Lived Assets Impairment and Other Related Charges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Goodwill and Equity Investment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Litigation Charges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Gain (Loss) on Sale of Businesses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Items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Currency Devaluation and Related Charges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Loss per Diluted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702"/>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7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Percentage by Product Service Line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chart contains the percentage distribution of our consolidated revenues by product service line group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23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3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460" w:type="dxa"/>
            <w:vAlign w:val="bottom"/>
          </w:tcPr>
          <w:p>
            <w:pPr>
              <w:spacing w:after="0"/>
              <w:rPr>
                <w:sz w:val="23"/>
                <w:szCs w:val="23"/>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23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20"/>
              <w:spacing w:after="0"/>
              <w:rPr>
                <w:sz w:val="20"/>
                <w:szCs w:val="20"/>
                <w:color w:val="auto"/>
              </w:rPr>
            </w:pPr>
            <w:r>
              <w:rPr>
                <w:rFonts w:ascii="Arial" w:cs="Arial" w:eastAsia="Arial" w:hAnsi="Arial"/>
                <w:sz w:val="18"/>
                <w:szCs w:val="18"/>
                <w:color w:val="auto"/>
              </w:rPr>
              <w:t>Formation Evaluation and Well Construction</w:t>
            </w: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Completion and Production</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9</w:t>
            </w:r>
          </w:p>
        </w:tc>
      </w:tr>
      <w:tr>
        <w:trPr>
          <w:trHeight w:val="27"/>
        </w:trPr>
        <w:tc>
          <w:tcPr>
            <w:tcW w:w="4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Consolidated revenues decreased $1.6 billion, or 42%, and $3.8 billion, or 34%, in the three and nine months ended September 30, 2015 compared to the three and nine months ended September 30, 2014, respectively. Revenues decreased in the three and nine months ended September 30, 2015 across all our segments with declines of $990 million, or 55%, and $2.3 billion, or 45%, in North America, $552 million, or 31%, and $1.0 billion, or 20%, in our International segments and $98 million, or 35%, and $454 million, or 45%, in Land Drilling Rigs, respectively. International revenues represent revenues of our regional segments other than North America and the Land Drilling Rigs segments. The decline in North American revenue is consistent with the 54% decrease in North American rig count since the third quarter of 2014 with significant declines across product lines in the United States and Canada, particularly pressure pumping, artificial lift, intervention services and drilling services. The decline in the North America segment was driven by a combination of lower activity and customer pricing pressure.</w:t>
      </w:r>
    </w:p>
    <w:p>
      <w:pPr>
        <w:spacing w:after="0" w:line="1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decline in revenues in our International segments is in line with the decrease in international rig count of 16% since the third quarter of 2014 as well as declines in revenue from our Europe/Russia/SSA and MENA/Asia Pacific due to pricing pressure and reduced activity across our product lines. Lastly, our Latin America segment experienced lower activity particularly in the Well Construction and Formation Evaluation product lines.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decline in our Land Drilling Rigs revenue is primarily attributable to the decline in drilling activity consistent with the rig count declines, decreases in new drilling activity and the 2014 disposal of our land drilling and workover rig operations in Russia and Venezuela.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Segment operating income decreased $495 million, or 86%, and $1.1 billion, or 75%, in the three and nine months ended September 30, 2015, compared to the three and nine months ended September 30, 2014, respectively. The decline in operating income is consistent with the reduction in activity resulting from the significant decline in both the price of oil and rig counts, which has put pressure on our pricing and has resulted in a lower volume of work.</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for the three months ended September 30, 2015 and 2014 includes legacy contract and other related charges of $40 million and $2 million, respectively, and restructuring charges of $49 million and $154 million, respectively. Additionally, consolidated operating income for the nine months ended September 30, 2015 and 2014 includes legacy contract and other related charges of $118 million and $50 million, respectively, and restructuring charges of $159 million and $283 million, respectively. For additional information regarding charges by segment, see the subsection entitled “Segment Results” and “Restructuring Charges” 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items impacting our results for the three months ended September 30, 2015 and 2014 included expenses of $11 million and $28 million respectively, and for the nine months ended September 30, 2015 and 2014 included expenses of $30 million and $72 million, respectively. The three and nine months ended September 30, 2015, includes professional and other fees, facility closure fees, and divestiture related charges. The three and nine months ended September 30, 2014, included expenses related to the divestiture of our non-core businesses, restatement related litigation, the settlement of the U.S. government investigations, the remediation of our material weakness related to income taxes and our 2014 redomestication from Switzerland to Ireland and other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North America segment decreased $990 million, or 55%, in the three months ended September 30, 2015 and $2.3 billion, or 45%, during the nine months ended September 30, 2015 compared to the three and nine months ended September 30, 2014, respectively. North America average rig count decreased 54% since September 30, 2014. The decline in revenue in the three and nine months ended September 30, 2015 was due to lower activity and pricing pressure that broadly impacted all product lines, particularly artificial lift, pressure pumping, and intervention services and drilling tools. The disposition of our engineered chemistry business on December 31, 2014 also negatively impacted revenues when compared to the same period in the prior year.</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in the U.S. were $673 million and $1.5 billion for the three months ended September 30, 2015 and 2014, respectively and $2.3 billion and $4.1 billion for the nine months ended September 30, 2015 and 2014, respectively. The remaining revenues of our North America segment of $151 million and $330 million for the three months ended September 30, 2015 and 2014, and $484 million and $960 million for the nine months ended September 30, 2015 and 2014, respectively, were derived from our operations in Canada.</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Operating income in our North America segment decreased $342 million, or 119%, in the three months ended September 30, 2015 and $884 million, or 121% during the nine months ended September 30, 2015 compared to the three and nine months ended September 30, 2014. The same factors contributing to the decline in revenues directly contributed to the decline in operating income.</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the three months ended September 30, 2015 and 2014, we recognized restructuring charges of $9 million and $16 million, respectively. In the nine months ended September 30, 2015 and 2014, we recognized restructuring charges of $38 million and $44 million, respectively. In addition, we recorded asset impairment charges of $124 million, other pressure pumping business related charges of $52 million and supply agreement charges related to a non-core business divestiture of $32 million as “Long-Lived Assets Impairment and Other Related Charges” on our Condensed Consolidated Statements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MENA/Asia Pacific segment decreased $188 million, or 30%, in the three months ended September 30, 2015, and $337 million or 18%, during the nine months ended September 30, 2015 compared to the three and nine months ended September 30, 2014, respectively. The revenue decline affected most product lines but primarily intervention services, wireline, testing and production services, and well construction. The decline was attributable to delayed progress from our ongoing legacy contract in Iraq, lower activity in Yemen from the political disruption and lower demand in the Asia Pacific region, primarily in China, Indonesia, and Malaysia. In addition, our lower revenues reflect the sale of the pipeline and specialty services product lines in September 2014.</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Operating income decreased $64 million, or 97%, in the three months ended September 30, 2015 and $87 million, or 66%, during the nine months ended September 30, 2015 compared to the three and nine months ended September 30, 2014, respectively. The decrease in operating income is primarily attributable to legacy contract project losses in Iraq, lower activity across most product lines, and a gain on step acquisition of a joint venture investment in China in the nine months ended September 30, 2014. The decline was also partially offset by improved profitability for the tubular running services product line in 2015 and higher profitability resulting from the closure of unprofitable locations in 2014.</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three months ended September 30, 2015 and 2014, we recognized restructuring charges of $5 million and $111 million, respectively. In the nine months ended September 30, 2015 and 2014, we recognized restructuring charges of $40 million and $128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in our Europe/SSA/Russia segment decreased $194 million, or 35%, in the three months ended September 30, 2015 compared to the three months ended September 30, 2014 and $436 million, or 27%, during the nine months ended September 30, 2015 compared to the nine months ended September 30, 2014. The decline in activity directly impacted the decline in revenues due to lower demand and pricing pressure. The overall decline was led by Europe, primarily in Norway and Romania. The lower activity from continued project delays in Angola and Gabon in Sub-Sahara Africa contributed to the revenue decline. Additionally, the sale of the pipeline and specialty services and engineered chemistry product lines in the third and fourth quarters of 2014, respectively, contributed to the decline.</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decreased $75 million, or 64% , in the three months ended September 30, 2015compared to the three months ended September 30, 2014 and $122 million, or 41%, during the nine months ended September 30, 2015 compared to the nine months ended September 30, 2014. The decline was the direct impact of lower revenue activity and pricing pressure as mentioned above.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three months ended September 30, 2015 and 2014, we recognized restructuring charges of $11 million and $9 million, respectively. In the nine months ended September 30, 2015 and 2014, we recognized restructuring charges of $32 million and $36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Latin America segment decreased $170 million, or 29%, in the three months ended September 30, 2015 compared to the three months ended September 30, 2014 and $248 million, or 15%, during the nine months ended September 30, 2015 compared to the nine months ended September 30, 2014. The decline in revenue is primarily due to reduced demand across our core product lines, primarily artificial lift, drilling services, intervention and pressure pumping in Mexico, Colombia, Venezuela and Ecuador, partially offset by an increase in sales in our managed-pressure drilling product line in Brazil in the third quarter and for the nine months ended 2015.</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decreased $23 million, or 24%, in the three months ended September 30, 2015 compared to the three months ended September 30, 2014 and $15 million, or 6%, during the nine months ended September 30, 2015 compared to the nine months ended September 30, 2014. The same factors contributing to the decline in revenues directly contributed to the decline in operating income, which were partially offset by cost reduction initiatives in Mexico and a continued focus on higher margin activity in Brazil.</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three months ended September 30, 2015 and 2014, we recognized restructuring charges of $10 million and $13 million, respectively. In the nine months ended September 30, 2015 and 2014, we recognized restructuring charges of $26 million and $36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Drilling Rigs segment decreased $98 million, or 35%, in the three months ended September 30, 2015 compared to the three months ended September 30, 2014 and $454 million, or 45%, during the nine months ended September 30, 2015 compared to the nine months ended September 30, 2014. The decrease is due to the sale of the Russian Rigs business in July 2014 in addition to the overall decrease in the international rig count and drilling activity, partially offset by improved activity in Oman and Kuwait.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income increased $9 million, or 129%, in the three months ended September 30, 2015 compared to the three months ended September 30, 2014 and increased $46 million or 288%, during nine months ended September 30, 2015, compared to the nine months ended September 30, 2014. The increase is primarily the result of improved drilling efficiencies in Iraq, Oman and Chad. In addition, the nine months ended September 30, 2014 included facility closure costs that did not reoccur in 2015.</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three months ended September 30, 2015 and 2014, we recognized restructuring charges of $6 million and $5 million, respectively. In the nine months ended September 30, 2015 and 2014, we recognized restructuring charges of $12 million and $9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Currency Devaluation and Related Charges</w:t>
      </w:r>
    </w:p>
    <w:p>
      <w:pPr>
        <w:spacing w:after="0" w:line="2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currency devaluation and related charges resulting from certain devaluations and depreciation were $26 million and $68 million for the three and nine months ended September 30, 2015, respectively, and are included in the line captioned “Currency Devaluation and Related Charges” on the accompanying Condensed Consolidated Statements of Operations.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September 30, 2015, currency devaluation and related charges reflect the impact of the 10% devaluation of the Angolan kwanza of $20 million and the depreciated Kazakhstani tenge of $6 million. The Kazakhstani tenge depreciated 31% after the Kazakhstan Central Bank abandoned its peg of the tenge to the U.S. dollar.</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nine months ended September 30, 2015, currency devaluation and related charges reflect the impacts of the continued devaluation of the Angolan kwanza of $36 million, the recognized remeasurement charges of $26 million related to the Venezuelan bolivar and the depreciated Kazakhstani tenge of $6 million. The Angolan kwanza charges reflect currency devaluations of approximately 11% in the second quarter and 10% in the third quarter of 2015. The Venezuelan bolivar charge reflects remeasurement charges when we began using the latest Venezuelan currency exchange system, known as the “Marginal Currency System” or SIMADI. At September 30, 2015 our net monetary asset position denominated in Angolan kwanza was approximately $139 million. The net monetary positions denominated in Venezuelan bolivar and Kazakhstani tenge were not material.</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Included in the line captioned “Other, Net” on the accompanying Condensed Consolidated Statements of Operations are other foreign currency charges of $16 million and $42 million for the three and nine months ended September 30, 2015, respectively, primarily due to the strengthening U.S. dollar compared to our foreign denominated operations and the changes in fair value of our foreign currency forward contracts and cross-currency swap contracts.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interest expense was $114 million and $351 million for the three and nine months ended September 30, 2015, respectively, compared to $122 million and $376 million for the three and nine months ended September 30, 2014, respectively. Interest expense for the three and nine months ended September 30, 2015 decreased primarily due to a decrease in our debt balance and the repurchase of certain senior notes in the first and third quarters of 2015.</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We estimate our annual effective tax rate based on year-to-date operating results and our forecast for the remainder of the year, by jurisdiction, and apply this rate to the year-to-date operating results. If our actual results, by jurisdiction, differ from the forecasted operating results, our effective tax rate can change, affecting the tax expense for both successive interim results as well as the annual tax results. For the three and nine months ended September 30, 2015, we had a $65 million and $197 million tax benefit, respectively, on a loss before income taxes of $226 million and $948 million, respectively. Our results for the three months ended September 30, 2015, includes $49 million of restructuring charges, $44 million of project losses and $26 million of currency devaluation and related losses related to the Angolan kwanza and Kazakhstani tenge with no significant tax benefit. Our results for the nine months ended September 30, 2015, includes $159 million of restructuring charges, $112 million of litigation settlements, $71 million of project losses, $68 million of currency devaluation and related losses and $20 million of equity investment impairment, all with no significant tax benefit.</w:t>
      </w:r>
    </w:p>
    <w:p>
      <w:pPr>
        <w:spacing w:after="0" w:line="166"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$11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For the three and nine months ended September 30, 2014, we had a tax provision of $98 million and $136 million on an income before income taxes of $187 million and $60 million, respectively. Our results for the three months ended September 30, 2014 were impacted by discrete income before tax items, including restructuring charges of approximately $154 million, with no significant tax benefit. Our results for the nine months ended September 30, 2014, included a $143 million impairment loss ($121 million, net of tax) to record the land drilling and workover rig operations in Russia and Venezuela at fair value and a $121 million impairment charge to goodwill triggered by the planned sale of our land drilling and workover rig operations in Russia and Venezuela, which was non-deductible for income tax purposes. Our results for the nine months ended September 30, 2014 were also impacted by discrete income before tax items, including restructuring charges of $283 million and project losses of $50 million, with no significant tax benefit.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response to the significant decline in the price of crude oil and our anticipation of a lower level of exploration and production spending in 2015, we initiated a plan to reduce our overall costs and workforce to better align with anticipated activity levels. This cost reduction plan (the “2015 Plan”) included a workforce reduction and other cost reduction measures initiated across all of our geographic regions. During 2015, we have increased the expected workforce reduction by 75% from the originally planned workforce reduction targeting 8,000 positions to 14,000 positions due to the continued weakness in the price of crude oil, continued weakness in demand and lower than expected exploration and production spending.</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2015 Plan, we recognized restructuring charges of $49 million and $159 million in the three and nine months ended September 30, 2015, respectively. For the three and nine months ended September 30, 2015, our restructuring charges include termination (severance) benefits of $40 million and $99 million, respectively, and other restructuring charges of $9 million and $60 million, respectively. Other restructuring charges for the nine months ended September 30, 2015 include asset write-offs of $23 million related to Yemen due to the political disruption and $28 million in other regions. Other restructuring charges also include exit costs, contract termination costs, relocation costs and other associated costs.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2014, we announced a cost reduction plan (the “2014 Plan”), which included a worldwide workforce reduction and other cost reduction measures. In the three and nine months ended September 30, 2014, the 2014 Plan restructuring charges include one-time termination (severance) benefits of $21 million and $119 million, asset impairment charges of $117 million and $138 million and other restructuring charges of $16 million and $26 million, respectively. Other restructuring charges include contract termination costs, relocation costs and other associated costs.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present the components of the 2015 Plan and the 2014 Plan restructuring charges by segment for the three and nine months ended September 30, 2015 and 2014.</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6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0"/>
              </w:rPr>
              <w:t>Three Months Ended September 30, 2015</w:t>
            </w: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6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0"/>
              </w:rPr>
              <w:t>Three Months Ended September 30, 2014</w:t>
            </w: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2014 Plan</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111</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154</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46"/>
        </w:trPr>
        <w:tc>
          <w:tcPr>
            <w:tcW w:w="53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41</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58"/>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5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 2015</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5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Restructuring</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2015 Plan</w:t>
            </w:r>
          </w:p>
        </w:tc>
        <w:tc>
          <w:tcPr>
            <w:tcW w:w="142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54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Charges</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4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54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640" w:type="dxa"/>
            <w:vAlign w:val="bottom"/>
            <w:tcBorders>
              <w:bottom w:val="single" w:sz="8" w:color="auto"/>
            </w:tcBorders>
            <w:gridSpan w:val="6"/>
          </w:tcPr>
          <w:p>
            <w:pPr>
              <w:spacing w:after="0" w:line="20" w:lineRule="exact"/>
              <w:rPr>
                <w:sz w:val="1"/>
                <w:szCs w:val="1"/>
                <w:color w:val="auto"/>
              </w:rPr>
            </w:pPr>
          </w:p>
        </w:tc>
      </w:tr>
      <w:tr>
        <w:trPr>
          <w:trHeight w:val="581"/>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 30, 2014</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54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Restructuring</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color w:val="auto"/>
              </w:rPr>
              <w:t>2014 Plan</w:t>
            </w:r>
          </w:p>
        </w:tc>
        <w:tc>
          <w:tcPr>
            <w:tcW w:w="1420" w:type="dxa"/>
            <w:vAlign w:val="bottom"/>
          </w:tcPr>
          <w:p>
            <w:pPr>
              <w:jc w:val="center"/>
              <w:ind w:left="37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54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Charges</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4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108</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158</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5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5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540" w:type="dxa"/>
            <w:vAlign w:val="bottom"/>
            <w:tcBorders>
              <w:top w:val="single" w:sz="8" w:color="auto"/>
              <w:bottom w:val="single" w:sz="8" w:color="auto"/>
            </w:tcBorders>
          </w:tcPr>
          <w:p>
            <w:pPr>
              <w:jc w:val="right"/>
              <w:ind w:right="129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283</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both plans that will be paid pursuant to the respective arrangements and statutory requirements.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960" w:type="dxa"/>
            <w:vAlign w:val="bottom"/>
            <w:gridSpan w:val="6"/>
          </w:tcPr>
          <w:p>
            <w:pPr>
              <w:ind w:left="20"/>
              <w:spacing w:after="0"/>
              <w:rPr>
                <w:sz w:val="20"/>
                <w:szCs w:val="20"/>
                <w:color w:val="auto"/>
              </w:rPr>
            </w:pPr>
            <w:r>
              <w:rPr>
                <w:rFonts w:ascii="Arial" w:cs="Arial" w:eastAsia="Arial" w:hAnsi="Arial"/>
                <w:sz w:val="18"/>
                <w:szCs w:val="18"/>
                <w:b w:val="1"/>
                <w:bCs w:val="1"/>
                <w:color w:val="auto"/>
              </w:rPr>
              <w:t>At September 30, 2015</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rPr>
              <w:t>2015 Plan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2014 Plan</w:t>
            </w:r>
          </w:p>
        </w:tc>
        <w:tc>
          <w:tcPr>
            <w:tcW w:w="2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Total Severance</w:t>
            </w: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r>
      <w:tr>
        <w:trPr>
          <w:trHeight w:val="270"/>
        </w:trPr>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24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Restructuring</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20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Restructuring</w:t>
            </w:r>
          </w:p>
        </w:tc>
        <w:tc>
          <w:tcPr>
            <w:tcW w:w="200" w:type="dxa"/>
            <w:vAlign w:val="bottom"/>
          </w:tcPr>
          <w:p>
            <w:pPr>
              <w:spacing w:after="0"/>
              <w:rPr>
                <w:sz w:val="23"/>
                <w:szCs w:val="23"/>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Restructuring</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3"/>
                <w:szCs w:val="2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200" w:type="dxa"/>
            <w:vAlign w:val="bottom"/>
          </w:tcPr>
          <w:p>
            <w:pPr>
              <w:spacing w:after="0"/>
              <w:rPr>
                <w:sz w:val="23"/>
                <w:szCs w:val="23"/>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r>
      <w:tr>
        <w:trPr>
          <w:trHeight w:val="27"/>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Corporate and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57"/>
        </w:trPr>
        <w:tc>
          <w:tcPr>
            <w:tcW w:w="328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46"/>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432"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8880" w:type="dxa"/>
            <w:vAlign w:val="bottom"/>
            <w:gridSpan w:val="12"/>
          </w:tcPr>
          <w:p>
            <w:pPr>
              <w:ind w:left="120"/>
              <w:spacing w:after="0"/>
              <w:rPr>
                <w:sz w:val="20"/>
                <w:szCs w:val="20"/>
                <w:color w:val="auto"/>
              </w:rPr>
            </w:pPr>
            <w:r>
              <w:rPr>
                <w:rFonts w:ascii="Arial" w:cs="Arial" w:eastAsia="Arial" w:hAnsi="Arial"/>
                <w:sz w:val="18"/>
                <w:szCs w:val="18"/>
                <w:color w:val="auto"/>
              </w:rPr>
              <w:t>The following table presents the restructuring liability activity for the nine months ended September 30, 2015.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gridSpan w:val="6"/>
          </w:tcPr>
          <w:p>
            <w:pPr>
              <w:ind w:left="500"/>
              <w:spacing w:after="0"/>
              <w:rPr>
                <w:sz w:val="20"/>
                <w:szCs w:val="20"/>
                <w:color w:val="auto"/>
              </w:rPr>
            </w:pPr>
            <w:r>
              <w:rPr>
                <w:rFonts w:ascii="Arial" w:cs="Arial" w:eastAsia="Arial" w:hAnsi="Arial"/>
                <w:sz w:val="18"/>
                <w:szCs w:val="18"/>
                <w:b w:val="1"/>
                <w:bCs w:val="1"/>
                <w:color w:val="auto"/>
              </w:rPr>
              <w:t>Nine Months Ended September 30, 2015</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 2015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32" w:right="4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September 30, 2015, we had cash and cash equivalents of $519 million compared to $474 million at December 31, 2014. At September 30, 2015, cash and cash equivalents reflected a negative impact of $45 million related to the devaluation of the Venezuelan bolivar in the first quarter of 2015, the devaluation of the Angolan kwanza and the depreciation of the Kazakhstani tenge. See “Note 1 – General” for additional information. The following table summarizes cash flows provided by (used in) each type of activity, for the nine months ended September 30, 2015 and 2014:</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7"/>
        </w:trPr>
        <w:tc>
          <w:tcPr>
            <w:tcW w:w="7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0"/>
                <w:szCs w:val="20"/>
                <w:color w:val="auto"/>
              </w:rPr>
            </w:pPr>
          </w:p>
        </w:tc>
        <w:tc>
          <w:tcPr>
            <w:tcW w:w="15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7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7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7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For the nine months ended September 30, 2015, cash provided by operating activities was $383 million compared to $379 million in the nine months ended September 30, 2014. The operating cash flow in 2015 compared to 2014 was attributable to improved cash flow from working capital and the absence of $253 million in government settlement payments made in 2014. These improvements were partially offset by a decline of income associated with the significant decline in oil prices and drilling activity and the payment of $120 million related to the </w:t>
      </w:r>
      <w:r>
        <w:rPr>
          <w:rFonts w:ascii="Arial" w:cs="Arial" w:eastAsia="Arial" w:hAnsi="Arial"/>
          <w:sz w:val="17"/>
          <w:szCs w:val="17"/>
          <w:i w:val="1"/>
          <w:iCs w:val="1"/>
          <w:color w:val="auto"/>
        </w:rPr>
        <w:t>Freedman</w:t>
      </w:r>
      <w:r>
        <w:rPr>
          <w:rFonts w:ascii="Arial" w:cs="Arial" w:eastAsia="Arial" w:hAnsi="Arial"/>
          <w:sz w:val="17"/>
          <w:szCs w:val="17"/>
          <w:color w:val="auto"/>
        </w:rPr>
        <w:t xml:space="preserve"> litigation.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driver of our investing cash flow activities is capital expenditures for property, plant and equipment. Capital expenditures were $542 million and $1.0 billion for the nine months ended September 30, 2015 and 2014, respectively. The amount we spend for capital expenditures varies each year based on the type of contracts in which we enter, our asset availability and our expectations with respect to industry activity levels in the following year. The significant decline in capital expenditures is due to the continued weakness in the price of crude oil, continued weakness in demand, and lower than expected exploration and production spending.</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did not complete any significant business acquisitions in the nine months ended September 30, 2015. Cash proceeds received from dispositions were $29 million and $781 million in the nine months ended September 30, 2015 and 2014, respectively. In the nine months ended September 30, 2015, cash proceeds were primarily from the working capital adjustment related to the sale of our pipeline and specialty services business from the prior year and from a combination of various other asset sales. Cash proceeds received from dispositions for the nine months ended September 30, 2014 related to the sale of our land drilling and workover rig operations in Russia and Venezuela, pipeline and specialty services business and other business asset disposals.</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nine months ended September 30, 2014, we acquired, via a step acquisition, an additional 30% ownership interest in a joint venture in China. We paid $13 million for the incremental interest, thereby increasing our ownership interest from 45% to 75%. As a result of this transaction, we acquired $30 million of cash. Therefore, in the nine months ended September 30, 2014, we had a cash inflow from acquired businesses of $17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financing activities primarily consisted of the borrowing and repayment of short-term and long-term debt. Our short-term borrowings, net of repayments were $606 million and $46 million in the nine months ended September 30, 2015 and 2014, respectively. Total net long-term debt repayments were $368 million in the nine months ended September 30, 2015 compared to total net long-term debt repayments of $49 million in nine months ended September 30, 2014.</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three and nine months ended September 30, 2015, through a series of open market transactions, we repurchased certain of our 4.5% senior notes, 5.95% senior notes, 6.5% senior notes, 6.75% senior notes and 7.00% senior notes with a total book value of $236 million and $396 million, respectively. We recognized a cumulative gain of approximately $35 million and $47 million, respectively, on these transactions.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conjunction with our 2014 redomestication, we amended our Executive Deferred Compensation Stock Ownership Plan to provide that benefits thereunder may be payable in cash in lieu of our shares of Weatherford. The trustee for our executive deferred compensation plan sold 973,611 shares of our common stock totaling approximately $22 million in cash proceeds for the benefit of the plan participants.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sources of available liquidity include cash and cash equivalent balances, cash generated from operations, dispositions, commercial paper and availabilities under committed lines of credit. We also historically have accessed banks for short-term loans from uncommitted borrowing arrangements and have accessed the capital markets with debt, equity and convertible bond offerings. From time to time we may and have entered into transactions to factor accounts receivable or to dispose of businesses or capital assets that are no longer core to our long-term strategy.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maintain a $2.25 billion unsecured, revolving credit agreement (the “Credit Agreement”) that matures on July 13, 2017. The Credit Agreement can be used for a combination of borrowings, including support for our $2.25 billion commercial paper program and issuances of letters of credit. This agreement requires that we maintain a debt-to-total capitalization ratio of less than 60%. As of September 30, 2015, we were in compliance with this covenant with a ratio of 51.9%. The covenant ratio is calculated as total consolidated indebtedness, net of derivative positions of $14 million, divided by total capitalization, including non-controlling interest balances and excluding $1.4 billion of foreign currency translation adjustments.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availability under the Credit Agreement at September 30, 2015 (dollars in millions):</w:t>
      </w:r>
    </w:p>
    <w:p>
      <w:pPr>
        <w:spacing w:after="0" w:line="158" w:lineRule="exact"/>
        <w:rPr>
          <w:sz w:val="20"/>
          <w:szCs w:val="20"/>
          <w:color w:val="auto"/>
        </w:rPr>
      </w:pPr>
    </w:p>
    <w:tbl>
      <w:tblPr>
        <w:tblLayout w:type="fixed"/>
        <w:tblInd w:w="2960" w:type="dxa"/>
        <w:tblCellMar>
          <w:top w:w="0" w:type="dxa"/>
          <w:left w:w="0" w:type="dxa"/>
          <w:bottom w:w="0" w:type="dxa"/>
          <w:right w:w="0" w:type="dxa"/>
        </w:tblCellMar>
      </w:tblP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Facility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Less uses of facility:</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4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color w:val="auto"/>
              </w:rPr>
              <w:t>Availability</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w:t>
            </w:r>
          </w:p>
        </w:tc>
      </w:tr>
      <w:tr>
        <w:trPr>
          <w:trHeight w:val="20"/>
        </w:trPr>
        <w:tc>
          <w:tcPr>
            <w:tcW w:w="4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September 30, 2015, we had $241 million in short-term borrowings under these arrangements, including $180 million borrowed under a credit agreement entered into in March 2014 that matures on March 20, 2016 (with respect to $150 million) and June 20, 2016 (with respect to the remaining $30 million), with a LIBOR-based weighted average interest rate of 1.86% as of September 30, 2015. Additionally, in 2015 we repaid the remaining balance of $175 million on our 364-day term loan facility.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Standard &amp; Poor’s Ratings Services’ credit rating on our senior unsecured debt is currently BBB- and our short-term rating is A-3. On March 11, 2015, S&amp;P removed us from Credit Watch with negative implications and changed our outlook to negative. Our Moody’s Investors Ratings Services’ credit rating on our unsecured debt is currently Baa3 and our short-term rating is P-3. On March 24, 2015, Moody Investors changed our outlook from stable to negative. On April 15, 2015, Fitch Ratings assigned a credit rating on our senior unsecured debt of BBB- and our short-term rating of F3, with a negative outlook. We have access and expect we will continue to have access to credit markets, including the U.S. commercial paper market, although the commercial paper amounts outstanding may be reduced as a result of a negative rating change. We expect to utilize the Credit Agreement or other facilities to supplement commercial paper borrowings as needed.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the remainder of 2015, we anticipate our cash requirements will include payments for capital expenditures, repayment of debt, interest payments on our outstanding debt and payments for short-term working capital needs. Our cash requirements may also include opportunistic debt repurchases, business acquisitions and amounts to settle litigation related matters. We anticipate funding these requirements from cash generated from operations, availability under our existing or additional credit facilities, the issuance of commercial paper and, if completed, proceeds from disposals of businesses or capital assets that are no longer closely aligned with our core long-term growth strategy. Capital expenditures for 2015 have been revised and are currently projected to be approximately $650 million. The amounts we ultimately spend will depend on a number of factors including the type of contracts we enter into, asset availability and our expectations with respect to industry activity levels in 2015. Expenditures are expected to be used primarily to support anticipated near-term growth of our core businesses and our sources of liquidity are anticipated to be sufficient to meet our needs. Capital expenditures were $542 million for the nine months ended September 30, 2015. Cash and cash equivalents of $519 million at September 30, 2015 are held by subsidiaries outside of Ireland. Based on the nature of our structure, we are generally able to redeploy cash with no incremental tax.</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September 30, 2015 and December 31, 2014: (1) 6.35% senior notes and (2) 6.80% senior notes.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obligations of Weatherford Bermuda were guaranteed by Weatherford Delaware at September 30, 2015 and December 31, 2014: (1) revolving credit facility, (2) 5.50% senior notes, (3) 6.50% senior notes, (4) 6.00% senior notes, (5) 7.00% senior notes, (6) 9.625% senior notes, (7) 9.875% senior notes, (8) 5.125% senior notes, (9) 6.75% senior notes, (10) 4.50% senior notes and (11) 5.95% senior notes.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certain of these guarantee arrangements, we are required to present condensed consolidating financial information. See guarantor financial information presented in “Note 18 – Condensed Consolidating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September 30, 2015, we had $725 million of letters of credit and performance and bid bonds outstanding, consisting of $552 million outstanding under various uncommitted credit facilities, $16 million of letters of credit outstanding under our Credit Agreement and $157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As of September 30, 2015, we had net unamortized premiums of $26 million associated with interest rate swap terminations. These gains are being amortized over the remaining term of the originally hedged debt as a reduction to interest expense. See “Note 10 – Derivative Instruments” to our Condensed Consolidated Financial Statements for additional details.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At September 30, 2015 and December 31, 2014, we had outstanding foreign currency forward contracts with notional amounts aggregating to $1.4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forward contracts and cross-currency swaps are not designated as hedges, and the changes in fair value of the contracts are recorded each period in the line captioned “Other, Net” on the accompanying Condensed Consolidated Statements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2014.</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17 – New Accounting Pronouncements” to our Condensed Consolidated Financial Statements, included elsewhere in this report.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18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price volatility of oil, natural gas and natural gas liquids, including the impact of the recent and significant decline in the price of crude oil;</w:t>
      </w:r>
    </w:p>
    <w:p>
      <w:pPr>
        <w:spacing w:after="0" w:line="86"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2014 and 2015 cost reduction plans;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980" w:hanging="324"/>
        <w:spacing w:after="0" w:line="29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 charges arising out of the SEC’s and DOJ’s investigation into the circumstances surrounding the prior material weakness in our internal controls over financial reporting for income taxes and the restatements of our historical financial statements in 2011 and 2012;</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member-country quota compliance within OPEC;</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Item 7A.– Quantitative and Qualitative Disclosures about Market Risk,” in our Annual Report on Form 10-K for the fiscal year ended December 31, 2014. Our exposure to market risk has not changed materially since December 31, 2014, except as described below.</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Currency Devaluation and Related Charges</w:t>
      </w:r>
    </w:p>
    <w:p>
      <w:pPr>
        <w:spacing w:after="0" w:line="2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currency devaluation and related charges resulting from devaluations and other inflationary impacts were $26 million and $68 million for the three and nine months ended September 30, 2015, respectively, and are included in the line captioned “Currency Devaluation and Related Charges” on the accompanying Condensed Consolidated Statements of Operations.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three months ended September 30, 2015, currency devaluation and related charges reflect the impacts of the 10% devaluation of the Angolan kwanza of $20 million and the depreciated Kazakhstani tenge of $6 million. The Kazakhstani tenge depreciated 31% after the Kazakhstan Central Bank abandoned its peg of the tenge to the U.S. dollar.</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nine months ended September 30, 2015, currency devaluation and related charges reflect the impact of the continued devaluation of the Angolan kwanza of $36 million, the recognized remeasurement charges of $26 million related to the Venezuelan bolivar and the depreciated Kazakhstani tenge of $6 million. The Angolan kwanza charges reflect currency devaluations of approximately 11% in the second quarter and 10% in the third quarter of 2015. The Venezuelan bolivar charge reflects remeasurement charges when we began using the latest Venezuelan currency exchange system, known as the “Marginal Currency System” or SIMADI. At September 30, 2015 our net monetary asset position denominated in Angolan kwanza was approximately $139 million. The net monetary positions denominated in Venezuelan bolivar and Kazakhstani tenge were not material.</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Included in the line captioned “Other, Net” on the accompanying Condensed Consolidated Statements of Operations are other foreign currency charges of $16 million and $42 million for the three and nine months ended September 30, 2015 respectively, primarily due to the strengthening U.S. dollar compared to our foreign denominated operations and the changes in fair value of our foreign currency forward contracts and cross-currency swaps contracts.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September 30, 2015. Based on that evaluation, our CEO and CFO concluded that our disclosure controls and procedures were effective as of September 30, 2015.</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third quarter ended September 30, 2015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49"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16 – Disputes, Litigation and Contingencies”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There have been no material changes in our assessment of our risk factors from those set forth in our Annual Report on Form 10-K for the fiscal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49"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2"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pursuant to Section 302 of the Sarbanes-Oxley Act of 2002.</w:t>
      </w:r>
    </w:p>
    <w:p>
      <w:pPr>
        <w:spacing w:after="0" w:line="6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pursuant to Section 906 of the Sarbanes-Oxley Act of 2002.</w:t>
      </w:r>
    </w:p>
    <w:p>
      <w:pPr>
        <w:spacing w:after="0" w:line="6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995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95045"/>
                    </a:xfrm>
                    <a:prstGeom prst="rect">
                      <a:avLst/>
                    </a:prstGeom>
                    <a:noFill/>
                  </pic:spPr>
                </pic:pic>
              </a:graphicData>
            </a:graphic>
          </wp:anchor>
        </w:drawing>
      </w:r>
    </w:p>
    <w:p>
      <w:pPr>
        <w:spacing w:after="0" w:line="43"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Weatherford International plc's Quarterly Report on Form 10-Q for the quarter ended</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September 30, 2015, formatted in XBRL (eXtensible Business Reporting Language):</w:t>
      </w:r>
    </w:p>
    <w:p>
      <w:pPr>
        <w:spacing w:after="0" w:line="9" w:lineRule="exact"/>
        <w:rPr>
          <w:sz w:val="20"/>
          <w:szCs w:val="20"/>
          <w:color w:val="auto"/>
        </w:rPr>
      </w:pPr>
    </w:p>
    <w:p>
      <w:pPr>
        <w:ind w:left="1440" w:hanging="257"/>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40" w:hanging="100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40" w:hanging="100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40" w:hanging="100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449" w:right="1440"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260" w:type="dxa"/>
            <w:vAlign w:val="bottom"/>
          </w:tcPr>
          <w:p>
            <w:pPr>
              <w:spacing w:after="0"/>
              <w:rPr>
                <w:sz w:val="20"/>
                <w:szCs w:val="20"/>
                <w:color w:val="auto"/>
              </w:rPr>
            </w:pPr>
            <w:r>
              <w:rPr>
                <w:rFonts w:ascii="Arial" w:cs="Arial" w:eastAsia="Arial" w:hAnsi="Arial"/>
                <w:sz w:val="18"/>
                <w:szCs w:val="18"/>
                <w:color w:val="auto"/>
              </w:rPr>
              <w:t>Date: October 23, 2015</w:t>
            </w:r>
          </w:p>
        </w:tc>
        <w:tc>
          <w:tcPr>
            <w:tcW w:w="5920" w:type="dxa"/>
            <w:vAlign w:val="bottom"/>
            <w:gridSpan w:val="2"/>
          </w:tcPr>
          <w:p>
            <w:pPr>
              <w:ind w:left="1580"/>
              <w:spacing w:after="0"/>
              <w:rPr>
                <w:sz w:val="20"/>
                <w:szCs w:val="20"/>
                <w:color w:val="auto"/>
              </w:rPr>
            </w:pPr>
            <w:r>
              <w:rPr>
                <w:rFonts w:ascii="Arial" w:cs="Arial" w:eastAsia="Arial" w:hAnsi="Arial"/>
                <w:sz w:val="18"/>
                <w:szCs w:val="18"/>
                <w:color w:val="auto"/>
              </w:rPr>
              <w:t>By: /s/ Bernard J. Duroc-Danner</w:t>
            </w:r>
          </w:p>
        </w:tc>
      </w:tr>
      <w:tr>
        <w:trPr>
          <w:trHeight w:val="27"/>
        </w:trPr>
        <w:tc>
          <w:tcPr>
            <w:tcW w:w="3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Bernard J. Duroc-Danner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260" w:type="dxa"/>
            <w:vAlign w:val="bottom"/>
          </w:tcPr>
          <w:p>
            <w:pPr>
              <w:spacing w:after="0"/>
              <w:rPr>
                <w:sz w:val="20"/>
                <w:szCs w:val="20"/>
                <w:color w:val="auto"/>
              </w:rPr>
            </w:pPr>
            <w:r>
              <w:rPr>
                <w:rFonts w:ascii="Arial" w:cs="Arial" w:eastAsia="Arial" w:hAnsi="Arial"/>
                <w:sz w:val="18"/>
                <w:szCs w:val="18"/>
                <w:color w:val="auto"/>
              </w:rPr>
              <w:t>Date: October 23, 2015</w:t>
            </w:r>
          </w:p>
        </w:tc>
        <w:tc>
          <w:tcPr>
            <w:tcW w:w="5920" w:type="dxa"/>
            <w:vAlign w:val="bottom"/>
            <w:gridSpan w:val="2"/>
          </w:tcPr>
          <w:p>
            <w:pPr>
              <w:ind w:left="1580"/>
              <w:spacing w:after="0"/>
              <w:rPr>
                <w:sz w:val="20"/>
                <w:szCs w:val="20"/>
                <w:color w:val="auto"/>
              </w:rPr>
            </w:pPr>
            <w:r>
              <w:rPr>
                <w:rFonts w:ascii="Arial" w:cs="Arial" w:eastAsia="Arial" w:hAnsi="Arial"/>
                <w:sz w:val="18"/>
                <w:szCs w:val="18"/>
                <w:color w:val="auto"/>
              </w:rPr>
              <w:t>By: /s/ Krishna Shivram</w:t>
            </w:r>
          </w:p>
        </w:tc>
      </w:tr>
      <w:tr>
        <w:trPr>
          <w:trHeight w:val="27"/>
        </w:trPr>
        <w:tc>
          <w:tcPr>
            <w:tcW w:w="3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Krishna Shivram</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620"/>
          </w:cols>
          <w:pgMar w:left="240" w:top="449" w:right="10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October 23,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October 23, 2015</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 connection with the Quarterly Report on Form 10-Q of Weatherford International plc (the "Company") for the period ended September 30, 2015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Duroc-Danner</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Bernard J. Duroc-Danner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23, 2015</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Quarterly Report on Form 10-K of Weatherford International plc (the "Company") for the period ended September 30, 2015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Krishna Shivram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Krishna Shivram</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October 23, 2015</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2"/>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4"/>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Letter"/>
      <w:start w:val="4"/>
    </w:lvl>
  </w:abstractNum>
  <w:abstractNum w:abstractNumId="9">
    <w:nsid w:val="1BEFD79F"/>
    <w:multiLevelType w:val="hybridMultilevel"/>
    <w:lvl w:ilvl="0">
      <w:lvlJc w:val="left"/>
      <w:lvlText w:val="%1."/>
      <w:numFmt w:val="decimal"/>
      <w:start w:val="16"/>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2)"/>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2019-12-29T15:43:08Z</dcterms:created>
  <dcterms:modified xsi:type="dcterms:W3CDTF">2019-12-29T15:43:08Z</dcterms:modified>
</cp:coreProperties>
</file>