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November 7, 2019</w:t>
      </w:r>
    </w:p>
    <w:p>
      <w:pPr>
        <w:spacing w:after="0" w:line="55"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333-216034</w:t>
      </w:r>
    </w:p>
    <w:p>
      <w:pPr>
        <w:jc w:val="right"/>
        <w:spacing w:after="0" w:line="226" w:lineRule="auto"/>
        <w:rPr>
          <w:sz w:val="20"/>
          <w:szCs w:val="20"/>
          <w:color w:val="auto"/>
        </w:rPr>
      </w:pPr>
      <w:r>
        <w:rPr>
          <w:rFonts w:ascii="Arial" w:cs="Arial" w:eastAsia="Arial" w:hAnsi="Arial"/>
          <w:sz w:val="14"/>
          <w:szCs w:val="14"/>
          <w:b w:val="1"/>
          <w:bCs w:val="1"/>
          <w:color w:val="auto"/>
        </w:rPr>
        <w:t>Registration No. 333-216034-1</w:t>
      </w:r>
    </w:p>
    <w:p>
      <w:pPr>
        <w:spacing w:after="0" w:line="1" w:lineRule="exact"/>
        <w:rPr>
          <w:sz w:val="24"/>
          <w:szCs w:val="24"/>
          <w:color w:val="auto"/>
        </w:rPr>
      </w:pPr>
    </w:p>
    <w:p>
      <w:pPr>
        <w:ind w:left="9560"/>
        <w:spacing w:after="0"/>
        <w:rPr>
          <w:sz w:val="20"/>
          <w:szCs w:val="20"/>
          <w:color w:val="auto"/>
        </w:rPr>
      </w:pPr>
      <w:r>
        <w:rPr>
          <w:rFonts w:ascii="Arial" w:cs="Arial" w:eastAsia="Arial" w:hAnsi="Arial"/>
          <w:sz w:val="13"/>
          <w:szCs w:val="13"/>
          <w:b w:val="1"/>
          <w:bCs w:val="1"/>
          <w:color w:val="auto"/>
        </w:rPr>
        <w:t>Registration No. 333-216034-2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107950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Post-Effective Amendment No. 1</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S-3</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117475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Weatherford International plc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58" w:lineRule="exact"/>
        <w:rPr>
          <w:sz w:val="24"/>
          <w:szCs w:val="24"/>
          <w:color w:val="auto"/>
        </w:rPr>
      </w:pPr>
    </w:p>
    <w:tbl>
      <w:tblPr>
        <w:tblLayout w:type="fixed"/>
        <w:tblInd w:w="1940" w:type="dxa"/>
        <w:tblCellMar>
          <w:top w:w="0" w:type="dxa"/>
          <w:left w:w="0" w:type="dxa"/>
          <w:bottom w:w="0" w:type="dxa"/>
          <w:right w:w="0" w:type="dxa"/>
        </w:tblCellMar>
      </w:tblPr>
      <w:tr>
        <w:trPr>
          <w:trHeight w:val="161"/>
        </w:trPr>
        <w:tc>
          <w:tcPr>
            <w:tcW w:w="3880" w:type="dxa"/>
            <w:vAlign w:val="bottom"/>
          </w:tcPr>
          <w:p>
            <w:pPr>
              <w:jc w:val="center"/>
              <w:ind w:right="2068"/>
              <w:spacing w:after="0"/>
              <w:rPr>
                <w:sz w:val="20"/>
                <w:szCs w:val="20"/>
                <w:color w:val="auto"/>
              </w:rPr>
            </w:pPr>
            <w:r>
              <w:rPr>
                <w:rFonts w:ascii="Arial" w:cs="Arial" w:eastAsia="Arial" w:hAnsi="Arial"/>
                <w:sz w:val="14"/>
                <w:szCs w:val="14"/>
                <w:b w:val="1"/>
                <w:bCs w:val="1"/>
                <w:color w:val="auto"/>
              </w:rPr>
              <w:t>Ireland</w:t>
            </w:r>
          </w:p>
        </w:tc>
        <w:tc>
          <w:tcPr>
            <w:tcW w:w="3460" w:type="dxa"/>
            <w:vAlign w:val="bottom"/>
          </w:tcPr>
          <w:p>
            <w:pPr>
              <w:jc w:val="center"/>
              <w:ind w:left="2088"/>
              <w:spacing w:after="0"/>
              <w:rPr>
                <w:sz w:val="20"/>
                <w:szCs w:val="20"/>
                <w:color w:val="auto"/>
              </w:rPr>
            </w:pPr>
            <w:r>
              <w:rPr>
                <w:rFonts w:ascii="Arial" w:cs="Arial" w:eastAsia="Arial" w:hAnsi="Arial"/>
                <w:sz w:val="14"/>
                <w:szCs w:val="14"/>
                <w:b w:val="1"/>
                <w:bCs w:val="1"/>
                <w:color w:val="auto"/>
                <w:w w:val="93"/>
              </w:rPr>
              <w:t>98-0606750</w:t>
            </w:r>
          </w:p>
        </w:tc>
      </w:tr>
      <w:tr>
        <w:trPr>
          <w:trHeight w:val="149"/>
        </w:trPr>
        <w:tc>
          <w:tcPr>
            <w:tcW w:w="3880" w:type="dxa"/>
            <w:vAlign w:val="bottom"/>
          </w:tcPr>
          <w:p>
            <w:pPr>
              <w:jc w:val="center"/>
              <w:ind w:right="2068"/>
              <w:spacing w:after="0" w:line="149" w:lineRule="exact"/>
              <w:rPr>
                <w:sz w:val="20"/>
                <w:szCs w:val="20"/>
                <w:color w:val="auto"/>
              </w:rPr>
            </w:pPr>
            <w:r>
              <w:rPr>
                <w:rFonts w:ascii="Arial" w:cs="Arial" w:eastAsia="Arial" w:hAnsi="Arial"/>
                <w:sz w:val="14"/>
                <w:szCs w:val="14"/>
                <w:color w:val="auto"/>
                <w:w w:val="94"/>
              </w:rPr>
              <w:t>(State or other jurisdiction of</w:t>
            </w:r>
          </w:p>
        </w:tc>
        <w:tc>
          <w:tcPr>
            <w:tcW w:w="3460" w:type="dxa"/>
            <w:vAlign w:val="bottom"/>
          </w:tcPr>
          <w:p>
            <w:pPr>
              <w:jc w:val="center"/>
              <w:ind w:left="208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3880" w:type="dxa"/>
            <w:vAlign w:val="bottom"/>
          </w:tcPr>
          <w:p>
            <w:pPr>
              <w:jc w:val="center"/>
              <w:ind w:right="2068"/>
              <w:spacing w:after="0"/>
              <w:rPr>
                <w:sz w:val="20"/>
                <w:szCs w:val="20"/>
                <w:color w:val="auto"/>
              </w:rPr>
            </w:pPr>
            <w:r>
              <w:rPr>
                <w:rFonts w:ascii="Arial" w:cs="Arial" w:eastAsia="Arial" w:hAnsi="Arial"/>
                <w:sz w:val="14"/>
                <w:szCs w:val="14"/>
                <w:color w:val="auto"/>
                <w:w w:val="95"/>
              </w:rPr>
              <w:t>incorporation or organization)</w:t>
            </w:r>
          </w:p>
        </w:tc>
        <w:tc>
          <w:tcPr>
            <w:tcW w:w="3460" w:type="dxa"/>
            <w:vAlign w:val="bottom"/>
          </w:tcPr>
          <w:p>
            <w:pPr>
              <w:jc w:val="center"/>
              <w:ind w:left="2068"/>
              <w:spacing w:after="0"/>
              <w:rPr>
                <w:sz w:val="20"/>
                <w:szCs w:val="20"/>
                <w:color w:val="auto"/>
              </w:rPr>
            </w:pPr>
            <w:r>
              <w:rPr>
                <w:rFonts w:ascii="Arial" w:cs="Arial" w:eastAsia="Arial" w:hAnsi="Arial"/>
                <w:sz w:val="14"/>
                <w:szCs w:val="14"/>
                <w:color w:val="auto"/>
                <w:w w:val="96"/>
              </w:rPr>
              <w:t>Identification Number)</w:t>
            </w:r>
          </w:p>
        </w:tc>
      </w:tr>
    </w:tbl>
    <w:p>
      <w:pPr>
        <w:spacing w:after="0" w:line="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2000 St. James Place,</w:t>
      </w:r>
    </w:p>
    <w:p>
      <w:pPr>
        <w:jc w:val="center"/>
        <w:spacing w:after="0" w:line="226" w:lineRule="auto"/>
        <w:rPr>
          <w:sz w:val="20"/>
          <w:szCs w:val="20"/>
          <w:color w:val="auto"/>
        </w:rPr>
      </w:pPr>
      <w:r>
        <w:rPr>
          <w:rFonts w:ascii="Arial" w:cs="Arial" w:eastAsia="Arial" w:hAnsi="Arial"/>
          <w:sz w:val="14"/>
          <w:szCs w:val="14"/>
          <w:b w:val="1"/>
          <w:bCs w:val="1"/>
          <w:color w:val="auto"/>
        </w:rPr>
        <w:t>Houston, Texas 77056</w:t>
      </w:r>
    </w:p>
    <w:p>
      <w:pPr>
        <w:jc w:val="center"/>
        <w:spacing w:after="0" w:line="222" w:lineRule="auto"/>
        <w:rPr>
          <w:sz w:val="20"/>
          <w:szCs w:val="20"/>
          <w:color w:val="auto"/>
        </w:rPr>
      </w:pPr>
      <w:r>
        <w:rPr>
          <w:rFonts w:ascii="Arial" w:cs="Arial" w:eastAsia="Arial" w:hAnsi="Arial"/>
          <w:sz w:val="14"/>
          <w:szCs w:val="14"/>
          <w:b w:val="1"/>
          <w:bCs w:val="1"/>
          <w:color w:val="auto"/>
        </w:rPr>
        <w:t>(713) 836-4000</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107950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08" w:lineRule="exact"/>
        <w:rPr>
          <w:sz w:val="24"/>
          <w:szCs w:val="24"/>
          <w:color w:val="auto"/>
        </w:rPr>
      </w:pPr>
    </w:p>
    <w:tbl>
      <w:tblPr>
        <w:tblLayout w:type="fixed"/>
        <w:tblInd w:w="600" w:type="dxa"/>
        <w:tblCellMar>
          <w:top w:w="0" w:type="dxa"/>
          <w:left w:w="0" w:type="dxa"/>
          <w:bottom w:w="0" w:type="dxa"/>
          <w:right w:w="0" w:type="dxa"/>
        </w:tblCellMar>
      </w:tblPr>
      <w:tr>
        <w:trPr>
          <w:trHeight w:val="161"/>
        </w:trPr>
        <w:tc>
          <w:tcPr>
            <w:tcW w:w="5220" w:type="dxa"/>
            <w:vAlign w:val="bottom"/>
          </w:tcPr>
          <w:p>
            <w:pPr>
              <w:jc w:val="center"/>
              <w:ind w:right="528"/>
              <w:spacing w:after="0"/>
              <w:rPr>
                <w:sz w:val="20"/>
                <w:szCs w:val="20"/>
                <w:color w:val="auto"/>
              </w:rPr>
            </w:pPr>
            <w:r>
              <w:rPr>
                <w:rFonts w:ascii="Arial" w:cs="Arial" w:eastAsia="Arial" w:hAnsi="Arial"/>
                <w:sz w:val="14"/>
                <w:szCs w:val="14"/>
                <w:b w:val="1"/>
                <w:bCs w:val="1"/>
                <w:color w:val="auto"/>
                <w:w w:val="97"/>
              </w:rPr>
              <w:t>Weatherford International Ltd.</w:t>
            </w:r>
          </w:p>
        </w:tc>
        <w:tc>
          <w:tcPr>
            <w:tcW w:w="5200" w:type="dxa"/>
            <w:vAlign w:val="bottom"/>
          </w:tcPr>
          <w:p>
            <w:pPr>
              <w:jc w:val="center"/>
              <w:ind w:left="508"/>
              <w:spacing w:after="0"/>
              <w:rPr>
                <w:sz w:val="20"/>
                <w:szCs w:val="20"/>
                <w:color w:val="auto"/>
              </w:rPr>
            </w:pPr>
            <w:r>
              <w:rPr>
                <w:rFonts w:ascii="Arial" w:cs="Arial" w:eastAsia="Arial" w:hAnsi="Arial"/>
                <w:sz w:val="14"/>
                <w:szCs w:val="14"/>
                <w:b w:val="1"/>
                <w:bCs w:val="1"/>
                <w:color w:val="auto"/>
                <w:w w:val="98"/>
              </w:rPr>
              <w:t>Weatherford International, LLC</w:t>
            </w:r>
          </w:p>
        </w:tc>
      </w:tr>
      <w:tr>
        <w:trPr>
          <w:trHeight w:val="182"/>
        </w:trPr>
        <w:tc>
          <w:tcPr>
            <w:tcW w:w="5220" w:type="dxa"/>
            <w:vAlign w:val="bottom"/>
          </w:tcPr>
          <w:p>
            <w:pPr>
              <w:jc w:val="center"/>
              <w:ind w:right="508"/>
              <w:spacing w:after="0"/>
              <w:rPr>
                <w:sz w:val="20"/>
                <w:szCs w:val="20"/>
                <w:color w:val="auto"/>
              </w:rPr>
            </w:pPr>
            <w:r>
              <w:rPr>
                <w:rFonts w:ascii="Arial" w:cs="Arial" w:eastAsia="Arial" w:hAnsi="Arial"/>
                <w:sz w:val="14"/>
                <w:szCs w:val="14"/>
                <w:color w:val="auto"/>
                <w:w w:val="93"/>
              </w:rPr>
              <w:t>(Exact name of co-registrant as specified in its charter)</w:t>
            </w:r>
          </w:p>
        </w:tc>
        <w:tc>
          <w:tcPr>
            <w:tcW w:w="5200" w:type="dxa"/>
            <w:vAlign w:val="bottom"/>
          </w:tcPr>
          <w:p>
            <w:pPr>
              <w:jc w:val="center"/>
              <w:ind w:left="528"/>
              <w:spacing w:after="0"/>
              <w:rPr>
                <w:sz w:val="20"/>
                <w:szCs w:val="20"/>
                <w:color w:val="auto"/>
              </w:rPr>
            </w:pPr>
            <w:r>
              <w:rPr>
                <w:rFonts w:ascii="Arial" w:cs="Arial" w:eastAsia="Arial" w:hAnsi="Arial"/>
                <w:sz w:val="14"/>
                <w:szCs w:val="14"/>
                <w:color w:val="auto"/>
                <w:w w:val="93"/>
              </w:rPr>
              <w:t>(Exact name of co-registrant as specified in its charter)</w:t>
            </w:r>
          </w:p>
        </w:tc>
      </w:tr>
      <w:tr>
        <w:trPr>
          <w:trHeight w:val="263"/>
        </w:trPr>
        <w:tc>
          <w:tcPr>
            <w:tcW w:w="5220" w:type="dxa"/>
            <w:vAlign w:val="bottom"/>
          </w:tcPr>
          <w:p>
            <w:pPr>
              <w:jc w:val="center"/>
              <w:ind w:right="528"/>
              <w:spacing w:after="0"/>
              <w:rPr>
                <w:sz w:val="20"/>
                <w:szCs w:val="20"/>
                <w:color w:val="auto"/>
              </w:rPr>
            </w:pPr>
            <w:r>
              <w:rPr>
                <w:rFonts w:ascii="Arial" w:cs="Arial" w:eastAsia="Arial" w:hAnsi="Arial"/>
                <w:sz w:val="14"/>
                <w:szCs w:val="14"/>
                <w:b w:val="1"/>
                <w:bCs w:val="1"/>
                <w:color w:val="auto"/>
                <w:w w:val="95"/>
              </w:rPr>
              <w:t>Bermuda</w:t>
            </w:r>
          </w:p>
        </w:tc>
        <w:tc>
          <w:tcPr>
            <w:tcW w:w="5200" w:type="dxa"/>
            <w:vAlign w:val="bottom"/>
          </w:tcPr>
          <w:p>
            <w:pPr>
              <w:jc w:val="center"/>
              <w:ind w:left="508"/>
              <w:spacing w:after="0"/>
              <w:rPr>
                <w:sz w:val="20"/>
                <w:szCs w:val="20"/>
                <w:color w:val="auto"/>
              </w:rPr>
            </w:pPr>
            <w:r>
              <w:rPr>
                <w:rFonts w:ascii="Arial" w:cs="Arial" w:eastAsia="Arial" w:hAnsi="Arial"/>
                <w:sz w:val="14"/>
                <w:szCs w:val="14"/>
                <w:b w:val="1"/>
                <w:bCs w:val="1"/>
                <w:color w:val="auto"/>
                <w:w w:val="94"/>
              </w:rPr>
              <w:t>Delaware</w:t>
            </w:r>
          </w:p>
        </w:tc>
      </w:tr>
      <w:tr>
        <w:trPr>
          <w:trHeight w:val="182"/>
        </w:trPr>
        <w:tc>
          <w:tcPr>
            <w:tcW w:w="5220" w:type="dxa"/>
            <w:vAlign w:val="bottom"/>
          </w:tcPr>
          <w:p>
            <w:pPr>
              <w:jc w:val="center"/>
              <w:ind w:right="50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5200" w:type="dxa"/>
            <w:vAlign w:val="bottom"/>
          </w:tcPr>
          <w:p>
            <w:pPr>
              <w:jc w:val="center"/>
              <w:ind w:left="528"/>
              <w:spacing w:after="0"/>
              <w:rPr>
                <w:sz w:val="20"/>
                <w:szCs w:val="20"/>
                <w:color w:val="auto"/>
              </w:rPr>
            </w:pPr>
            <w:r>
              <w:rPr>
                <w:rFonts w:ascii="Arial" w:cs="Arial" w:eastAsia="Arial" w:hAnsi="Arial"/>
                <w:sz w:val="14"/>
                <w:szCs w:val="14"/>
                <w:color w:val="auto"/>
                <w:w w:val="95"/>
              </w:rPr>
              <w:t>(State or other jurisdiction of incorporation or organization)</w:t>
            </w:r>
          </w:p>
        </w:tc>
      </w:tr>
      <w:tr>
        <w:trPr>
          <w:trHeight w:val="263"/>
        </w:trPr>
        <w:tc>
          <w:tcPr>
            <w:tcW w:w="5220" w:type="dxa"/>
            <w:vAlign w:val="bottom"/>
          </w:tcPr>
          <w:p>
            <w:pPr>
              <w:jc w:val="right"/>
              <w:ind w:right="2488"/>
              <w:spacing w:after="0"/>
              <w:rPr>
                <w:sz w:val="20"/>
                <w:szCs w:val="20"/>
                <w:color w:val="auto"/>
              </w:rPr>
            </w:pPr>
            <w:r>
              <w:rPr>
                <w:rFonts w:ascii="Arial" w:cs="Arial" w:eastAsia="Arial" w:hAnsi="Arial"/>
                <w:sz w:val="14"/>
                <w:szCs w:val="14"/>
                <w:b w:val="1"/>
                <w:bCs w:val="1"/>
                <w:color w:val="auto"/>
              </w:rPr>
              <w:t>98-0371344</w:t>
            </w:r>
          </w:p>
        </w:tc>
        <w:tc>
          <w:tcPr>
            <w:tcW w:w="5200" w:type="dxa"/>
            <w:vAlign w:val="bottom"/>
          </w:tcPr>
          <w:p>
            <w:pPr>
              <w:jc w:val="right"/>
              <w:ind w:right="1888"/>
              <w:spacing w:after="0"/>
              <w:rPr>
                <w:sz w:val="20"/>
                <w:szCs w:val="20"/>
                <w:color w:val="auto"/>
              </w:rPr>
            </w:pPr>
            <w:r>
              <w:rPr>
                <w:rFonts w:ascii="Arial" w:cs="Arial" w:eastAsia="Arial" w:hAnsi="Arial"/>
                <w:sz w:val="14"/>
                <w:szCs w:val="14"/>
                <w:b w:val="1"/>
                <w:bCs w:val="1"/>
                <w:color w:val="auto"/>
              </w:rPr>
              <w:t>33-0430755</w:t>
            </w:r>
          </w:p>
        </w:tc>
      </w:tr>
      <w:tr>
        <w:trPr>
          <w:trHeight w:val="182"/>
        </w:trPr>
        <w:tc>
          <w:tcPr>
            <w:tcW w:w="5220" w:type="dxa"/>
            <w:vAlign w:val="bottom"/>
          </w:tcPr>
          <w:p>
            <w:pPr>
              <w:jc w:val="center"/>
              <w:ind w:right="528"/>
              <w:spacing w:after="0"/>
              <w:rPr>
                <w:sz w:val="20"/>
                <w:szCs w:val="20"/>
                <w:color w:val="auto"/>
              </w:rPr>
            </w:pPr>
            <w:r>
              <w:rPr>
                <w:rFonts w:ascii="Arial" w:cs="Arial" w:eastAsia="Arial" w:hAnsi="Arial"/>
                <w:sz w:val="14"/>
                <w:szCs w:val="14"/>
                <w:color w:val="auto"/>
                <w:w w:val="96"/>
              </w:rPr>
              <w:t>(I.R.S. Employer Identification Number)</w:t>
            </w:r>
          </w:p>
        </w:tc>
        <w:tc>
          <w:tcPr>
            <w:tcW w:w="5200" w:type="dxa"/>
            <w:vAlign w:val="bottom"/>
          </w:tcPr>
          <w:p>
            <w:pPr>
              <w:jc w:val="center"/>
              <w:ind w:left="508"/>
              <w:spacing w:after="0"/>
              <w:rPr>
                <w:sz w:val="20"/>
                <w:szCs w:val="20"/>
                <w:color w:val="auto"/>
              </w:rPr>
            </w:pPr>
            <w:r>
              <w:rPr>
                <w:rFonts w:ascii="Arial" w:cs="Arial" w:eastAsia="Arial" w:hAnsi="Arial"/>
                <w:sz w:val="14"/>
                <w:szCs w:val="14"/>
                <w:color w:val="auto"/>
                <w:w w:val="96"/>
              </w:rPr>
              <w:t>(I.R.S. Employer Identification Number)</w:t>
            </w:r>
          </w:p>
        </w:tc>
      </w:tr>
      <w:tr>
        <w:trPr>
          <w:trHeight w:val="259"/>
        </w:trPr>
        <w:tc>
          <w:tcPr>
            <w:tcW w:w="5220" w:type="dxa"/>
            <w:vAlign w:val="bottom"/>
          </w:tcPr>
          <w:p>
            <w:pPr>
              <w:jc w:val="center"/>
              <w:ind w:right="508"/>
              <w:spacing w:after="0"/>
              <w:rPr>
                <w:sz w:val="20"/>
                <w:szCs w:val="20"/>
                <w:color w:val="auto"/>
              </w:rPr>
            </w:pPr>
            <w:r>
              <w:rPr>
                <w:rFonts w:ascii="Arial" w:cs="Arial" w:eastAsia="Arial" w:hAnsi="Arial"/>
                <w:sz w:val="14"/>
                <w:szCs w:val="14"/>
                <w:b w:val="1"/>
                <w:bCs w:val="1"/>
                <w:color w:val="auto"/>
                <w:w w:val="90"/>
              </w:rPr>
              <w:t>2000 St. James Place, Houston, Texas 77056</w:t>
            </w:r>
          </w:p>
        </w:tc>
        <w:tc>
          <w:tcPr>
            <w:tcW w:w="5200" w:type="dxa"/>
            <w:vAlign w:val="bottom"/>
          </w:tcPr>
          <w:p>
            <w:pPr>
              <w:jc w:val="center"/>
              <w:ind w:left="528"/>
              <w:spacing w:after="0"/>
              <w:rPr>
                <w:sz w:val="20"/>
                <w:szCs w:val="20"/>
                <w:color w:val="auto"/>
              </w:rPr>
            </w:pPr>
            <w:r>
              <w:rPr>
                <w:rFonts w:ascii="Arial" w:cs="Arial" w:eastAsia="Arial" w:hAnsi="Arial"/>
                <w:sz w:val="14"/>
                <w:szCs w:val="14"/>
                <w:b w:val="1"/>
                <w:bCs w:val="1"/>
                <w:color w:val="auto"/>
                <w:w w:val="90"/>
              </w:rPr>
              <w:t>2000 St. James Place, Houston, Texas 77056</w:t>
            </w:r>
          </w:p>
        </w:tc>
      </w:tr>
      <w:tr>
        <w:trPr>
          <w:trHeight w:val="153"/>
        </w:trPr>
        <w:tc>
          <w:tcPr>
            <w:tcW w:w="5220" w:type="dxa"/>
            <w:vAlign w:val="bottom"/>
          </w:tcPr>
          <w:p>
            <w:pPr>
              <w:jc w:val="right"/>
              <w:ind w:right="2388"/>
              <w:spacing w:after="0" w:line="153" w:lineRule="exact"/>
              <w:rPr>
                <w:sz w:val="20"/>
                <w:szCs w:val="20"/>
                <w:color w:val="auto"/>
              </w:rPr>
            </w:pPr>
            <w:r>
              <w:rPr>
                <w:rFonts w:ascii="Arial" w:cs="Arial" w:eastAsia="Arial" w:hAnsi="Arial"/>
                <w:sz w:val="14"/>
                <w:szCs w:val="14"/>
                <w:b w:val="1"/>
                <w:bCs w:val="1"/>
                <w:color w:val="auto"/>
              </w:rPr>
              <w:t>(713) 836-4000</w:t>
            </w:r>
          </w:p>
        </w:tc>
        <w:tc>
          <w:tcPr>
            <w:tcW w:w="5200" w:type="dxa"/>
            <w:vAlign w:val="bottom"/>
          </w:tcPr>
          <w:p>
            <w:pPr>
              <w:jc w:val="right"/>
              <w:ind w:right="1788"/>
              <w:spacing w:after="0" w:line="153" w:lineRule="exact"/>
              <w:rPr>
                <w:sz w:val="20"/>
                <w:szCs w:val="20"/>
                <w:color w:val="auto"/>
              </w:rPr>
            </w:pPr>
            <w:r>
              <w:rPr>
                <w:rFonts w:ascii="Arial" w:cs="Arial" w:eastAsia="Arial" w:hAnsi="Arial"/>
                <w:sz w:val="14"/>
                <w:szCs w:val="14"/>
                <w:b w:val="1"/>
                <w:bCs w:val="1"/>
                <w:color w:val="auto"/>
              </w:rPr>
              <w:t>(713) 836-4000</w:t>
            </w:r>
          </w:p>
        </w:tc>
      </w:tr>
      <w:tr>
        <w:trPr>
          <w:trHeight w:val="149"/>
        </w:trPr>
        <w:tc>
          <w:tcPr>
            <w:tcW w:w="5220" w:type="dxa"/>
            <w:vAlign w:val="bottom"/>
          </w:tcPr>
          <w:p>
            <w:pPr>
              <w:jc w:val="center"/>
              <w:ind w:right="528"/>
              <w:spacing w:after="0" w:line="149" w:lineRule="exact"/>
              <w:rPr>
                <w:sz w:val="20"/>
                <w:szCs w:val="20"/>
                <w:color w:val="auto"/>
              </w:rPr>
            </w:pPr>
            <w:r>
              <w:rPr>
                <w:rFonts w:ascii="Arial" w:cs="Arial" w:eastAsia="Arial" w:hAnsi="Arial"/>
                <w:sz w:val="14"/>
                <w:szCs w:val="14"/>
                <w:color w:val="auto"/>
                <w:w w:val="93"/>
              </w:rPr>
              <w:t>(Address, including zip code, and telephone number, including area code, of co-</w:t>
            </w:r>
          </w:p>
        </w:tc>
        <w:tc>
          <w:tcPr>
            <w:tcW w:w="5200" w:type="dxa"/>
            <w:vAlign w:val="bottom"/>
          </w:tcPr>
          <w:p>
            <w:pPr>
              <w:jc w:val="center"/>
              <w:ind w:left="508"/>
              <w:spacing w:after="0" w:line="149" w:lineRule="exact"/>
              <w:rPr>
                <w:sz w:val="20"/>
                <w:szCs w:val="20"/>
                <w:color w:val="auto"/>
              </w:rPr>
            </w:pPr>
            <w:r>
              <w:rPr>
                <w:rFonts w:ascii="Arial" w:cs="Arial" w:eastAsia="Arial" w:hAnsi="Arial"/>
                <w:sz w:val="14"/>
                <w:szCs w:val="14"/>
                <w:color w:val="auto"/>
                <w:w w:val="93"/>
              </w:rPr>
              <w:t>(Address, including zip code, and telephone number, including area code, of co-</w:t>
            </w:r>
          </w:p>
        </w:tc>
      </w:tr>
      <w:tr>
        <w:trPr>
          <w:trHeight w:val="182"/>
        </w:trPr>
        <w:tc>
          <w:tcPr>
            <w:tcW w:w="5220" w:type="dxa"/>
            <w:vAlign w:val="bottom"/>
          </w:tcPr>
          <w:p>
            <w:pPr>
              <w:jc w:val="center"/>
              <w:ind w:right="528"/>
              <w:spacing w:after="0"/>
              <w:rPr>
                <w:sz w:val="20"/>
                <w:szCs w:val="20"/>
                <w:color w:val="auto"/>
              </w:rPr>
            </w:pPr>
            <w:r>
              <w:rPr>
                <w:rFonts w:ascii="Arial" w:cs="Arial" w:eastAsia="Arial" w:hAnsi="Arial"/>
                <w:sz w:val="14"/>
                <w:szCs w:val="14"/>
                <w:color w:val="auto"/>
                <w:w w:val="95"/>
              </w:rPr>
              <w:t>registrant’s principal executive offices)</w:t>
            </w:r>
          </w:p>
        </w:tc>
        <w:tc>
          <w:tcPr>
            <w:tcW w:w="5200" w:type="dxa"/>
            <w:vAlign w:val="bottom"/>
          </w:tcPr>
          <w:p>
            <w:pPr>
              <w:jc w:val="center"/>
              <w:ind w:left="508"/>
              <w:spacing w:after="0"/>
              <w:rPr>
                <w:sz w:val="20"/>
                <w:szCs w:val="20"/>
                <w:color w:val="auto"/>
              </w:rPr>
            </w:pPr>
            <w:r>
              <w:rPr>
                <w:rFonts w:ascii="Arial" w:cs="Arial" w:eastAsia="Arial" w:hAnsi="Arial"/>
                <w:sz w:val="14"/>
                <w:szCs w:val="14"/>
                <w:color w:val="auto"/>
                <w:w w:val="95"/>
              </w:rPr>
              <w:t>registrant’s principal executive offices)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102235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Christina M. Ibrahim</w:t>
      </w:r>
    </w:p>
    <w:p>
      <w:pPr>
        <w:jc w:val="center"/>
        <w:spacing w:after="0" w:line="226" w:lineRule="auto"/>
        <w:rPr>
          <w:sz w:val="20"/>
          <w:szCs w:val="20"/>
          <w:color w:val="auto"/>
        </w:rPr>
      </w:pPr>
      <w:r>
        <w:rPr>
          <w:rFonts w:ascii="Arial" w:cs="Arial" w:eastAsia="Arial" w:hAnsi="Arial"/>
          <w:sz w:val="14"/>
          <w:szCs w:val="14"/>
          <w:b w:val="1"/>
          <w:bCs w:val="1"/>
          <w:color w:val="auto"/>
        </w:rPr>
        <w:t>Weatherford International plc</w:t>
      </w:r>
    </w:p>
    <w:p>
      <w:pPr>
        <w:jc w:val="center"/>
        <w:spacing w:after="0" w:line="222" w:lineRule="auto"/>
        <w:rPr>
          <w:sz w:val="20"/>
          <w:szCs w:val="20"/>
          <w:color w:val="auto"/>
        </w:rPr>
      </w:pPr>
      <w:r>
        <w:rPr>
          <w:rFonts w:ascii="Arial" w:cs="Arial" w:eastAsia="Arial" w:hAnsi="Arial"/>
          <w:sz w:val="14"/>
          <w:szCs w:val="14"/>
          <w:b w:val="1"/>
          <w:bCs w:val="1"/>
          <w:color w:val="auto"/>
        </w:rPr>
        <w:t>Executive Vice President, General Counsel, Chief Compliance Officer and Corporate Secretary</w:t>
      </w:r>
    </w:p>
    <w:p>
      <w:pPr>
        <w:jc w:val="center"/>
        <w:spacing w:after="0" w:line="221" w:lineRule="auto"/>
        <w:rPr>
          <w:sz w:val="20"/>
          <w:szCs w:val="20"/>
          <w:color w:val="auto"/>
        </w:rPr>
      </w:pPr>
      <w:r>
        <w:rPr>
          <w:rFonts w:ascii="Arial" w:cs="Arial" w:eastAsia="Arial" w:hAnsi="Arial"/>
          <w:sz w:val="14"/>
          <w:szCs w:val="14"/>
          <w:b w:val="1"/>
          <w:bCs w:val="1"/>
          <w:color w:val="auto"/>
        </w:rPr>
        <w:t>2000 St. James Place</w:t>
      </w:r>
    </w:p>
    <w:p>
      <w:pPr>
        <w:jc w:val="center"/>
        <w:spacing w:after="0" w:line="222" w:lineRule="auto"/>
        <w:rPr>
          <w:sz w:val="20"/>
          <w:szCs w:val="20"/>
          <w:color w:val="auto"/>
        </w:rPr>
      </w:pPr>
      <w:r>
        <w:rPr>
          <w:rFonts w:ascii="Arial" w:cs="Arial" w:eastAsia="Arial" w:hAnsi="Arial"/>
          <w:sz w:val="14"/>
          <w:szCs w:val="14"/>
          <w:b w:val="1"/>
          <w:bCs w:val="1"/>
          <w:color w:val="auto"/>
        </w:rPr>
        <w:t>Houston, Texas 77056</w:t>
      </w:r>
    </w:p>
    <w:p>
      <w:pPr>
        <w:jc w:val="center"/>
        <w:spacing w:after="0" w:line="221" w:lineRule="auto"/>
        <w:rPr>
          <w:sz w:val="20"/>
          <w:szCs w:val="20"/>
          <w:color w:val="auto"/>
        </w:rPr>
      </w:pPr>
      <w:r>
        <w:rPr>
          <w:rFonts w:ascii="Arial" w:cs="Arial" w:eastAsia="Arial" w:hAnsi="Arial"/>
          <w:sz w:val="14"/>
          <w:szCs w:val="14"/>
          <w:b w:val="1"/>
          <w:bCs w:val="1"/>
          <w:color w:val="auto"/>
        </w:rPr>
        <w:t>(713) 836-4000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107950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With a copy to:</w:t>
      </w:r>
    </w:p>
    <w:p>
      <w:pPr>
        <w:jc w:val="center"/>
        <w:spacing w:after="0" w:line="226" w:lineRule="auto"/>
        <w:rPr>
          <w:sz w:val="20"/>
          <w:szCs w:val="20"/>
          <w:color w:val="auto"/>
        </w:rPr>
      </w:pPr>
      <w:r>
        <w:rPr>
          <w:rFonts w:ascii="Arial" w:cs="Arial" w:eastAsia="Arial" w:hAnsi="Arial"/>
          <w:sz w:val="14"/>
          <w:szCs w:val="14"/>
          <w:b w:val="1"/>
          <w:bCs w:val="1"/>
          <w:color w:val="auto"/>
        </w:rPr>
        <w:t>Ryan J. Maierson</w:t>
      </w:r>
    </w:p>
    <w:p>
      <w:pPr>
        <w:jc w:val="center"/>
        <w:spacing w:after="0" w:line="222" w:lineRule="auto"/>
        <w:rPr>
          <w:sz w:val="20"/>
          <w:szCs w:val="20"/>
          <w:color w:val="auto"/>
        </w:rPr>
      </w:pPr>
      <w:r>
        <w:rPr>
          <w:rFonts w:ascii="Arial" w:cs="Arial" w:eastAsia="Arial" w:hAnsi="Arial"/>
          <w:sz w:val="14"/>
          <w:szCs w:val="14"/>
          <w:b w:val="1"/>
          <w:bCs w:val="1"/>
          <w:color w:val="auto"/>
        </w:rPr>
        <w:t>John M. Greer</w:t>
      </w:r>
    </w:p>
    <w:p>
      <w:pPr>
        <w:jc w:val="center"/>
        <w:spacing w:after="0" w:line="221" w:lineRule="auto"/>
        <w:rPr>
          <w:sz w:val="20"/>
          <w:szCs w:val="20"/>
          <w:color w:val="auto"/>
        </w:rPr>
      </w:pPr>
      <w:r>
        <w:rPr>
          <w:rFonts w:ascii="Arial" w:cs="Arial" w:eastAsia="Arial" w:hAnsi="Arial"/>
          <w:sz w:val="14"/>
          <w:szCs w:val="14"/>
          <w:color w:val="auto"/>
        </w:rPr>
        <w:t>Latham &amp; Watkins LLP</w:t>
      </w:r>
    </w:p>
    <w:p>
      <w:pPr>
        <w:jc w:val="center"/>
        <w:spacing w:after="0" w:line="222" w:lineRule="auto"/>
        <w:rPr>
          <w:sz w:val="20"/>
          <w:szCs w:val="20"/>
          <w:color w:val="auto"/>
        </w:rPr>
      </w:pPr>
      <w:r>
        <w:rPr>
          <w:rFonts w:ascii="Arial" w:cs="Arial" w:eastAsia="Arial" w:hAnsi="Arial"/>
          <w:sz w:val="14"/>
          <w:szCs w:val="14"/>
          <w:color w:val="auto"/>
        </w:rPr>
        <w:t>811 Main Street, Suite 3700</w:t>
      </w:r>
    </w:p>
    <w:p>
      <w:pPr>
        <w:jc w:val="center"/>
        <w:spacing w:after="0" w:line="221" w:lineRule="auto"/>
        <w:rPr>
          <w:sz w:val="20"/>
          <w:szCs w:val="20"/>
          <w:color w:val="auto"/>
        </w:rPr>
      </w:pPr>
      <w:r>
        <w:rPr>
          <w:rFonts w:ascii="Arial" w:cs="Arial" w:eastAsia="Arial" w:hAnsi="Arial"/>
          <w:sz w:val="14"/>
          <w:szCs w:val="14"/>
          <w:color w:val="auto"/>
        </w:rPr>
        <w:t>Houston, Texas 77002</w:t>
      </w:r>
    </w:p>
    <w:p>
      <w:pPr>
        <w:jc w:val="center"/>
        <w:spacing w:after="0"/>
        <w:rPr>
          <w:sz w:val="20"/>
          <w:szCs w:val="20"/>
          <w:color w:val="auto"/>
        </w:rPr>
      </w:pPr>
      <w:r>
        <w:rPr>
          <w:rFonts w:ascii="Arial" w:cs="Arial" w:eastAsia="Arial" w:hAnsi="Arial"/>
          <w:sz w:val="14"/>
          <w:szCs w:val="14"/>
          <w:color w:val="auto"/>
        </w:rPr>
        <w:t>(713) 546-5400</w:t>
      </w:r>
    </w:p>
    <w:p>
      <w:pPr>
        <w:spacing w:after="0" w:line="39" w:lineRule="exact"/>
        <w:rPr>
          <w:sz w:val="24"/>
          <w:szCs w:val="24"/>
          <w:color w:val="auto"/>
        </w:rPr>
      </w:pPr>
    </w:p>
    <w:p>
      <w:pPr>
        <w:ind w:right="260"/>
        <w:spacing w:after="0" w:line="325" w:lineRule="auto"/>
        <w:rPr>
          <w:sz w:val="20"/>
          <w:szCs w:val="20"/>
          <w:color w:val="auto"/>
        </w:rPr>
      </w:pPr>
      <w:r>
        <w:rPr>
          <w:rFonts w:ascii="Arial" w:cs="Arial" w:eastAsia="Arial" w:hAnsi="Arial"/>
          <w:sz w:val="14"/>
          <w:szCs w:val="14"/>
          <w:b w:val="1"/>
          <w:bCs w:val="1"/>
          <w:color w:val="auto"/>
        </w:rPr>
        <w:t xml:space="preserve">Approximate date of commencement of proposed sale to the public: Not applicable. Removal from registration of securities that were not sold pursuant to this registration statement. </w:t>
      </w:r>
      <w:r>
        <w:rPr>
          <w:rFonts w:ascii="Arial" w:cs="Arial" w:eastAsia="Arial" w:hAnsi="Arial"/>
          <w:sz w:val="14"/>
          <w:szCs w:val="14"/>
          <w:color w:val="auto"/>
        </w:rPr>
        <w:t>If the only securities being registered on this Form are being offered pursuant to dividend or interest reinvestment plans, please check the following box. o</w:t>
      </w:r>
    </w:p>
    <w:p>
      <w:pPr>
        <w:ind w:right="240"/>
        <w:spacing w:after="0" w:line="253"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o</w:t>
      </w:r>
    </w:p>
    <w:p>
      <w:pPr>
        <w:spacing w:after="0" w:line="25" w:lineRule="exact"/>
        <w:rPr>
          <w:sz w:val="24"/>
          <w:szCs w:val="24"/>
          <w:color w:val="auto"/>
        </w:rPr>
      </w:pPr>
    </w:p>
    <w:p>
      <w:pPr>
        <w:ind w:right="120"/>
        <w:spacing w:after="0" w:line="25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25" w:lineRule="exact"/>
        <w:rPr>
          <w:sz w:val="24"/>
          <w:szCs w:val="24"/>
          <w:color w:val="auto"/>
        </w:rPr>
      </w:pPr>
    </w:p>
    <w:p>
      <w:pPr>
        <w:ind w:right="340"/>
        <w:spacing w:after="0" w:line="25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5" w:lineRule="exact"/>
        <w:rPr>
          <w:sz w:val="24"/>
          <w:szCs w:val="24"/>
          <w:color w:val="auto"/>
        </w:rPr>
      </w:pPr>
    </w:p>
    <w:p>
      <w:pPr>
        <w:ind w:right="700"/>
        <w:spacing w:after="0" w:line="253"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25" w:lineRule="exact"/>
        <w:rPr>
          <w:sz w:val="24"/>
          <w:szCs w:val="24"/>
          <w:color w:val="auto"/>
        </w:rPr>
      </w:pPr>
    </w:p>
    <w:p>
      <w:pPr>
        <w:ind w:right="320"/>
        <w:spacing w:after="0" w:line="253"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25" w:lineRule="exact"/>
        <w:rPr>
          <w:sz w:val="24"/>
          <w:szCs w:val="24"/>
          <w:color w:val="auto"/>
        </w:rPr>
      </w:pPr>
    </w:p>
    <w:p>
      <w:pPr>
        <w:ind w:right="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220" w:type="dxa"/>
            <w:vAlign w:val="bottom"/>
          </w:tcPr>
          <w:p>
            <w:pPr>
              <w:ind w:left="360"/>
              <w:spacing w:after="0"/>
              <w:rPr>
                <w:sz w:val="20"/>
                <w:szCs w:val="20"/>
                <w:color w:val="auto"/>
              </w:rPr>
            </w:pPr>
            <w:r>
              <w:rPr>
                <w:rFonts w:ascii="Arial" w:cs="Arial" w:eastAsia="Arial" w:hAnsi="Arial"/>
                <w:sz w:val="14"/>
                <w:szCs w:val="14"/>
                <w:color w:val="auto"/>
              </w:rPr>
              <w:t>x</w:t>
            </w:r>
          </w:p>
        </w:tc>
        <w:tc>
          <w:tcPr>
            <w:tcW w:w="5100" w:type="dxa"/>
            <w:vAlign w:val="bottom"/>
          </w:tcPr>
          <w:p>
            <w:pPr>
              <w:ind w:left="2780"/>
              <w:spacing w:after="0"/>
              <w:rPr>
                <w:sz w:val="20"/>
                <w:szCs w:val="20"/>
                <w:color w:val="auto"/>
              </w:rPr>
            </w:pPr>
            <w:r>
              <w:rPr>
                <w:rFonts w:ascii="Arial" w:cs="Arial" w:eastAsia="Arial" w:hAnsi="Arial"/>
                <w:sz w:val="14"/>
                <w:szCs w:val="14"/>
                <w:color w:val="auto"/>
              </w:rPr>
              <w:t>Accelerated filer</w:t>
            </w:r>
          </w:p>
        </w:tc>
        <w:tc>
          <w:tcPr>
            <w:tcW w:w="820" w:type="dxa"/>
            <w:vAlign w:val="bottom"/>
          </w:tcPr>
          <w:p>
            <w:pPr>
              <w:ind w:left="740"/>
              <w:spacing w:after="0"/>
              <w:rPr>
                <w:sz w:val="20"/>
                <w:szCs w:val="20"/>
                <w:color w:val="auto"/>
              </w:rPr>
            </w:pPr>
            <w:r>
              <w:rPr>
                <w:rFonts w:ascii="Arial" w:cs="Arial" w:eastAsia="Arial" w:hAnsi="Arial"/>
                <w:sz w:val="14"/>
                <w:szCs w:val="14"/>
                <w:color w:val="auto"/>
                <w:w w:val="76"/>
              </w:rPr>
              <w:t>o</w:t>
            </w:r>
          </w:p>
        </w:tc>
      </w:tr>
      <w:tr>
        <w:trPr>
          <w:trHeight w:val="149"/>
        </w:trPr>
        <w:tc>
          <w:tcPr>
            <w:tcW w:w="1660" w:type="dxa"/>
            <w:vAlign w:val="bottom"/>
          </w:tcPr>
          <w:p>
            <w:pPr>
              <w:spacing w:after="0" w:line="149" w:lineRule="exact"/>
              <w:rPr>
                <w:sz w:val="20"/>
                <w:szCs w:val="20"/>
                <w:color w:val="auto"/>
              </w:rPr>
            </w:pPr>
            <w:r>
              <w:rPr>
                <w:rFonts w:ascii="Arial" w:cs="Arial" w:eastAsia="Arial" w:hAnsi="Arial"/>
                <w:sz w:val="14"/>
                <w:szCs w:val="14"/>
                <w:color w:val="auto"/>
              </w:rPr>
              <w:t>Non-accelerated filer</w:t>
            </w:r>
          </w:p>
        </w:tc>
        <w:tc>
          <w:tcPr>
            <w:tcW w:w="3220" w:type="dxa"/>
            <w:vAlign w:val="bottom"/>
          </w:tcPr>
          <w:p>
            <w:pPr>
              <w:ind w:left="360"/>
              <w:spacing w:after="0" w:line="149" w:lineRule="exact"/>
              <w:rPr>
                <w:sz w:val="20"/>
                <w:szCs w:val="20"/>
                <w:color w:val="auto"/>
              </w:rPr>
            </w:pPr>
            <w:r>
              <w:rPr>
                <w:rFonts w:ascii="Arial" w:cs="Arial" w:eastAsia="Arial" w:hAnsi="Arial"/>
                <w:sz w:val="14"/>
                <w:szCs w:val="14"/>
                <w:color w:val="auto"/>
              </w:rPr>
              <w:t>o</w:t>
            </w:r>
          </w:p>
        </w:tc>
        <w:tc>
          <w:tcPr>
            <w:tcW w:w="5100" w:type="dxa"/>
            <w:vAlign w:val="bottom"/>
          </w:tcPr>
          <w:p>
            <w:pPr>
              <w:ind w:left="2780"/>
              <w:spacing w:after="0" w:line="149" w:lineRule="exact"/>
              <w:rPr>
                <w:sz w:val="20"/>
                <w:szCs w:val="20"/>
                <w:color w:val="auto"/>
              </w:rPr>
            </w:pPr>
            <w:r>
              <w:rPr>
                <w:rFonts w:ascii="Arial" w:cs="Arial" w:eastAsia="Arial" w:hAnsi="Arial"/>
                <w:sz w:val="14"/>
                <w:szCs w:val="14"/>
                <w:color w:val="auto"/>
              </w:rPr>
              <w:t>Smaller reporting company</w:t>
            </w:r>
          </w:p>
        </w:tc>
        <w:tc>
          <w:tcPr>
            <w:tcW w:w="820" w:type="dxa"/>
            <w:vAlign w:val="bottom"/>
          </w:tcPr>
          <w:p>
            <w:pPr>
              <w:ind w:left="740"/>
              <w:spacing w:after="0" w:line="149" w:lineRule="exact"/>
              <w:rPr>
                <w:sz w:val="20"/>
                <w:szCs w:val="20"/>
                <w:color w:val="auto"/>
              </w:rPr>
            </w:pPr>
            <w:r>
              <w:rPr>
                <w:rFonts w:ascii="Arial" w:cs="Arial" w:eastAsia="Arial" w:hAnsi="Arial"/>
                <w:sz w:val="14"/>
                <w:szCs w:val="14"/>
                <w:color w:val="auto"/>
                <w:w w:val="76"/>
              </w:rPr>
              <w:t>o</w:t>
            </w:r>
          </w:p>
        </w:tc>
      </w:tr>
      <w:tr>
        <w:trPr>
          <w:trHeight w:val="182"/>
        </w:trPr>
        <w:tc>
          <w:tcPr>
            <w:tcW w:w="16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100" w:type="dxa"/>
            <w:vAlign w:val="bottom"/>
          </w:tcPr>
          <w:p>
            <w:pPr>
              <w:ind w:left="2780"/>
              <w:spacing w:after="0"/>
              <w:rPr>
                <w:sz w:val="20"/>
                <w:szCs w:val="20"/>
                <w:color w:val="auto"/>
              </w:rPr>
            </w:pPr>
            <w:r>
              <w:rPr>
                <w:rFonts w:ascii="Arial" w:cs="Arial" w:eastAsia="Arial" w:hAnsi="Arial"/>
                <w:sz w:val="14"/>
                <w:szCs w:val="14"/>
                <w:color w:val="auto"/>
              </w:rPr>
              <w:t>Emerging growth company</w:t>
            </w:r>
          </w:p>
        </w:tc>
        <w:tc>
          <w:tcPr>
            <w:tcW w:w="820" w:type="dxa"/>
            <w:vAlign w:val="bottom"/>
          </w:tcPr>
          <w:p>
            <w:pPr>
              <w:ind w:left="740"/>
              <w:spacing w:after="0"/>
              <w:rPr>
                <w:sz w:val="20"/>
                <w:szCs w:val="20"/>
                <w:color w:val="auto"/>
              </w:rPr>
            </w:pPr>
            <w:r>
              <w:rPr>
                <w:rFonts w:ascii="Arial" w:cs="Arial" w:eastAsia="Arial" w:hAnsi="Arial"/>
                <w:sz w:val="14"/>
                <w:szCs w:val="14"/>
                <w:color w:val="auto"/>
                <w:w w:val="76"/>
              </w:rPr>
              <w:t>o</w:t>
            </w:r>
          </w:p>
        </w:tc>
      </w:tr>
    </w:tbl>
    <w:p>
      <w:pPr>
        <w:spacing w:after="0" w:line="34" w:lineRule="exact"/>
        <w:rPr>
          <w:sz w:val="24"/>
          <w:szCs w:val="24"/>
          <w:color w:val="auto"/>
        </w:rPr>
      </w:pPr>
    </w:p>
    <w:p>
      <w:pPr>
        <w:ind w:right="16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This Post-Effective Amendment relates to the following Registration Statement on Form S-3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originally filed by Weatherford International plc, an Irish public limited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and its subsidiaries, Weatherford International Ltd. and Weatherford International, LLC (together with the Company, the “</w:t>
      </w:r>
      <w:r>
        <w:rPr>
          <w:rFonts w:ascii="Arial" w:cs="Arial" w:eastAsia="Arial" w:hAnsi="Arial"/>
          <w:sz w:val="17"/>
          <w:szCs w:val="17"/>
          <w:u w:val="single" w:color="auto"/>
          <w:color w:val="auto"/>
        </w:rPr>
        <w:t>Issuers</w:t>
      </w:r>
      <w:r>
        <w:rPr>
          <w:rFonts w:ascii="Arial" w:cs="Arial" w:eastAsia="Arial" w:hAnsi="Arial"/>
          <w:sz w:val="17"/>
          <w:szCs w:val="17"/>
          <w:color w:val="auto"/>
        </w:rPr>
        <w:t>”), with the Securities and Exchange Commission:</w:t>
      </w:r>
    </w:p>
    <w:p>
      <w:pPr>
        <w:spacing w:after="0" w:line="166" w:lineRule="exact"/>
        <w:rPr>
          <w:sz w:val="20"/>
          <w:szCs w:val="20"/>
          <w:color w:val="auto"/>
        </w:rPr>
      </w:pPr>
    </w:p>
    <w:p>
      <w:pPr>
        <w:ind w:left="660" w:right="60" w:hanging="328"/>
        <w:spacing w:after="0" w:line="264"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333-216034, filed on Form S-3 on February 13, 2017 (as amended on April 28, 2017, and as further amended on May 3, 2017) and declared effective on May 11, 2017, pertaining to the registration of ordinary shares, debt securities, unsecured guarantees of debt securities, options to purchase ordinary shares and warrants to purchase ordinary shares.</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On July 1, 2019, the Issuers filed voluntary petitions for reorganization under chapter 11 of the United States Code in the United States Bankruptcy Court for the Southern District of Texas, which cases are being jointly administered under the caption “</w:t>
      </w:r>
      <w:r>
        <w:rPr>
          <w:rFonts w:ascii="Arial" w:cs="Arial" w:eastAsia="Arial" w:hAnsi="Arial"/>
          <w:sz w:val="18"/>
          <w:szCs w:val="18"/>
          <w:i w:val="1"/>
          <w:iCs w:val="1"/>
          <w:color w:val="auto"/>
        </w:rPr>
        <w:t>In re Weatherford International plc, et al</w:t>
      </w:r>
      <w:r>
        <w:rPr>
          <w:rFonts w:ascii="Arial" w:cs="Arial" w:eastAsia="Arial" w:hAnsi="Arial"/>
          <w:sz w:val="18"/>
          <w:szCs w:val="18"/>
          <w:color w:val="auto"/>
        </w:rPr>
        <w:t>.” (the “</w:t>
      </w:r>
      <w:r>
        <w:rPr>
          <w:rFonts w:ascii="Arial" w:cs="Arial" w:eastAsia="Arial" w:hAnsi="Arial"/>
          <w:sz w:val="18"/>
          <w:szCs w:val="18"/>
          <w:u w:val="single" w:color="auto"/>
          <w:color w:val="auto"/>
        </w:rPr>
        <w:t>Chapter 11 Cases</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the Chapter 11 Cases, the Issuers have terminated all offerings of securities pursuant to the Registration Statement. In accordance with an undertaking made by the Issuers in the Registration Statement to remove from registration, by means of a post-effective amendment, any of the securities that had been registered for issuance that remain unsold at the termination of such offering, the Issuers hereby remove from registration all of such securities registered but unsold under the Registration Statement.</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Irish public limited company)</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Pursuant to the requirements of the Securities Act of 1933, </w:t>
      </w:r>
      <w:r>
        <w:rPr>
          <w:rFonts w:ascii="Arial" w:cs="Arial" w:eastAsia="Arial" w:hAnsi="Arial"/>
          <w:sz w:val="17"/>
          <w:szCs w:val="17"/>
          <w:color w:val="auto"/>
        </w:rPr>
        <w:t>the registrant certifies that it has duly caused this post-effective amendment to the Registration</w:t>
      </w:r>
      <w:r>
        <w:rPr>
          <w:rFonts w:ascii="Arial" w:cs="Arial" w:eastAsia="Arial" w:hAnsi="Arial"/>
          <w:sz w:val="18"/>
          <w:szCs w:val="18"/>
          <w:color w:val="auto"/>
        </w:rPr>
        <w:t xml:space="preserve"> </w:t>
      </w:r>
      <w:r>
        <w:rPr>
          <w:rFonts w:ascii="Arial" w:cs="Arial" w:eastAsia="Arial" w:hAnsi="Arial"/>
          <w:sz w:val="17"/>
          <w:szCs w:val="17"/>
          <w:color w:val="auto"/>
        </w:rPr>
        <w:t>Statement to be signed on its behalf by the undersigned thereunto duly authorized</w:t>
      </w:r>
      <w:r>
        <w:rPr>
          <w:rFonts w:ascii="Arial" w:cs="Arial" w:eastAsia="Arial" w:hAnsi="Arial"/>
          <w:sz w:val="18"/>
          <w:szCs w:val="18"/>
          <w:color w:val="auto"/>
        </w:rPr>
        <w:t>, in Houston, Texas on November 7, 2019.</w:t>
      </w:r>
    </w:p>
    <w:p>
      <w:pPr>
        <w:spacing w:after="0" w:line="16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5780"/>
        <w:spacing w:after="0"/>
        <w:tabs>
          <w:tab w:leader="none" w:pos="6220" w:val="left"/>
        </w:tabs>
        <w:rPr>
          <w:sz w:val="20"/>
          <w:szCs w:val="20"/>
          <w:color w:val="auto"/>
        </w:rPr>
      </w:pPr>
      <w:r>
        <w:rPr>
          <w:rFonts w:ascii="Arial" w:cs="Arial" w:eastAsia="Arial" w:hAnsi="Arial"/>
          <w:sz w:val="18"/>
          <w:szCs w:val="18"/>
          <w:color w:val="auto"/>
        </w:rPr>
        <w:t>By:</w:t>
        <w:tab/>
        <w:t>/s/ Stuart Fraser</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Stuart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Vice President and Chief Accounting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No other person is required to sign this Post-Effective Amendment to the Registration Statement on Form S-3 on behalf of Weatherford International PLC in reliance upon Rule 478 under the Securities Act of 1933, as amended.</w:t>
      </w:r>
    </w:p>
    <w:p>
      <w:pPr>
        <w:spacing w:after="0" w:line="1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80"/>
          </w:cols>
          <w:pgMar w:left="240" w:top="337"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Weatherford International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Bermuda exempted company)</w:t>
      </w: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Pursuant to the requirements of the Securities Act of 1933, </w:t>
      </w:r>
      <w:r>
        <w:rPr>
          <w:rFonts w:ascii="Arial" w:cs="Arial" w:eastAsia="Arial" w:hAnsi="Arial"/>
          <w:sz w:val="17"/>
          <w:szCs w:val="17"/>
          <w:color w:val="auto"/>
        </w:rPr>
        <w:t>the registrant certifies that it has duly caused this post-effective amendment to the Registration</w:t>
      </w:r>
      <w:r>
        <w:rPr>
          <w:rFonts w:ascii="Arial" w:cs="Arial" w:eastAsia="Arial" w:hAnsi="Arial"/>
          <w:sz w:val="18"/>
          <w:szCs w:val="18"/>
          <w:color w:val="auto"/>
        </w:rPr>
        <w:t xml:space="preserve"> </w:t>
      </w:r>
      <w:r>
        <w:rPr>
          <w:rFonts w:ascii="Arial" w:cs="Arial" w:eastAsia="Arial" w:hAnsi="Arial"/>
          <w:sz w:val="17"/>
          <w:szCs w:val="17"/>
          <w:color w:val="auto"/>
        </w:rPr>
        <w:t>Statement to be signed on its behalf by the undersigned thereunto duly authorized</w:t>
      </w:r>
      <w:r>
        <w:rPr>
          <w:rFonts w:ascii="Arial" w:cs="Arial" w:eastAsia="Arial" w:hAnsi="Arial"/>
          <w:sz w:val="18"/>
          <w:szCs w:val="18"/>
          <w:color w:val="auto"/>
        </w:rPr>
        <w:t>, in Houston, Texas on November 7, 2019.</w:t>
      </w:r>
    </w:p>
    <w:p>
      <w:pPr>
        <w:spacing w:after="0" w:line="16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WEATHERFORD INTERNATIONAL LTD.</w:t>
      </w:r>
    </w:p>
    <w:p>
      <w:pPr>
        <w:spacing w:after="0" w:line="229" w:lineRule="exact"/>
        <w:rPr>
          <w:sz w:val="20"/>
          <w:szCs w:val="20"/>
          <w:color w:val="auto"/>
        </w:rPr>
      </w:pPr>
    </w:p>
    <w:p>
      <w:pPr>
        <w:ind w:left="5780"/>
        <w:spacing w:after="0"/>
        <w:tabs>
          <w:tab w:leader="none" w:pos="6240" w:val="left"/>
        </w:tabs>
        <w:rPr>
          <w:sz w:val="20"/>
          <w:szCs w:val="20"/>
          <w:color w:val="auto"/>
        </w:rPr>
      </w:pPr>
      <w:r>
        <w:rPr>
          <w:rFonts w:ascii="Arial" w:cs="Arial" w:eastAsia="Arial" w:hAnsi="Arial"/>
          <w:sz w:val="18"/>
          <w:szCs w:val="18"/>
          <w:color w:val="auto"/>
        </w:rPr>
        <w:t>By:</w:t>
        <w:tab/>
        <w:t>/s/ Stuart Fraser</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Stuart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Vice President and Chief Accounting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No other person is required to sign this Post-Effective Amendment to the Registration Statement on Form S-3 on behalf of Weatherford International Ltd. in reliance upon Rule 478 under the Securities Act of 1933, as amended.</w:t>
      </w:r>
    </w:p>
    <w:p>
      <w:pPr>
        <w:spacing w:after="0" w:line="1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80"/>
          </w:cols>
          <w:pgMar w:left="240" w:top="337"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Weatherford International,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Pursuant to the requirements of the Securities Act of 1933, </w:t>
      </w:r>
      <w:r>
        <w:rPr>
          <w:rFonts w:ascii="Arial" w:cs="Arial" w:eastAsia="Arial" w:hAnsi="Arial"/>
          <w:sz w:val="17"/>
          <w:szCs w:val="17"/>
          <w:color w:val="auto"/>
        </w:rPr>
        <w:t>the registrant certifies that it has duly caused this post-effective amendment to the Registration</w:t>
      </w:r>
      <w:r>
        <w:rPr>
          <w:rFonts w:ascii="Arial" w:cs="Arial" w:eastAsia="Arial" w:hAnsi="Arial"/>
          <w:sz w:val="18"/>
          <w:szCs w:val="18"/>
          <w:color w:val="auto"/>
        </w:rPr>
        <w:t xml:space="preserve"> </w:t>
      </w:r>
      <w:r>
        <w:rPr>
          <w:rFonts w:ascii="Arial" w:cs="Arial" w:eastAsia="Arial" w:hAnsi="Arial"/>
          <w:sz w:val="17"/>
          <w:szCs w:val="17"/>
          <w:color w:val="auto"/>
        </w:rPr>
        <w:t xml:space="preserve">Statement to be signed on its behalf by the undersigned thereunto duly authorized, </w:t>
      </w:r>
      <w:r>
        <w:rPr>
          <w:rFonts w:ascii="Arial" w:cs="Arial" w:eastAsia="Arial" w:hAnsi="Arial"/>
          <w:sz w:val="18"/>
          <w:szCs w:val="18"/>
          <w:color w:val="auto"/>
        </w:rPr>
        <w:t>in Houston, Texas on November 7, 2019.</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WEATHERFORD INTERNATIONAL, LLC</w:t>
      </w:r>
    </w:p>
    <w:p>
      <w:pPr>
        <w:spacing w:after="0" w:line="229"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tab/>
        <w:t>/s/ Stuart Fraser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Stuart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No other person is required to sign this Post-Effective Amendment to the Registration Statement on Form S-3 on behalf of Weatherford International, LLC in reliance upon Rule 478 under the Securities Act of 1933, as amended.</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20"/>
      </w:cols>
      <w:pgMar w:left="240" w:top="33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2019-11-28T11:49:34Z</dcterms:created>
  <dcterms:modified xsi:type="dcterms:W3CDTF">2019-11-28T11:49:34Z</dcterms:modified>
</cp:coreProperties>
</file>