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24, 2017</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Ireland</w:t>
            </w:r>
          </w:p>
        </w:tc>
        <w:tc>
          <w:tcPr>
            <w:tcW w:w="364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Bahnhofstrasse 1, 6340 Baar, Switzerland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3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March 24, 2017, Weatherford U.S. Holdings, L.L.C., a Delaware limited liability company (“</w:t>
      </w:r>
      <w:r>
        <w:rPr>
          <w:rFonts w:ascii="Arial" w:cs="Arial" w:eastAsia="Arial" w:hAnsi="Arial"/>
          <w:sz w:val="17"/>
          <w:szCs w:val="17"/>
          <w:b w:val="1"/>
          <w:bCs w:val="1"/>
          <w:i w:val="1"/>
          <w:iCs w:val="1"/>
          <w:color w:val="auto"/>
        </w:rPr>
        <w:t>WFT Holdings</w:t>
      </w:r>
      <w:r>
        <w:rPr>
          <w:rFonts w:ascii="Arial" w:cs="Arial" w:eastAsia="Arial" w:hAnsi="Arial"/>
          <w:sz w:val="17"/>
          <w:szCs w:val="17"/>
          <w:color w:val="auto"/>
        </w:rPr>
        <w:t>”) and an indirect wholly owned subsidiary of Weatherford International plc, an Irish public limited company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and Weatherford Canada Ltd., an Alberta corporation and an indirect wholly owned subsidiary of Weatherford (“</w:t>
      </w:r>
      <w:r>
        <w:rPr>
          <w:rFonts w:ascii="Arial" w:cs="Arial" w:eastAsia="Arial" w:hAnsi="Arial"/>
          <w:sz w:val="17"/>
          <w:szCs w:val="17"/>
          <w:b w:val="1"/>
          <w:bCs w:val="1"/>
          <w:i w:val="1"/>
          <w:iCs w:val="1"/>
          <w:color w:val="auto"/>
        </w:rPr>
        <w:t>WFT Canada</w:t>
      </w:r>
      <w:r>
        <w:rPr>
          <w:rFonts w:ascii="Arial" w:cs="Arial" w:eastAsia="Arial" w:hAnsi="Arial"/>
          <w:sz w:val="17"/>
          <w:szCs w:val="17"/>
          <w:color w:val="auto"/>
        </w:rPr>
        <w:t>”), entered into a Master Formation Agreement (the “</w:t>
      </w:r>
      <w:r>
        <w:rPr>
          <w:rFonts w:ascii="Arial" w:cs="Arial" w:eastAsia="Arial" w:hAnsi="Arial"/>
          <w:sz w:val="17"/>
          <w:szCs w:val="17"/>
          <w:b w:val="1"/>
          <w:bCs w:val="1"/>
          <w:i w:val="1"/>
          <w:iCs w:val="1"/>
          <w:color w:val="auto"/>
        </w:rPr>
        <w:t>MFA</w:t>
      </w:r>
      <w:r>
        <w:rPr>
          <w:rFonts w:ascii="Arial" w:cs="Arial" w:eastAsia="Arial" w:hAnsi="Arial"/>
          <w:sz w:val="17"/>
          <w:szCs w:val="17"/>
          <w:color w:val="auto"/>
        </w:rPr>
        <w:t>”) with Schlumberger Technology Corporation, a Texas corporation (“</w:t>
      </w:r>
      <w:r>
        <w:rPr>
          <w:rFonts w:ascii="Arial" w:cs="Arial" w:eastAsia="Arial" w:hAnsi="Arial"/>
          <w:sz w:val="17"/>
          <w:szCs w:val="17"/>
          <w:b w:val="1"/>
          <w:bCs w:val="1"/>
          <w:i w:val="1"/>
          <w:iCs w:val="1"/>
          <w:color w:val="auto"/>
        </w:rPr>
        <w:t>STC</w:t>
      </w:r>
      <w:r>
        <w:rPr>
          <w:rFonts w:ascii="Arial" w:cs="Arial" w:eastAsia="Arial" w:hAnsi="Arial"/>
          <w:sz w:val="17"/>
          <w:szCs w:val="17"/>
          <w:color w:val="auto"/>
        </w:rPr>
        <w:t>” and, together with WFT Holdings, the “</w:t>
      </w:r>
      <w:r>
        <w:rPr>
          <w:rFonts w:ascii="Arial" w:cs="Arial" w:eastAsia="Arial" w:hAnsi="Arial"/>
          <w:sz w:val="17"/>
          <w:szCs w:val="17"/>
          <w:b w:val="1"/>
          <w:bCs w:val="1"/>
          <w:i w:val="1"/>
          <w:iCs w:val="1"/>
          <w:color w:val="auto"/>
        </w:rPr>
        <w:t>US JV Parties</w:t>
      </w:r>
      <w:r>
        <w:rPr>
          <w:rFonts w:ascii="Arial" w:cs="Arial" w:eastAsia="Arial" w:hAnsi="Arial"/>
          <w:sz w:val="17"/>
          <w:szCs w:val="17"/>
          <w:color w:val="auto"/>
        </w:rPr>
        <w:t>”) and an indirect wholly owned subsidiary of Schlumberger Limited, a Curacao corporation (“</w:t>
      </w:r>
      <w:r>
        <w:rPr>
          <w:rFonts w:ascii="Arial" w:cs="Arial" w:eastAsia="Arial" w:hAnsi="Arial"/>
          <w:sz w:val="17"/>
          <w:szCs w:val="17"/>
          <w:b w:val="1"/>
          <w:bCs w:val="1"/>
          <w:i w:val="1"/>
          <w:iCs w:val="1"/>
          <w:color w:val="auto"/>
        </w:rPr>
        <w:t>Schlumberger</w:t>
      </w:r>
      <w:r>
        <w:rPr>
          <w:rFonts w:ascii="Arial" w:cs="Arial" w:eastAsia="Arial" w:hAnsi="Arial"/>
          <w:sz w:val="17"/>
          <w:szCs w:val="17"/>
          <w:color w:val="auto"/>
        </w:rPr>
        <w:t>”), and Schlumberger Canada Limited, a company organized under the laws of Canada and an indirect wholly owned subsidiary of Schlumberger (“</w:t>
      </w:r>
      <w:r>
        <w:rPr>
          <w:rFonts w:ascii="Arial" w:cs="Arial" w:eastAsia="Arial" w:hAnsi="Arial"/>
          <w:sz w:val="17"/>
          <w:szCs w:val="17"/>
          <w:b w:val="1"/>
          <w:bCs w:val="1"/>
          <w:i w:val="1"/>
          <w:iCs w:val="1"/>
          <w:color w:val="auto"/>
        </w:rPr>
        <w:t>SCL</w:t>
      </w:r>
      <w:r>
        <w:rPr>
          <w:rFonts w:ascii="Arial" w:cs="Arial" w:eastAsia="Arial" w:hAnsi="Arial"/>
          <w:sz w:val="17"/>
          <w:szCs w:val="17"/>
          <w:color w:val="auto"/>
        </w:rPr>
        <w:t>” and, together with WFT Canada, the “</w:t>
      </w:r>
      <w:r>
        <w:rPr>
          <w:rFonts w:ascii="Arial" w:cs="Arial" w:eastAsia="Arial" w:hAnsi="Arial"/>
          <w:sz w:val="17"/>
          <w:szCs w:val="17"/>
          <w:b w:val="1"/>
          <w:bCs w:val="1"/>
          <w:i w:val="1"/>
          <w:iCs w:val="1"/>
          <w:color w:val="auto"/>
        </w:rPr>
        <w:t>Canadian JV Parties</w:t>
      </w:r>
      <w:r>
        <w:rPr>
          <w:rFonts w:ascii="Arial" w:cs="Arial" w:eastAsia="Arial" w:hAnsi="Arial"/>
          <w:sz w:val="17"/>
          <w:szCs w:val="17"/>
          <w:color w:val="auto"/>
        </w:rPr>
        <w:t>”). Under the terms of the MFA, (i) the US JV Parties will contribute their respective pressure pumping, pump-down perforating and onshore completion businesses to a newly formed Delaware limited liability company (the “</w:t>
      </w:r>
      <w:r>
        <w:rPr>
          <w:rFonts w:ascii="Arial" w:cs="Arial" w:eastAsia="Arial" w:hAnsi="Arial"/>
          <w:sz w:val="17"/>
          <w:szCs w:val="17"/>
          <w:b w:val="1"/>
          <w:bCs w:val="1"/>
          <w:i w:val="1"/>
          <w:iCs w:val="1"/>
          <w:color w:val="auto"/>
        </w:rPr>
        <w:t>US JV</w:t>
      </w:r>
      <w:r>
        <w:rPr>
          <w:rFonts w:ascii="Arial" w:cs="Arial" w:eastAsia="Arial" w:hAnsi="Arial"/>
          <w:sz w:val="17"/>
          <w:szCs w:val="17"/>
          <w:color w:val="auto"/>
        </w:rPr>
        <w:t>”) and (ii) the Canadian JV Parties will contribute their respective pressure pumping, pump-down perforating and onshore completion businesses to a newly formed Alberta limited partnership (the “</w:t>
      </w:r>
      <w:r>
        <w:rPr>
          <w:rFonts w:ascii="Arial" w:cs="Arial" w:eastAsia="Arial" w:hAnsi="Arial"/>
          <w:sz w:val="17"/>
          <w:szCs w:val="17"/>
          <w:b w:val="1"/>
          <w:bCs w:val="1"/>
          <w:i w:val="1"/>
          <w:iCs w:val="1"/>
          <w:color w:val="auto"/>
        </w:rPr>
        <w:t>Canadian JV</w:t>
      </w:r>
      <w:r>
        <w:rPr>
          <w:rFonts w:ascii="Arial" w:cs="Arial" w:eastAsia="Arial" w:hAnsi="Arial"/>
          <w:sz w:val="17"/>
          <w:szCs w:val="17"/>
          <w:color w:val="auto"/>
        </w:rPr>
        <w:t>” and, together with the US JV, the “</w:t>
      </w:r>
      <w:r>
        <w:rPr>
          <w:rFonts w:ascii="Arial" w:cs="Arial" w:eastAsia="Arial" w:hAnsi="Arial"/>
          <w:sz w:val="17"/>
          <w:szCs w:val="17"/>
          <w:b w:val="1"/>
          <w:bCs w:val="1"/>
          <w:i w:val="1"/>
          <w:iCs w:val="1"/>
          <w:color w:val="auto"/>
        </w:rPr>
        <w:t>Joint Ventures</w:t>
      </w:r>
      <w:r>
        <w:rPr>
          <w:rFonts w:ascii="Arial" w:cs="Arial" w:eastAsia="Arial" w:hAnsi="Arial"/>
          <w:sz w:val="17"/>
          <w:szCs w:val="17"/>
          <w:color w:val="auto"/>
        </w:rPr>
        <w:t>”). In addition, Schlumberger will pay $535 million in cash to Weatherford. The Joint Ventures will operate under the name “OneStim” and will conduct operations in western Canada and the continental United States. Schlumberger and Weatherford will indirectly own a 70% and 30% interest, respectively, in each Joint Venture. Each Joint Venture will be governed by a board of directors initially comprised of two representatives appointed by Schlumberger and one representative appointed by Weatherford.</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MFA generally contains customary representations, warranties and covenants, including covenants with respect to the operations of the US JV Parties and the Canadian JV Parties between the signing of the MFA and the closing. The transactions contemplated by the MFA are subject to customary closing conditions, including regulatory approvals, and termination provisions. Weatherford expects to close the transactions contemplated by the MFA in the second half of 2017.</w:t>
      </w: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7.01</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Regulation FD Disclosure.</w:t>
      </w:r>
    </w:p>
    <w:p>
      <w:pPr>
        <w:spacing w:after="0" w:line="23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March 24, 2017, Weatherford issued a press release describing the matters set forth in Item 1.01 of this Current Report on Form 8-K. A copy of the press release is furnished as Exhibit 99.1 to this report and incorporated by reference herein. 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Financial Statements and Exhibits.</w:t>
      </w:r>
    </w:p>
    <w:p>
      <w:pPr>
        <w:spacing w:after="0" w:line="292"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24, 2017</w:t>
      </w:r>
    </w:p>
    <w:p>
      <w:pPr>
        <w:sectPr>
          <w:pgSz w:w="11900" w:h="16838" w:orient="portrait"/>
          <w:cols w:equalWidth="0" w:num="1">
            <w:col w:w="11400"/>
          </w:cols>
          <w:pgMar w:left="240" w:top="742" w:right="25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March 24,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Christina M. Ibrahim</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Title: Executive Vice President, General Counsel and</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600"/>
          </w:cols>
          <w:pgMar w:left="240" w:top="607" w:right="10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24, 2017</w:t>
      </w:r>
    </w:p>
    <w:p>
      <w:pPr>
        <w:sectPr>
          <w:pgSz w:w="11900" w:h="16838" w:orient="portrait"/>
          <w:cols w:equalWidth="0" w:num="1">
            <w:col w:w="10179"/>
          </w:cols>
          <w:pgMar w:left="280" w:top="68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146050</wp:posOffset>
            </wp:positionV>
            <wp:extent cx="174942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942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and Schlumberger to Form OneStim Joint Venture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New company targets North America unconventional resource development</w:t>
      </w:r>
    </w:p>
    <w:p>
      <w:pPr>
        <w:spacing w:after="0" w:line="364" w:lineRule="exact"/>
        <w:rPr>
          <w:sz w:val="20"/>
          <w:szCs w:val="20"/>
          <w:color w:val="auto"/>
        </w:rPr>
      </w:pPr>
    </w:p>
    <w:p>
      <w:pPr>
        <w:ind w:right="40"/>
        <w:spacing w:after="0" w:line="396" w:lineRule="auto"/>
        <w:rPr>
          <w:sz w:val="20"/>
          <w:szCs w:val="20"/>
          <w:color w:val="auto"/>
        </w:rPr>
      </w:pPr>
      <w:r>
        <w:rPr>
          <w:rFonts w:ascii="Arial" w:cs="Arial" w:eastAsia="Arial" w:hAnsi="Arial"/>
          <w:sz w:val="16"/>
          <w:szCs w:val="16"/>
          <w:b w:val="1"/>
          <w:bCs w:val="1"/>
          <w:color w:val="auto"/>
        </w:rPr>
        <w:t xml:space="preserve">BAAR, Switzerland, March 24, 2017 – </w:t>
      </w:r>
      <w:r>
        <w:rPr>
          <w:rFonts w:ascii="Arial" w:cs="Arial" w:eastAsia="Arial" w:hAnsi="Arial"/>
          <w:sz w:val="16"/>
          <w:szCs w:val="16"/>
          <w:color w:val="auto"/>
        </w:rPr>
        <w:t>Weatherford and Schlumberger today announced an agreement to create OneStim</w:t>
      </w:r>
      <w:r>
        <w:rPr>
          <w:rFonts w:ascii="Arial" w:cs="Arial" w:eastAsia="Arial" w:hAnsi="Arial"/>
          <w:sz w:val="22"/>
          <w:szCs w:val="22"/>
          <w:color w:val="auto"/>
          <w:vertAlign w:val="superscript"/>
        </w:rPr>
        <w:t>SM</w:t>
      </w:r>
      <w:r>
        <w:rPr>
          <w:rFonts w:ascii="Arial" w:cs="Arial" w:eastAsia="Arial" w:hAnsi="Arial"/>
          <w:sz w:val="16"/>
          <w:szCs w:val="16"/>
          <w:color w:val="auto"/>
        </w:rPr>
        <w:t>, a joint venture to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completions products and services for the development of unconventional resource plays in the United States and Canada land markets. The joint venture will offer one of the broadest multistage completions portfolios in the market combined with one of the largest hydraulic fracturing fleets in the industry.</w:t>
      </w:r>
    </w:p>
    <w:p>
      <w:pPr>
        <w:spacing w:after="0" w:line="272" w:lineRule="exact"/>
        <w:rPr>
          <w:sz w:val="20"/>
          <w:szCs w:val="20"/>
          <w:color w:val="auto"/>
        </w:rPr>
      </w:pPr>
    </w:p>
    <w:p>
      <w:pPr>
        <w:ind w:right="280"/>
        <w:spacing w:after="0" w:line="373" w:lineRule="auto"/>
        <w:rPr>
          <w:sz w:val="20"/>
          <w:szCs w:val="20"/>
          <w:color w:val="auto"/>
        </w:rPr>
      </w:pPr>
      <w:r>
        <w:rPr>
          <w:rFonts w:ascii="Arial" w:cs="Arial" w:eastAsia="Arial" w:hAnsi="Arial"/>
          <w:sz w:val="18"/>
          <w:szCs w:val="18"/>
          <w:color w:val="auto"/>
        </w:rPr>
        <w:t>Weatherford will contribute its leading multistage completions portfolio, cost-effective regional manufacturing capability, and supply chain. Schlumberger will provide the joint venture with access to its industry-leading surface and downhole technologies, efficient operational processes and advanced geo-engineered workflows.</w:t>
      </w:r>
    </w:p>
    <w:p>
      <w:pPr>
        <w:spacing w:after="0" w:line="277" w:lineRule="exact"/>
        <w:rPr>
          <w:sz w:val="20"/>
          <w:szCs w:val="20"/>
          <w:color w:val="auto"/>
        </w:rPr>
      </w:pPr>
    </w:p>
    <w:p>
      <w:pPr>
        <w:ind w:right="220"/>
        <w:spacing w:after="0" w:line="395" w:lineRule="auto"/>
        <w:rPr>
          <w:sz w:val="20"/>
          <w:szCs w:val="20"/>
          <w:color w:val="auto"/>
        </w:rPr>
      </w:pPr>
      <w:r>
        <w:rPr>
          <w:rFonts w:ascii="Arial" w:cs="Arial" w:eastAsia="Arial" w:hAnsi="Arial"/>
          <w:sz w:val="17"/>
          <w:szCs w:val="17"/>
          <w:color w:val="auto"/>
        </w:rPr>
        <w:t>Schlumberger and Weatherford will have 70/30 ownership of the joint venture, respectively. The transaction is expected to close in the second half of 2017, and is subject to regulatory approvals and other customary closing conditions. Under the terms of the formation agreement, Schlumberger and Weatherford will contribute all their respective North America land hydraulic fracturing pressure pumping assets, multistage completions, and pump-down perforating businesses. Weatherford will also receive a one-time $535 million cash payment from Schlumberger.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Schlumberger will manage the joint venture and consolidate it for financial reporting purposes.</w:t>
      </w:r>
    </w:p>
    <w:p>
      <w:pPr>
        <w:spacing w:after="0" w:line="200" w:lineRule="exact"/>
        <w:rPr>
          <w:sz w:val="20"/>
          <w:szCs w:val="20"/>
          <w:color w:val="auto"/>
        </w:rPr>
      </w:pPr>
    </w:p>
    <w:p>
      <w:pPr>
        <w:spacing w:after="0" w:line="214" w:lineRule="exact"/>
        <w:rPr>
          <w:sz w:val="20"/>
          <w:szCs w:val="20"/>
          <w:color w:val="auto"/>
        </w:rPr>
      </w:pPr>
    </w:p>
    <w:p>
      <w:pPr>
        <w:ind w:right="140"/>
        <w:spacing w:after="0" w:line="362" w:lineRule="auto"/>
        <w:rPr>
          <w:sz w:val="20"/>
          <w:szCs w:val="20"/>
          <w:color w:val="auto"/>
        </w:rPr>
      </w:pPr>
      <w:r>
        <w:rPr>
          <w:rFonts w:ascii="Arial" w:cs="Arial" w:eastAsia="Arial" w:hAnsi="Arial"/>
          <w:sz w:val="17"/>
          <w:szCs w:val="17"/>
          <w:color w:val="auto"/>
        </w:rPr>
        <w:t>Schlumberger Chairman and CEO Paal Kibsgaard commented, “The joint-venture creates a new industry leader in terms of hydraulic horsepower and multistage completions technologies in North America land, which through its scale offers a cost-effective and highly competitive service delivery platform. OneStim</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is uniquely positioned to provide customers with leading operational efficiency and best-in-class hydraulic fracturing and completions technologies, while at the same time significantly improving full-cycle shareholder returns from this market.”</w:t>
      </w:r>
    </w:p>
    <w:p>
      <w:pPr>
        <w:spacing w:after="0" w:line="198" w:lineRule="exact"/>
        <w:rPr>
          <w:sz w:val="20"/>
          <w:szCs w:val="20"/>
          <w:color w:val="auto"/>
        </w:rPr>
      </w:pPr>
    </w:p>
    <w:p>
      <w:pPr>
        <w:jc w:val="both"/>
        <w:ind w:right="280"/>
        <w:spacing w:after="0" w:line="361" w:lineRule="auto"/>
        <w:rPr>
          <w:sz w:val="20"/>
          <w:szCs w:val="20"/>
          <w:color w:val="auto"/>
        </w:rPr>
      </w:pPr>
      <w:r>
        <w:rPr>
          <w:rFonts w:ascii="Arial" w:cs="Arial" w:eastAsia="Arial" w:hAnsi="Arial"/>
          <w:sz w:val="17"/>
          <w:szCs w:val="17"/>
          <w:color w:val="auto"/>
        </w:rPr>
        <w:t>Weatherford Chairman William E. Macaulay said, “The OneStim</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joint venture creates a leading unconventional products and services provider in North America land. This transaction will allow Weatherford to deleverage its balance sheet while retaining a significant exposure to the unconventional market. This transaction was unanimously approved by the Board of Directors and will create significant value for both parties.”</w:t>
      </w:r>
    </w:p>
    <w:p>
      <w:pPr>
        <w:sectPr>
          <w:pgSz w:w="11900" w:h="16838" w:orient="portrait"/>
          <w:cols w:equalWidth="0" w:num="1">
            <w:col w:w="11420"/>
          </w:cols>
          <w:pgMar w:left="240" w:top="72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67" w:lineRule="exact"/>
        <w:rPr>
          <w:sz w:val="20"/>
          <w:szCs w:val="20"/>
          <w:color w:val="auto"/>
        </w:rPr>
      </w:pPr>
    </w:p>
    <w:p>
      <w:pPr>
        <w:jc w:val="both"/>
        <w:spacing w:after="0" w:line="405" w:lineRule="auto"/>
        <w:rPr>
          <w:sz w:val="20"/>
          <w:szCs w:val="20"/>
          <w:color w:val="auto"/>
        </w:rPr>
      </w:pPr>
      <w:r>
        <w:rPr>
          <w:rFonts w:ascii="Arial" w:cs="Arial" w:eastAsia="Arial" w:hAnsi="Arial"/>
          <w:sz w:val="16"/>
          <w:szCs w:val="16"/>
          <w:color w:val="auto"/>
        </w:rPr>
        <w:t>This news release contains forward-looking statements regarding the joint venture and Weatherford. These forward-looking statements include, among other things, the joint venture and Weatherford’s strategies and priorities,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Weatherford’s current beliefs and are subject to significant risks, assumptions and uncertainties. Should one or more of these risks or uncertainties materialize, or underlying assumptions prove incorrect, actual results of Weatherford or the joint venture may vary.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2016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108" w:lineRule="exact"/>
        <w:rPr>
          <w:sz w:val="20"/>
          <w:szCs w:val="20"/>
          <w:color w:val="auto"/>
        </w:rPr>
      </w:pPr>
    </w:p>
    <w:p>
      <w:pPr>
        <w:jc w:val="both"/>
        <w:ind w:right="20"/>
        <w:spacing w:after="0" w:line="369"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90 countries and has a network of approximately 900 locations, including manufacturing, service, research and development, and training facilities and employs approximately 30,000 people. For more information, visit www.weatherford.com and connect with Weatherford on LinkedIn, Twitter, YouTube and Facebook.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08"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 w:lineRule="exact"/>
        <w:rPr>
          <w:sz w:val="20"/>
          <w:szCs w:val="20"/>
          <w:color w:val="auto"/>
        </w:rPr>
      </w:pPr>
    </w:p>
    <w:p>
      <w:pPr>
        <w:jc w:val="both"/>
        <w:ind w:right="20"/>
        <w:spacing w:after="0" w:line="38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$27.81 billion in 2016. For more information, visit www.slb.com.</w:t>
      </w:r>
    </w:p>
    <w:p>
      <w:pPr>
        <w:sectPr>
          <w:pgSz w:w="11900" w:h="16838" w:orient="portrait"/>
          <w:cols w:equalWidth="0" w:num="1">
            <w:col w:w="11420"/>
          </w:cols>
          <w:pgMar w:left="240" w:top="67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Weatherford Contacts</w:t>
      </w:r>
    </w:p>
    <w:p>
      <w:pPr>
        <w:spacing w:after="0" w:line="108" w:lineRule="exact"/>
        <w:rPr>
          <w:sz w:val="20"/>
          <w:szCs w:val="20"/>
          <w:color w:val="auto"/>
        </w:rPr>
      </w:pPr>
    </w:p>
    <w:p>
      <w:pPr>
        <w:ind w:right="4379"/>
        <w:spacing w:after="0" w:line="360" w:lineRule="auto"/>
        <w:rPr>
          <w:sz w:val="20"/>
          <w:szCs w:val="20"/>
          <w:color w:val="auto"/>
        </w:rPr>
      </w:pPr>
      <w:r>
        <w:rPr>
          <w:rFonts w:ascii="Arial" w:cs="Arial" w:eastAsia="Arial" w:hAnsi="Arial"/>
          <w:sz w:val="18"/>
          <w:szCs w:val="18"/>
          <w:color w:val="auto"/>
        </w:rPr>
        <w:t>Christoph Bausch – Weatherford, Acting Chief Executive Officer, EVP and CFO Tel: +1 713 836 4615</w:t>
      </w:r>
    </w:p>
    <w:p>
      <w:pPr>
        <w:ind w:right="2919"/>
        <w:spacing w:after="0" w:line="387" w:lineRule="auto"/>
        <w:rPr>
          <w:sz w:val="20"/>
          <w:szCs w:val="20"/>
          <w:color w:val="auto"/>
        </w:rPr>
      </w:pPr>
      <w:r>
        <w:rPr>
          <w:rFonts w:ascii="Arial" w:cs="Arial" w:eastAsia="Arial" w:hAnsi="Arial"/>
          <w:sz w:val="18"/>
          <w:szCs w:val="18"/>
          <w:color w:val="auto"/>
        </w:rPr>
        <w:t>Karen David-Green – Weatherford, Vice President Investor Relations, Marketing &amp; Communications Tel: +1 713 836 7430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Contacts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Tel: +1 713 375 3535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Tel: +1 713 375 3494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communication@slb.com</w:t>
      </w:r>
    </w:p>
    <w:sectPr>
      <w:pgSz w:w="11900" w:h="16838" w:orient="portrait"/>
      <w:cols w:equalWidth="0" w:num="1">
        <w:col w:w="10219"/>
      </w:cols>
      <w:pgMar w:left="240" w:top="7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2019-12-07T23:25:44Z</dcterms:created>
  <dcterms:modified xsi:type="dcterms:W3CDTF">2019-12-07T23:25:44Z</dcterms:modified>
</cp:coreProperties>
</file>