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FORM FOR REGISTRATION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Weatherford International plc</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380" w:type="dxa"/>
            <w:vAlign w:val="bottom"/>
            <w:vMerge w:val="restart"/>
          </w:tcPr>
          <w:p>
            <w:pPr>
              <w:jc w:val="center"/>
              <w:ind w:right="970"/>
              <w:spacing w:after="0"/>
              <w:rPr>
                <w:sz w:val="20"/>
                <w:szCs w:val="20"/>
                <w:color w:val="auto"/>
              </w:rPr>
            </w:pPr>
            <w:r>
              <w:rPr>
                <w:rFonts w:ascii="Arial" w:cs="Arial" w:eastAsia="Arial" w:hAnsi="Arial"/>
                <w:sz w:val="18"/>
                <w:szCs w:val="18"/>
                <w:b w:val="1"/>
                <w:bCs w:val="1"/>
                <w:color w:val="auto"/>
                <w:w w:val="94"/>
              </w:rPr>
              <w:t>Ireland</w:t>
            </w:r>
          </w:p>
        </w:tc>
        <w:tc>
          <w:tcPr>
            <w:tcW w:w="3700" w:type="dxa"/>
            <w:vAlign w:val="bottom"/>
          </w:tcPr>
          <w:p>
            <w:pPr>
              <w:jc w:val="right"/>
              <w:ind w:right="790"/>
              <w:spacing w:after="0"/>
              <w:rPr>
                <w:sz w:val="20"/>
                <w:szCs w:val="20"/>
                <w:color w:val="auto"/>
              </w:rPr>
            </w:pPr>
            <w:r>
              <w:rPr>
                <w:rFonts w:ascii="Arial" w:cs="Arial" w:eastAsia="Arial" w:hAnsi="Arial"/>
                <w:sz w:val="18"/>
                <w:szCs w:val="18"/>
                <w:b w:val="1"/>
                <w:bCs w:val="1"/>
                <w:color w:val="auto"/>
              </w:rPr>
              <w:t>98-0606750</w:t>
            </w:r>
          </w:p>
        </w:tc>
        <w:tc>
          <w:tcPr>
            <w:tcW w:w="0" w:type="dxa"/>
            <w:vAlign w:val="bottom"/>
          </w:tcPr>
          <w:p>
            <w:pPr>
              <w:spacing w:after="0"/>
              <w:rPr>
                <w:sz w:val="1"/>
                <w:szCs w:val="1"/>
                <w:color w:val="auto"/>
              </w:rPr>
            </w:pPr>
          </w:p>
        </w:tc>
      </w:tr>
      <w:tr>
        <w:trPr>
          <w:trHeight w:val="202"/>
        </w:trPr>
        <w:tc>
          <w:tcPr>
            <w:tcW w:w="5380" w:type="dxa"/>
            <w:vAlign w:val="bottom"/>
            <w:vMerge w:val="continue"/>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4"/>
        </w:trPr>
        <w:tc>
          <w:tcPr>
            <w:tcW w:w="5380" w:type="dxa"/>
            <w:vAlign w:val="bottom"/>
          </w:tcPr>
          <w:p>
            <w:pPr>
              <w:ind w:left="940"/>
              <w:spacing w:after="0"/>
              <w:rPr>
                <w:sz w:val="20"/>
                <w:szCs w:val="20"/>
                <w:color w:val="auto"/>
              </w:rPr>
            </w:pPr>
            <w:r>
              <w:rPr>
                <w:rFonts w:ascii="Arial" w:cs="Arial" w:eastAsia="Arial" w:hAnsi="Arial"/>
                <w:sz w:val="18"/>
                <w:szCs w:val="18"/>
                <w:b w:val="1"/>
                <w:bCs w:val="1"/>
                <w:color w:val="auto"/>
              </w:rPr>
              <w:t>2000 St. James Place, Houston,</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86"/>
              </w:rPr>
              <w:t>Texas</w:t>
            </w:r>
          </w:p>
        </w:tc>
        <w:tc>
          <w:tcPr>
            <w:tcW w:w="3700" w:type="dxa"/>
            <w:vAlign w:val="bottom"/>
          </w:tcPr>
          <w:p>
            <w:pPr>
              <w:jc w:val="right"/>
              <w:ind w:right="990"/>
              <w:spacing w:after="0"/>
              <w:rPr>
                <w:sz w:val="20"/>
                <w:szCs w:val="20"/>
                <w:color w:val="auto"/>
              </w:rPr>
            </w:pPr>
            <w:r>
              <w:rPr>
                <w:rFonts w:ascii="Arial" w:cs="Arial" w:eastAsia="Arial" w:hAnsi="Arial"/>
                <w:sz w:val="18"/>
                <w:szCs w:val="18"/>
                <w:b w:val="1"/>
                <w:bCs w:val="1"/>
                <w:color w:val="auto"/>
              </w:rPr>
              <w:t>77056</w:t>
            </w:r>
          </w:p>
        </w:tc>
        <w:tc>
          <w:tcPr>
            <w:tcW w:w="0" w:type="dxa"/>
            <w:vAlign w:val="bottom"/>
          </w:tcPr>
          <w:p>
            <w:pPr>
              <w:spacing w:after="0"/>
              <w:rPr>
                <w:sz w:val="1"/>
                <w:szCs w:val="1"/>
                <w:color w:val="auto"/>
              </w:rPr>
            </w:pPr>
          </w:p>
        </w:tc>
      </w:tr>
      <w:tr>
        <w:trPr>
          <w:trHeight w:val="23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ectPr>
          <w:pgSz w:w="11900" w:h="16838" w:orient="portrait"/>
          <w:cols w:equalWidth="0" w:num="1">
            <w:col w:w="11240"/>
          </w:cols>
          <w:pgMar w:left="320" w:top="891" w:right="3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Title of Each Class to be so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9"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Ordinary Shares, par value $0.001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w:t>
      </w:r>
    </w:p>
    <w:p>
      <w:pPr>
        <w:spacing w:after="0" w:line="50"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Each Class is to be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-824230</wp:posOffset>
            </wp:positionH>
            <wp:positionV relativeFrom="paragraph">
              <wp:posOffset>13335</wp:posOffset>
            </wp:positionV>
            <wp:extent cx="3351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2">
            <w:col w:w="6540" w:space="720"/>
            <w:col w:w="3980"/>
          </w:cols>
          <w:pgMar w:left="320" w:top="891" w:right="339" w:bottom="144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ind w:firstLine="44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40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620" w:type="dxa"/>
            <w:vAlign w:val="bottom"/>
            <w:vMerge w:val="continue"/>
          </w:tcPr>
          <w:p>
            <w:pPr>
              <w:spacing w:after="0"/>
              <w:rPr>
                <w:sz w:val="18"/>
                <w:szCs w:val="18"/>
                <w:color w:val="auto"/>
              </w:rPr>
            </w:pPr>
          </w:p>
        </w:tc>
        <w:tc>
          <w:tcPr>
            <w:tcW w:w="5360" w:type="dxa"/>
            <w:vAlign w:val="bottom"/>
          </w:tcPr>
          <w:p>
            <w:pPr>
              <w:ind w:left="340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4"/>
              </w:rPr>
              <w:t>Emerging growth company</w:t>
            </w:r>
          </w:p>
        </w:tc>
        <w:tc>
          <w:tcPr>
            <w:tcW w:w="36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80" w:type="dxa"/>
            <w:vAlign w:val="bottom"/>
            <w:gridSpan w:val="8"/>
          </w:tcPr>
          <w:p>
            <w:pPr>
              <w:ind w:left="3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r>
      <w:tr>
        <w:trPr>
          <w:trHeight w:val="190"/>
        </w:trPr>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980" w:type="dxa"/>
            <w:vAlign w:val="bottom"/>
            <w:gridSpan w:val="20"/>
            <w:shd w:val="clear" w:color="auto" w:fill="CCEEFF"/>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 - Looking Statements</w:t>
              </w:r>
            </w:hyperlink>
          </w:p>
        </w:tc>
        <w:tc>
          <w:tcPr>
            <w:tcW w:w="540" w:type="dxa"/>
            <w:vAlign w:val="bottom"/>
            <w:gridSpan w:val="4"/>
            <w:shd w:val="clear" w:color="auto" w:fill="CCEEFF"/>
          </w:tcPr>
          <w:p>
            <w:pPr>
              <w:jc w:val="center"/>
              <w:ind w:left="270"/>
              <w:spacing w:after="0" w:line="169"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6"/>
                <w:szCs w:val="16"/>
                <w:color w:val="auto"/>
              </w:rPr>
            </w:pPr>
          </w:p>
        </w:tc>
      </w:tr>
      <w:tr>
        <w:trPr>
          <w:trHeight w:val="175"/>
        </w:trPr>
        <w:tc>
          <w:tcPr>
            <w:tcW w:w="5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428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4700" w:type="dxa"/>
            <w:vAlign w:val="bottom"/>
            <w:tcBorders>
              <w:top w:val="single" w:sz="8" w:color="CCEEFF"/>
            </w:tcBorders>
            <w:gridSpan w:val="5"/>
          </w:tcPr>
          <w:p>
            <w:pPr>
              <w:spacing w:after="0"/>
              <w:rPr>
                <w:sz w:val="15"/>
                <w:szCs w:val="15"/>
                <w:color w:val="auto"/>
              </w:rPr>
            </w:pPr>
          </w:p>
        </w:tc>
        <w:tc>
          <w:tcPr>
            <w:tcW w:w="40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0000EE"/>
            </w:tcBorders>
          </w:tcPr>
          <w:p>
            <w:pPr>
              <w:jc w:val="center"/>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8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340" w:type="dxa"/>
            <w:vAlign w:val="bottom"/>
            <w:tcBorders>
              <w:bottom w:val="single" w:sz="8" w:color="CCEEFF"/>
            </w:tcBorders>
            <w:gridSpan w:val="19"/>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r>
      <w:tr>
        <w:trPr>
          <w:trHeight w:val="176"/>
        </w:trPr>
        <w:tc>
          <w:tcPr>
            <w:tcW w:w="1360" w:type="dxa"/>
            <w:vAlign w:val="bottom"/>
            <w:gridSpan w:val="4"/>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1A.</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540" w:type="dxa"/>
            <w:vAlign w:val="bottom"/>
            <w:gridSpan w:val="4"/>
          </w:tcPr>
          <w:p>
            <w:pPr>
              <w:jc w:val="center"/>
              <w:ind w:left="270"/>
              <w:spacing w:after="0" w:line="17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8</w:t>
              </w:r>
            </w:hyperlink>
          </w:p>
        </w:tc>
        <w:tc>
          <w:tcPr>
            <w:tcW w:w="36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840" w:type="dxa"/>
            <w:vAlign w:val="bottom"/>
            <w:gridSpan w:val="3"/>
            <w:shd w:val="clear" w:color="auto" w:fill="CCEEFF"/>
          </w:tcPr>
          <w:p>
            <w:pPr>
              <w:spacing w:after="0"/>
              <w:rPr>
                <w:sz w:val="15"/>
                <w:szCs w:val="15"/>
                <w:color w:val="auto"/>
              </w:rPr>
            </w:pPr>
          </w:p>
        </w:tc>
        <w:tc>
          <w:tcPr>
            <w:tcW w:w="1580" w:type="dxa"/>
            <w:vAlign w:val="bottom"/>
            <w:gridSpan w:val="7"/>
            <w:shd w:val="clear" w:color="auto" w:fill="CCEEFF"/>
          </w:tcPr>
          <w:p>
            <w:pPr>
              <w:spacing w:after="0" w:line="17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Financial Information</w:t>
              </w:r>
            </w:hyperlink>
          </w:p>
        </w:tc>
        <w:tc>
          <w:tcPr>
            <w:tcW w:w="7400" w:type="dxa"/>
            <w:vAlign w:val="bottom"/>
            <w:gridSpan w:val="13"/>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center"/>
              <w:ind w:right="36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840" w:type="dxa"/>
            <w:vAlign w:val="bottom"/>
            <w:gridSpan w:val="3"/>
          </w:tcPr>
          <w:p>
            <w:pPr>
              <w:spacing w:after="0"/>
              <w:rPr>
                <w:sz w:val="15"/>
                <w:szCs w:val="15"/>
                <w:color w:val="auto"/>
              </w:rPr>
            </w:pPr>
          </w:p>
        </w:tc>
        <w:tc>
          <w:tcPr>
            <w:tcW w:w="158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7400" w:type="dxa"/>
            <w:vAlign w:val="bottom"/>
            <w:gridSpan w:val="13"/>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4"/>
          </w:tcPr>
          <w:p>
            <w:pPr>
              <w:jc w:val="center"/>
              <w:ind w:right="36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840" w:type="dxa"/>
            <w:vAlign w:val="bottom"/>
            <w:gridSpan w:val="3"/>
            <w:shd w:val="clear" w:color="auto" w:fill="CCEEFF"/>
          </w:tcPr>
          <w:p>
            <w:pPr>
              <w:spacing w:after="0"/>
              <w:rPr>
                <w:sz w:val="15"/>
                <w:szCs w:val="15"/>
                <w:color w:val="auto"/>
              </w:rPr>
            </w:pPr>
          </w:p>
        </w:tc>
        <w:tc>
          <w:tcPr>
            <w:tcW w:w="4880" w:type="dxa"/>
            <w:vAlign w:val="bottom"/>
            <w:gridSpan w:val="16"/>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Security Ownership of Certain Beneficial Owners and Management</w:t>
              </w:r>
            </w:hyperlink>
          </w:p>
        </w:tc>
        <w:tc>
          <w:tcPr>
            <w:tcW w:w="4100" w:type="dxa"/>
            <w:vAlign w:val="bottom"/>
            <w:gridSpan w:val="4"/>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center"/>
              <w:ind w:right="36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840" w:type="dxa"/>
            <w:vAlign w:val="bottom"/>
            <w:gridSpan w:val="3"/>
          </w:tcPr>
          <w:p>
            <w:pPr>
              <w:spacing w:after="0"/>
              <w:rPr>
                <w:sz w:val="15"/>
                <w:szCs w:val="15"/>
                <w:color w:val="auto"/>
              </w:rPr>
            </w:pPr>
          </w:p>
        </w:tc>
        <w:tc>
          <w:tcPr>
            <w:tcW w:w="4880" w:type="dxa"/>
            <w:vAlign w:val="bottom"/>
            <w:gridSpan w:val="16"/>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Directors and Executive Officers</w:t>
              </w:r>
            </w:hyperlink>
          </w:p>
        </w:tc>
        <w:tc>
          <w:tcPr>
            <w:tcW w:w="4100" w:type="dxa"/>
            <w:vAlign w:val="bottom"/>
            <w:gridSpan w:val="4"/>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4"/>
          </w:tcPr>
          <w:p>
            <w:pPr>
              <w:jc w:val="center"/>
              <w:ind w:right="36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840" w:type="dxa"/>
            <w:vAlign w:val="bottom"/>
            <w:gridSpan w:val="3"/>
            <w:shd w:val="clear" w:color="auto" w:fill="CCEEFF"/>
          </w:tcPr>
          <w:p>
            <w:pPr>
              <w:spacing w:after="0"/>
              <w:rPr>
                <w:sz w:val="15"/>
                <w:szCs w:val="15"/>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line="17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7.</w:t>
              </w:r>
            </w:hyperlink>
          </w:p>
        </w:tc>
        <w:tc>
          <w:tcPr>
            <w:tcW w:w="840" w:type="dxa"/>
            <w:vAlign w:val="bottom"/>
            <w:gridSpan w:val="3"/>
          </w:tcPr>
          <w:p>
            <w:pPr>
              <w:spacing w:after="0"/>
              <w:rPr>
                <w:sz w:val="15"/>
                <w:szCs w:val="15"/>
                <w:color w:val="auto"/>
              </w:rPr>
            </w:pPr>
          </w:p>
        </w:tc>
        <w:tc>
          <w:tcPr>
            <w:tcW w:w="8980" w:type="dxa"/>
            <w:vAlign w:val="bottom"/>
            <w:gridSpan w:val="20"/>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8.</w:t>
              </w:r>
            </w:hyperlink>
          </w:p>
        </w:tc>
        <w:tc>
          <w:tcPr>
            <w:tcW w:w="840" w:type="dxa"/>
            <w:vAlign w:val="bottom"/>
            <w:gridSpan w:val="3"/>
            <w:shd w:val="clear" w:color="auto" w:fill="CCEEFF"/>
          </w:tcPr>
          <w:p>
            <w:pPr>
              <w:spacing w:after="0"/>
              <w:rPr>
                <w:sz w:val="15"/>
                <w:szCs w:val="15"/>
                <w:color w:val="auto"/>
              </w:rPr>
            </w:pPr>
          </w:p>
        </w:tc>
        <w:tc>
          <w:tcPr>
            <w:tcW w:w="1340" w:type="dxa"/>
            <w:vAlign w:val="bottom"/>
            <w:gridSpan w:val="6"/>
            <w:shd w:val="clear" w:color="auto" w:fill="CCEEFF"/>
          </w:tcPr>
          <w:p>
            <w:pPr>
              <w:spacing w:after="0" w:line="17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Legal Proceedings</w:t>
              </w:r>
            </w:hyperlink>
          </w:p>
        </w:tc>
        <w:tc>
          <w:tcPr>
            <w:tcW w:w="7640" w:type="dxa"/>
            <w:vAlign w:val="bottom"/>
            <w:gridSpan w:val="14"/>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center"/>
              <w:ind w:right="360"/>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56</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9.</w:t>
              </w:r>
            </w:hyperlink>
          </w:p>
        </w:tc>
        <w:tc>
          <w:tcPr>
            <w:tcW w:w="840" w:type="dxa"/>
            <w:vAlign w:val="bottom"/>
            <w:gridSpan w:val="3"/>
          </w:tcPr>
          <w:p>
            <w:pPr>
              <w:spacing w:after="0"/>
              <w:rPr>
                <w:sz w:val="15"/>
                <w:szCs w:val="15"/>
                <w:color w:val="auto"/>
              </w:rPr>
            </w:pPr>
          </w:p>
        </w:tc>
        <w:tc>
          <w:tcPr>
            <w:tcW w:w="8980" w:type="dxa"/>
            <w:vAlign w:val="bottom"/>
            <w:gridSpan w:val="20"/>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Market Price of and Dividends on the Registrant's Common Equity and Related Stockholder Matters</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56</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10.</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Recent Sales of Unregistered Securities</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4"/>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11.</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Description of Registrant's Securities to be Registered</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12.</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Indemnification of Directors and Officers</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61</w:t>
              </w:r>
            </w:hyperlink>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4"/>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13.</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62</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14.</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62</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4"/>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15.</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Financial Statements and Exhibits</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62</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67</w:t>
              </w:r>
            </w:hyperlink>
          </w:p>
        </w:tc>
      </w:tr>
      <w:tr>
        <w:trPr>
          <w:trHeight w:val="675"/>
        </w:trPr>
        <w:tc>
          <w:tcPr>
            <w:tcW w:w="5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7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Unless the context indicates otherwise, all references in this registration statement to "Weatherford", the "Company," "we," "us," and "our" refer to Weatherford International plc, an Irish public limited company, and all of its wholly-owned and majority-owned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registration statement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We undertake no obligation to correct, update or revise any forward-looking statement, whether as a result of new information, future events, or otherwise, except to the extent required under federal securities laws. The following, together with disclosures under "Item 1A. – Risk Factors," sets forth certain risks and uncertainties relating to our forward-looking statements that may cause actual results to be materially different from our present expectations or projections:</w:t>
      </w:r>
    </w:p>
    <w:p>
      <w:pPr>
        <w:spacing w:after="0" w:line="195" w:lineRule="exact"/>
        <w:rPr>
          <w:sz w:val="20"/>
          <w:szCs w:val="20"/>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 spread and potential for a resurgence of COVID-19 in a given geographic region and related disruptions to our business, customers, suppliers and other partners and additional regulatory measures or voluntary actions that may be put in place to limit the spread of COVID-19, including vaccination requirements and the associated availability of vaccines, restrictions on business operations or social distancing requirements, and the duration and efficacy of such restrictions;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access capital markets on terms that are commercially acceptable to the Company, or at all;</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as well as stock exchange listing rules.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registration statement as anticipated, believed, estimated, expected, intended, planned or projected.</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Securities and Exchange Commission (the "SEC") or under future filings pursuant to the Securities Exchange Act of 1934 (as amended, the "Exchange Act") and the Securities Act of 1933 (as amended, the "Securities Act"). For additional information regarding risks and uncertainties, see our other filings with the SEC. In the event of an inconsistency between any prior or current SEC filing, the most current SEC filing would control.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Weatherford International plc is filing this General Form for Registration of Securities on Form 10 to register its ordinary shares, par value $0.001 per share ("Ordinary Shares"), pursuant to Section 12(b) of the Exchange Act, because we are seeking to list our Ordinary Shares on The Nasdaq Stock Market LLC ("Nasdaq"). We currently expect to file a listing application to list our Ordinary Shares on Nasdaq under the symbol "WFRD". We refer to the initial listing of our Ordinary Shares on Nasdaq throughout this registration statement as the "listing."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April 2020, our Ordinary Shares have traded on the OTC Pink Marketplace under the ticker symbol "WFTLF" following the delisting of our Ordinary Shares from the New York Stock Exchange ("NYSE") after our emergence from bankruptcy, as detailed below, and we have continued filing periodic reports with the SEC on a voluntary basis. Upon this registration statement becoming effective, we will be required to file annual reports on Form 10-K, quarterly reports on Form 10-Q, and current reports on Form 8-K and to comply with all other obligations of the Exchange Act applicable to issuers filing registration statements pursuant to Section 12(b) of the Exchange Act.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2019, Weatherford International plc and two of our subsidiaries (collectively, the "Weatherford Parties") commenced voluntary reorganization proceedings (the "Cases"), including under Chapter 11 of Title 11 ("Chapter 11") of the United States Bankruptcy Code in the U.S. Bankruptcy Court for the Southern District of Texas (the "Bankruptcy Court"), with ancillary proceedings filed in Ireland and Bermuda. Our plan of reorganization (as amended, the "Plan"), together with the schemes of arrangement in Ireland and Bermuda, became effective on December 13, 2019 (the "Effective Date") and the Weatherford Parties emerged from Chapter 11.</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Upon emergence from Chapter 11, on the Effective Date, we adopted and applied the relevant guidance with respect to the accounting and financial reporting for entities that have emerged from bankruptcy proceedings ("Fresh Start Accounting"). Under Fresh Start Accounting, our balance sheet on the Effective Date reflected all our assets and liabilities at fair value. As described in "Part II – Item 8. – Financial Statements and Supplementary Data – Notes to Consolidated Financial Statements – Note 1 – Summary of Significant Accounting Policies" of the Annual Report on Form 10-K for the year ended December 31, 2020, filed with the SEC on February 19, 2021 as amended on Form 10-K/A on March 18, 2021 (the "Form 10-K"), references to "Predecessor" relate to the Consolidated Statements of Operations for the period from January 1, 2019 through and including the adjustments from the application of Fresh Start Accounting on December 13, 2019 and for the year ended December 31, 2018 ("Predecessor Periods"). References to "Successor" relate to the Consolidated Statements of Operations for the year ended December 31, 2020 and the period from December 14, 2019 through December 31, 2019 ("Successor Periods"). References and comparisons to results for the year ended December 31, 2019 relate to the combined Successor and Predecessor Periods for the year ended December 31, 2019 as the 18 days of the Successor Period is not a significant period of time impacting the combined 2019 results.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financial statements and supplementary information required to be included herein are incorporated by reference to specifically identified portions of the Form 10-K. None of the information contained in the Form 10-K shall be incorporated by reference herein or deemed to be a part hereof unless such information is expressly incorporated by reference.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Weatherford is a multinational oilfield service company that is a leading wellbore and production solution company providing equipment and services used in the drilling, evaluation, completion, production and intervention of oil and natural gas wells. We were originally incorporated in Delaware in 1972 and are currently incorporated in Ireland. Many of our businesses, including those of our predecessor companies, have been operating for more than 50 years.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conduct operations in over 75 countries, answering the challenges of the energy industry with approximately 390 operating locations including manufacturing, research and development, service and training facilities. Our operational performance is reviewed on a geographic basis and we report our Western Hemisphere and Eastern Hemisphere as separate and distinct reporting segments.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principal executive offices are located at 2000 St. James Place, Houston, Texas 77056 and our telephone number at that location is (713) 836-4000. Our internet address is www.weatherford.com. General information about us, including our corporate governance policies, code of business conduct and charters for the committees of our Board of Directors (the "Board"), can be found on our website. On our website we make available, free of charge, our annual reports on Form 10-K, quarterly reports on Form 10-Q, current reports on Form 8-K and amendments to those reports filed or furnished as soon as reasonably practicable after we electronically file or furnish them to the SEC. The SEC maintains a website that contains our reports, historic proxy and information statements (currently not applicable to us) and our other SEC filings. The address of that site is www.sec.gov.</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COVID-19 pandemic, travel constraints and access restrictions to customer work locations continue to cause significant uncertainty for the global economy, resulting in the continued significant decline in the global demand for oil and gas and related customer activity shutdowns. This continues to cause an imbalance in the supply and demand for oil and gas. The impacts of the COVID-19 pandemic together with uncertainty around the extent and timing for an economic recovery, caused significant market volatility of commodity prices in the first half of 2020 and resulted in significant reductions to the capital spending during 2020 of our primary customer base which consists of exploration and production companies, with lowering expectations of oil and gas related spending into 2021 and beyond. In addition, the risk of additional COVID-19 related restrictions or lockdowns remains, which creates further uncertainty in the global economic outlook and impact on oil and gas markets.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continue to closely monitor the global impacts surrounding the COVID-19 pandemic, including operational and manufacturing disruptions, logistical constraints and travel restrictions. These factors have negatively impacted our ability to operate and we expect these negative impacts to continue. We have experienced and expect to continue to experience delays or a lack of availability of key components from our suppliers, shipping and other logistical delays and disruptions, customer restrictions that prevent access to their sites, community measures to contain the spread of the virus and changes to Weatherford's policies that have both restricted and changed the way our employees work. We expect most, if not all, of these disruptions and constraints to have lasting effects on how we and our customers and suppliers work in the future.</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Faced with these challenges, we have evolved our digital portfolio and enhanced our applications to offer fully-integrated digital oilfield solutions. We have also increased our offerings of automated well construction and remote monitoring and predictive analytics related to our production offerings. Finally, we continuously improve crew rotations and management practices to minimize our employees' exposure to COVID-19. Our identification and management of COVID-19 cases continues to improve, through updated protocols, advanced testing and response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and Emergence from Bankruptcy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2019, the Weatherford Parties commenced the Cases in the Bankruptcy Court, with ancillary proceedings filed in Ireland and Bermuda. The Plan, together with the schemes of arrangement in Ireland and Bermuda, became effective on the Effective Date and the Weatherford Parties emerged from Chapter 11.</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the Effective Date, the Weatherford Parties' then-existing unsecured senior and exchangeable senior notes totaling $7.6 billion were cancelled pursuant to the terms of the Plan. At such time in accordance with the Plan, all previously issued and outstanding equity interests in the Company were cancelled and the Company issued an aggregate of 69,999,954 new Ordinary Shares to the holders of such senior notes and holders of old Ordinary Shares. In addition, the Company issued warrants to purchase up to an aggregate of 7,777,779 new Ordinary Shares ("Warrants") to holders of old Ordinary Shares, subject to adjustment as set forth in the Warrant Agreement, dated December 13, 2019, by and between Weatherford International plc and American Stock Transfer and Trust Company, LLC (the "Warrant Agreement").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79" w:lineRule="auto"/>
        <w:rPr>
          <w:sz w:val="20"/>
          <w:szCs w:val="20"/>
          <w:color w:val="auto"/>
        </w:rPr>
      </w:pPr>
      <w:r>
        <w:rPr>
          <w:rFonts w:ascii="Arial" w:cs="Arial" w:eastAsia="Arial" w:hAnsi="Arial"/>
          <w:sz w:val="17"/>
          <w:szCs w:val="17"/>
          <w:color w:val="auto"/>
        </w:rPr>
        <w:t>For additional details regarding the Cases, see "Part II – Item 8. – Financial Statements and Supplementary Data – Notes to Consolidated Financial Statements – Note 2 – Emergence from Chapter 11 Bankruptcy Proceedings" and "Part II – Item 8. – Financial Statements and Supplementary Data – Notes to Consolidated Financial Statements – Note 3 – Fresh Start Accounting" in the Form 10-K, which are incorporated herein by reference. See also "Explanatory Note" of this registration statement, which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primary objective is to build value through profitable growth in our core product lines with disciplined use of capital and a strong customer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focus.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customers' objectives are continually evolving and are currently focused on lowering capital and operational expenditures, generating positive cash flow, reducing emissions, and enhancing safety. Weatherford has aligned its technology development and operations around these trends and is expanding its role as a market leading solutions provider that assists our customers in addressing their key operational challenges related to four domains:</w:t>
      </w:r>
    </w:p>
    <w:p>
      <w:pPr>
        <w:spacing w:after="0" w:line="149" w:lineRule="exact"/>
        <w:rPr>
          <w:sz w:val="20"/>
          <w:szCs w:val="20"/>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Mature Fields</w:t>
      </w:r>
      <w:r>
        <w:rPr>
          <w:rFonts w:ascii="Arial" w:cs="Arial" w:eastAsia="Arial" w:hAnsi="Arial"/>
          <w:sz w:val="17"/>
          <w:szCs w:val="17"/>
          <w:color w:val="auto"/>
        </w:rPr>
        <w:t>: rejuvenating aging assets from the reservoir to the point of sale through optimizing lift efficiency, restoring wellbore efficiency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integrity, accelerating reservoir recovery and permanently abandoning wells when they are no longer economic to produce.</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Unconventionals</w:t>
      </w:r>
      <w:r>
        <w:rPr>
          <w:rFonts w:ascii="Arial" w:cs="Arial" w:eastAsia="Arial" w:hAnsi="Arial"/>
          <w:sz w:val="16"/>
          <w:szCs w:val="16"/>
          <w:color w:val="auto"/>
        </w:rPr>
        <w:t>: enabling customers to solve reservoir challenges and maximize production by drilling faster, deeper, safer and cheaper and</w:t>
      </w:r>
      <w:r>
        <w:rPr>
          <w:rFonts w:ascii="Arial" w:cs="Arial" w:eastAsia="Arial" w:hAnsi="Arial"/>
          <w:sz w:val="16"/>
          <w:szCs w:val="16"/>
          <w:i w:val="1"/>
          <w:iCs w:val="1"/>
          <w:color w:val="auto"/>
        </w:rPr>
        <w:t xml:space="preserve"> </w:t>
      </w:r>
      <w:r>
        <w:rPr>
          <w:rFonts w:ascii="Arial" w:cs="Arial" w:eastAsia="Arial" w:hAnsi="Arial"/>
          <w:sz w:val="16"/>
          <w:szCs w:val="16"/>
          <w:color w:val="auto"/>
        </w:rPr>
        <w:t>combating production declines through accurate reservoir evaluation, efficient well construction, effective stimulation and optimizing production.</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Offshore</w:t>
      </w:r>
      <w:r>
        <w:rPr>
          <w:rFonts w:ascii="Arial" w:cs="Arial" w:eastAsia="Arial" w:hAnsi="Arial"/>
          <w:sz w:val="18"/>
          <w:szCs w:val="18"/>
          <w:color w:val="auto"/>
        </w:rPr>
        <w:t>: supporting customers sustain high-margin, long-term production with a focus on reducing rig time, enhancing safety and reliability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well integrity through the optimization of well placement and construction.</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Digitalization and Automation</w:t>
      </w:r>
      <w:r>
        <w:rPr>
          <w:rFonts w:ascii="Arial" w:cs="Arial" w:eastAsia="Arial" w:hAnsi="Arial"/>
          <w:sz w:val="17"/>
          <w:szCs w:val="17"/>
          <w:color w:val="auto"/>
        </w:rPr>
        <w:t>: leveraging our core competencies and significant presence at well sites to capture, analyze and present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customers by leveraging the internet of things, data analytics and cloud computing across our many solutions.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enabled this solution-based focus across our organization through a commitment to improving safety and service quality, embedding a returns-focused mindset in our organization and developing and commercializing new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leading global wellbore and production solutions company providing equipment and services to the oil and natural gas exploration and production industry. Demand for our industry's services and products depends in part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Technology is critical to the oil and natural gas marketplace as a result of the maturity of the world's oil and natural gas reservoirs, the acceleration of production decline rates and the focus on complex well designs, including deepwater prospects. Customers continue to seek, test and use production-enabling technologies at an increasing rate. We invested substantial resources into building our technology offerings, which helps us to provide our customers with more efficient tools to find and produce oil and natural gas. Our products and services enable our customers to reduce their costs of drilling and production, or increase production rates, or both. Furthermore, these technology offerings afford us additional opportunities to sell our core products and services to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chief operating decision maker regularly reviews the information of our two reportable segments, which are our Western Hemisphere and Eastern Hemisphere. These reportable segments are based on management's organization and view of Weatherford's business when making operating decisions, allocating resources and assessing performance. Research and development expenses are included in the results of both our Western and Eastern Hemisphere segments. Our corporate and other expenses that do not individually meet the criteria for segment reporting are reported separately under the caption Corporate General and Administrative in our Segment Information disclosures.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principal business is to provide equipment and services to the oil and natural gas exploration and production industry, both onshore and offshore. During the second quarter of 2020, in order to support the streamlining and realignment of the business, we combined our prior reported four product lines into two product lines. Our two product lines are: (1) Completion and Production and (2) Drilling, Evaluation and Intervention. Our new combined Completion and Production product line was previously reported as two separate product lines. Our new Drilling, Evaluation and Intervention product line was previously reported as two separate product lines of (i) Drilling and Evaluation, and (ii) Well Construction.</w:t>
      </w:r>
    </w:p>
    <w:p>
      <w:pPr>
        <w:spacing w:after="0" w:line="17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offers production optimization services and a complete production ecosystem, featuring our artificial-lift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and flow-measurement solutions, and optimization software to boost productivity and profitability. In addition, we have a suite of modern completion products, reservoir stimulation designs and engineering capabilities that isolate zones and unlock reserves in deepwater, unconventional and aging reservoirs. The following is a detailed description of our product and service offerings under our Completion and Production product line.</w:t>
      </w:r>
    </w:p>
    <w:p>
      <w:pPr>
        <w:spacing w:after="0" w:line="18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 xml:space="preserve">Artificial Lift Systems </w:t>
      </w:r>
      <w:r>
        <w:rPr>
          <w:rFonts w:ascii="Arial" w:cs="Arial" w:eastAsia="Arial" w:hAnsi="Arial"/>
          <w:sz w:val="17"/>
          <w:szCs w:val="17"/>
          <w:color w:val="auto"/>
        </w:rPr>
        <w:t>provides a mechanical method to produce oil or gas from a well lacking sufficient reservoir pressure for natural flow.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6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Pressure Pumping </w:t>
      </w:r>
      <w:r>
        <w:rPr>
          <w:rFonts w:ascii="Arial" w:cs="Arial" w:eastAsia="Arial" w:hAnsi="Arial"/>
          <w:sz w:val="18"/>
          <w:szCs w:val="18"/>
          <w:color w:val="auto"/>
        </w:rPr>
        <w:t>offers customers advanced chemical technology and services for safe and effective production enhancements. In selected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markets, we provide pressure pumping and reservoir stimulation services, including acidizing, fracturing and fluid systems, cementing and coiled-tubing intervention.</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provides well test data and slickline and intervention services. The service line includes drillstem test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surface well testing services and multiphase flow measurement.</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Completion Systems </w:t>
      </w:r>
      <w:r>
        <w:rPr>
          <w:rFonts w:ascii="Arial" w:cs="Arial" w:eastAsia="Arial" w:hAnsi="Arial"/>
          <w:sz w:val="18"/>
          <w:szCs w:val="18"/>
          <w:color w:val="auto"/>
        </w:rPr>
        <w:t>offers customers a comprehensive line of completion tools-such as safety systems, production packers, downhole reservoir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flow control, isolation packers, multistage fracturing systems and sand-control technologies that set the stage for maximum production with minimal cost per barrel.</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to suspend a casing string within a previous casing string rather than from the top of the wellbore.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line offers a comprehensive liner-hanger portfolio, along with engineering and executional experience, for a wide range of applications that include high-temperature and high-pressure wells.</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 xml:space="preserve">Cementing Products </w:t>
      </w:r>
      <w:r>
        <w:rPr>
          <w:rFonts w:ascii="Arial" w:cs="Arial" w:eastAsia="Arial" w:hAnsi="Arial"/>
          <w:sz w:val="17"/>
          <w:szCs w:val="17"/>
          <w:color w:val="auto"/>
        </w:rPr>
        <w:t>enables operators to centralize the casing throughout the wellbore and control the displacement of cement and other fluids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proper zonal isolation. Specialized equipment includes plugs, float and stage equipment and torque-and-drag reduction technology. Our cementing engineers analyze complex wells and provide all job requirements from pre-job planning to installation.</w:t>
      </w:r>
    </w:p>
    <w:p>
      <w:pPr>
        <w:spacing w:after="0" w:line="16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b w:val="1"/>
          <w:bCs w:val="1"/>
          <w:i w:val="1"/>
          <w:iCs w:val="1"/>
          <w:color w:val="auto"/>
        </w:rPr>
        <w:t xml:space="preserve">Drilling, Evaluation and Intervention </w:t>
      </w:r>
      <w:r>
        <w:rPr>
          <w:rFonts w:ascii="Arial" w:cs="Arial" w:eastAsia="Arial" w:hAnsi="Arial"/>
          <w:sz w:val="18"/>
          <w:szCs w:val="18"/>
          <w:color w:val="auto"/>
        </w:rPr>
        <w:t>comprises a suite of services ranging from early well planning to reservoir management. The drilling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offer innovative tools and expert engineering to increase efficiency and maximize reservoir exposure. The evaluation services merge wellsite capabilities including wireline and managed pressure drilling. We also build or rebuild well integrity for the full life cycle of the well. Using conventional to advanced equipment, we offer safe and efficient tubular running services in any environment. Our skilled fishing and re-entry teams execute under any contingency from drilling to abandonment, and our drilling tools provide reliable pressure control even in extreme wellbores. The following is a detailed description of our product and service offerings currently provided by our Drilling, Evaluation and Intervention product line.</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660"/>
        <w:spacing w:after="0" w:line="342" w:lineRule="auto"/>
        <w:rPr>
          <w:sz w:val="20"/>
          <w:szCs w:val="20"/>
          <w:color w:val="auto"/>
        </w:rPr>
      </w:pPr>
      <w:r>
        <w:rPr>
          <w:rFonts w:ascii="Arial" w:cs="Arial" w:eastAsia="Arial" w:hAnsi="Arial"/>
          <w:sz w:val="16"/>
          <w:szCs w:val="16"/>
          <w:b w:val="1"/>
          <w:bCs w:val="1"/>
          <w:i w:val="1"/>
          <w:iCs w:val="1"/>
          <w:color w:val="auto"/>
        </w:rPr>
        <w:t xml:space="preserve">Drilling Services </w:t>
      </w:r>
      <w:r>
        <w:rPr>
          <w:rFonts w:ascii="Arial" w:cs="Arial" w:eastAsia="Arial" w:hAnsi="Arial"/>
          <w:sz w:val="16"/>
          <w:szCs w:val="16"/>
          <w:color w:val="auto"/>
        </w:rPr>
        <w:t>includes directional drilling, logging while drilling, measurement while drilling and rotary-steerable systems. This service 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includes our full range of downhole equipment, including high-temperature and high-pressure sensors, drilling reamers and circulation subs.</w:t>
      </w:r>
    </w:p>
    <w:p>
      <w:pPr>
        <w:spacing w:after="0" w:line="12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Managed Pressure Drilling </w:t>
      </w:r>
      <w:r>
        <w:rPr>
          <w:rFonts w:ascii="Arial" w:cs="Arial" w:eastAsia="Arial" w:hAnsi="Arial"/>
          <w:sz w:val="18"/>
          <w:szCs w:val="18"/>
          <w:color w:val="auto"/>
        </w:rPr>
        <w:t>helps to manage wellbore pressures to optimize drilling performance. The services incorporate various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rotating control devices and advanced automated control systems, as well as, several drilling techniques, such as closed-loop drilling, air drilling, managed-pressure drilling and underbalanced drilling.</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Wireline Services </w:t>
      </w:r>
      <w:r>
        <w:rPr>
          <w:rFonts w:ascii="Arial" w:cs="Arial" w:eastAsia="Arial" w:hAnsi="Arial"/>
          <w:sz w:val="18"/>
          <w:szCs w:val="18"/>
          <w:color w:val="auto"/>
        </w:rPr>
        <w:t>includes open-hole and cased-hole logging services that measure the physical properties of underground formations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production potential, locate resources and detect cement and casing integrity issues. The service line also executes well intervention and remediation operations by conveying equipment via cable into oil and natural gas wells.</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 xml:space="preserve">Tubular Running Services </w:t>
      </w:r>
      <w:r>
        <w:rPr>
          <w:rFonts w:ascii="Arial" w:cs="Arial" w:eastAsia="Arial" w:hAnsi="Arial"/>
          <w:sz w:val="17"/>
          <w:szCs w:val="17"/>
          <w:color w:val="auto"/>
        </w:rPr>
        <w:t>provides equipment, tubular handling, tubular management and tubular connection services for the drilling,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completions and workover of oil or natural gas wells. The services include conventional rig services, automated rig systems, real-time torque-monitoring and remote viewing of the makeup and breakout verification process. In addition, they include drilling-with-casing services.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Intervention Services </w:t>
      </w:r>
      <w:r>
        <w:rPr>
          <w:rFonts w:ascii="Arial" w:cs="Arial" w:eastAsia="Arial" w:hAnsi="Arial"/>
          <w:sz w:val="16"/>
          <w:szCs w:val="16"/>
          <w:color w:val="auto"/>
        </w:rPr>
        <w:t>provides re-entry, fishing, wellbore cleaning and well abandonment services, as well as, advanced multilateral well systems.</w:t>
      </w:r>
    </w:p>
    <w:p>
      <w:pPr>
        <w:spacing w:after="0" w:line="248"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b w:val="1"/>
          <w:bCs w:val="1"/>
          <w:i w:val="1"/>
          <w:iCs w:val="1"/>
          <w:color w:val="auto"/>
        </w:rPr>
        <w:t xml:space="preserve">Drilling Tools and Rental Equipment </w:t>
      </w:r>
      <w:r>
        <w:rPr>
          <w:rFonts w:ascii="Arial" w:cs="Arial" w:eastAsia="Arial" w:hAnsi="Arial"/>
          <w:sz w:val="17"/>
          <w:szCs w:val="17"/>
          <w:color w:val="auto"/>
        </w:rPr>
        <w:t>delivers our patented tools and equipment, including drillpipe and collars, bottom hole assembly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tubular-handling equipment, pressure-control equipment and machine-shop services, for drilling oil and natural gas wells.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our products and services worldwide and compete in a variety of distinct segments with a number of competitors. Our principal competitors include Schlumberger, Halliburton, Baker Hughes, NOV, Nabors Industries, ChampionX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depth and breadth of products. The oilfield services business is highly competitive, which may adversely affect our ability to succeed. Additionally, the impact of consolidation and acquisitions of our competitors is difficult to predict and may harm our business as a result.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facilities. Many of the products or components of products sold by us are manufactured by other parties. We are not dependent in any material respect on any single supplier for our raw materials or purchased components.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Substantially all of our customers are engaged in the energy industry. Most of our international sales are to large international or national oil companies and North America sales are to independent oil companies. As of December 31, 2020, the Eastern and Western Hemisphere accounted for 54% and 46%, respectively, of our total net outstanding accounts receivable from customers balance. As of December 31, 2020, customer receivables in Mexico and the U.S. accounted for 23% and 12%, respectively, of our total net outstanding accounts receivables from customers. No other country accounted for more than 10% of our net outstanding accounts receivables balance. For the years ended December 31, 2020, 2019 and 2018, no individual customer accounted for more than 10% of our consolidated revenues.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services are usually short-term, day-rate based and cancellable should our customers wish to alter the scope of work. Consequently, our backlog of firm orders is not material to our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Weatherford has significant expertise, trade secrets, intellectual property and know-how with respect to manufacturing equipment and providing services. As many areas of our business rely on patents and proprietary technology, we seek and ensure patent protection both inside and outside the U.S. for products and methods that appear to have commercial significance. 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respect to the Successor, we amortize developed technology over five years. With respect to the Predecessor, we amortized patents over the years that we expected to benefit from their existence, which typically extended from the grant of the patent through and until 20 years after the filing date of the patent application.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widespread geographical locations of our operations serve to mitigate the overall impact of the seasonal nature of our business in certain geographic regions. Weather and natural phenomena can temporarily affect the level of demand for our products and services. Spring months in Canada and winter months in the North Sea and Russia can affect our operations negatively. Additionally, heavy rains, hurricanes or an exceedingly cold winter in a given region or other climate changes may impact our results. Unpredictable or unusually harsh weather conditions could lengthen the periods of reduced activity and have a detrimental impact to our results of operations. In addition, customer spending patterns for our products and services may result in higher activity in the fourth quarter of each year as our customers seek to fully utilize their annual budgets. Conversely, customer budget constraints may lead to lower demand for our services and products in the fourth quarter of each year.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Federal Regulation and Environmental Matters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operations are subject to federal, state and local laws and regulations in the U.S. and globally relating to the energy industry in general and the environment in particular. Our 2020 expenditures to comply with environmental laws and regulations were not material, and we currently do not expect the cost of compliance with environmental laws and regulations for 2021 to be material.</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the former Universal Compression facility in Midland, Texas. At this location we are performing a TCEQ-approved Remedial Action Plan ("RAP") to address contaminated ground water. The performance of the RAP and related expenses are scheduled to be performed over a 10 to 20-year period and, may cost as much as $6 million, all of which is recorded as an undiscounted obligation on the Consolidated Balance Sheets as of December 31, 2020. We continuously monitor and strive to maintain compliance with changes in laws and regulations that impact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Focus on People and Culture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Weatherford, our people are our most critical asset, vital to our sustained, long-term success. We believe we have a dedicated and capable workforce and our employees have expertise in a variety of disciplines ranging from engineering to oilfield services support to multiple corporate functions.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strive daily to provide a culture that focuses on delivering results through attracting, developing and retaining the talent we need to build, sustain and operate effectively and efficiently across our organization and within the oilfield equipment and services industry. We understand the value that each individual brings to the table and we celebrate diversity in all its forms and are immensely proud of our workforce.</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86" w:lineRule="auto"/>
        <w:rPr>
          <w:sz w:val="20"/>
          <w:szCs w:val="20"/>
          <w:color w:val="auto"/>
        </w:rPr>
      </w:pPr>
      <w:r>
        <w:rPr>
          <w:rFonts w:ascii="Arial" w:cs="Arial" w:eastAsia="Arial" w:hAnsi="Arial"/>
          <w:sz w:val="17"/>
          <w:szCs w:val="17"/>
          <w:color w:val="auto"/>
        </w:rPr>
        <w:t>We are focused on building a high-performance culture through objective setting, ongoing and regular career discussions and individual development plans and regular coaching and feedback. During this process, we are grounded by our core values: ethics and integrity, discipline and accountability, flawless execution, collaboration and partnership, innovation and technology leadership and commitment to sustainability.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Focus on Safety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safety of our employees remains the primary focus of our management. Our vision is to be a company that is incident free, delivers on our promises to our customers, and leaves the environments and communities in which we operate better than we found them. Our Eight GEMS (Getting Everyone Managing Safety) program is designed to educate employees and empower them to intervene when they see unsafe situations. Each GEM focuses on a specific opportunity for risk prevention, including driver and vehicle safety, commitment and intervention, facility safety, induction and training, risk management, lifting equipment and operations, hazardous substances, hazardous environments and occupational health.</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Throughout the COVID-19 crisis, we have remained focused on protecting the health and safety of our customers and employees. Shortly after the outset of COVID-19, we adopted enhanced safety measures and practices across our organization to protect employee health and safety and ensure that we would continue to be able to play a critical role in providing energy. We monitor and track the impact of the pandemic on our employees and within our operations, and proactively modify or adopt new practices to promote their health and safety.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goal in our compensation programs is to provide competitive compensation opportunities to each of our employees that are well-balanced between our short-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strategic priorities with our compensation programs supports a cohesive drive towards value creation for all our stakeholders.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Diversity &amp; Inclusion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committed to fostering a diverse and inclusive environment where everyone feels comfortable bringing their true selves to work. It is important that we operate in a collaborative and inclusive manner across all levels of our organization, embracing gender, racial and ethnic diversity among our employees and recognizing the strength and competitive advantages that our differences afford us as an individual and a company. Our Diversity and Inclusion ("D&amp;I") Program promotes partnerships, engagement and collaboration across our organization.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D&amp;I Executive Council, which includes our executive leadership team and other senior leaders, provides strategic direction and oversight of the D&amp;I Program. In addition, we have a Global D&amp;I Advisory Board with global employee representation. Employee Resource Groups based on the needs and requests of our employees seek to align activities to enrich our culture and drive D&amp;I initiatives at the local level that engage, educate and empower our workforce while having a positive impact on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fourth quarter of 2020, we rolled out "Avoiding Unconscious Bias eLearning" as a global training course for employees and managers, and we conducted an interactive virtual session on Inclusive Leadership.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Statistics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Weatherford had approximately 17,200 employees globally, located in 75 different countries. In response to the price of crude oil and a lower level of exploration and production spending, in addition to other overall cost reductions, we reduced our workforce by 28% and 35% from our workforce totals at December 31, 2019 and 2018, respectively. Certain of our operations are subject to union contracts and these contracts cover approximately 17% of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investment in our securities involves various risks. You should consider carefully all the risk factors described below, the matters discussed above under "Forward-Looking Statements" and other information included and incorporated by reference in this registration statement on Form 10, as well as in other reports and materials that we file or furnish with the SEC. If any of the risks described below, or elsewhere in this registration statement or our other SEC filings, were to materialize, our business, financial condition, results of operations, cash flows and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Oilfield Services Industry Risks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Demand for our services and products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Sustained low oil and natural gas prices and declining global demand for oil and natural gas, including reduced demand as a result of the COVID-19 pandemic, have led to our customers, including large oil and gas exploration and production companies, to greatly reduce planned future capital expenditures. Factors affecting the prices of oil and natural gas include, but are not limited to: (1) the level of supply and demand for oil and natural gas; (2) the ability or willingness of OPEC and the expanded alliance collectively known as OPEC+ to set and maintain oil production levels; (3) the level of oil and natural gas production in the U.S. and by other non-OPEC+ countries; (4) oil refining capacity and shifts in end-customer preferences toward fuel efficiency and the use of natural gas; (5) the cost of, and constraints associated with, producing and delivering oil and natural gas; (6) governmental regulations, including the policies of governments regarding the exploration for and production and development of their oil and natural gas reserves; (7) weather conditions, natural disasters and health or similar issues, such as pandemics or epidemics; (8) worldwide political, military and economic conditions; and (9) increased demand for alternative energy and electric vehicles, including government initiatives to promote the use of renewable energy sources and public sentiment around alternatives to oil and gas.</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low commodity prices, the short-term tenor of most of our contracts and the financial stress experienced by some of our customers have combined to increase the demands by many of our customers for reductions in the prices we receive for our products and services. Further reductions in capital spending or requests for further cost reductions by our customers could directly impact our business by reducing demand and pricing for our services and products which would have a material adverse effect on our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would curtail drilling programs, as well as discretionary spending on well services, which may result in a reduction in the demand for our services, the rates we can charge and the utilization of our assets which could have a material adverse effect on our business, financial condition, results of operations and cash flow.</w:t>
      </w:r>
    </w:p>
    <w:p>
      <w:pPr>
        <w:spacing w:after="0" w:line="16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Climate change, environmental, social and governance and "sustainability" initiatives may result in significant operational changes and expenditures, reduced demand for our products and adversely affect our business, results of operations, stock price or access to capital markets</w:t>
      </w:r>
      <w:r>
        <w:rPr>
          <w:rFonts w:ascii="Arial" w:cs="Arial" w:eastAsia="Arial" w:hAnsi="Arial"/>
          <w:sz w:val="16"/>
          <w:szCs w:val="16"/>
          <w:color w:val="auto"/>
        </w:rPr>
        <w:t>.</w:t>
      </w:r>
    </w:p>
    <w:p>
      <w:pPr>
        <w:spacing w:after="0" w:line="1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Climate change, environmental, social and governance ("ESG") and sustainability are a growing global movement. Continuing political and social attention to these issues has resulted in both existing and pending international agreements and national, regional or local legislation and regulatory measures, as well as societal pressure in some areas, to limit greenhouse gas emissions and has been stated in the U.S. to be a priority of the new Biden Administration and the SEC, as well as other initiatives. These agreements and measures, including the Paris Climate Accord, may require, or could result in future legislation and regulatory measures that require, significant equipment modifications, operational changes, taxes or purchase of emission credits to reduce emission of greenhouse gases from our operations, which may result in substantial capital expenditures and compliance, operating, maintenance and remediation costs. As a result of heightened public awareness and attention to these issues as well as continued regulatory initiatives to reduce the use of oil and gas, demand for hydrocarbons may be reduced, which would have an adverse effect on our business and results of operations. The imposition and enforcement of stringent greenhouse gas emissions reduction requirements could severely and adversely impact the oil and gas industry and therefore significantly reduce the value of our business.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Certain financial institutions, institutional investors and other sources of capital have begun to limit or eliminate their investment in oil and gas activities due to concerns about climate change, which could make it more difficult to finance our business. Increasing attention to climate change, ESG and sustainability has resulted in governmental investigations, and public and private litigation, which could increase our costs or otherwise adversely affect our business or results of operations.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industries, which could have a negative impact on the price of our Ordinary Shares and our access to and costs of capital.</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Severe weather, including extreme weather conditions associated with global climate change, has in the past and could in the future adversely affect our business and results of operations.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business has been, and in the future will be, affected by severe weather in areas where we operate, which could materially affect our operations and financial results. In addition, impacts of climate change could increase the frequency and severity of extreme weather conditions. Any such extreme weather-related events could have a material adverse effect on our business, financial condition and results of operations.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Liability claims resulting from catastrophic incidents could have a material adverse effect on our business, financial condition and results of operations.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and the environment. Such events may expose us to significant potential losses which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Operational Risks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has significantly weakened demand for our products and services and has had a substantial negative impact on our financial condition, results of operations and cash flows.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effects of the COVID-19 pandemic, including actions taken by businesses and governments to contain the spread of the virus, have resulted in a significant and swift reduction in international and U.S. economic activity. These effects materially adversely affected the demand for oil and natural gas, as well as for our services and products. The collapse in the demand for oil in March 2020 caused in large part by this unprecedented global health and economic crisis, and the corresponding decline in our customers' demand for our services and products had a substantial negative impact on our financial condition, results of operations and cash flows in 2020.</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COVID-19 pandemic impacts severely impacted our business and our industry. These effects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extent to which our operating and financial results are affected by the COVID-19 pandemic will depend on various factors and consequences beyond our control, such as the duration and scope of the pandemic; additional actions by businesses and governments in response to the pandemic; and the speed and effectiveness of responses to combat the virus, including vaccine development and distribution. The COVID-19 pandemic, and the volatile regional and global economic conditions stemming from the pandemic, exacerbated, and could continue to exacerbate, the potential negative impact from many of our risk factors. The COVID-19 pandemic may also have a considerable and detrimental effect on our operating and financial results in a manner that is not currently known to us or that we do not currently consider as significant risks to our operations.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firstLine="648"/>
        <w:spacing w:after="0" w:line="308" w:lineRule="auto"/>
        <w:rPr>
          <w:sz w:val="20"/>
          <w:szCs w:val="20"/>
          <w:color w:val="auto"/>
        </w:rPr>
      </w:pPr>
      <w:r>
        <w:rPr>
          <w:rFonts w:ascii="Arial" w:cs="Arial" w:eastAsia="Arial" w:hAnsi="Arial"/>
          <w:sz w:val="17"/>
          <w:szCs w:val="17"/>
          <w:color w:val="auto"/>
        </w:rPr>
        <w:t>Given the nature and significance of the events described above, we are not able to enumerate all potential risks to our business; however, we believe that in addition to the impacts described above, other current and potential impacts of these recent events include, but are not limited to:</w:t>
      </w:r>
    </w:p>
    <w:p>
      <w:pPr>
        <w:spacing w:after="0" w:line="146"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structural shift in the global economy and its demand for oil and natural gas as a result of changes in the way people work, travel and interact, or in connection with a global recession or depression;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 of our global workforce to adjust to market conditions, including severance payments, retention issues and an inability to hire employees when market conditions improve;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infections and quarantining of our employees and the personnel of our customers, suppliers and other third parties in areas in which we operate;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insurance policies may not cover losses associated with pandemics like COVID-19 or similar global health threats;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risk and possible loss contingencies related to COVID-19 and its impact, including with respect to commercial contracts, employment matters, personal injury and insurance arrangements;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issues, as digital technologies may become more vulnerable and experience a higher rate of cyberattacks in the current environment of remote connectivity due to stay-at-home orders.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Given the dynamic nature of these events, we cannot reasonably estimate the period of time that the COVID-19 pandemic and related market conditions will persist, the full extent of the impact they will have on our business, financial condition, results of operations or cash flows or the pace or extent of any subsequent recovery.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operational and financial growth is dependent on our liquidity requirements and the adequacy of our capital resources.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liquidity, including our ability to meet our ongoing operational obligations, is dependent upon, among other things: (i) our ability to maintain adequate cash on hand; (ii) our ability to generate cash flow from operations; and (iii) changes in market conditions that negatively impact our revenue.</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energy industry faces negative sentiment in the capital markets which has impacted the ability of participants to access appropriate amounts of capital under suitable terms. This negative sentiment in the energy industry has not only impacted our customers in North America, it is also affecting the availability and the pricing for most credit lines extended to participants in the industry.</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utilize letters of credit and performance and bid bonds to provide credit support to our customers. If the beneficiaries were to call the letters of credit issued under our committed and or uncommitted facilities, our available cash balance may be reduced by the amount called and it could have an adverse impact on our business, operations and financial condition.</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2020, we had $338 million of letters of credit outstanding, consisting of $167 million under our senior letter of credit agreement (the "LC Credit Agreement") and $171 million under various uncommitted facilities (of which there was $164 million in cash collateral held and recorded in "Restricted Cash" on the Consolidated Balance Sheets). In Latin America we utilize surety bonds as part of our customary business practice. As of December 31, 2020, we had surety bonds outstanding of $326 million, primarily in Latin America. Any of our outstanding letters of credit or surety bonds could be called by the beneficiaries should we breach certain contractual or performance obligations. If the beneficiaries were to call the letters of credit under the LC Credit Agreement or the surety bonds, our available liquidity would be reduced by the amount called, which could have an adverse impact on our business,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we typically indemnify our customers for claims arising from the injury or death of our employees, the loss or damage of our equipment (other than equipment lost in the hole) or pollution originating from our equipment above the surface of the earth or water.</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unrest. If any of our assets are damaged or destroyed as a result of an uninsured cause, we could recognize a loss of those assets.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financial obligations.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we had approximately $2.6 billion of long-term debt with $2.1 billion in aggregate principal amount of our 11.0% Senior Notes maturing on December 1, 2024 ("Exit Notes") and $500 million in aggregate principal amount of our 8.75% Senior Secured Notes maturing on September 1, 2024 ("Senior Secured Notes"). Pursuant to the terms of our Exit Notes and Senior Secured Notes, we expect to have interest payments of approximately $275 million annually until maturity. Our level of indebtedness has negative consequences for our business, financial condition and results of operations, including:</w:t>
      </w:r>
    </w:p>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on terms that are commercially acceptable;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our Free Cash Flow (as defined below) and the amount of our cash flow available for other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less leveraged competitors or competitors that may have better access to capital resources;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ability to make scheduled payments on or to refinance, if desired before maturity, our debt obligations will depend on our financial and operating performance, which is subject to prevailing economic and competitive conditions and certain financial, business and other factors beyond our control. Lower commodity prices and in turn lower demand for our products and services have negatively impacted our revenues, earnings and cash flows, and sustained low oil and natural gas prices could have an adverse effect on our liquidity position. Any harm to our business and operations resulting from our current or future level of indebtedness could adversely affect our ability to pay amounts due to our lenders and noteholders.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ordinary course of business, we become the subject of various claims and litigation. We maintain liability insurance, which includes insurance against damage to people, property and the environment, up to maximum limits of $350 million, subject to self-insured retentions and deductibles.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significant portion of our revenue is derived from our operations outside the U.S., which exposes us to risks inherent in doing business in each of the over 75 countries in which we operate.</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non-U.S. operations accounted for 80% of our consolidated revenue in 2020. Operations in countries other than the U.S. are subject to various risks, including:</w:t>
      </w:r>
    </w:p>
    <w:p>
      <w:pPr>
        <w:spacing w:after="0" w:line="17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 including currency exchange controls, inflation and currency exchange rate fluctuations and devaluations;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expropriation of our assets, deprivation of contract rights or other governmental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varying international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U.S. or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under the U.S. Corrupt Practices Act or similar legislation;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actual financial results after emergence from bankruptcy are not comparable to our historical financial information as a result of the implementation of the Plan and the transactions contemplated thereby and the implementation of Fresh Start Accounting.</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our emergence from bankruptcy, we adopted Fresh Start Accounting and adjusted our assets and liabilities to fair values and our accumulated deficit was restated to zero as of December 13, 2019, which resulted in the Company becoming a new entity for financial reporting purposes. Accordingly, our financial condition and results of operations following our emergence from bankruptcy will not be comparable to the financial condition and results of operations reflected in our pre-December 13, 2019 historical financial statements. Implementation of the Plan and the transactions contemplated thereby materially changed the amounts and classifications reported in our consolidated historical financial statements. The lack of recent comparable historical financial information may discourage investors from purchasing our Ordinary Shares.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There may be circumstances in which the interests of our significant shareholders could be in conflict with the interests of our other shareholders.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aggregate, certain funds associated with our six largest shareholders currently own in excess of 68% of our outstanding Ordinary Shares. Circumstances may arise in which these shareholders may have an interest in pursuing or preventing acquisitions, divestitures or other transactions, including the issuance of additional equity or debt, that, in their judgment, could enhance their investment in us or another company in which they invest. Such transactions might adversely affect us or other holders of our Ordinary Shares. In addition, our significant concentration of share ownership may adversely affect the trading price of our Ordinary Shares because investors may perceive disadvantages in owning shares in companies with significant shareholders.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terms of our indebtedness restrict our current and future operations, particularly our ability to respond to changes or to pursue our business strategies.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LC Credit Agreement and the indentures governing our Exit Notes and Senior Secured Notes contain restrictive covenants that could impose significant operating and financial restrictions on us and may limit our ability to engage in acts that we may believe to be in our long-term best interest, including restrictions on our ability to:</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and make other distributions;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loans and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assets and incur liens.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covenants and other restrictions may limit our ability to effectively operate our business, and to execute our growth strategy or take advantage of new business opportunities. These covenants and restrictions include minimum liquidity covenants, certain financial ratios, which may apply in certain circumstances, and other restrictions. Our ability to meet the liquidity thresholds and those financial ratios can be affected by events beyond our control.</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breach of the covenants and other restrictions under the LC Credit Agreement, the indentures governing our Senior Secured Notes and Exit Notes or our other indebtedness could result in an event of default thereunder. Such a default may allow the lenders, holders or the trustee, as applicable, to accelerate the related indebtedness and may result in the acceleration of any other indebtedness to which a cross-acceleration or cross-default provision applies. In addition, an event of default under LC Credit Agreements would permit the lenders thereunder to terminate all commitments.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Tax and Regulatory Risks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operations are subject to numerous laws and regulations, including environmental laws and regulations, treaties and international agreements related to greenhouse gases, climate change and alternate energy sources that may expose us to significant liabilities, result in additional compliance costs and could reduce our business opportunities and revenues.</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various laws and regulations related to the energy industry specifically, and the environment in particular. In the case of environmental regulations, an environmental claim could arise with respect to one or more of our current businesses,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increased the costs associated with complying with the more stringent laws and regulations. The scope of regulation of our industry and our products and services may increase further, including possible increases in liabilities or funding requirements imposed by governmental agencies. Additional regulations on deepwater drilling in the Gulf of Mexico and elsewhere in the world could be imposed, and those regulations could limit our business where they are imposed.</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gas wells in low-permeability reservoirs. We previously provided (and may, in the future, resume providing) fracturing services to customers. Regulators are investigating whether any chemicals used in the hydraulic fracturing process might adversely affect groundwater or whether the fracturing processes could lead to other unintended effects or damages. In recent years, local and national governments (including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Regulation of hydraulic fracturing could increase our cost of providing services or materially reduce our business opportunities and revenues if customers decrease their levels of activity or we cannot pass along cost to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82" w:lineRule="auto"/>
        <w:rPr>
          <w:sz w:val="20"/>
          <w:szCs w:val="20"/>
          <w:color w:val="auto"/>
        </w:rPr>
      </w:pPr>
      <w:r>
        <w:rPr>
          <w:rFonts w:ascii="Arial" w:cs="Arial" w:eastAsia="Arial" w:hAnsi="Arial"/>
          <w:sz w:val="18"/>
          <w:szCs w:val="18"/>
          <w:b w:val="1"/>
          <w:bCs w:val="1"/>
          <w:color w:val="auto"/>
        </w:rPr>
        <w:t>Adverse changes in tax laws both in the U.S. and abroad, changes in tax rates or exposure to additional income tax liabilities could have a material adverse effect on our results of operations.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tax laws could significantly increase our tax expense and require us to take actions, at potential significant expense, to seek to preserve our current level of tax expense.</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2002, we reorganized from the U.S. to a foreign jurisdiction. There are frequent legislative proposals in the U.S. that attempt to treat companies that have undertaken similar transactions as U.S. corporations subject to U.S. taxes or to limit the tax deductions or tax credits available to U.S.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Organization of Economic Cooperation and Development,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substantially all of our deferred tax assets.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a U.S. person is treated as owning at least 10% of our Ordinary Shares, such holder may be subject to adverse U.S. federal income tax consequences.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a result of the Tax Cuts and Jobs Act of 2017, many of our non-U.S. subsidiaries are now classified as "controlled foreign corporations" ("CFCs") for U.S. federal income tax purposes due to the expanded application of certain ownership attribution rules within a multinational corporate group. If a U.S. person is treated as owning (directly, indirectly or constructively) at least 10% of the value or voting power of our Ordinary Shares, such person may be treated as a "U.S. shareholder" with respect to one or more of our CFC subsidiaries. In addition, if our Ordinary Shares are treated as owned more than 50% by U.S. shareholders, we would be treated as a CFC. A U.S. shareholder of a CFC may be required to annually report and include in its U.S. taxable income, as ordinary income, its pro rata share of "Subpart F income," "global intangible low-taxed income" and investments in U.S. property by CFCs, whether or not we make any distributions to such U.S. shareholder. An individual U.S. shareholder generally would not be allowed certain tax deductions or foreign tax credits allowed to a corporate U.S. shareholder with respect to a CFC.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CFCs or whether any investor is a U.S. shareholder with respect to any such CFCs. We also cannot guarantee that we will furnish to U.S. shareholders information that may be necessary for them to comply with the aforementioned obligations. U.S. investors should consult their own advisors regarding the potential application of these rules to their investments in us. The risk of being subject to increased taxation may deter our current shareholders from increasing their investment in us and others from investing in us, which could impact the demand for, and value of, our Ordinary Shares.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The U.S. could treat Weatherford International plc (parent corporation) as a U.S. taxpayer under IRC Section 7874.</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Following our emergence from bankruptcy on December 13, 2019, Weatherford continues to operate under Weatherford International plc ("PLC"), an Irish tax resident. The IRS may, however, assert that PLC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PLC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 Under IRC Section 7874, a corporation created or organized outside the U.S.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in certain circumstances if the Third Country Rule (defined below) applies) of the shares of the foreign acquiring corporation after the acquisition by reason of holding shares in the U.S. acquired corporation (the "Section 7874 Percentage"), and (iii) the foreign corporation's "expanded affiliated group" does not have substantial business activities in the foreign corporation's country of organization or incorporation relative to such expanded affiliated group's worldwide activities. The IRS and the U.S. Treasury have issued a rule that generally provides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U.S. domestic company for U.S. federal income tax purposes (the "Third Country Rule"). Although it is not free from doubt, we believe that as a result of the implementation of the Plan, PLC should not be treated as acquiring directly or indirectly substantially all of the properties of a U.S. corporation and, as a result, PLC is not expected to be treated as a U.S. corporation or otherwise subject to the adverse tax consequences of IRC Section 7874. The law and the Treasury Regulations promulgated under IRC Section 7874 are, however, unclear and there can be no assurance that the IRS will agree with this conclusion. If it is determined that IRC Section 7874 is applicable, PLC would be a U.S. corporation for U.S. federal income tax purposes, the taxable year of Weatherford U.S. consolidated group could end on or prior to the emergence from bankruptcy, which could result in additional adverse tax consequences. In addition, although PLC would be treated as a U.S. corporation for U.S. federal income tax purposes, it would generally also be considered an Irish tax resident for Irish tax and other non-U.S. tax purposes.</w:t>
      </w:r>
    </w:p>
    <w:p>
      <w:pPr>
        <w:spacing w:after="0" w:line="3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rights of our shareholders are governed by Irish law; Irish law differs from the laws in effect in the U.S. and may afford less protection to holders of our securities.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an Irish company, we are governed by the Companies Act 2014 of Ireland, as amended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U.S. As a result, it might not be possible for shareholders to enforce civil liability provisions of the federal or state securities laws of the U.S.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organized under the laws of Ireland, and a significant portion of our assets are located outside the U.S. As such, a shareholder who obtains a court judgment may not be able to enforce a court judgment obtained in the U.S. against us in Ireland and other countries, based on the civil liability provisions of the U.S. federal or state securities laws. In addition, there is some uncertainty as to whether the courts of Ireland and other countries would recognize or enforce judgments of U.S. courts obtained against us or our directors or officers based on the civil liabilities provisions of the U.S. federal or state securities laws or hear actions against us or those persons based on those laws. The laws of Ireland do, however, as a general rule, provide that the judgments of the courts of the U.S. have the same validity in Ireland as if rendered by Irish Courts. Certain important requirements must be satisfied before the Irish Courts will recognize the U.S. judgment. These requirements include that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enforceable in Ireland.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based solely on U.S. federal or state securities laws, would not automatically be enforceable in Ireland.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Similarly, judgments might not be enforceable in countries other than the U.S. where we have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Ordinary Shares may not develop.</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Ordinary Shares are currently trading on the OTC Pink Marketplace under the ticker symbol "WFTLF". If our Ordinary Shares are listed for trading on Nasdaq, an active trading market may never fully develop or be sustained following the effectiveness of this registration statement and the listing on Nasdaq. Further, we cannot predict the extent to which investor interest in us will lead to the development of an active trading market or how liquid that market might become. If an active trading market does not develop, holders of our Ordinary Shares may have difficulty selling any of our Ordinary Shares that may now be owned or may be purchased later at a price that is attractive or at all. In addition, an inactive market may impair our ability to raise capital by selling Ordinary Shares (for which we have no current plan) and may impair our ability to acquire other companies by using our Ordinary Shares as consideration, which, in turn, could materially affect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and trading volume of our Ordinary Shares may be volatile and fluctuate significantly.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 price of our Ordinary Shares has been, and may continue to be highly volatile and may fluctuate substantially due to the following factors (in addition to the other risk factors described in this section): actual or anticipated fluctuations in our results of operations; variance in our financial performance from the expectations of equity research analysts; conditions and trends in the markets we serve; announcements of significant new services or products by us or our competitors; additions of or changes to key employees; changes in market valuations or earnings of our competitors; the trading volume of our Ordinary Shares; future sales of our equity securities; changes in the estimation of the future sizes and growth rates of our markets; legislation or regulatory policies, practices or actions; and general economic conditions.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stock market in general has experienced extreme price and volume fluctuations that have at times been unrelated or disproportionate to the operating performance of the particular companies affected. These market and industry factors may materially harm the price of our Ordinary Shares irrespective of our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do not intend to pay dividends on our Ordinary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Following the effectiveness of this registration statement, we do not anticipate that we will pay any cash dividends on our Ordinary Shares for the foreseeable future. Any determination to pay dividends in the future will be at the discretion of our Board and will depend on results of operations, financial condition, contractual restrictions, restrictions imposed by applicable law and other factors our Board deems relevant.</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or publish unfavorable research or reports about our business, the price of our Ordinary Shares and trading volume could decline.</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Ordinary Shares depends in part on the research and reports that securities or industry analysts publish about us, our business, our market or our competitors. We may not obtain research coverage by securities and industry analysts. If no securities or industry analysts commence coverage of our Company, the trading price for our Ordinary Shares could be negatively impacted. In the event we obtain securities or industry analyst coverage, if one or more of the analysts who covers us publishes unfavorable research or reports or downgrades our Ordinary Shares, the price of our Ordinary Shares would likely decline. If one or more of these analysts ceases to cover us or fails to regularly publish reports on us, interest in our Ordinary Shares could decrease, which could cause the price of our Ordinary Shares or trading volume to decline.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The availability of shares for sale in the future could reduce the market price of our Ordinary Shares.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future, we may issue securities to raise cash, for acquisitions or otherwise. In addition, we expect to issue Ordinary Shares under the Warrants and pursuant to equity incentive plans we put in place from time to time. We may also acquire interests in other companies by using a combination of cash and our Ordinary Shares or just our Ordinary Shares. We may also issue securities convertible into our Ordinary Shares. Any of these events may dilute your ownership interest in our Company and have an adverse impact on the price of our Ordinary Shares.</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sales of a substantial amount of our Ordinary Shares in the public market, or the perception that these sales may occur, could reduce the market price of our Ordinary Shares. This could also impair our ability to raise additional capital through the sale of our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long-lived assets and other assets are impaired, we may be required to record significant non-cash charges to our earnings.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recognize impairments of long-lived assets when we determine the carrying amount of certain long-lived asset groups exceed their respective fair values. Our impairment assessment includes analysis of the undiscounted cash flow of our asset groups, which include property, plant and equipment, definite-lived intangible assets and right of use assets. Based on the uncertainty of forecasted revenue, forecasted operating margins and discount rate assumptions used to estimate our asset groups' fair value, future reductions in our expected cash flows could cause a material non-cash impairment charge of long-lived assets, which could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by cybersecurity incidents and other technology disruptions.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rely heavily on information systems to conduct and protect our business. These information systems are increasingly subject to sophisticated cybersecurity incidents such as unauthorized access to data and systems, loss or destruction of data (including confidential customer, supplier and employee information), computer viruses or other malicious code, phishing and cyberattacks and other similar events. These incidents arise from numerous sources, not all of which are within our control, including fraud or malice on the part of third parties,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Given the rapidly evolving nature of cybersecurity incidents, there can be no assurance that the systems we have designed and implemented to prevent or limit the effects of cybersecurity incidents or attacks will be sufficient in preventing all such incidents or attacks, or be able to avoid a material impact to our systems should such incidents or attacks occur. A cybersecurity incident or attack, could result in the disclosure of confidential or proprietary customer, supplier or employee information, theft or loss of intellectual property, damage to our reputation with our customers, suppliers and the market, failure to meet customer requirements or customer dissatisfaction, theft or exposure to litigation, damage to equipment (which could cause environmental or safety issues) and other financial costs and losses. Moreover, although Weatherford implements stringent controls on third party connectivity to our systems, we have limited control in ensuring their systems consistently enforce strong cybersecurity controls. As a result, the occurrence of a cybersecurity incident or attack could go unnoticed for a period time. As cybersecurity incidents and attacks continue to evolve, we may also be required to devote additional resources to continue to enhance our protective measures or to investigate or remediate any cybersecurity vulnerabilities. Beginning in 2021, we maintain insurance coverage to protect against certain cybersecurity risks. However, we cannot ensure that it will be sufficient to cover any particular losses we may experience as a result of such cybersecurity incident or attack. Any cybersecurity incident or attack could have a material adverse effect on our business, financial condition and results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Financial Information.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information required by this Item 2 pursuant to Item 303 of Regulation S-K is contained within the section titled "Part II – Item 7. – Management's Discussion and Analysis of Financial Conditions and Results of Operations." in the Form 10-K, which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currently exposed to market risk from changes in foreign currency and changes in interest rates. From time to time, we may enter into derivative financial instrument transactions to manage or reduce our market risk. A discussion of our market risk exposure in these financial instruments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Rates and Inflationary Impacts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conduct operations in over 75 countries and have service and sales locations in oil and natural gas producing regions globally. In some parts of the world, such as Latin America, the Middle East and Southeast Asia, the currency of our primary economic environment is the U.S. dollar, and thus we use the U.S. dollar primarily as our functional currency. In other parts of the world, we conduct our business in currencies other than the U.S. dollar, and the functional currency is the applicable local currency. We recognized foreign currency exchange losses of $34 million for the year ended December 31, 2020 compared to $14 million for 2019. The unfavorable change primarily relates to the weakening of foreign currencies following the onset of the COVID-19 pandemic. For the year ended December 31, 2018, the Predecessor recognized currency devaluation charges of $49 million primarily related to the devaluation of the Angolan kwanza. Foreign currency exchange losses and currency devaluation charges are included in current earnings in "Part II – Item 8. – Financial Statements and Supplementary Data – Consolidated Statements of Operations" in the Form 10-K, which is incorporated herein by reference. For additional details see "Part II - Item 7. – Management's Discussion and Analysis of Financial Condition and Results of Operations. – Other Income (Expense), Net" in the Form 10-K, which is incorporated herein by reference.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Foreign Currency Forward Contracts and Cross-Currency Swaps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Assets and liabilities of entities for which the functional currency other than the U.S. dollar are translated into U.S. dollars using the exchange rates in effect at the balance sheet date result in translation adjustments that are reflected in the Accumulated Other Comprehensive Loss in the Shareholders' Deficiency in "Part II – Item 8. – Financial Statements and Supplementary Data – Consolidated Balance Sheets" in the Form 10-K, which is incorporated herein by reference. We had foreign currency translation loss of $38 million during the Successor Period in 2020, foreign currency translation income of $7 million in the Successor Period in 2019 and $52 million in Predecessor Period during 2019.</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and 2019, we had outstanding foreign currency forward contracts with total notional amounts aggregating $337 million and $389 million, respectively. These contracts were entered into in order to hedge our net monetary exposure to currency fluctuations in various foreign currencies. The total estimated fair value of these contracts and amounts owed associated with closed contracts at December 31, 2020 and 2019, resulted in an immaterial net liability in both periods. These derivative instruments were not designated as hedges, and the changes in fair value of the contracts are recorded each period in current earnings.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interest rate risk on our long-term fixed-interest rate debt. Fixed rate debt exposes us to changes in market interest rates reflected in the fair value of the debt and to the risk that we may need to refinance any maturing debt with new debt at a higher rate. All else being equal, the fair value of our fixed rate debt will increase or decrease inversely to changes in interest rates. The carrying value and fair value of our Exit Notes and Senior Secured Notes outstanding at December 31, 2020 and December 31, 2019, is contained within "Part II – Item 8. – Financial Statements and Supplementary Data – Notes to Consolidated Financial Statements – Note 15 – Fair Value of Financial Instruments, Assets and Other Assets" of the Form 10-K, which is incorporated herein by reference. At December 31, 2020, we have various finance leases and believe the impact of changes in interest rates in the near term will not be material to these instruments. The carrying value of our short-term borrowings at December 31, 2020 approximates their fair value.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operations are conducted in over 75 countries and we have manufacturing facilities, research and technology centers, fluids and processing centers and sales, service and distribution locations throughout the world. The following sets forth the locations of our principal owned or leased facilities for our commercial operations by geographic segment as of December 31, 2020:</w:t>
      </w:r>
    </w:p>
    <w:p>
      <w:pPr>
        <w:spacing w:after="0" w:line="234"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18"/>
          <w:szCs w:val="18"/>
          <w:b w:val="1"/>
          <w:bCs w:val="1"/>
          <w:color w:val="auto"/>
        </w:rPr>
        <w:t>Region</w:t>
      </w:r>
      <w:r>
        <w:rPr>
          <w:sz w:val="20"/>
          <w:szCs w:val="20"/>
          <w:color w:val="auto"/>
        </w:rPr>
        <w:tab/>
      </w:r>
      <w:r>
        <w:rPr>
          <w:rFonts w:ascii="Arial" w:cs="Arial" w:eastAsia="Arial" w:hAnsi="Arial"/>
          <w:sz w:val="18"/>
          <w:szCs w:val="18"/>
          <w:b w:val="1"/>
          <w:bCs w:val="1"/>
          <w:color w:val="auto"/>
        </w:rPr>
        <w:t>Specific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06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30" w:lineRule="exact"/>
        <w:rPr>
          <w:sz w:val="20"/>
          <w:szCs w:val="20"/>
          <w:color w:val="auto"/>
        </w:rPr>
      </w:pPr>
    </w:p>
    <w:p>
      <w:pPr>
        <w:jc w:val="both"/>
        <w:ind w:left="2300" w:right="80" w:hanging="2267"/>
        <w:spacing w:after="0" w:line="263" w:lineRule="auto"/>
        <w:tabs>
          <w:tab w:leader="none" w:pos="2280" w:val="left"/>
        </w:tabs>
        <w:rPr>
          <w:sz w:val="20"/>
          <w:szCs w:val="20"/>
          <w:color w:val="auto"/>
        </w:rPr>
      </w:pPr>
      <w:r>
        <w:rPr>
          <w:rFonts w:ascii="Arial" w:cs="Arial" w:eastAsia="Arial" w:hAnsi="Arial"/>
          <w:sz w:val="18"/>
          <w:szCs w:val="18"/>
          <w:b w:val="1"/>
          <w:bCs w:val="1"/>
          <w:color w:val="auto"/>
        </w:rPr>
        <w:t>Western Hemisphere:</w:t>
      </w:r>
      <w:r>
        <w:rPr>
          <w:sz w:val="20"/>
          <w:szCs w:val="20"/>
          <w:color w:val="auto"/>
        </w:rPr>
        <w:tab/>
      </w:r>
      <w:r>
        <w:rPr>
          <w:rFonts w:ascii="Arial" w:cs="Arial" w:eastAsia="Arial" w:hAnsi="Arial"/>
          <w:sz w:val="18"/>
          <w:szCs w:val="18"/>
          <w:color w:val="auto"/>
        </w:rPr>
        <w:t>Houston, Huntsville, Longview, Odessa and San Antonio, Texas; Broussard, Louisiana; Williston, North Dakota; Colorado Springs, Colorado; Bakersfield, California; Edmonton and Nisku, Canada; Neuquén, Argentina; Macae, Brazil; Venustiano Carranza and Villahermosa, Mexico; and Villavicencio, 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634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99" w:lineRule="exact"/>
        <w:rPr>
          <w:sz w:val="20"/>
          <w:szCs w:val="20"/>
          <w:color w:val="auto"/>
        </w:rPr>
      </w:pPr>
    </w:p>
    <w:p>
      <w:pPr>
        <w:ind w:left="2300" w:right="20" w:hanging="2267"/>
        <w:spacing w:after="0" w:line="279" w:lineRule="auto"/>
        <w:tabs>
          <w:tab w:leader="none" w:pos="2280" w:val="left"/>
        </w:tabs>
        <w:rPr>
          <w:sz w:val="20"/>
          <w:szCs w:val="20"/>
          <w:color w:val="auto"/>
        </w:rPr>
      </w:pPr>
      <w:r>
        <w:rPr>
          <w:rFonts w:ascii="Arial" w:cs="Arial" w:eastAsia="Arial" w:hAnsi="Arial"/>
          <w:sz w:val="18"/>
          <w:szCs w:val="18"/>
          <w:b w:val="1"/>
          <w:bCs w:val="1"/>
          <w:color w:val="auto"/>
        </w:rPr>
        <w:t>Eastern Hemisphere:</w:t>
      </w:r>
      <w:r>
        <w:rPr>
          <w:sz w:val="20"/>
          <w:szCs w:val="20"/>
          <w:color w:val="auto"/>
        </w:rPr>
        <w:tab/>
      </w:r>
      <w:r>
        <w:rPr>
          <w:rFonts w:ascii="Arial" w:cs="Arial" w:eastAsia="Arial" w:hAnsi="Arial"/>
          <w:sz w:val="17"/>
          <w:szCs w:val="17"/>
          <w:color w:val="auto"/>
        </w:rPr>
        <w:t>Aberdeen, UK; Stavanger, Norway; Baku, Azerbaijan; Ploiesti, Romania; Luanda, Angola; Port Harcourt, Nigeria; Langenhagen, Germany; Aktobe, Kazakhstan; Nizhnevartovsk and Noyabrsk, Russia; Hassi Messaoud, Algeria; Cairo, Egypt; North Rumaila and Erbil, Iraq; Mina Abdulla, Kuwait; Nimr, Oman; Karachi, Pakistan; Dhahran, Saudi Arabia; Abu Dhabi and Dubai, United Arab Emirates; Malaga, Australia; Jiangsu, China; and Barmer, India.</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executive offices are in Houston, Texas. We own or lease numerous other facilities such as service centers, shops and sales and administrative offices throughout the geographic regions in which we operate. All of our material U.S. properties are mortgaged to the lenders under our Senior Secured Notes and LC Credit Agreement. All of our remaining owned properties are unencumbered; however, the lenders could require we mortgage them as well. We believe the facilities that we currently occupy are suitable for their intended use.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Owned by Directors and Executive Officers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table shows the number and percentage of registered Ordinary Shares beneficially owned by each of our directors, each of our named executive officers ("NEOs") and all of our directors and current executive officers as a group. Share ownership information of our directors and current executive officers is as of March 19, 2021. Share ownership information for former executive officers is based on their last filed Form 4s and other corporate records as of their date of departure from the Company. Each person has sole voting and investment power for the Ordinary Shares shown below, unless otherwise noted.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5"/>
              </w:rPr>
              <w:t>Total Ordinary</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Right to</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60" w:type="dxa"/>
            <w:vAlign w:val="bottom"/>
          </w:tcPr>
          <w:p>
            <w:pPr>
              <w:jc w:val="center"/>
              <w:ind w:left="490"/>
              <w:spacing w:after="0" w:line="181" w:lineRule="exact"/>
              <w:rPr>
                <w:sz w:val="20"/>
                <w:szCs w:val="20"/>
                <w:color w:val="auto"/>
              </w:rPr>
            </w:pPr>
            <w:r>
              <w:rPr>
                <w:rFonts w:ascii="Arial" w:cs="Arial" w:eastAsia="Arial" w:hAnsi="Arial"/>
                <w:sz w:val="18"/>
                <w:szCs w:val="18"/>
                <w:b w:val="1"/>
                <w:bCs w:val="1"/>
                <w:color w:val="auto"/>
                <w:w w:val="95"/>
              </w:rPr>
              <w:t>Ordinary</w:t>
            </w:r>
          </w:p>
        </w:tc>
        <w:tc>
          <w:tcPr>
            <w:tcW w:w="1360" w:type="dxa"/>
            <w:vAlign w:val="bottom"/>
            <w:vMerge w:val="continue"/>
          </w:tcPr>
          <w:p>
            <w:pPr>
              <w:spacing w:after="0"/>
              <w:rPr>
                <w:sz w:val="15"/>
                <w:szCs w:val="15"/>
                <w:color w:val="auto"/>
              </w:rPr>
            </w:pPr>
          </w:p>
        </w:tc>
        <w:tc>
          <w:tcPr>
            <w:tcW w:w="15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Beneficially</w:t>
            </w:r>
          </w:p>
        </w:tc>
        <w:tc>
          <w:tcPr>
            <w:tcW w:w="13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5"/>
              </w:rPr>
              <w:t>Ordinary</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22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9"/>
              </w:rPr>
              <w:t>Shares Owned</w:t>
            </w:r>
          </w:p>
        </w:tc>
        <w:tc>
          <w:tcPr>
            <w:tcW w:w="1360" w:type="dxa"/>
            <w:vAlign w:val="bottom"/>
            <w:tcBorders>
              <w:bottom w:val="single" w:sz="8" w:color="auto"/>
            </w:tcBorders>
          </w:tcPr>
          <w:p>
            <w:pPr>
              <w:jc w:val="right"/>
              <w:ind w:right="250"/>
              <w:spacing w:after="0" w:line="270" w:lineRule="exact"/>
              <w:rPr>
                <w:sz w:val="20"/>
                <w:szCs w:val="20"/>
                <w:color w:val="auto"/>
              </w:rPr>
            </w:pPr>
            <w:r>
              <w:rPr>
                <w:rFonts w:ascii="Arial" w:cs="Arial" w:eastAsia="Arial" w:hAnsi="Arial"/>
                <w:sz w:val="18"/>
                <w:szCs w:val="18"/>
                <w:b w:val="1"/>
                <w:bCs w:val="1"/>
                <w:color w:val="auto"/>
              </w:rPr>
              <w:t>Acquire</w:t>
            </w:r>
            <w:r>
              <w:rPr>
                <w:rFonts w:ascii="Arial" w:cs="Arial" w:eastAsia="Arial" w:hAnsi="Arial"/>
                <w:sz w:val="29"/>
                <w:szCs w:val="29"/>
                <w:b w:val="1"/>
                <w:bCs w:val="1"/>
                <w:color w:val="auto"/>
                <w:vertAlign w:val="superscript"/>
              </w:rPr>
              <w:t>(1)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2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Girishchandra K. Saligram</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102,797</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102,797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Scott C. Weatherholt</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2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Charles M. Sledge</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C. Duster, IV</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Neal P. Goldman</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Jacqueline C. Mutschler</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Former Executive Officers</w:t>
            </w: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McCollum</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1,741</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19,349</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21,090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Karl Blanchard</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725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8,060</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8,785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 Garcia</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17,390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17,390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Mark D. Swift</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289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3,223</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3,512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Fraser</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2,084</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2,271</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Frederico Justus</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and current executive officers as a group</w:t>
            </w:r>
          </w:p>
        </w:tc>
        <w:tc>
          <w:tcPr>
            <w:tcW w:w="2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(Seven persons)</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102,797</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102,797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Borders>
              <w:bottom w:val="single" w:sz="8" w:color="auto"/>
            </w:tcBorders>
          </w:tcPr>
          <w:p>
            <w:pPr>
              <w:spacing w:after="0"/>
              <w:rPr>
                <w:sz w:val="23"/>
                <w:szCs w:val="23"/>
                <w:color w:val="auto"/>
              </w:rPr>
            </w:pPr>
          </w:p>
        </w:tc>
        <w:tc>
          <w:tcPr>
            <w:tcW w:w="19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new Ordinary Shares that can be acquired through the exercise of the Warrants received in the bankruptcy as consideration for old Ordinary Shares owned by the individual pursuant to the terms of the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Shares Owned by Certain Beneficial Holders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table shows information for each person who may be deemed to beneficially own 5% or more of our outstanding registered Ordinary Shares as of March 19, 2021, as contained in filings made by the shareholder with the SEC or in other information made available to 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21"/>
        </w:trPr>
        <w:tc>
          <w:tcPr>
            <w:tcW w:w="8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Ordinary</w:t>
            </w: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Ordinary</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tcBorders>
              <w:bottom w:val="single" w:sz="8" w:color="auto"/>
            </w:tcBorders>
          </w:tcPr>
          <w:p>
            <w:pPr>
              <w:jc w:val="center"/>
              <w:ind w:right="30"/>
              <w:spacing w:after="0" w:line="270" w:lineRule="exact"/>
              <w:rPr>
                <w:sz w:val="20"/>
                <w:szCs w:val="20"/>
                <w:color w:val="auto"/>
              </w:rPr>
            </w:pPr>
            <w:r>
              <w:rPr>
                <w:rFonts w:ascii="Arial" w:cs="Arial" w:eastAsia="Arial" w:hAnsi="Arial"/>
                <w:sz w:val="18"/>
                <w:szCs w:val="18"/>
                <w:b w:val="1"/>
                <w:bCs w:val="1"/>
                <w:color w:val="auto"/>
                <w:w w:val="81"/>
              </w:rPr>
              <w:t>Shares</w:t>
            </w:r>
            <w:r>
              <w:rPr>
                <w:rFonts w:ascii="Arial" w:cs="Arial" w:eastAsia="Arial" w:hAnsi="Arial"/>
                <w:sz w:val="29"/>
                <w:szCs w:val="29"/>
                <w:b w:val="1"/>
                <w:bCs w:val="1"/>
                <w:color w:val="auto"/>
                <w:w w:val="81"/>
                <w:vertAlign w:val="superscript"/>
              </w:rPr>
              <w:t>(1)</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Franklin Resources, Inc.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One Franklin Parkway</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15,300,451</w:t>
            </w:r>
            <w:r>
              <w:rPr>
                <w:rFonts w:ascii="Arial" w:cs="Arial" w:eastAsia="Arial" w:hAnsi="Arial"/>
                <w:sz w:val="22"/>
                <w:szCs w:val="22"/>
                <w:color w:val="auto"/>
                <w:vertAlign w:val="superscript"/>
              </w:rPr>
              <w:t>(2)</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San Mateo, California 94403-1906</w:t>
            </w: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The Capital Group Companies, Inc.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60"/>
              <w:spacing w:after="0"/>
              <w:rPr>
                <w:sz w:val="20"/>
                <w:szCs w:val="20"/>
                <w:color w:val="auto"/>
              </w:rPr>
            </w:pPr>
            <w:r>
              <w:rPr>
                <w:rFonts w:ascii="Arial" w:cs="Arial" w:eastAsia="Arial" w:hAnsi="Arial"/>
                <w:sz w:val="18"/>
                <w:szCs w:val="18"/>
                <w:color w:val="auto"/>
              </w:rPr>
              <w:t>333 South Hope Street</w:t>
            </w:r>
          </w:p>
        </w:tc>
        <w:tc>
          <w:tcPr>
            <w:tcW w:w="14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8,226,998</w:t>
            </w:r>
            <w:r>
              <w:rPr>
                <w:rFonts w:ascii="Arial" w:cs="Arial" w:eastAsia="Arial" w:hAnsi="Arial"/>
                <w:sz w:val="22"/>
                <w:szCs w:val="22"/>
                <w:color w:val="auto"/>
                <w:vertAlign w:val="superscript"/>
              </w:rPr>
              <w:t>(3)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60"/>
              <w:spacing w:after="0"/>
              <w:rPr>
                <w:sz w:val="20"/>
                <w:szCs w:val="20"/>
                <w:color w:val="auto"/>
              </w:rPr>
            </w:pPr>
            <w:r>
              <w:rPr>
                <w:rFonts w:ascii="Arial" w:cs="Arial" w:eastAsia="Arial" w:hAnsi="Arial"/>
                <w:sz w:val="18"/>
                <w:szCs w:val="18"/>
                <w:color w:val="auto"/>
              </w:rPr>
              <w:t>Los Angeles, California 90071</w:t>
            </w:r>
          </w:p>
        </w:tc>
        <w:tc>
          <w:tcPr>
            <w:tcW w:w="1480" w:type="dxa"/>
            <w:vAlign w:val="bottom"/>
            <w:gridSpan w:val="3"/>
            <w:vMerge w:val="continue"/>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Yacktman Asset Management LP</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6300 Bridgepoint Parkway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Building One, Suite 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8,155,746</w:t>
            </w:r>
            <w:r>
              <w:rPr>
                <w:rFonts w:ascii="Arial" w:cs="Arial" w:eastAsia="Arial" w:hAnsi="Arial"/>
                <w:sz w:val="22"/>
                <w:szCs w:val="22"/>
                <w:color w:val="auto"/>
                <w:vertAlign w:val="superscript"/>
              </w:rPr>
              <w:t>(4)</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Austin, Texas 78730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Oaktree Holdings, LLC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60"/>
              <w:spacing w:after="0"/>
              <w:rPr>
                <w:sz w:val="20"/>
                <w:szCs w:val="20"/>
                <w:color w:val="auto"/>
              </w:rPr>
            </w:pPr>
            <w:r>
              <w:rPr>
                <w:rFonts w:ascii="Arial" w:cs="Arial" w:eastAsia="Arial" w:hAnsi="Arial"/>
                <w:sz w:val="18"/>
                <w:szCs w:val="18"/>
                <w:color w:val="auto"/>
              </w:rPr>
              <w:t>333 S. Grand Avenue, 28th Floor</w:t>
            </w:r>
          </w:p>
        </w:tc>
        <w:tc>
          <w:tcPr>
            <w:tcW w:w="14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6,919,730</w:t>
            </w:r>
            <w:r>
              <w:rPr>
                <w:rFonts w:ascii="Arial" w:cs="Arial" w:eastAsia="Arial" w:hAnsi="Arial"/>
                <w:sz w:val="22"/>
                <w:szCs w:val="22"/>
                <w:color w:val="auto"/>
                <w:vertAlign w:val="superscript"/>
              </w:rPr>
              <w:t>(5)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60"/>
              <w:spacing w:after="0"/>
              <w:rPr>
                <w:sz w:val="20"/>
                <w:szCs w:val="20"/>
                <w:color w:val="auto"/>
              </w:rPr>
            </w:pPr>
            <w:r>
              <w:rPr>
                <w:rFonts w:ascii="Arial" w:cs="Arial" w:eastAsia="Arial" w:hAnsi="Arial"/>
                <w:sz w:val="18"/>
                <w:szCs w:val="18"/>
                <w:color w:val="auto"/>
              </w:rPr>
              <w:t>Los Angeles, California 90071</w:t>
            </w:r>
          </w:p>
        </w:tc>
        <w:tc>
          <w:tcPr>
            <w:tcW w:w="1480" w:type="dxa"/>
            <w:vAlign w:val="bottom"/>
            <w:gridSpan w:val="3"/>
            <w:vMerge w:val="continue"/>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Exor N.V.</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Gustav Mahlerplein 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Amsterdam, 1082 MS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4,832,164</w:t>
            </w:r>
            <w:r>
              <w:rPr>
                <w:rFonts w:ascii="Arial" w:cs="Arial" w:eastAsia="Arial" w:hAnsi="Arial"/>
                <w:sz w:val="22"/>
                <w:szCs w:val="22"/>
                <w:color w:val="auto"/>
                <w:vertAlign w:val="superscript"/>
              </w:rPr>
              <w:t>(6)</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Netherlands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Barclays PLC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60"/>
              <w:spacing w:after="0"/>
              <w:rPr>
                <w:sz w:val="20"/>
                <w:szCs w:val="20"/>
                <w:color w:val="auto"/>
              </w:rPr>
            </w:pPr>
            <w:r>
              <w:rPr>
                <w:rFonts w:ascii="Arial" w:cs="Arial" w:eastAsia="Arial" w:hAnsi="Arial"/>
                <w:sz w:val="18"/>
                <w:szCs w:val="18"/>
                <w:color w:val="auto"/>
              </w:rPr>
              <w:t>1 Churchhill Place</w:t>
            </w:r>
          </w:p>
        </w:tc>
        <w:tc>
          <w:tcPr>
            <w:tcW w:w="14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4,727,610</w:t>
            </w:r>
            <w:r>
              <w:rPr>
                <w:rFonts w:ascii="Arial" w:cs="Arial" w:eastAsia="Arial" w:hAnsi="Arial"/>
                <w:sz w:val="22"/>
                <w:szCs w:val="22"/>
                <w:color w:val="auto"/>
                <w:vertAlign w:val="superscript"/>
              </w:rPr>
              <w:t>(7)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320" w:type="dxa"/>
            <w:vAlign w:val="bottom"/>
          </w:tcPr>
          <w:p>
            <w:pPr>
              <w:ind w:left="460"/>
              <w:spacing w:after="0"/>
              <w:rPr>
                <w:sz w:val="20"/>
                <w:szCs w:val="20"/>
                <w:color w:val="auto"/>
              </w:rPr>
            </w:pPr>
            <w:r>
              <w:rPr>
                <w:rFonts w:ascii="Arial" w:cs="Arial" w:eastAsia="Arial" w:hAnsi="Arial"/>
                <w:sz w:val="18"/>
                <w:szCs w:val="18"/>
                <w:color w:val="auto"/>
              </w:rPr>
              <w:t>London, E14 5HP, England</w:t>
            </w:r>
          </w:p>
        </w:tc>
        <w:tc>
          <w:tcPr>
            <w:tcW w:w="1480" w:type="dxa"/>
            <w:vAlign w:val="bottom"/>
            <w:gridSpan w:val="3"/>
            <w:vMerge w:val="continue"/>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percentage is based on 70,120,153 outstanding Ordinary Shares as of March 19, 2021.</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13G/A filed with the SEC on February 2, 2021 by Franklin Resources Inc. and related reporting persons. According to the filing, (i) the beneficial owner has sole voting and dispositive power over 15,300,451 Ordinary Shares, and (ii) the beneficial owner does not have shared voting or dispositive power over any of the Ordinary Shares.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Ordinary Shares is based on information in a notice of holdings required under applicable Irish law and received by the Company on February 23, 2021.</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Ordinary Shares is based on the Schedule 13G/A filed with the SEC on February 12, 2021 by Yacktman Asset Management LP and related reporting persons. According to the filing, (i) the beneficial owner has sole voting and dispositive power over 2,711,845 Ordinary Shares, and (ii) the beneficial owner has shared voting and dispositive power over an additional 5,443,901 Ordinary Shares.</w:t>
      </w:r>
    </w:p>
    <w:p>
      <w:pPr>
        <w:spacing w:after="0" w:line="165" w:lineRule="exact"/>
        <w:rPr>
          <w:rFonts w:ascii="Arial" w:cs="Arial" w:eastAsia="Arial" w:hAnsi="Arial"/>
          <w:sz w:val="17"/>
          <w:szCs w:val="17"/>
          <w:color w:val="auto"/>
        </w:rPr>
      </w:pPr>
    </w:p>
    <w:p>
      <w:pPr>
        <w:jc w:val="both"/>
        <w:ind w:left="340" w:right="2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13G/A filed with the SEC on February 16, 2021 by Oaktree Holdings, LLC and related reporting persons. According to the filing, (i) the beneficial owner reports sole voting and dispositive power over 6,919,730 Ordinary Shares, and (ii) the beneficial owner does not have shared voting or dispositive power over any of the Ordinary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13G/A filed with the SEC on February 4, 2021 by Exor N.V. According to the filing, (i) the beneficial owner reports sole voting and dispositive power over 4,832,164 Ordinary Shares, and (ii) the beneficial owner does not have shared voting or dispositive power over any of the Ordinary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 filed with the SEC on February 11, 2021 by Barclays PLC and related reporting persons. According to the filing, (i) the beneficial owner reports sole voting and dispositive power over 4,727,610 Ordinary Shares, and (ii) the beneficial owner does not have shared voting or dispositive power over any of the Ordinary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as of March 19, 2021, the names and ages of our executive officers, including all offices and positions held by each for at least the past five years. There are no family relationships between the executive officers of the Company or between any director and any executive officer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8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Current Position and Five-Year Business Experience</w:t>
            </w:r>
          </w:p>
        </w:tc>
      </w:tr>
      <w:tr>
        <w:trPr>
          <w:trHeight w:val="224"/>
        </w:trPr>
        <w:tc>
          <w:tcPr>
            <w:tcW w:w="216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360" w:type="dxa"/>
            <w:vAlign w:val="bottom"/>
          </w:tcPr>
          <w:p>
            <w:pPr>
              <w:ind w:left="160"/>
              <w:spacing w:after="0"/>
              <w:rPr>
                <w:sz w:val="20"/>
                <w:szCs w:val="20"/>
                <w:color w:val="auto"/>
              </w:rPr>
            </w:pPr>
            <w:r>
              <w:rPr>
                <w:rFonts w:ascii="Arial" w:cs="Arial" w:eastAsia="Arial" w:hAnsi="Arial"/>
                <w:sz w:val="18"/>
                <w:szCs w:val="18"/>
                <w:color w:val="auto"/>
              </w:rPr>
              <w:t>President and Chief Executive Officer of Weatherford since October 2020</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1"/>
              </w:rPr>
              <w:t>Senior Vice President and Chief Operating Officer of Exterran Corporation from August 2018 to September 2020</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Senior Vice President Global Services of Exterran Corporation from August 2016 to August 2018</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2"/>
              </w:rPr>
              <w:t>Positions of increasing responsibilities at GE Oil &amp; Gas ending with General Manager, Downstream Products &amp;</w:t>
            </w:r>
          </w:p>
        </w:tc>
      </w:tr>
      <w:tr>
        <w:trPr>
          <w:trHeight w:val="230"/>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Services, in August 2016</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H. Keith Jennings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36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 of Weatherford since September 2020</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9"/>
              </w:rPr>
              <w:t>Executive Vice President and Chief Financial Officer of Calumet Specialty Products Partners, L.P. from</w:t>
            </w:r>
          </w:p>
        </w:tc>
      </w:tr>
      <w:tr>
        <w:trPr>
          <w:trHeight w:val="230"/>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November 2019 to September 2020</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Vice President, Finance of Eastman Chemical Company, May 2018 to October 2019</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Vice President and Treasurer of Eastman Chemical Company from August 2016 to May 2018</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Vice President and Treasurer of Cameron International Corporation from June 2009 to April 2016</w:t>
            </w:r>
          </w:p>
        </w:tc>
      </w:tr>
      <w:tr>
        <w:trPr>
          <w:trHeight w:val="595"/>
        </w:trPr>
        <w:tc>
          <w:tcPr>
            <w:tcW w:w="2160" w:type="dxa"/>
            <w:vAlign w:val="bottom"/>
          </w:tcPr>
          <w:p>
            <w:pPr>
              <w:spacing w:after="0"/>
              <w:rPr>
                <w:sz w:val="20"/>
                <w:szCs w:val="20"/>
                <w:color w:val="auto"/>
              </w:rPr>
            </w:pPr>
            <w:r>
              <w:rPr>
                <w:rFonts w:ascii="Arial" w:cs="Arial" w:eastAsia="Arial" w:hAnsi="Arial"/>
                <w:sz w:val="18"/>
                <w:szCs w:val="18"/>
                <w:color w:val="auto"/>
              </w:rPr>
              <w:t>Scott C. Weatherholt</w:t>
            </w:r>
            <w:r>
              <w:rPr>
                <w:rFonts w:ascii="Arial" w:cs="Arial" w:eastAsia="Arial" w:hAnsi="Arial"/>
                <w:sz w:val="29"/>
                <w:szCs w:val="29"/>
                <w:color w:val="auto"/>
                <w:vertAlign w:val="superscript"/>
              </w:rPr>
              <w:t>(1)</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360" w:type="dxa"/>
            <w:vAlign w:val="bottom"/>
          </w:tcPr>
          <w:p>
            <w:pPr>
              <w:ind w:left="160"/>
              <w:spacing w:after="0"/>
              <w:rPr>
                <w:sz w:val="20"/>
                <w:szCs w:val="20"/>
                <w:color w:val="auto"/>
              </w:rPr>
            </w:pPr>
            <w:r>
              <w:rPr>
                <w:rFonts w:ascii="Arial" w:cs="Arial" w:eastAsia="Arial" w:hAnsi="Arial"/>
                <w:sz w:val="18"/>
                <w:szCs w:val="18"/>
                <w:color w:val="auto"/>
                <w:w w:val="97"/>
              </w:rPr>
              <w:t>Executive Vice President, General Counsel and Chief Compliance Officer of Weatherford since July 2020</w:t>
            </w:r>
          </w:p>
        </w:tc>
      </w:tr>
      <w:tr>
        <w:trPr>
          <w:trHeight w:val="309"/>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Senior Vice President and General Counsel of Arena Energy, L.P., from September 2019 to July 2020</w:t>
            </w:r>
          </w:p>
        </w:tc>
      </w:tr>
    </w:tbl>
    <w:p>
      <w:pPr>
        <w:spacing w:after="0" w:line="202" w:lineRule="exact"/>
        <w:rPr>
          <w:sz w:val="20"/>
          <w:szCs w:val="20"/>
          <w:color w:val="auto"/>
        </w:rPr>
      </w:pPr>
    </w:p>
    <w:p>
      <w:pPr>
        <w:ind w:left="3040"/>
        <w:spacing w:after="0" w:line="277" w:lineRule="auto"/>
        <w:rPr>
          <w:sz w:val="20"/>
          <w:szCs w:val="20"/>
          <w:color w:val="auto"/>
        </w:rPr>
      </w:pPr>
      <w:r>
        <w:rPr>
          <w:rFonts w:ascii="Arial" w:cs="Arial" w:eastAsia="Arial" w:hAnsi="Arial"/>
          <w:sz w:val="18"/>
          <w:szCs w:val="18"/>
          <w:color w:val="auto"/>
        </w:rPr>
        <w:t>Executive Vice President, General Counsel and Corporate Secretary at Midstates Petroleum Company, Inc., from February 2015 to August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left="340" w:hanging="332"/>
        <w:spacing w:after="0" w:line="25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joining Weatherford, Mr. Weatherholt was the General Counsel at Midstates Petroleum Company, Inc. when the company filed for bankruptcy protection on May 1, 2016 in the Federal Bankruptcy Court for the Southern District of Texas (Houston Division) and served the 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four weeks after his departure from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Information about our Board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Directors' Diversity of Skills and Expertise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Board's composition is carefully considered by the Nominating and Governance Committee to ensure diversity in the broadest sense – independence, diversity of viewpoints, backgrounds and experience, including a consideration of gender, ethnicity, race, country of citizenship and age – to bring together multiple, complementary perspectives. The Board membership qualifications and nomination process can be found in our Governance Principles at www.weatherford.com by clicking on the "Investor Relations" section then "Corporate Governance," then "Corporate Documents," then selecting "Corporate Governance Principles."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directors bring a range of skills and experience in relevant areas, including finance, exploration and production, environment, international business and leadership, as well as oilfield services. This impactful cross-section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ethics and integrity. Each of our directors embodies the highest degree of personal and professional standards arming them with the qualified insights to deliver sustainable shareholder value.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of Directors Biographies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currently consists of five members, as set forth in the table below. Our Amended and Restated Memorandum and Articles of Association (the "Articles") do not limit the number of terms a member may be re-elected to the Board. All of our directors are independent under the rules of Nasdaq, other than Girishchandra K. Saligram, who was appointed to the Board upon joining the Company as our President and Chief Executive Officer in October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88"/>
              </w:rPr>
              <w:t>Age</w:t>
            </w:r>
          </w:p>
        </w:tc>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Charles M. Sledge</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55</w:t>
            </w: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of the Board, Independent Non-Employee Director</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Benjamin C. Duster, IV</w:t>
            </w:r>
          </w:p>
        </w:tc>
        <w:tc>
          <w:tcPr>
            <w:tcW w:w="1420" w:type="dxa"/>
            <w:vAlign w:val="bottom"/>
          </w:tcPr>
          <w:p>
            <w:pPr>
              <w:jc w:val="center"/>
              <w:ind w:left="710"/>
              <w:spacing w:after="0"/>
              <w:rPr>
                <w:sz w:val="20"/>
                <w:szCs w:val="20"/>
                <w:color w:val="auto"/>
              </w:rPr>
            </w:pPr>
            <w:r>
              <w:rPr>
                <w:rFonts w:ascii="Arial" w:cs="Arial" w:eastAsia="Arial" w:hAnsi="Arial"/>
                <w:sz w:val="18"/>
                <w:szCs w:val="18"/>
                <w:color w:val="auto"/>
                <w:w w:val="89"/>
              </w:rPr>
              <w:t>60</w:t>
            </w:r>
          </w:p>
        </w:tc>
        <w:tc>
          <w:tcPr>
            <w:tcW w:w="6920" w:type="dxa"/>
            <w:vAlign w:val="bottom"/>
          </w:tcPr>
          <w:p>
            <w:pPr>
              <w:ind w:left="180"/>
              <w:spacing w:after="0"/>
              <w:rPr>
                <w:sz w:val="20"/>
                <w:szCs w:val="20"/>
                <w:color w:val="auto"/>
              </w:rPr>
            </w:pPr>
            <w:r>
              <w:rPr>
                <w:rFonts w:ascii="Arial" w:cs="Arial" w:eastAsia="Arial" w:hAnsi="Arial"/>
                <w:sz w:val="18"/>
                <w:szCs w:val="18"/>
                <w:color w:val="auto"/>
              </w:rPr>
              <w:t>Independent Non-Employee Director</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Neal P. Goldman</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51</w:t>
            </w: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Independent Non-Employee Director</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Jacqueline C. Mutschler</w:t>
            </w:r>
          </w:p>
        </w:tc>
        <w:tc>
          <w:tcPr>
            <w:tcW w:w="1420" w:type="dxa"/>
            <w:vAlign w:val="bottom"/>
          </w:tcPr>
          <w:p>
            <w:pPr>
              <w:jc w:val="center"/>
              <w:ind w:left="710"/>
              <w:spacing w:after="0"/>
              <w:rPr>
                <w:sz w:val="20"/>
                <w:szCs w:val="20"/>
                <w:color w:val="auto"/>
              </w:rPr>
            </w:pPr>
            <w:r>
              <w:rPr>
                <w:rFonts w:ascii="Arial" w:cs="Arial" w:eastAsia="Arial" w:hAnsi="Arial"/>
                <w:sz w:val="18"/>
                <w:szCs w:val="18"/>
                <w:color w:val="auto"/>
                <w:w w:val="89"/>
              </w:rPr>
              <w:t>59</w:t>
            </w:r>
          </w:p>
        </w:tc>
        <w:tc>
          <w:tcPr>
            <w:tcW w:w="6920" w:type="dxa"/>
            <w:vAlign w:val="bottom"/>
          </w:tcPr>
          <w:p>
            <w:pPr>
              <w:ind w:left="180"/>
              <w:spacing w:after="0"/>
              <w:rPr>
                <w:sz w:val="20"/>
                <w:szCs w:val="20"/>
                <w:color w:val="auto"/>
              </w:rPr>
            </w:pPr>
            <w:r>
              <w:rPr>
                <w:rFonts w:ascii="Arial" w:cs="Arial" w:eastAsia="Arial" w:hAnsi="Arial"/>
                <w:sz w:val="18"/>
                <w:szCs w:val="18"/>
                <w:color w:val="auto"/>
              </w:rPr>
              <w:t>Independent Non-Employee Director</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Girishchandra K. Saligram</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49</w:t>
            </w: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 and Director</w:t>
            </w:r>
          </w:p>
        </w:tc>
      </w:tr>
      <w:tr>
        <w:trPr>
          <w:trHeight w:val="648"/>
        </w:trPr>
        <w:tc>
          <w:tcPr>
            <w:tcW w:w="2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904"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1928495" cy="1765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92849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Dec.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Safety, Environment and Sustainability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Talos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Vine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25625" cy="1842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5625" cy="184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CHARLES M. SLEDGE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Sledge previously served as the Chief Financial Officer of Cameron International Corporation, an oilfield services company, from 2008 until its sale to Schlumberger Limited in 2016. Prior to that, he served as the Corporate Controller of Cameron International Corporation from 2001 until 2008. He currently serves on the boards of Talos Energy Inc., Noble Corporation and Vine Energy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Louisiana State University, B.S. in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Harvard Business School, Advanced Management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BENJAMIN C. DUSTER,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00" w:lineRule="exact"/>
        <w:rPr>
          <w:sz w:val="20"/>
          <w:szCs w:val="20"/>
          <w:color w:val="auto"/>
        </w:rPr>
      </w:pPr>
    </w:p>
    <w:p>
      <w:pPr>
        <w:sectPr>
          <w:pgSz w:w="11900" w:h="16838" w:orient="portrait"/>
          <w:cols w:equalWidth="0" w:num="2">
            <w:col w:w="3200" w:space="180"/>
            <w:col w:w="7860"/>
          </w:cols>
          <w:pgMar w:left="320" w:top="1336" w:right="339" w:bottom="1440" w:gutter="0" w:footer="0" w:header="0"/>
        </w:sectPr>
      </w:pPr>
    </w:p>
    <w:p>
      <w:pPr>
        <w:spacing w:after="0" w:line="29" w:lineRule="exact"/>
        <w:rPr>
          <w:sz w:val="20"/>
          <w:szCs w:val="20"/>
          <w:color w:val="auto"/>
        </w:rPr>
      </w:pPr>
    </w:p>
    <w:p>
      <w:pPr>
        <w:jc w:val="both"/>
        <w:ind w:left="3380"/>
        <w:spacing w:after="0" w:line="275" w:lineRule="auto"/>
        <w:rPr>
          <w:sz w:val="20"/>
          <w:szCs w:val="20"/>
          <w:color w:val="auto"/>
        </w:rPr>
      </w:pPr>
      <w:r>
        <w:rPr>
          <w:rFonts w:ascii="Arial" w:cs="Arial" w:eastAsia="Arial" w:hAnsi="Arial"/>
          <w:sz w:val="17"/>
          <w:szCs w:val="17"/>
          <w:color w:val="auto"/>
        </w:rPr>
        <w:t>Mr. Duster IV is the Founder and Chief Executive Officer of Cormorant IV Corporation, LLC, a consulting firm specializing in operational turnarounds and organizational transformations (founded in 2014). He is a 30-year veteran of Wall Street with extensive experience in M&amp;A and Strategic Advisory Services in both developed and emerging markets. Mr. Duster currently serves on the board and chairs the audit committee at both Alaska Communications Systems Group, Inc. and Chesapeake Energy Corporation.</w:t>
      </w:r>
    </w:p>
    <w:p>
      <w:pPr>
        <w:sectPr>
          <w:pgSz w:w="11900" w:h="16838" w:orient="portrait"/>
          <w:cols w:equalWidth="0" w:num="1">
            <w:col w:w="11240"/>
          </w:cols>
          <w:pgMar w:left="320" w:top="13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Human Resources (Chair)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Governance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Alaska Communications Systems Group, Inc. Chesapeake Energy Corporation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Yale University, BA in Economics (Applied Math minor) with Honors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Harvard Law School, Juris Doctorate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Harvard Business School,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300" w:space="80"/>
            <w:col w:w="7860"/>
          </w:cols>
          <w:pgMar w:left="320" w:top="1336"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NEAL P. GOLDMAN</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8"/>
              </w:rPr>
              <w:t>Mr. Goldman has over 25 years of experience in investing and working with companies to maximize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shareholder value. Since 2015, he has been the Managing Member of SAGE Capital Investments, LLC, 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consulting firm specializing in independent board of director services, restructuring, strategic planning and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1"/>
              </w:rPr>
              <w:t>transformations for companies in multiple industries including energy, technology, media, retail, gaming and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industrials. From 2014 to 2016, he was a Managing Director at Och-Ziff Capital Management, LP and, from</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4"/>
              </w:rPr>
              <w:t>2007 to 2012, a Founding Partner of Brigade Capital Management, LLC, which he helped to build to over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$12 billion in assets under management. Mr. Goldman currently serves as Chairman of the Board of Talos</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Energy Inc.</w:t>
            </w:r>
          </w:p>
        </w:tc>
        <w:tc>
          <w:tcPr>
            <w:tcW w:w="0" w:type="dxa"/>
            <w:vAlign w:val="bottom"/>
          </w:tcPr>
          <w:p>
            <w:pPr>
              <w:spacing w:after="0"/>
              <w:rPr>
                <w:sz w:val="1"/>
                <w:szCs w:val="1"/>
                <w:color w:val="auto"/>
              </w:rPr>
            </w:pPr>
          </w:p>
        </w:tc>
      </w:tr>
      <w:tr>
        <w:trPr>
          <w:trHeight w:val="414"/>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51</w:t>
            </w: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Education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 2019</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COMMITTEES:</w:t>
            </w:r>
          </w:p>
        </w:tc>
        <w:tc>
          <w:tcPr>
            <w:tcW w:w="7940" w:type="dxa"/>
            <w:vAlign w:val="bottom"/>
          </w:tcPr>
          <w:p>
            <w:pPr>
              <w:ind w:left="80"/>
              <w:spacing w:after="0"/>
              <w:rPr>
                <w:sz w:val="20"/>
                <w:szCs w:val="20"/>
                <w:color w:val="auto"/>
              </w:rPr>
            </w:pPr>
            <w:r>
              <w:rPr>
                <w:rFonts w:ascii="Arial" w:cs="Arial" w:eastAsia="Arial" w:hAnsi="Arial"/>
                <w:sz w:val="18"/>
                <w:szCs w:val="18"/>
                <w:color w:val="auto"/>
              </w:rPr>
              <w:t>University of Michigan, BA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Audit (Vice Chair)</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Compensation and Human Resources</w:t>
            </w:r>
          </w:p>
        </w:tc>
        <w:tc>
          <w:tcPr>
            <w:tcW w:w="7940" w:type="dxa"/>
            <w:vAlign w:val="bottom"/>
          </w:tcPr>
          <w:p>
            <w:pPr>
              <w:ind w:left="80"/>
              <w:spacing w:after="0"/>
              <w:rPr>
                <w:sz w:val="20"/>
                <w:szCs w:val="20"/>
                <w:color w:val="auto"/>
              </w:rPr>
            </w:pPr>
            <w:r>
              <w:rPr>
                <w:rFonts w:ascii="Arial" w:cs="Arial" w:eastAsia="Arial" w:hAnsi="Arial"/>
                <w:sz w:val="18"/>
                <w:szCs w:val="18"/>
                <w:color w:val="auto"/>
              </w:rPr>
              <w:t>University of Illinois, MBA</w:t>
            </w: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8"/>
                <w:szCs w:val="18"/>
                <w:color w:val="auto"/>
              </w:rPr>
              <w:t>Nominating and Governance (Chair)</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7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Talos Energy Inc.</w:t>
            </w:r>
          </w:p>
        </w:tc>
        <w:tc>
          <w:tcPr>
            <w:tcW w:w="7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JACQUELINE C. MUTSCHLER</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0"/>
              </w:rPr>
              <w:t>Ms. Mutschler has over 30 years of business and technology experience in the oil industry. She held a range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of strategic, operational and technology roles at BP plc that spanned its international businesses. Her most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0"/>
              </w:rPr>
              <w:t>recent appointment at BP was the Head of Upstream Technology. Since her retirement from BP in 2014, she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has provided independent consulting for the energy and technology industries. Ms. Mutschler is currently 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director at Antero Resources Corporation.</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Education</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Wright State University, B.S., Geology/Geophysics</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Stanford University, Executive Education Program</w:t>
            </w:r>
          </w:p>
        </w:tc>
        <w:tc>
          <w:tcPr>
            <w:tcW w:w="0" w:type="dxa"/>
            <w:vAlign w:val="bottom"/>
          </w:tcPr>
          <w:p>
            <w:pPr>
              <w:spacing w:after="0"/>
              <w:rPr>
                <w:sz w:val="1"/>
                <w:szCs w:val="1"/>
                <w:color w:val="auto"/>
              </w:rPr>
            </w:pPr>
          </w:p>
        </w:tc>
      </w:tr>
      <w:tr>
        <w:trPr>
          <w:trHeight w:val="140"/>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 2019</w:t>
            </w:r>
          </w:p>
        </w:tc>
        <w:tc>
          <w:tcPr>
            <w:tcW w:w="7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300" w:type="dxa"/>
            <w:vAlign w:val="bottom"/>
            <w:vMerge w:val="continue"/>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COMMITTEES:</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Massachusetts Institute of Technology, Executive Education Program</w:t>
            </w:r>
          </w:p>
        </w:tc>
        <w:tc>
          <w:tcPr>
            <w:tcW w:w="0" w:type="dxa"/>
            <w:vAlign w:val="bottom"/>
          </w:tcPr>
          <w:p>
            <w:pPr>
              <w:spacing w:after="0"/>
              <w:rPr>
                <w:sz w:val="1"/>
                <w:szCs w:val="1"/>
                <w:color w:val="auto"/>
              </w:rPr>
            </w:pPr>
          </w:p>
        </w:tc>
      </w:tr>
      <w:tr>
        <w:trPr>
          <w:trHeight w:val="136"/>
        </w:trPr>
        <w:tc>
          <w:tcPr>
            <w:tcW w:w="3300" w:type="dxa"/>
            <w:vAlign w:val="bottom"/>
            <w:vMerge w:val="restart"/>
          </w:tcPr>
          <w:p>
            <w:pPr>
              <w:spacing w:after="0"/>
              <w:rPr>
                <w:sz w:val="20"/>
                <w:szCs w:val="20"/>
                <w:color w:val="auto"/>
              </w:rPr>
            </w:pPr>
            <w:r>
              <w:rPr>
                <w:rFonts w:ascii="Arial" w:cs="Arial" w:eastAsia="Arial" w:hAnsi="Arial"/>
                <w:sz w:val="18"/>
                <w:szCs w:val="18"/>
                <w:color w:val="auto"/>
              </w:rPr>
              <w:t>Compensation and Human Resources</w:t>
            </w:r>
          </w:p>
        </w:tc>
        <w:tc>
          <w:tcPr>
            <w:tcW w:w="7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300" w:type="dxa"/>
            <w:vAlign w:val="bottom"/>
            <w:vMerge w:val="continue"/>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Nominating and Governance</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Safety, Environment and Sustainability</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8"/>
                <w:szCs w:val="18"/>
                <w:color w:val="auto"/>
              </w:rPr>
              <w:t>(Chair)</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7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Antero Resources Corporation</w:t>
            </w:r>
          </w:p>
        </w:tc>
        <w:tc>
          <w:tcPr>
            <w:tcW w:w="7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-6651625</wp:posOffset>
            </wp:positionV>
            <wp:extent cx="1877060" cy="1757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77060" cy="17576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1757045" cy="1817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57045" cy="181737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42770" cy="1834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84277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Oct.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Safety, Environment and Sustainability </w:t>
      </w:r>
      <w:r>
        <w:rPr>
          <w:rFonts w:ascii="Arial" w:cs="Arial" w:eastAsia="Arial" w:hAnsi="Arial"/>
          <w:sz w:val="17"/>
          <w:szCs w:val="17"/>
          <w:b w:val="1"/>
          <w:bCs w:val="1"/>
          <w:color w:val="auto"/>
        </w:rPr>
        <w:t>OTHER PUBLIC COMPANY BOARDS:</w:t>
      </w: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Board and Board Committees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GIRISHCHANDRA K. SALIGRAM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Saligram joined Weatherford as our President and Chief Executive Officer in October 2020. Before joining Weatherford, Mr. Saligram served Exterran Corporation, a global systems and process company offering solutions in the oil, gas, water and power markets, as Chief Operating Officer and previously as President, Global Services after joining the company in 2016. Prior to Exterran Corporation, Mr. Saligram spent 20 years with GE in positions of increasing responsibility as a functional and business leader in industry sectors across the globe, including his last position as General Manager, Downstream Products &amp; Services for GE Oil &amp; Gas. Prior to that, Mr. Saligram led the GE Oil &amp; Gas Contractual Services business based in Florence, Italy. Before his eight years in the oil and gas sector, Mr. Saligram spent 12 years with GE Healthcare in engineering, services, operations, and other commercial roles.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Bangalore University, B.E, Computer Science &amp; Engineering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Virginia Polytechnic Institute and State University, M.S., Computer Science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Northwestern University, Kellogg Graduate School of Management, M.B.A.</w:t>
      </w:r>
    </w:p>
    <w:p>
      <w:pPr>
        <w:spacing w:after="0" w:line="620" w:lineRule="exact"/>
        <w:rPr>
          <w:sz w:val="20"/>
          <w:szCs w:val="20"/>
          <w:color w:val="auto"/>
        </w:rPr>
      </w:pPr>
    </w:p>
    <w:p>
      <w:pPr>
        <w:sectPr>
          <w:pgSz w:w="11900" w:h="16838" w:orient="portrait"/>
          <w:cols w:equalWidth="0" w:num="2">
            <w:col w:w="3200" w:space="180"/>
            <w:col w:w="7860"/>
          </w:cols>
          <w:pgMar w:left="320" w:top="904" w:right="339" w:bottom="1440" w:gutter="0" w:footer="0" w:header="0"/>
        </w:sectPr>
      </w:pPr>
    </w:p>
    <w:p>
      <w:pPr>
        <w:spacing w:after="0" w:line="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and Human Resources; Nominating and Governance; and Safety, Environment and Sustainability, all of which are further described below. The members of each committee listed below are as of the date of this registration statement.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9" w:name="page30"/>
    <w:bookmarkEnd w:id="2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7734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77340" cy="411480"/>
                    </a:xfrm>
                    <a:prstGeom prst="rect">
                      <a:avLst/>
                    </a:prstGeom>
                    <a:noFill/>
                  </pic:spPr>
                </pic:pic>
              </a:graphicData>
            </a:graphic>
          </wp:anchor>
        </w:drawing>
      </w:r>
    </w:p>
    <w:p>
      <w:pPr>
        <w:jc w:val="center"/>
        <w:ind w:left="120"/>
        <w:spacing w:after="0"/>
        <w:rPr>
          <w:sz w:val="20"/>
          <w:szCs w:val="20"/>
          <w:color w:val="auto"/>
        </w:rPr>
      </w:pPr>
      <w:r>
        <w:rPr>
          <w:rFonts w:ascii="Arial" w:cs="Arial" w:eastAsia="Arial" w:hAnsi="Arial"/>
          <w:sz w:val="18"/>
          <w:szCs w:val="18"/>
          <w:b w:val="1"/>
          <w:bCs w:val="1"/>
          <w:color w:val="FFFFFF"/>
        </w:rPr>
        <w:t>AUDIT</w:t>
      </w:r>
    </w:p>
    <w:p>
      <w:pPr>
        <w:spacing w:after="0" w:line="27"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FFFFFF"/>
        </w:rPr>
        <w:t>COMMITTEE</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Duster,</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Goldman (Vice Chair),</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Sledge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577340" cy="5623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77340" cy="5623560"/>
                    </a:xfrm>
                    <a:prstGeom prst="rect">
                      <a:avLst/>
                    </a:prstGeom>
                    <a:noFill/>
                  </pic:spPr>
                </pic:pic>
              </a:graphicData>
            </a:graphic>
          </wp:anchor>
        </w:drawing>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180" w:hanging="75"/>
        <w:spacing w:after="0" w:line="257" w:lineRule="auto"/>
        <w:tabs>
          <w:tab w:leader="none" w:pos="2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integrity of our financial reporting process and systems of internal accounting and financial controls;</w:t>
      </w:r>
    </w:p>
    <w:p>
      <w:pPr>
        <w:spacing w:after="0" w:line="187" w:lineRule="exact"/>
        <w:rPr>
          <w:rFonts w:ascii="Arial" w:cs="Arial" w:eastAsia="Arial" w:hAnsi="Arial"/>
          <w:sz w:val="18"/>
          <w:szCs w:val="18"/>
          <w:color w:val="auto"/>
        </w:rPr>
      </w:pPr>
    </w:p>
    <w:p>
      <w:pPr>
        <w:ind w:left="180" w:right="480" w:hanging="75"/>
        <w:spacing w:after="0" w:line="277" w:lineRule="auto"/>
        <w:tabs>
          <w:tab w:leader="none" w:pos="2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170" w:lineRule="exact"/>
        <w:rPr>
          <w:rFonts w:ascii="Arial" w:cs="Arial" w:eastAsia="Arial" w:hAnsi="Arial"/>
          <w:sz w:val="18"/>
          <w:szCs w:val="18"/>
          <w:color w:val="auto"/>
        </w:rPr>
      </w:pPr>
    </w:p>
    <w:p>
      <w:pPr>
        <w:ind w:left="180" w:right="220" w:hanging="75"/>
        <w:spacing w:after="0" w:line="286" w:lineRule="auto"/>
        <w:tabs>
          <w:tab w:leader="none" w:pos="207" w:val="left"/>
        </w:tabs>
        <w:numPr>
          <w:ilvl w:val="0"/>
          <w:numId w:val="11"/>
        </w:numPr>
        <w:rPr>
          <w:rFonts w:ascii="Arial" w:cs="Arial" w:eastAsia="Arial" w:hAnsi="Arial"/>
          <w:sz w:val="17"/>
          <w:szCs w:val="17"/>
          <w:color w:val="auto"/>
        </w:rPr>
      </w:pPr>
      <w:r>
        <w:rPr>
          <w:rFonts w:ascii="Arial" w:cs="Arial" w:eastAsia="Arial" w:hAnsi="Arial"/>
          <w:sz w:val="17"/>
          <w:szCs w:val="17"/>
          <w:color w:val="auto"/>
        </w:rPr>
        <w:t>overseeing our compliance with legal and regulatory requirements;</w:t>
      </w:r>
    </w:p>
    <w:p>
      <w:pPr>
        <w:spacing w:after="0" w:line="165" w:lineRule="exact"/>
        <w:rPr>
          <w:rFonts w:ascii="Arial" w:cs="Arial" w:eastAsia="Arial" w:hAnsi="Arial"/>
          <w:sz w:val="17"/>
          <w:szCs w:val="17"/>
          <w:color w:val="auto"/>
        </w:rPr>
      </w:pPr>
    </w:p>
    <w:p>
      <w:pPr>
        <w:ind w:left="180" w:right="20" w:hanging="75"/>
        <w:spacing w:after="0" w:line="275" w:lineRule="auto"/>
        <w:tabs>
          <w:tab w:leader="none" w:pos="20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authorizing and being responsible for the appointment, compensation, retention, and oversight of our independent auditor;</w:t>
      </w:r>
    </w:p>
    <w:p>
      <w:pPr>
        <w:spacing w:after="0" w:line="176" w:lineRule="exact"/>
        <w:rPr>
          <w:rFonts w:ascii="Arial" w:cs="Arial" w:eastAsia="Arial" w:hAnsi="Arial"/>
          <w:sz w:val="17"/>
          <w:szCs w:val="17"/>
          <w:color w:val="auto"/>
        </w:rPr>
      </w:pPr>
    </w:p>
    <w:p>
      <w:pPr>
        <w:ind w:left="180" w:right="180" w:hanging="75"/>
        <w:spacing w:after="0" w:line="311" w:lineRule="auto"/>
        <w:tabs>
          <w:tab w:leader="none" w:pos="2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overseeing our independent auditor's qualifications and independence; and</w:t>
      </w:r>
    </w:p>
    <w:p>
      <w:pPr>
        <w:spacing w:after="0" w:line="148" w:lineRule="exact"/>
        <w:rPr>
          <w:rFonts w:ascii="Arial" w:cs="Arial" w:eastAsia="Arial" w:hAnsi="Arial"/>
          <w:sz w:val="16"/>
          <w:szCs w:val="16"/>
          <w:color w:val="auto"/>
        </w:rPr>
      </w:pPr>
    </w:p>
    <w:p>
      <w:pPr>
        <w:ind w:left="180" w:right="60" w:hanging="75"/>
        <w:spacing w:after="0" w:line="296" w:lineRule="auto"/>
        <w:tabs>
          <w:tab w:leader="none" w:pos="2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overseeing the performance of our internal assurance function, including internal audits and investigations, and our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Meetings in 2020: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57734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773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8" w:right="340"/>
        <w:spacing w:after="0" w:line="257" w:lineRule="auto"/>
        <w:rPr>
          <w:sz w:val="20"/>
          <w:szCs w:val="20"/>
          <w:color w:val="auto"/>
        </w:rPr>
      </w:pPr>
      <w:r>
        <w:rPr>
          <w:rFonts w:ascii="Arial" w:cs="Arial" w:eastAsia="Arial" w:hAnsi="Arial"/>
          <w:sz w:val="18"/>
          <w:szCs w:val="18"/>
          <w:b w:val="1"/>
          <w:bCs w:val="1"/>
          <w:color w:val="FFFFFF"/>
        </w:rPr>
        <w:t>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-410210</wp:posOffset>
            </wp:positionV>
            <wp:extent cx="178308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411480"/>
                    </a:xfrm>
                    <a:prstGeom prst="rect">
                      <a:avLst/>
                    </a:prstGeom>
                    <a:noFill/>
                  </pic:spPr>
                </pic:pic>
              </a:graphicData>
            </a:graphic>
          </wp:anchor>
        </w:drawing>
      </w:r>
    </w:p>
    <w:p>
      <w:pPr>
        <w:ind w:left="189"/>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Mr. Duster (Chair),</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Mr. Goldman,</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Ms.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5715</wp:posOffset>
            </wp:positionV>
            <wp:extent cx="1783080" cy="5623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5623560"/>
                    </a:xfrm>
                    <a:prstGeom prst="rect">
                      <a:avLst/>
                    </a:prstGeom>
                    <a:noFill/>
                  </pic:spPr>
                </pic:pic>
              </a:graphicData>
            </a:graphic>
          </wp:anchor>
        </w:drawing>
      </w:r>
    </w:p>
    <w:p>
      <w:pPr>
        <w:spacing w:after="0" w:line="18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89" w:right="140" w:hanging="89"/>
        <w:spacing w:after="0" w:line="296" w:lineRule="auto"/>
        <w:tabs>
          <w:tab w:leader="none" w:pos="1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Monitoring and reviewing the Company's overall compensation and benefits program design to ensure program discourages excessive risk taking;</w:t>
      </w:r>
    </w:p>
    <w:p>
      <w:pPr>
        <w:spacing w:after="0" w:line="161" w:lineRule="exact"/>
        <w:rPr>
          <w:rFonts w:ascii="Arial" w:cs="Arial" w:eastAsia="Arial" w:hAnsi="Arial"/>
          <w:sz w:val="16"/>
          <w:szCs w:val="16"/>
          <w:color w:val="auto"/>
        </w:rPr>
      </w:pPr>
    </w:p>
    <w:p>
      <w:pPr>
        <w:ind w:left="89" w:right="40" w:hanging="89"/>
        <w:spacing w:after="0" w:line="296" w:lineRule="auto"/>
        <w:tabs>
          <w:tab w:leader="none" w:pos="1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assessing compensation program's continued competitiveness and consistency with compensation philosophy, corporate strategy and objectives;</w:t>
      </w:r>
    </w:p>
    <w:p>
      <w:pPr>
        <w:spacing w:after="0" w:line="161" w:lineRule="exact"/>
        <w:rPr>
          <w:rFonts w:ascii="Arial" w:cs="Arial" w:eastAsia="Arial" w:hAnsi="Arial"/>
          <w:sz w:val="16"/>
          <w:szCs w:val="16"/>
          <w:color w:val="auto"/>
        </w:rPr>
      </w:pPr>
    </w:p>
    <w:p>
      <w:pPr>
        <w:ind w:left="89" w:right="300" w:hanging="89"/>
        <w:spacing w:after="0" w:line="342" w:lineRule="auto"/>
        <w:tabs>
          <w:tab w:leader="none" w:pos="1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w:t>
      </w:r>
    </w:p>
    <w:p>
      <w:pPr>
        <w:spacing w:after="0" w:line="123" w:lineRule="exact"/>
        <w:rPr>
          <w:rFonts w:ascii="Arial" w:cs="Arial" w:eastAsia="Arial" w:hAnsi="Arial"/>
          <w:sz w:val="16"/>
          <w:szCs w:val="16"/>
          <w:color w:val="auto"/>
        </w:rPr>
      </w:pPr>
    </w:p>
    <w:p>
      <w:pPr>
        <w:ind w:left="89" w:right="120" w:hanging="89"/>
        <w:spacing w:after="0" w:line="327" w:lineRule="auto"/>
        <w:tabs>
          <w:tab w:leader="none" w:pos="116"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reviewing, with the Chief Executive Officer, and approving each component of compensation of our executive officers;</w:t>
      </w:r>
    </w:p>
    <w:p>
      <w:pPr>
        <w:spacing w:after="0" w:line="139" w:lineRule="exact"/>
        <w:rPr>
          <w:rFonts w:ascii="Arial" w:cs="Arial" w:eastAsia="Arial" w:hAnsi="Arial"/>
          <w:sz w:val="15"/>
          <w:szCs w:val="15"/>
          <w:color w:val="auto"/>
        </w:rPr>
      </w:pPr>
    </w:p>
    <w:p>
      <w:pPr>
        <w:ind w:left="89" w:right="580" w:hanging="89"/>
        <w:spacing w:after="0" w:line="342" w:lineRule="auto"/>
        <w:tabs>
          <w:tab w:leader="none" w:pos="1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selecting appropriate compensation peer groups;</w:t>
      </w:r>
    </w:p>
    <w:p>
      <w:pPr>
        <w:spacing w:after="0" w:line="123" w:lineRule="exact"/>
        <w:rPr>
          <w:rFonts w:ascii="Arial" w:cs="Arial" w:eastAsia="Arial" w:hAnsi="Arial"/>
          <w:sz w:val="16"/>
          <w:szCs w:val="16"/>
          <w:color w:val="auto"/>
        </w:rPr>
      </w:pPr>
    </w:p>
    <w:p>
      <w:pPr>
        <w:ind w:left="89" w:hanging="89"/>
        <w:spacing w:after="0" w:line="320" w:lineRule="auto"/>
        <w:tabs>
          <w:tab w:leader="none" w:pos="116" w:val="left"/>
        </w:tabs>
        <w:numPr>
          <w:ilvl w:val="0"/>
          <w:numId w:val="12"/>
        </w:numPr>
        <w:rPr>
          <w:rFonts w:ascii="Arial" w:cs="Arial" w:eastAsia="Arial" w:hAnsi="Arial"/>
          <w:sz w:val="15"/>
          <w:szCs w:val="15"/>
          <w:color w:val="auto"/>
        </w:rPr>
      </w:pPr>
      <w:r>
        <w:rPr>
          <w:rFonts w:ascii="Arial" w:cs="Arial" w:eastAsia="Arial" w:hAnsi="Arial"/>
          <w:sz w:val="15"/>
          <w:szCs w:val="15"/>
          <w:color w:val="auto"/>
        </w:rPr>
        <w:t>making decisions regarding severance, executive compensation plans, incentive compensation plans and equity-based plans and administering such plans; and</w:t>
      </w:r>
    </w:p>
    <w:p>
      <w:pPr>
        <w:spacing w:after="0" w:line="146" w:lineRule="exact"/>
        <w:rPr>
          <w:rFonts w:ascii="Arial" w:cs="Arial" w:eastAsia="Arial" w:hAnsi="Arial"/>
          <w:sz w:val="15"/>
          <w:szCs w:val="15"/>
          <w:color w:val="auto"/>
        </w:rPr>
      </w:pPr>
    </w:p>
    <w:p>
      <w:pPr>
        <w:ind w:left="89" w:right="60" w:hanging="89"/>
        <w:spacing w:after="0" w:line="296" w:lineRule="auto"/>
        <w:tabs>
          <w:tab w:leader="none" w:pos="1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with respect to the compensation of our independent,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8"/>
        <w:spacing w:after="0"/>
        <w:rPr>
          <w:sz w:val="20"/>
          <w:szCs w:val="20"/>
          <w:color w:val="auto"/>
        </w:rPr>
      </w:pPr>
      <w:r>
        <w:rPr>
          <w:rFonts w:ascii="Arial" w:cs="Arial" w:eastAsia="Arial" w:hAnsi="Arial"/>
          <w:sz w:val="18"/>
          <w:szCs w:val="18"/>
          <w:b w:val="1"/>
          <w:bCs w:val="1"/>
          <w:color w:val="auto"/>
        </w:rPr>
        <w:t>Meetings in 2020: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-119380</wp:posOffset>
            </wp:positionV>
            <wp:extent cx="17830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18"/>
          <w:szCs w:val="18"/>
          <w:b w:val="1"/>
          <w:bCs w:val="1"/>
          <w:color w:val="FFFFFF"/>
        </w:rPr>
        <w:t>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-119380</wp:posOffset>
            </wp:positionV>
            <wp:extent cx="170561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05610" cy="411480"/>
                    </a:xfrm>
                    <a:prstGeom prst="rect">
                      <a:avLst/>
                    </a:prstGeom>
                    <a:noFill/>
                  </pic:spPr>
                </pic:pic>
              </a:graphicData>
            </a:graphic>
          </wp:anchor>
        </w:drawing>
      </w:r>
    </w:p>
    <w:p>
      <w:pPr>
        <w:spacing w:after="0" w:line="7"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FFFFFF"/>
        </w:rPr>
        <w:t>GOVERNANCE</w:t>
      </w:r>
    </w:p>
    <w:p>
      <w:pPr>
        <w:spacing w:after="0" w:line="9" w:lineRule="exact"/>
        <w:rPr>
          <w:sz w:val="20"/>
          <w:szCs w:val="20"/>
          <w:color w:val="auto"/>
        </w:rPr>
      </w:pPr>
    </w:p>
    <w:p>
      <w:pPr>
        <w:ind w:left="180" w:right="640" w:firstLine="486"/>
        <w:spacing w:after="0" w:line="250" w:lineRule="auto"/>
        <w:rPr>
          <w:sz w:val="20"/>
          <w:szCs w:val="20"/>
          <w:color w:val="auto"/>
        </w:rPr>
      </w:pPr>
      <w:r>
        <w:rPr>
          <w:rFonts w:ascii="Arial" w:cs="Arial" w:eastAsia="Arial" w:hAnsi="Arial"/>
          <w:sz w:val="18"/>
          <w:szCs w:val="18"/>
          <w:b w:val="1"/>
          <w:bCs w:val="1"/>
          <w:color w:val="FFFFFF"/>
        </w:rPr>
        <w:t xml:space="preserve">COMMITTEE </w:t>
      </w:r>
      <w:r>
        <w:rPr>
          <w:rFonts w:ascii="Arial" w:cs="Arial" w:eastAsia="Arial" w:hAnsi="Arial"/>
          <w:sz w:val="18"/>
          <w:szCs w:val="18"/>
          <w:b w:val="1"/>
          <w:bCs w:val="1"/>
          <w:color w:val="000000"/>
        </w:rPr>
        <w:t>Members: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 Duster,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 Goldman (Chair),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Ms.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5715</wp:posOffset>
            </wp:positionV>
            <wp:extent cx="1705610" cy="5623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5610" cy="56235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80" w:right="40" w:hanging="73"/>
        <w:spacing w:after="0" w:line="308" w:lineRule="auto"/>
        <w:tabs>
          <w:tab w:leader="none" w:pos="1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Identifying individuals qualified to serve as Board members;</w:t>
      </w:r>
    </w:p>
    <w:p>
      <w:pPr>
        <w:spacing w:after="0" w:line="146" w:lineRule="exact"/>
        <w:rPr>
          <w:rFonts w:ascii="Arial" w:cs="Arial" w:eastAsia="Arial" w:hAnsi="Arial"/>
          <w:sz w:val="17"/>
          <w:szCs w:val="17"/>
          <w:color w:val="auto"/>
        </w:rPr>
      </w:pPr>
    </w:p>
    <w:p>
      <w:pPr>
        <w:ind w:left="80" w:hanging="73"/>
        <w:spacing w:after="0" w:line="272" w:lineRule="auto"/>
        <w:tabs>
          <w:tab w:leader="none" w:pos="1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recommending director nominees for each annual general meeting of shareholders (an "Annual General Meeting"), to fill any vacancies, and recommending directors for each committee;</w:t>
      </w:r>
    </w:p>
    <w:p>
      <w:pPr>
        <w:spacing w:after="0" w:line="177" w:lineRule="exact"/>
        <w:rPr>
          <w:rFonts w:ascii="Arial" w:cs="Arial" w:eastAsia="Arial" w:hAnsi="Arial"/>
          <w:sz w:val="17"/>
          <w:szCs w:val="17"/>
          <w:color w:val="auto"/>
        </w:rPr>
      </w:pPr>
    </w:p>
    <w:p>
      <w:pPr>
        <w:ind w:left="80" w:hanging="73"/>
        <w:spacing w:after="0" w:line="259" w:lineRule="auto"/>
        <w:tabs>
          <w:tab w:leader="none" w:pos="1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recommending changes to the Company's Corporate Governance Principles for Board approval;</w:t>
      </w:r>
    </w:p>
    <w:p>
      <w:pPr>
        <w:spacing w:after="0" w:line="186" w:lineRule="exact"/>
        <w:rPr>
          <w:rFonts w:ascii="Arial" w:cs="Arial" w:eastAsia="Arial" w:hAnsi="Arial"/>
          <w:sz w:val="18"/>
          <w:szCs w:val="18"/>
          <w:color w:val="auto"/>
        </w:rPr>
      </w:pPr>
    </w:p>
    <w:p>
      <w:pPr>
        <w:ind w:left="80" w:right="20" w:hanging="73"/>
        <w:spacing w:after="0" w:line="311" w:lineRule="auto"/>
        <w:tabs>
          <w:tab w:leader="none" w:pos="107"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overseeing the Board in its annual review of the Board's and management's performance;</w:t>
      </w:r>
    </w:p>
    <w:p>
      <w:pPr>
        <w:spacing w:after="0" w:line="148" w:lineRule="exact"/>
        <w:rPr>
          <w:rFonts w:ascii="Arial" w:cs="Arial" w:eastAsia="Arial" w:hAnsi="Arial"/>
          <w:sz w:val="16"/>
          <w:szCs w:val="16"/>
          <w:color w:val="auto"/>
        </w:rPr>
      </w:pPr>
    </w:p>
    <w:p>
      <w:pPr>
        <w:ind w:left="80" w:right="160" w:hanging="73"/>
        <w:spacing w:after="0" w:line="275" w:lineRule="auto"/>
        <w:tabs>
          <w:tab w:leader="none" w:pos="1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and recommending responses to shareholder proposals (other than those related to compensation) to the Board;</w:t>
      </w:r>
    </w:p>
    <w:p>
      <w:pPr>
        <w:spacing w:after="0" w:line="176" w:lineRule="exact"/>
        <w:rPr>
          <w:rFonts w:ascii="Arial" w:cs="Arial" w:eastAsia="Arial" w:hAnsi="Arial"/>
          <w:sz w:val="17"/>
          <w:szCs w:val="17"/>
          <w:color w:val="auto"/>
        </w:rPr>
      </w:pPr>
    </w:p>
    <w:p>
      <w:pPr>
        <w:ind w:left="80" w:right="20" w:hanging="73"/>
        <w:spacing w:after="0" w:line="279" w:lineRule="auto"/>
        <w:tabs>
          <w:tab w:leader="none" w:pos="1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and providing guidance to management and the Board regarding shareholder engagement; and</w:t>
      </w:r>
    </w:p>
    <w:p>
      <w:pPr>
        <w:spacing w:after="0" w:line="171" w:lineRule="exact"/>
        <w:rPr>
          <w:rFonts w:ascii="Arial" w:cs="Arial" w:eastAsia="Arial" w:hAnsi="Arial"/>
          <w:sz w:val="17"/>
          <w:szCs w:val="17"/>
          <w:color w:val="auto"/>
        </w:rPr>
      </w:pPr>
    </w:p>
    <w:p>
      <w:pPr>
        <w:ind w:left="80" w:right="100" w:hanging="73"/>
        <w:spacing w:after="0" w:line="255" w:lineRule="auto"/>
        <w:tabs>
          <w:tab w:leader="none" w:pos="1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succession planning for the Company's Chief Executive Officer and reviewing the Chief Executive Officer's succession planning for other executive officers.</w:t>
      </w:r>
    </w:p>
    <w:p>
      <w:pPr>
        <w:spacing w:after="0" w:line="188"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Meetings in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-119380</wp:posOffset>
            </wp:positionV>
            <wp:extent cx="170561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0561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19" w:right="40"/>
        <w:spacing w:after="0" w:line="261" w:lineRule="auto"/>
        <w:rPr>
          <w:sz w:val="20"/>
          <w:szCs w:val="20"/>
          <w:color w:val="auto"/>
        </w:rPr>
      </w:pPr>
      <w:r>
        <w:rPr>
          <w:rFonts w:ascii="Arial" w:cs="Arial" w:eastAsia="Arial" w:hAnsi="Arial"/>
          <w:sz w:val="18"/>
          <w:szCs w:val="18"/>
          <w:b w:val="1"/>
          <w:bCs w:val="1"/>
          <w:color w:val="FFFFFF"/>
        </w:rPr>
        <w:t>SAFETY, ENVIRONMENT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-273685</wp:posOffset>
            </wp:positionV>
            <wp:extent cx="185166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51660" cy="411480"/>
                    </a:xfrm>
                    <a:prstGeom prst="rect">
                      <a:avLst/>
                    </a:prstGeom>
                    <a:noFill/>
                  </pic:spPr>
                </pic:pic>
              </a:graphicData>
            </a:graphic>
          </wp:anchor>
        </w:drawing>
      </w:r>
    </w:p>
    <w:p>
      <w:pPr>
        <w:ind w:left="180" w:right="880" w:firstLine="601"/>
        <w:spacing w:after="0" w:line="250" w:lineRule="auto"/>
        <w:rPr>
          <w:sz w:val="20"/>
          <w:szCs w:val="20"/>
          <w:color w:val="auto"/>
        </w:rPr>
      </w:pPr>
      <w:r>
        <w:rPr>
          <w:rFonts w:ascii="Arial" w:cs="Arial" w:eastAsia="Arial" w:hAnsi="Arial"/>
          <w:sz w:val="18"/>
          <w:szCs w:val="18"/>
          <w:b w:val="1"/>
          <w:bCs w:val="1"/>
          <w:color w:val="FFFFFF"/>
        </w:rPr>
        <w:t xml:space="preserve">COMMITTEE </w:t>
      </w:r>
      <w:r>
        <w:rPr>
          <w:rFonts w:ascii="Arial" w:cs="Arial" w:eastAsia="Arial" w:hAnsi="Arial"/>
          <w:sz w:val="18"/>
          <w:szCs w:val="18"/>
          <w:b w:val="1"/>
          <w:bCs w:val="1"/>
          <w:color w:val="000000"/>
        </w:rPr>
        <w:t>Members:</w:t>
      </w:r>
    </w:p>
    <w:p>
      <w:pPr>
        <w:spacing w:after="0" w:line="1" w:lineRule="exact"/>
        <w:rPr>
          <w:sz w:val="20"/>
          <w:szCs w:val="20"/>
          <w:color w:val="auto"/>
        </w:rPr>
      </w:pPr>
    </w:p>
    <w:p>
      <w:pPr>
        <w:ind w:left="220" w:right="940"/>
        <w:spacing w:after="0" w:line="277" w:lineRule="auto"/>
        <w:rPr>
          <w:sz w:val="20"/>
          <w:szCs w:val="20"/>
          <w:color w:val="auto"/>
        </w:rPr>
      </w:pPr>
      <w:r>
        <w:rPr>
          <w:rFonts w:ascii="Arial" w:cs="Arial" w:eastAsia="Arial" w:hAnsi="Arial"/>
          <w:sz w:val="17"/>
          <w:szCs w:val="17"/>
          <w:color w:val="auto"/>
        </w:rPr>
        <w:t>Ms. Mutschler (Chair), Mr. Saligram, Mr. Sledge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-17780</wp:posOffset>
            </wp:positionV>
            <wp:extent cx="1851660" cy="5623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1660" cy="562356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80" w:right="160" w:hanging="79"/>
        <w:spacing w:after="0" w:line="288" w:lineRule="auto"/>
        <w:tabs>
          <w:tab w:leader="none" w:pos="1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the Company's policies relating to quality, health, safety, security, environmental ("QHSSE") stewardship, and corporate responsibility, including sustainability, socially responsible engagement, security, ethics and quality assurance and overseeing adherence and enforcement of these policies and related programs;</w:t>
      </w:r>
    </w:p>
    <w:p>
      <w:pPr>
        <w:spacing w:after="0" w:line="168" w:lineRule="exact"/>
        <w:rPr>
          <w:rFonts w:ascii="Arial" w:cs="Arial" w:eastAsia="Arial" w:hAnsi="Arial"/>
          <w:sz w:val="16"/>
          <w:szCs w:val="16"/>
          <w:color w:val="auto"/>
        </w:rPr>
      </w:pPr>
    </w:p>
    <w:p>
      <w:pPr>
        <w:ind w:left="80" w:right="380" w:hanging="79"/>
        <w:spacing w:after="0" w:line="340" w:lineRule="auto"/>
        <w:tabs>
          <w:tab w:leader="none" w:pos="107"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overseeing the Company's initiatives to promote safety awareness among all employees;</w:t>
      </w:r>
    </w:p>
    <w:p>
      <w:pPr>
        <w:spacing w:after="0" w:line="130" w:lineRule="exact"/>
        <w:rPr>
          <w:rFonts w:ascii="Arial" w:cs="Arial" w:eastAsia="Arial" w:hAnsi="Arial"/>
          <w:sz w:val="15"/>
          <w:szCs w:val="15"/>
          <w:color w:val="auto"/>
        </w:rPr>
      </w:pPr>
    </w:p>
    <w:p>
      <w:pPr>
        <w:ind w:left="80" w:right="120" w:hanging="79"/>
        <w:spacing w:after="0" w:line="301" w:lineRule="auto"/>
        <w:tabs>
          <w:tab w:leader="none" w:pos="1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strategy and resources of the Company's QHSSE organization and approving the annual QHSSE plan, including related processes;</w:t>
      </w:r>
    </w:p>
    <w:p>
      <w:pPr>
        <w:spacing w:after="0" w:line="157" w:lineRule="exact"/>
        <w:rPr>
          <w:rFonts w:ascii="Arial" w:cs="Arial" w:eastAsia="Arial" w:hAnsi="Arial"/>
          <w:sz w:val="16"/>
          <w:szCs w:val="16"/>
          <w:color w:val="auto"/>
        </w:rPr>
      </w:pPr>
    </w:p>
    <w:p>
      <w:pPr>
        <w:ind w:left="80" w:right="240" w:hanging="79"/>
        <w:spacing w:after="0" w:line="257" w:lineRule="auto"/>
        <w:tabs>
          <w:tab w:leader="none" w:pos="1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periodic updates on significant health, safety, security, environmental sustainable-development and social and public policy issues;</w:t>
      </w:r>
    </w:p>
    <w:p>
      <w:pPr>
        <w:spacing w:after="0" w:line="187" w:lineRule="exact"/>
        <w:rPr>
          <w:rFonts w:ascii="Arial" w:cs="Arial" w:eastAsia="Arial" w:hAnsi="Arial"/>
          <w:sz w:val="18"/>
          <w:szCs w:val="18"/>
          <w:color w:val="auto"/>
        </w:rPr>
      </w:pPr>
    </w:p>
    <w:p>
      <w:pPr>
        <w:ind w:left="80" w:right="340" w:hanging="79"/>
        <w:spacing w:after="0" w:line="311" w:lineRule="auto"/>
        <w:tabs>
          <w:tab w:leader="none" w:pos="1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findings related to any significant QHSSE incident and making periodic facility visits;</w:t>
      </w:r>
    </w:p>
    <w:p>
      <w:pPr>
        <w:spacing w:after="0" w:line="148" w:lineRule="exact"/>
        <w:rPr>
          <w:rFonts w:ascii="Arial" w:cs="Arial" w:eastAsia="Arial" w:hAnsi="Arial"/>
          <w:sz w:val="16"/>
          <w:szCs w:val="16"/>
          <w:color w:val="auto"/>
        </w:rPr>
      </w:pPr>
    </w:p>
    <w:p>
      <w:pPr>
        <w:jc w:val="both"/>
        <w:ind w:left="80" w:right="400" w:hanging="79"/>
        <w:spacing w:after="0" w:line="263" w:lineRule="auto"/>
        <w:tabs>
          <w:tab w:leader="none" w:pos="1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ensuring annual preparation and review of a sustainability report; and</w:t>
      </w:r>
    </w:p>
    <w:p>
      <w:pPr>
        <w:spacing w:after="0" w:line="183" w:lineRule="exact"/>
        <w:rPr>
          <w:rFonts w:ascii="Arial" w:cs="Arial" w:eastAsia="Arial" w:hAnsi="Arial"/>
          <w:sz w:val="18"/>
          <w:szCs w:val="18"/>
          <w:color w:val="auto"/>
        </w:rPr>
      </w:pPr>
    </w:p>
    <w:p>
      <w:pPr>
        <w:ind w:left="80" w:right="160" w:hanging="79"/>
        <w:spacing w:after="0" w:line="287" w:lineRule="auto"/>
        <w:tabs>
          <w:tab w:leader="none" w:pos="1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assisting the Board with oversight of the Company's risk management and security processes in relation to</w:t>
      </w:r>
    </w:p>
    <w:p>
      <w:pPr>
        <w:spacing w:after="0" w:line="2"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QHSSE.</w:t>
      </w:r>
    </w:p>
    <w:p>
      <w:pPr>
        <w:spacing w:after="0" w:line="9"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b w:val="1"/>
          <w:bCs w:val="1"/>
          <w:color w:val="auto"/>
        </w:rPr>
        <w:t>Meetings in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-130810</wp:posOffset>
            </wp:positionV>
            <wp:extent cx="18516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16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380" w:space="331"/>
            <w:col w:w="2609" w:space="300"/>
            <w:col w:w="2480" w:space="320"/>
            <w:col w:w="2820"/>
          </w:cols>
          <w:pgMar w:left="320" w:top="904" w:right="339" w:bottom="1440" w:gutter="0" w:footer="0" w:header="0"/>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Additional Board Information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Board Meetings: </w:t>
      </w:r>
      <w:r>
        <w:rPr>
          <w:rFonts w:ascii="Arial" w:cs="Arial" w:eastAsia="Arial" w:hAnsi="Arial"/>
          <w:sz w:val="18"/>
          <w:szCs w:val="18"/>
          <w:color w:val="auto"/>
        </w:rPr>
        <w:t>During 2020, the Board met 36 times; all of the directors of the Company at the time participated in at least 75% of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its respective committee meetings conducted during their respective tenures. It is our policy that directors are expected to attend each Annual General Meeting.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0" w:name="page31"/>
    <w:bookmarkEnd w:id="30"/>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Committee Charters: </w:t>
      </w:r>
      <w:r>
        <w:rPr>
          <w:rFonts w:ascii="Arial" w:cs="Arial" w:eastAsia="Arial" w:hAnsi="Arial"/>
          <w:sz w:val="18"/>
          <w:szCs w:val="18"/>
          <w:color w:val="auto"/>
        </w:rPr>
        <w:t>The charter for each committee of our Board is available on our website at www.weatherford.com, by clicking on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 then "Corporate Governance," then "Corporate Documents," then the name of the applicable committee charter.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Each committee of our Board, other than the Safety, Environment and Sustainability Committee, is composed entirely of</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Committee Member Qualifications: </w:t>
      </w:r>
      <w:r>
        <w:rPr>
          <w:rFonts w:ascii="Arial" w:cs="Arial" w:eastAsia="Arial" w:hAnsi="Arial"/>
          <w:sz w:val="18"/>
          <w:szCs w:val="18"/>
          <w:color w:val="auto"/>
        </w:rPr>
        <w:t>The Board has determined that each member of the Audit Committee is "financially literate"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standards of the Nasdaq and that Messrs. Sledge and Goldman are both an "audit committee financial expert," as defined by applicable SEC rules, because of each of their individual extensive financial experience.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Matters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Board believes sound corporate governance processes and practices, as well as high ethical standards, are critical to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Director Independence</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Four out of five of our directors are independent.</w:t>
            </w:r>
          </w:p>
        </w:tc>
      </w:tr>
      <w:tr>
        <w:trPr>
          <w:trHeight w:val="27"/>
        </w:trPr>
        <w:tc>
          <w:tcPr>
            <w:tcW w:w="380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gridSpan w:val="4"/>
          </w:tcPr>
          <w:p>
            <w:pPr>
              <w:spacing w:after="0"/>
              <w:rPr>
                <w:sz w:val="2"/>
                <w:szCs w:val="2"/>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Chairman of the Board</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We have an independent Chairman of the Board who, among other items:</w:t>
            </w:r>
          </w:p>
        </w:tc>
      </w:tr>
      <w:tr>
        <w:trPr>
          <w:trHeight w:val="269"/>
        </w:trPr>
        <w:tc>
          <w:tcPr>
            <w:tcW w:w="3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92"/>
              </w:rPr>
              <w:t>•  reviews Board meeting schedules and agendas to assure there is an adequate number of</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gridSpan w:val="2"/>
          </w:tcPr>
          <w:p>
            <w:pPr>
              <w:ind w:left="80"/>
              <w:spacing w:after="0"/>
              <w:rPr>
                <w:sz w:val="20"/>
                <w:szCs w:val="20"/>
                <w:color w:val="auto"/>
              </w:rPr>
            </w:pPr>
            <w:r>
              <w:rPr>
                <w:rFonts w:ascii="Arial" w:cs="Arial" w:eastAsia="Arial" w:hAnsi="Arial"/>
                <w:sz w:val="18"/>
                <w:szCs w:val="18"/>
                <w:color w:val="auto"/>
                <w:w w:val="96"/>
              </w:rPr>
              <w:t>scheduled meetings and that sufficient time for discussion of all agenda items and all</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20" w:type="dxa"/>
            <w:vAlign w:val="bottom"/>
            <w:gridSpan w:val="2"/>
          </w:tcPr>
          <w:p>
            <w:pPr>
              <w:ind w:left="80"/>
              <w:spacing w:after="0"/>
              <w:rPr>
                <w:sz w:val="20"/>
                <w:szCs w:val="20"/>
                <w:color w:val="auto"/>
              </w:rPr>
            </w:pPr>
            <w:r>
              <w:rPr>
                <w:rFonts w:ascii="Arial" w:cs="Arial" w:eastAsia="Arial" w:hAnsi="Arial"/>
                <w:sz w:val="18"/>
                <w:szCs w:val="18"/>
                <w:color w:val="auto"/>
              </w:rPr>
              <w:t>topics deemed important by the independent directors are included;</w:t>
            </w:r>
          </w:p>
        </w:tc>
      </w:tr>
      <w:tr>
        <w:trPr>
          <w:trHeight w:val="269"/>
        </w:trPr>
        <w:tc>
          <w:tcPr>
            <w:tcW w:w="3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6620" w:type="dxa"/>
            <w:vAlign w:val="bottom"/>
            <w:gridSpan w:val="2"/>
          </w:tcPr>
          <w:p>
            <w:pPr>
              <w:ind w:left="80"/>
              <w:spacing w:after="0"/>
              <w:rPr>
                <w:sz w:val="20"/>
                <w:szCs w:val="20"/>
                <w:color w:val="auto"/>
              </w:rPr>
            </w:pPr>
            <w:r>
              <w:rPr>
                <w:rFonts w:ascii="Arial" w:cs="Arial" w:eastAsia="Arial" w:hAnsi="Arial"/>
                <w:sz w:val="18"/>
                <w:szCs w:val="18"/>
                <w:color w:val="auto"/>
                <w:w w:val="98"/>
              </w:rPr>
              <w:t>presides at all meetings of the Board, including executive sessions, and can call for</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20" w:type="dxa"/>
            <w:vAlign w:val="bottom"/>
            <w:gridSpan w:val="2"/>
          </w:tcPr>
          <w:p>
            <w:pPr>
              <w:ind w:left="80"/>
              <w:spacing w:after="0"/>
              <w:rPr>
                <w:sz w:val="20"/>
                <w:szCs w:val="20"/>
                <w:color w:val="auto"/>
              </w:rPr>
            </w:pPr>
            <w:r>
              <w:rPr>
                <w:rFonts w:ascii="Arial" w:cs="Arial" w:eastAsia="Arial" w:hAnsi="Arial"/>
                <w:sz w:val="18"/>
                <w:szCs w:val="18"/>
                <w:color w:val="auto"/>
                <w:w w:val="90"/>
              </w:rPr>
              <w:t>executive sessions of the Board's independent directors, if and when deemed appropriate;</w:t>
            </w:r>
          </w:p>
        </w:tc>
      </w:tr>
      <w:tr>
        <w:trPr>
          <w:trHeight w:val="283"/>
        </w:trPr>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  leads the Board's annual evaluation of the Chief Executive Officer;</w:t>
            </w:r>
          </w:p>
        </w:tc>
      </w:tr>
      <w:tr>
        <w:trPr>
          <w:trHeight w:val="284"/>
        </w:trPr>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91"/>
              </w:rPr>
              <w:t>•  monitors and collaborates with management regarding corporate governance matters; and</w:t>
            </w:r>
          </w:p>
        </w:tc>
      </w:tr>
      <w:tr>
        <w:trPr>
          <w:trHeight w:val="269"/>
        </w:trPr>
        <w:tc>
          <w:tcPr>
            <w:tcW w:w="3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940" w:type="dxa"/>
            <w:vAlign w:val="bottom"/>
          </w:tcPr>
          <w:p>
            <w:pPr>
              <w:ind w:left="80"/>
              <w:spacing w:after="0"/>
              <w:rPr>
                <w:sz w:val="20"/>
                <w:szCs w:val="20"/>
                <w:color w:val="auto"/>
              </w:rPr>
            </w:pPr>
            <w:r>
              <w:rPr>
                <w:rFonts w:ascii="Arial" w:cs="Arial" w:eastAsia="Arial" w:hAnsi="Arial"/>
                <w:sz w:val="18"/>
                <w:szCs w:val="18"/>
                <w:color w:val="auto"/>
              </w:rPr>
              <w:t>is available for communication with</w:t>
            </w:r>
          </w:p>
        </w:tc>
        <w:tc>
          <w:tcPr>
            <w:tcW w:w="3680" w:type="dxa"/>
            <w:vAlign w:val="bottom"/>
          </w:tcPr>
          <w:p>
            <w:pPr>
              <w:jc w:val="right"/>
              <w:spacing w:after="0"/>
              <w:rPr>
                <w:sz w:val="20"/>
                <w:szCs w:val="20"/>
                <w:color w:val="auto"/>
              </w:rPr>
            </w:pPr>
            <w:r>
              <w:rPr>
                <w:rFonts w:ascii="Arial" w:cs="Arial" w:eastAsia="Arial" w:hAnsi="Arial"/>
                <w:sz w:val="18"/>
                <w:szCs w:val="18"/>
                <w:color w:val="auto"/>
                <w:w w:val="95"/>
              </w:rPr>
              <w:t>shareholders, in coordination with management,</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when appropriate.</w:t>
            </w:r>
          </w:p>
        </w:tc>
        <w:tc>
          <w:tcPr>
            <w:tcW w:w="3680" w:type="dxa"/>
            <w:vAlign w:val="bottom"/>
          </w:tcPr>
          <w:p>
            <w:pPr>
              <w:spacing w:after="0"/>
              <w:rPr>
                <w:sz w:val="20"/>
                <w:szCs w:val="20"/>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Committee Structure</w:t>
            </w:r>
          </w:p>
        </w:tc>
        <w:tc>
          <w:tcPr>
            <w:tcW w:w="620" w:type="dxa"/>
            <w:vAlign w:val="bottom"/>
          </w:tcPr>
          <w:p>
            <w:pPr>
              <w:ind w:left="480"/>
              <w:spacing w:after="0"/>
              <w:rPr>
                <w:sz w:val="20"/>
                <w:szCs w:val="20"/>
                <w:color w:val="auto"/>
              </w:rPr>
            </w:pPr>
            <w:r>
              <w:rPr>
                <w:rFonts w:ascii="Arial" w:cs="Arial" w:eastAsia="Arial" w:hAnsi="Arial"/>
                <w:sz w:val="18"/>
                <w:szCs w:val="18"/>
                <w:color w:val="auto"/>
              </w:rPr>
              <w:t>ü</w:t>
            </w:r>
          </w:p>
        </w:tc>
        <w:tc>
          <w:tcPr>
            <w:tcW w:w="3140" w:type="dxa"/>
            <w:vAlign w:val="bottom"/>
            <w:gridSpan w:val="2"/>
          </w:tcPr>
          <w:p>
            <w:pPr>
              <w:ind w:left="80"/>
              <w:spacing w:after="0"/>
              <w:rPr>
                <w:sz w:val="20"/>
                <w:szCs w:val="20"/>
                <w:color w:val="auto"/>
              </w:rPr>
            </w:pPr>
            <w:r>
              <w:rPr>
                <w:rFonts w:ascii="Arial" w:cs="Arial" w:eastAsia="Arial" w:hAnsi="Arial"/>
                <w:sz w:val="18"/>
                <w:szCs w:val="18"/>
                <w:color w:val="auto"/>
                <w:w w:val="98"/>
              </w:rPr>
              <w:t>Our committees, other than the Safety,</w:t>
            </w:r>
          </w:p>
        </w:tc>
        <w:tc>
          <w:tcPr>
            <w:tcW w:w="3680" w:type="dxa"/>
            <w:vAlign w:val="bottom"/>
          </w:tcPr>
          <w:p>
            <w:pPr>
              <w:jc w:val="right"/>
              <w:spacing w:after="0"/>
              <w:rPr>
                <w:sz w:val="20"/>
                <w:szCs w:val="20"/>
                <w:color w:val="auto"/>
              </w:rPr>
            </w:pPr>
            <w:r>
              <w:rPr>
                <w:rFonts w:ascii="Arial" w:cs="Arial" w:eastAsia="Arial" w:hAnsi="Arial"/>
                <w:sz w:val="18"/>
                <w:szCs w:val="18"/>
                <w:color w:val="auto"/>
                <w:w w:val="97"/>
              </w:rPr>
              <w:t>Environment and Sustainability Committee, are</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composed entirely of independent directors; on an annual basis, the Nominating and</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96"/>
              </w:rPr>
              <w:t>Governance Committee evaluates and recommends committee chairs to the Board and</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assesses the appropriateness of any further chair rotations.</w:t>
            </w:r>
          </w:p>
        </w:tc>
      </w:tr>
      <w:tr>
        <w:trPr>
          <w:trHeight w:val="27"/>
        </w:trPr>
        <w:tc>
          <w:tcPr>
            <w:tcW w:w="3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Executive Sessions</w:t>
            </w:r>
          </w:p>
        </w:tc>
        <w:tc>
          <w:tcPr>
            <w:tcW w:w="620" w:type="dxa"/>
            <w:vAlign w:val="bottom"/>
          </w:tcPr>
          <w:p>
            <w:pPr>
              <w:ind w:left="480"/>
              <w:spacing w:after="0"/>
              <w:rPr>
                <w:sz w:val="20"/>
                <w:szCs w:val="20"/>
                <w:color w:val="auto"/>
              </w:rPr>
            </w:pPr>
            <w:r>
              <w:rPr>
                <w:rFonts w:ascii="Arial" w:cs="Arial" w:eastAsia="Arial" w:hAnsi="Arial"/>
                <w:sz w:val="18"/>
                <w:szCs w:val="18"/>
                <w:color w:val="auto"/>
              </w:rPr>
              <w:t>ü</w:t>
            </w:r>
          </w:p>
        </w:tc>
        <w:tc>
          <w:tcPr>
            <w:tcW w:w="3140" w:type="dxa"/>
            <w:vAlign w:val="bottom"/>
            <w:gridSpan w:val="2"/>
          </w:tcPr>
          <w:p>
            <w:pPr>
              <w:ind w:left="80"/>
              <w:spacing w:after="0"/>
              <w:rPr>
                <w:sz w:val="20"/>
                <w:szCs w:val="20"/>
                <w:color w:val="auto"/>
              </w:rPr>
            </w:pPr>
            <w:r>
              <w:rPr>
                <w:rFonts w:ascii="Arial" w:cs="Arial" w:eastAsia="Arial" w:hAnsi="Arial"/>
                <w:sz w:val="18"/>
                <w:szCs w:val="18"/>
                <w:color w:val="auto"/>
                <w:w w:val="97"/>
              </w:rPr>
              <w:t>Independent directors meet regularly in</w:t>
            </w:r>
          </w:p>
        </w:tc>
        <w:tc>
          <w:tcPr>
            <w:tcW w:w="3680" w:type="dxa"/>
            <w:vAlign w:val="bottom"/>
          </w:tcPr>
          <w:p>
            <w:pPr>
              <w:jc w:val="right"/>
              <w:spacing w:after="0"/>
              <w:rPr>
                <w:sz w:val="20"/>
                <w:szCs w:val="20"/>
                <w:color w:val="auto"/>
              </w:rPr>
            </w:pPr>
            <w:r>
              <w:rPr>
                <w:rFonts w:ascii="Arial" w:cs="Arial" w:eastAsia="Arial" w:hAnsi="Arial"/>
                <w:sz w:val="18"/>
                <w:szCs w:val="18"/>
                <w:color w:val="auto"/>
              </w:rPr>
              <w:t>executive session, including after all regularly</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89"/>
              </w:rPr>
              <w:t>scheduled meetings; in 2020, executive sessions were held at each of the regularly scheduled</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Board meetings and, if appropriate, certain Committee meetings.</w:t>
            </w:r>
          </w:p>
        </w:tc>
      </w:tr>
      <w:tr>
        <w:trPr>
          <w:trHeight w:val="27"/>
        </w:trPr>
        <w:tc>
          <w:tcPr>
            <w:tcW w:w="380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gridSpan w:val="4"/>
          </w:tcPr>
          <w:p>
            <w:pPr>
              <w:spacing w:after="0"/>
              <w:rPr>
                <w:sz w:val="2"/>
                <w:szCs w:val="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Annual Voting</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Each member of our Board is elected annually with a majority voting standard for</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40" w:type="dxa"/>
            <w:vAlign w:val="bottom"/>
            <w:gridSpan w:val="2"/>
          </w:tcPr>
          <w:p>
            <w:pPr>
              <w:ind w:left="80"/>
              <w:spacing w:after="0"/>
              <w:rPr>
                <w:sz w:val="20"/>
                <w:szCs w:val="20"/>
                <w:color w:val="auto"/>
              </w:rPr>
            </w:pPr>
            <w:r>
              <w:rPr>
                <w:rFonts w:ascii="Arial" w:cs="Arial" w:eastAsia="Arial" w:hAnsi="Arial"/>
                <w:sz w:val="18"/>
                <w:szCs w:val="18"/>
                <w:color w:val="auto"/>
              </w:rPr>
              <w:t>uncontested elections.</w:t>
            </w:r>
          </w:p>
        </w:tc>
        <w:tc>
          <w:tcPr>
            <w:tcW w:w="3680" w:type="dxa"/>
            <w:vAlign w:val="bottom"/>
          </w:tcPr>
          <w:p>
            <w:pPr>
              <w:spacing w:after="0"/>
              <w:rPr>
                <w:sz w:val="20"/>
                <w:szCs w:val="20"/>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gridSpan w:val="4"/>
          </w:tcPr>
          <w:p>
            <w:pPr>
              <w:spacing w:after="0"/>
              <w:rPr>
                <w:sz w:val="2"/>
                <w:szCs w:val="2"/>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Annual Board and Committee Self Evaluation</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The Board and each committee conduct annual self-evaluations.</w:t>
            </w:r>
          </w:p>
        </w:tc>
      </w:tr>
      <w:tr>
        <w:trPr>
          <w:trHeight w:val="27"/>
        </w:trPr>
        <w:tc>
          <w:tcPr>
            <w:tcW w:w="3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642"/>
        </w:trPr>
        <w:tc>
          <w:tcPr>
            <w:tcW w:w="3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29</w:t>
            </w: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Minimum Share Ownership Guidelines</w:t>
            </w: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ü   Subject to a five-year transition period, our directors are required to own at least five times</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1"/>
              </w:rPr>
              <w:t>their annual cash retainers; our Chief Executive Officer is required to own at least six times</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4"/>
              </w:rPr>
              <w:t>his or her annual base salary; and our other NEOs are required to own three times their</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annual base salaries.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Risk Oversight</w:t>
            </w: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ü   Our entire Board is responsible for risk management of the Company, and our committees</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8"/>
              </w:rPr>
              <w:t>have particular oversight of certain key risks, including those that are identified in the</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Company's Enterprise Risk Management ("ERM") program.</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Succession Planning</w:t>
            </w:r>
          </w:p>
        </w:tc>
        <w:tc>
          <w:tcPr>
            <w:tcW w:w="7680" w:type="dxa"/>
            <w:vAlign w:val="bottom"/>
          </w:tcPr>
          <w:p>
            <w:pPr>
              <w:ind w:left="720"/>
              <w:spacing w:after="0"/>
              <w:rPr>
                <w:sz w:val="20"/>
                <w:szCs w:val="20"/>
                <w:color w:val="auto"/>
              </w:rPr>
            </w:pPr>
            <w:r>
              <w:rPr>
                <w:rFonts w:ascii="Arial" w:cs="Arial" w:eastAsia="Arial" w:hAnsi="Arial"/>
                <w:sz w:val="18"/>
                <w:szCs w:val="18"/>
                <w:color w:val="auto"/>
                <w:w w:val="95"/>
              </w:rPr>
              <w:t>ü   Chief Executive Officer succession planning is reviewed and discussed at least annually;</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4"/>
              </w:rPr>
              <w:t>additionally, the Chief Executive Officer reports to the Board on at least an annual basis</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2"/>
              </w:rPr>
              <w:t>concerning management development and succession planning for all other key positions.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Code of Business Conduct</w:t>
            </w:r>
          </w:p>
        </w:tc>
        <w:tc>
          <w:tcPr>
            <w:tcW w:w="7680" w:type="dxa"/>
            <w:vAlign w:val="bottom"/>
          </w:tcPr>
          <w:p>
            <w:pPr>
              <w:ind w:left="720"/>
              <w:spacing w:after="0"/>
              <w:rPr>
                <w:sz w:val="20"/>
                <w:szCs w:val="20"/>
                <w:color w:val="auto"/>
              </w:rPr>
            </w:pPr>
            <w:r>
              <w:rPr>
                <w:rFonts w:ascii="Arial" w:cs="Arial" w:eastAsia="Arial" w:hAnsi="Arial"/>
                <w:sz w:val="18"/>
                <w:szCs w:val="18"/>
                <w:color w:val="auto"/>
              </w:rPr>
              <w:t>ü   We have a robust and comprehensive Code of Business Conduct that applies to all</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3"/>
              </w:rPr>
              <w:t>employees, officers and directors and a Supplemental Code of Business Conduct for our</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5"/>
              </w:rPr>
              <w:t>Principal Executive Officer, Principal Financial Officer and Principal Accounting Officer.</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No Hedging of Company Securities</w:t>
            </w:r>
          </w:p>
        </w:tc>
        <w:tc>
          <w:tcPr>
            <w:tcW w:w="7680" w:type="dxa"/>
            <w:vAlign w:val="bottom"/>
          </w:tcPr>
          <w:p>
            <w:pPr>
              <w:ind w:left="720"/>
              <w:spacing w:after="0"/>
              <w:rPr>
                <w:sz w:val="20"/>
                <w:szCs w:val="20"/>
                <w:color w:val="auto"/>
              </w:rPr>
            </w:pPr>
            <w:r>
              <w:rPr>
                <w:rFonts w:ascii="Arial" w:cs="Arial" w:eastAsia="Arial" w:hAnsi="Arial"/>
                <w:sz w:val="18"/>
                <w:szCs w:val="18"/>
                <w:color w:val="auto"/>
              </w:rPr>
              <w:t>ü   We prohibit our directors and executives from engaging in hedging or derivative</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transactions involving our securities.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No Pledging of Company Securities</w:t>
            </w:r>
          </w:p>
        </w:tc>
        <w:tc>
          <w:tcPr>
            <w:tcW w:w="7680" w:type="dxa"/>
            <w:vAlign w:val="bottom"/>
          </w:tcPr>
          <w:p>
            <w:pPr>
              <w:ind w:left="720"/>
              <w:spacing w:after="0"/>
              <w:rPr>
                <w:sz w:val="20"/>
                <w:szCs w:val="20"/>
                <w:color w:val="auto"/>
              </w:rPr>
            </w:pPr>
            <w:r>
              <w:rPr>
                <w:rFonts w:ascii="Arial" w:cs="Arial" w:eastAsia="Arial" w:hAnsi="Arial"/>
                <w:sz w:val="18"/>
                <w:szCs w:val="18"/>
                <w:color w:val="auto"/>
                <w:w w:val="99"/>
              </w:rPr>
              <w:t>ü   We prohibit our directors and executives from pledging our securities. No directors or</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executives currently pledge any of our securities.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426"/>
        </w:trPr>
        <w:tc>
          <w:tcPr>
            <w:tcW w:w="3560" w:type="dxa"/>
            <w:vAlign w:val="bottom"/>
          </w:tcPr>
          <w:p>
            <w:pPr>
              <w:spacing w:after="0"/>
              <w:rPr>
                <w:sz w:val="20"/>
                <w:szCs w:val="20"/>
                <w:color w:val="auto"/>
              </w:rPr>
            </w:pPr>
            <w:r>
              <w:rPr>
                <w:rFonts w:ascii="Arial" w:cs="Arial" w:eastAsia="Arial" w:hAnsi="Arial"/>
                <w:sz w:val="18"/>
                <w:szCs w:val="18"/>
                <w:b w:val="1"/>
                <w:bCs w:val="1"/>
                <w:color w:val="auto"/>
              </w:rPr>
              <w:t>Nomination of Directors</w:t>
            </w:r>
          </w:p>
        </w:tc>
        <w:tc>
          <w:tcPr>
            <w:tcW w:w="768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obtaining the names of possible director nominees, the Nominating and Governance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Nominating and Governance Committee will consider nominees recommended by shareholders who submit their recommendations in writing to Chairman, Nominating and Governance Committee, care of the Corporate Secretary, Weatherford International plc, 2000 St. James Place, Houston, Texas 77056. Recommendations received by the dates set forth below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Nominating and Governance Committee and evidence that the person making the recommendation is a shareholder of Weatherford.</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Nominating and Governance Committee meetings (which generally are held in Houston, Texas or remotely), and should be committed to serve on the Board for an extended period of time. The Nominating and Governance Committee will consider independence, diversity of viewpoints, backgrounds and experience, including a consideration of gender, ethnicity, race, country of citizenship and age in determining whether a candidate will be an appropriate fit with, and an asset to, the Board. When considering existing directors, the Nominating and Governance Committee evaluates their history of attendance at Board and committee meetings as well as contributions and effectiveness at such meetings.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32" w:name="page33"/>
    <w:bookmarkEnd w:id="32"/>
    <w:p>
      <w:pPr>
        <w:ind w:firstLine="648"/>
        <w:spacing w:after="0" w:line="291" w:lineRule="auto"/>
        <w:rPr>
          <w:sz w:val="20"/>
          <w:szCs w:val="20"/>
          <w:color w:val="auto"/>
        </w:rPr>
      </w:pPr>
      <w:r>
        <w:rPr>
          <w:rFonts w:ascii="Arial" w:cs="Arial" w:eastAsia="Arial" w:hAnsi="Arial"/>
          <w:sz w:val="16"/>
          <w:szCs w:val="16"/>
          <w:color w:val="auto"/>
        </w:rPr>
        <w:t>Shareholders who wish to have a nominee considered by our shareholders at the Annual General Meeting must comply with the deadlines and procedures set forth in our Articles. Our Articles provide that a person who (i) is a registered shareholder (A) at the time of the notice, referred to below and</w:t>
      </w:r>
    </w:p>
    <w:p>
      <w:pPr>
        <w:jc w:val="both"/>
        <w:ind w:firstLine="8"/>
        <w:spacing w:after="0" w:line="255"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time of the Annual General Meeting, (ii) is entitled to vote at the Annual General Meeting and (iii) complies with the notice and certain other relevant provisions of the Articles, may, by timely written notice, bring a nomination for the election of a director or other business before an Annual General Meeting.</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be timely for an Annual General Meeting, a registered shareholder's notice to bring a nomination or other business must be delivered or mailed and received at the Company's registered office, addressed to the Corporate Secretary no earlier than 90 calendar days and no later than 120 calendar days before the first anniversary of the Company's Annual General Meeting for the prior year; provided, however, that (A) if the annual meeting of shareholders is advanced by more than 30 days, or delayed by more than 60 days, from the first anniversary of the prior year's Annual General Meeting or (B) if no annual meeting was held during the prior year, the notice by the registered shareholder to be timely must be received (1) no earlier than 120 days before such Annual General Meeting and (2) no later than the later of 90 days before such Annual General Meeting and the tenth day after the day on which the notice of such Annual General Meeting was first made by mail or public disclosure.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no event shall an adjournment or postponement, or public disclosure of an adjournment or postponement, of an Annual General Meeting commence a new time period (or extend any time period) for the giving of the notice of business. The request must specify any other information that would be required to be included in a proxy statement pursuant to the rules of the SEC.</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recommend that any shareholder desiring to make a nomination or submit a proposal for consideration obtain a copy of our Articles. They are available on our website at www.weatherford.com, by clicking on "Investor Relations," then "Corporate Governance," then "Corporate Documents," then "Memorandum and Articles of Association." Shareholders also may obtain a copy of these documents free of charge by submitting a written request to our Corporate Secretary at 70 Sir John Rogerson's Quay, Dublin 2, Ireland.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ethics entitled "Code of Business Conduct," which applies to all our employees, officers and directors, and our Board has also adopted a separate "Supplemental Code of Business Conduct" for our Principal Executive Officer, Principal Financial Officer and Principal Accounting Officer. Copies of these codes are also available on our website at www.weatherford.com, by clicking on "Investor Relations," then "Company Information," then "Corporate Governance," then "Corporate Documents," then selecting "Code of Business Conduct," or "Supplemental Code of Conduct," as applicable.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Named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refer to the individuals below as our NEOs for the year ended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Age</w:t>
            </w:r>
          </w:p>
        </w:tc>
        <w:tc>
          <w:tcPr>
            <w:tcW w:w="7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Position</w:t>
            </w:r>
          </w:p>
        </w:tc>
      </w:tr>
      <w:tr>
        <w:trPr>
          <w:trHeight w:val="209"/>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34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Girishchandra K. Saligram</w:t>
            </w:r>
            <w:r>
              <w:rPr>
                <w:rFonts w:ascii="Arial" w:cs="Arial" w:eastAsia="Arial" w:hAnsi="Arial"/>
                <w:sz w:val="29"/>
                <w:szCs w:val="29"/>
                <w:color w:val="auto"/>
                <w:vertAlign w:val="superscript"/>
              </w:rPr>
              <w:t>(1)</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49</w:t>
            </w:r>
          </w:p>
        </w:tc>
        <w:tc>
          <w:tcPr>
            <w:tcW w:w="7020" w:type="dxa"/>
            <w:vAlign w:val="bottom"/>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257"/>
        </w:trPr>
        <w:tc>
          <w:tcPr>
            <w:tcW w:w="2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H. Keith Jennings</w:t>
            </w:r>
            <w:r>
              <w:rPr>
                <w:rFonts w:ascii="Arial" w:cs="Arial" w:eastAsia="Arial" w:hAnsi="Arial"/>
                <w:sz w:val="29"/>
                <w:szCs w:val="29"/>
                <w:color w:val="auto"/>
                <w:vertAlign w:val="superscript"/>
              </w:rPr>
              <w:t>(2)</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Scott C. Weatherholt</w:t>
            </w:r>
            <w:r>
              <w:rPr>
                <w:rFonts w:ascii="Arial" w:cs="Arial" w:eastAsia="Arial" w:hAnsi="Arial"/>
                <w:sz w:val="29"/>
                <w:szCs w:val="29"/>
                <w:color w:val="auto"/>
                <w:vertAlign w:val="superscript"/>
              </w:rPr>
              <w:t>(3)</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7020" w:type="dxa"/>
            <w:vAlign w:val="bottom"/>
          </w:tcPr>
          <w:p>
            <w:pPr>
              <w:ind w:left="280"/>
              <w:spacing w:after="0"/>
              <w:rPr>
                <w:sz w:val="20"/>
                <w:szCs w:val="20"/>
                <w:color w:val="auto"/>
              </w:rPr>
            </w:pPr>
            <w:r>
              <w:rPr>
                <w:rFonts w:ascii="Arial" w:cs="Arial" w:eastAsia="Arial" w:hAnsi="Arial"/>
                <w:sz w:val="18"/>
                <w:szCs w:val="18"/>
                <w:color w:val="auto"/>
              </w:rPr>
              <w:t>Executive Vice President, General Counsel and Chief Compliance Officer</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34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Mark A. McCollum</w:t>
            </w:r>
            <w:r>
              <w:rPr>
                <w:rFonts w:ascii="Arial" w:cs="Arial" w:eastAsia="Arial" w:hAnsi="Arial"/>
                <w:sz w:val="29"/>
                <w:szCs w:val="29"/>
                <w:color w:val="auto"/>
                <w:vertAlign w:val="superscript"/>
              </w:rPr>
              <w:t>(4)</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62</w:t>
            </w:r>
          </w:p>
        </w:tc>
        <w:tc>
          <w:tcPr>
            <w:tcW w:w="7020" w:type="dxa"/>
            <w:vAlign w:val="bottom"/>
          </w:tcPr>
          <w:p>
            <w:pPr>
              <w:ind w:left="280"/>
              <w:spacing w:after="0"/>
              <w:rPr>
                <w:sz w:val="20"/>
                <w:szCs w:val="20"/>
                <w:color w:val="auto"/>
              </w:rPr>
            </w:pPr>
            <w:r>
              <w:rPr>
                <w:rFonts w:ascii="Arial" w:cs="Arial" w:eastAsia="Arial" w:hAnsi="Arial"/>
                <w:sz w:val="18"/>
                <w:szCs w:val="18"/>
                <w:color w:val="auto"/>
              </w:rPr>
              <w:t>Former President, Chief Executive Officer and Former Director</w:t>
            </w:r>
          </w:p>
        </w:tc>
      </w:tr>
      <w:tr>
        <w:trPr>
          <w:trHeight w:val="203"/>
        </w:trPr>
        <w:tc>
          <w:tcPr>
            <w:tcW w:w="28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Karl Blanchard</w:t>
            </w:r>
            <w:r>
              <w:rPr>
                <w:rFonts w:ascii="Arial" w:cs="Arial" w:eastAsia="Arial" w:hAnsi="Arial"/>
                <w:sz w:val="23"/>
                <w:szCs w:val="23"/>
                <w:color w:val="auto"/>
                <w:vertAlign w:val="superscript"/>
              </w:rPr>
              <w:t>(5)</w:t>
            </w:r>
          </w:p>
        </w:tc>
        <w:tc>
          <w:tcPr>
            <w:tcW w:w="13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61</w:t>
            </w:r>
          </w:p>
        </w:tc>
        <w:tc>
          <w:tcPr>
            <w:tcW w:w="70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98"/>
              </w:rPr>
              <w:t>Executive Vice President and Chief Operating Officer, Former Interim Chief Executive</w:t>
            </w:r>
          </w:p>
        </w:tc>
      </w:tr>
      <w:tr>
        <w:trPr>
          <w:trHeight w:val="215"/>
        </w:trPr>
        <w:tc>
          <w:tcPr>
            <w:tcW w:w="2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Officer, Former Interim Chief Financial Officer and Former member of the Office of Chief</w:t>
            </w:r>
          </w:p>
        </w:tc>
      </w:tr>
      <w:tr>
        <w:trPr>
          <w:trHeight w:val="230"/>
        </w:trPr>
        <w:tc>
          <w:tcPr>
            <w:tcW w:w="28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Executive</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5"/>
                <w:szCs w:val="15"/>
                <w:color w:val="auto"/>
              </w:rPr>
              <w:t>Christian A. Garcia</w:t>
            </w:r>
            <w:r>
              <w:rPr>
                <w:rFonts w:ascii="Arial" w:cs="Arial" w:eastAsia="Arial" w:hAnsi="Arial"/>
                <w:sz w:val="23"/>
                <w:szCs w:val="23"/>
                <w:color w:val="auto"/>
                <w:vertAlign w:val="superscript"/>
              </w:rPr>
              <w:t>(6)</w:t>
            </w:r>
          </w:p>
        </w:tc>
        <w:tc>
          <w:tcPr>
            <w:tcW w:w="13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57</w:t>
            </w:r>
          </w:p>
        </w:tc>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w w:val="96"/>
              </w:rPr>
              <w:t>Former Executive Vice President and Chief Financial Officer and Former member of the</w:t>
            </w:r>
          </w:p>
        </w:tc>
      </w:tr>
      <w:tr>
        <w:trPr>
          <w:trHeight w:val="229"/>
        </w:trPr>
        <w:tc>
          <w:tcPr>
            <w:tcW w:w="2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Office of Chief Executive</w:t>
            </w:r>
          </w:p>
        </w:tc>
      </w:tr>
      <w:tr>
        <w:trPr>
          <w:trHeight w:val="257"/>
        </w:trPr>
        <w:tc>
          <w:tcPr>
            <w:tcW w:w="2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Mark D. Swift</w:t>
            </w:r>
            <w:r>
              <w:rPr>
                <w:rFonts w:ascii="Arial" w:cs="Arial" w:eastAsia="Arial" w:hAnsi="Arial"/>
                <w:sz w:val="29"/>
                <w:szCs w:val="29"/>
                <w:color w:val="auto"/>
                <w:vertAlign w:val="superscript"/>
              </w:rPr>
              <w:t>(7)</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w:t>
            </w: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Former President Western Hemisphere</w:t>
            </w: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Stuart Fraser</w:t>
            </w:r>
            <w:r>
              <w:rPr>
                <w:rFonts w:ascii="Arial" w:cs="Arial" w:eastAsia="Arial" w:hAnsi="Arial"/>
                <w:sz w:val="29"/>
                <w:szCs w:val="29"/>
                <w:color w:val="auto"/>
                <w:vertAlign w:val="superscript"/>
              </w:rPr>
              <w:t>(8)</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53</w:t>
            </w:r>
          </w:p>
        </w:tc>
        <w:tc>
          <w:tcPr>
            <w:tcW w:w="7020" w:type="dxa"/>
            <w:vAlign w:val="bottom"/>
          </w:tcPr>
          <w:p>
            <w:pPr>
              <w:ind w:left="280"/>
              <w:spacing w:after="0"/>
              <w:rPr>
                <w:sz w:val="20"/>
                <w:szCs w:val="20"/>
                <w:color w:val="auto"/>
              </w:rPr>
            </w:pPr>
            <w:r>
              <w:rPr>
                <w:rFonts w:ascii="Arial" w:cs="Arial" w:eastAsia="Arial" w:hAnsi="Arial"/>
                <w:sz w:val="18"/>
                <w:szCs w:val="18"/>
                <w:color w:val="auto"/>
              </w:rPr>
              <w:t>Vice President, Chief Accounting Officer and Former Interim Chief Financial Officer</w:t>
            </w:r>
          </w:p>
        </w:tc>
      </w:tr>
      <w:tr>
        <w:trPr>
          <w:trHeight w:val="257"/>
        </w:trPr>
        <w:tc>
          <w:tcPr>
            <w:tcW w:w="2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Frederico Justus</w:t>
            </w:r>
            <w:r>
              <w:rPr>
                <w:rFonts w:ascii="Arial" w:cs="Arial" w:eastAsia="Arial" w:hAnsi="Arial"/>
                <w:sz w:val="29"/>
                <w:szCs w:val="29"/>
                <w:color w:val="auto"/>
                <w:vertAlign w:val="superscript"/>
              </w:rPr>
              <w:t>(9)</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w:t>
            </w: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Former President Eastern Hemisphere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Saligram was appointed as our President and Chief Executive Officer effective October 12,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Jennings was appointed as our Executive Vice President and Chief Financial Officer on September 1,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Weatherholt was appointed as our Executive Vice President, General Counsel and Chief Compliance Officer on July 23,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McCollum served as our President, Chief Executive Officer and Director until his departure from the Company on June 7, 2020.</w:t>
      </w:r>
    </w:p>
    <w:p>
      <w:pPr>
        <w:spacing w:after="0" w:line="225"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Blanchard served as our Executive Vice President and Chief Operating Officer until his retirement on February 26, 2021. On June 7, 2020, Mr. Blanchard was appointed as a member of the Office of Chief Executive, together with Mr. Garcia. On June 16, 2020, Mr. Blanchard was appointed as our Interim Chief Executive Officer, which position he held until October 12, 2020 when Mr. Saligram joined the Company. At that time, Mr. Blanchard returned to his former role as our Executive Vice President and Chief Operating Officer. Mr. Blanchard also was appointed as our interim Principal Financial Officer upon Mr. Garcia's resignation in August 2020 until Mr. Jennings joined the Company on September 1, 2020.</w:t>
      </w:r>
    </w:p>
    <w:p>
      <w:pPr>
        <w:spacing w:after="0" w:line="161"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Garcia joined the Company on January 6, 2020. On June 7, 2020, Mr. Garcia was appointed to the Office of Chief Executive, together with Mr. Blanchard, upon the departure of Mr. McCollum. Mr. Garcia resigned from the Office of Chief Executive effective as of June 16, 2020 and also resigned as Executive Vice President and Chief Financial Officer of the Company effective on August 5, 2020.</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Swift had been our President, Western Hemisphere since October 1, 2017 and was named as an executive officer of the Company in January 2020. Mr. Swift left the Company on March 31, 2020. He is included as a NEO because he would have been one of the two most highly compensated executive officers but for the fact that he was no longer with the Company at December 31, 2020.</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Fraser served as our Interim Chief Financial Officer from November 14, 2019 until January 6, 2020 when Mr. Garcia joined the Company. Mr. Fraser advised he will be departing the Company effective March 31, 2021. He is included as a NEO because he served as our Principal Financial Officer during the fiscal year.</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Justus had been our President, Eastern Hemisphere since October 1, 2017 and was named as an executive officer of the Company in January 2020. Mr. Justus left the Company on September 9, 2020. He is included as a NEO because he would have been one of the two most highly compensated executive officers but for the fact that he was no longer with the Company at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Compensation Discussion and Analysis reviews the principles underlying our compensation policies and decisions for 2020. For additional information about our NEOs, see "Item 6. – Executive Compensation – Introduction and Named Executive Officers" of this registration statement, which is incorporated herein by reference.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Weatherford successfully emerged from bankruptcy in December 2019, with a newly constituted Board and a newly appointed Compensation and Human Resources Committee (the "C&amp;HR Committee"). The C&amp;HR Committee was tasked with evaluating our then existing executive compensation program in light of our new, post-emergence size, and industry conditions. The C&amp;HR Committee retained Lyons, Benenson &amp; Company Inc. ("LB&amp;Co." or "Compensation Consultant") as its independent compensation consultant to advise on our executive compensation and independent, non-employee director compensation matters. In addition to weak industry conditions, as early as the first quarter of 2020, the Company was confronting the 2020 oil crisis and the COVID-19 pandemic. Any expectations for the year with respect to our Company, our employees, our society, and the national and global economic landscape were replaced with the need to react to new and unknown circumstances resulting from these significant combined challenges. Additionally, we experienced significant changes to our executive leadership team ("ELT") in 2020, including changes to the incumbents occupying the roles of President and Chief Executive Officer; Executive Vice President and Chief Financial Officer; Executive Vice President, General Counsel and Chief Compliance Officer, President – Western Hemisphere and President – Eastern Hemisphere.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Material changes to our executive compensation program in recognition of the global and Company economic conditions as well as the Company personnel changes described above were as follows:</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Voluntary 20% reduction in base salaries applicable to the former NEOs until January 1,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and subsequent adjustment of annual cash incentive based on achievement of performance metrics;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of one-time, long-term cash incentive awards (in lieu of equity awards) with 30% vesting on the basis of time and 70% vesting on the basis of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 – Business – Human Capital Management" of this registration statement,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0" w:type="dxa"/>
            <w:vAlign w:val="bottom"/>
            <w:tcBorders>
              <w:top w:val="single" w:sz="8" w:color="auto"/>
              <w:left w:val="single" w:sz="8" w:color="auto"/>
              <w:bottom w:val="single" w:sz="8" w:color="auto"/>
            </w:tcBorders>
            <w:shd w:val="clear" w:color="auto" w:fill="C00000"/>
          </w:tcPr>
          <w:p>
            <w:pPr>
              <w:spacing w:after="0"/>
              <w:rPr>
                <w:sz w:val="19"/>
                <w:szCs w:val="19"/>
                <w:color w:val="auto"/>
              </w:rPr>
            </w:pPr>
          </w:p>
        </w:tc>
        <w:tc>
          <w:tcPr>
            <w:tcW w:w="5380" w:type="dxa"/>
            <w:vAlign w:val="bottom"/>
            <w:tcBorders>
              <w:top w:val="single" w:sz="8" w:color="auto"/>
              <w:bottom w:val="single" w:sz="8" w:color="auto"/>
              <w:right w:val="single" w:sz="8" w:color="auto"/>
            </w:tcBorders>
            <w:shd w:val="clear" w:color="auto" w:fill="C00000"/>
          </w:tcPr>
          <w:p>
            <w:pPr>
              <w:ind w:left="2000"/>
              <w:spacing w:after="0"/>
              <w:rPr>
                <w:sz w:val="20"/>
                <w:szCs w:val="20"/>
                <w:color w:val="auto"/>
              </w:rPr>
            </w:pPr>
            <w:r>
              <w:rPr>
                <w:rFonts w:ascii="Arial" w:cs="Arial" w:eastAsia="Arial" w:hAnsi="Arial"/>
                <w:sz w:val="18"/>
                <w:szCs w:val="18"/>
                <w:b w:val="1"/>
                <w:bCs w:val="1"/>
                <w:color w:val="FFFFFF"/>
              </w:rPr>
              <w:t>What We Do</w:t>
            </w:r>
          </w:p>
        </w:tc>
        <w:tc>
          <w:tcPr>
            <w:tcW w:w="300" w:type="dxa"/>
            <w:vAlign w:val="bottom"/>
            <w:tcBorders>
              <w:top w:val="single" w:sz="8" w:color="auto"/>
              <w:bottom w:val="single" w:sz="8" w:color="auto"/>
            </w:tcBorders>
            <w:shd w:val="clear" w:color="auto" w:fill="C00000"/>
          </w:tcPr>
          <w:p>
            <w:pPr>
              <w:spacing w:after="0"/>
              <w:rPr>
                <w:sz w:val="19"/>
                <w:szCs w:val="19"/>
                <w:color w:val="auto"/>
              </w:rPr>
            </w:pPr>
          </w:p>
        </w:tc>
        <w:tc>
          <w:tcPr>
            <w:tcW w:w="5180" w:type="dxa"/>
            <w:vAlign w:val="bottom"/>
            <w:tcBorders>
              <w:top w:val="single" w:sz="8" w:color="auto"/>
              <w:bottom w:val="single" w:sz="8" w:color="auto"/>
              <w:right w:val="single" w:sz="8" w:color="auto"/>
            </w:tcBorders>
            <w:shd w:val="clear" w:color="auto" w:fill="C00000"/>
          </w:tcPr>
          <w:p>
            <w:pPr>
              <w:ind w:left="1640"/>
              <w:spacing w:after="0"/>
              <w:rPr>
                <w:sz w:val="20"/>
                <w:szCs w:val="20"/>
                <w:color w:val="auto"/>
              </w:rPr>
            </w:pPr>
            <w:r>
              <w:rPr>
                <w:rFonts w:ascii="Arial" w:cs="Arial" w:eastAsia="Arial" w:hAnsi="Arial"/>
                <w:sz w:val="18"/>
                <w:szCs w:val="18"/>
                <w:b w:val="1"/>
                <w:bCs w:val="1"/>
                <w:color w:val="FFFFFF"/>
              </w:rPr>
              <w:t>What We Do Not Do</w:t>
            </w: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3"/>
              </w:rPr>
              <w:t>We align the interests of our executives and shareholders through the</w:t>
            </w:r>
          </w:p>
        </w:tc>
        <w:tc>
          <w:tcPr>
            <w:tcW w:w="30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use of performance-based annual cash incentive compensation and</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û</w:t>
            </w: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We do not provide for excise tax gross-ups in the event of a change-</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vMerge w:val="continue"/>
          </w:tcPr>
          <w:p>
            <w:pPr>
              <w:spacing w:after="0"/>
              <w:rPr>
                <w:sz w:val="10"/>
                <w:szCs w:val="10"/>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service and performance-based long-term cash and equity incentive</w:t>
            </w:r>
          </w:p>
        </w:tc>
        <w:tc>
          <w:tcPr>
            <w:tcW w:w="300" w:type="dxa"/>
            <w:vAlign w:val="bottom"/>
            <w:vMerge w:val="continue"/>
          </w:tcPr>
          <w:p>
            <w:pPr>
              <w:spacing w:after="0"/>
              <w:rPr>
                <w:sz w:val="10"/>
                <w:szCs w:val="10"/>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in-control</w:t>
            </w:r>
          </w:p>
        </w:tc>
        <w:tc>
          <w:tcPr>
            <w:tcW w:w="0" w:type="dxa"/>
            <w:vAlign w:val="bottom"/>
          </w:tcPr>
          <w:p>
            <w:pPr>
              <w:spacing w:after="0"/>
              <w:rPr>
                <w:sz w:val="1"/>
                <w:szCs w:val="1"/>
                <w:color w:val="auto"/>
              </w:rPr>
            </w:pPr>
          </w:p>
        </w:tc>
      </w:tr>
      <w:tr>
        <w:trPr>
          <w:trHeight w:val="94"/>
        </w:trPr>
        <w:tc>
          <w:tcPr>
            <w:tcW w:w="380" w:type="dxa"/>
            <w:vAlign w:val="bottom"/>
            <w:tcBorders>
              <w:left w:val="single" w:sz="8" w:color="auto"/>
            </w:tcBorders>
          </w:tcPr>
          <w:p>
            <w:pPr>
              <w:spacing w:after="0"/>
              <w:rPr>
                <w:sz w:val="8"/>
                <w:szCs w:val="8"/>
                <w:color w:val="auto"/>
              </w:rPr>
            </w:pPr>
          </w:p>
        </w:tc>
        <w:tc>
          <w:tcPr>
            <w:tcW w:w="5380" w:type="dxa"/>
            <w:vAlign w:val="bottom"/>
            <w:tcBorders>
              <w:right w:val="single" w:sz="8" w:color="auto"/>
            </w:tcBorders>
            <w:vMerge w:val="continue"/>
          </w:tcPr>
          <w:p>
            <w:pPr>
              <w:spacing w:after="0"/>
              <w:rPr>
                <w:sz w:val="8"/>
                <w:szCs w:val="8"/>
                <w:color w:val="auto"/>
              </w:rPr>
            </w:pPr>
          </w:p>
        </w:tc>
        <w:tc>
          <w:tcPr>
            <w:tcW w:w="300" w:type="dxa"/>
            <w:vAlign w:val="bottom"/>
          </w:tcPr>
          <w:p>
            <w:pPr>
              <w:spacing w:after="0"/>
              <w:rPr>
                <w:sz w:val="8"/>
                <w:szCs w:val="8"/>
                <w:color w:val="auto"/>
              </w:rPr>
            </w:pPr>
          </w:p>
        </w:tc>
        <w:tc>
          <w:tcPr>
            <w:tcW w:w="5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compensation</w:t>
            </w:r>
          </w:p>
        </w:tc>
        <w:tc>
          <w:tcPr>
            <w:tcW w:w="30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4"/>
              </w:rPr>
              <w:t>Double-Trigger Change in Control Payments—a "Change in Control"</w:t>
            </w:r>
          </w:p>
        </w:tc>
        <w:tc>
          <w:tcPr>
            <w:tcW w:w="300" w:type="dxa"/>
            <w:vAlign w:val="bottom"/>
          </w:tcPr>
          <w:p>
            <w:pPr>
              <w:spacing w:after="0"/>
              <w:rPr>
                <w:sz w:val="16"/>
                <w:szCs w:val="16"/>
                <w:color w:val="auto"/>
              </w:rPr>
            </w:pPr>
          </w:p>
        </w:tc>
        <w:tc>
          <w:tcPr>
            <w:tcW w:w="51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We maintain robust anti-pledging and anti-hedging policies, as well</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by itself is not sufficient  to  trigger  payments,  it  must  also  be</w:t>
            </w:r>
          </w:p>
        </w:tc>
        <w:tc>
          <w:tcPr>
            <w:tcW w:w="54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û   as an insider trading policy that prohibits any short sale activities by</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accompanied by a qualifying termination</w:t>
            </w:r>
          </w:p>
        </w:tc>
        <w:tc>
          <w:tcPr>
            <w:tcW w:w="30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our executives and directors</w:t>
            </w: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8"/>
              </w:rPr>
              <w:t>We have a clawback policy regarding the recoupment of incentive</w:t>
            </w:r>
          </w:p>
        </w:tc>
        <w:tc>
          <w:tcPr>
            <w:tcW w:w="300" w:type="dxa"/>
            <w:vAlign w:val="bottom"/>
          </w:tcPr>
          <w:p>
            <w:pPr>
              <w:spacing w:after="0"/>
              <w:rPr>
                <w:sz w:val="16"/>
                <w:szCs w:val="16"/>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7"/>
              </w:rPr>
              <w:t>We do not currently maintain any defined benefit or supplemental</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compensation if an executive officer willfully committed a felony,</w:t>
            </w:r>
          </w:p>
        </w:tc>
        <w:tc>
          <w:tcPr>
            <w:tcW w:w="300" w:type="dxa"/>
            <w:vAlign w:val="bottom"/>
          </w:tcPr>
          <w:p>
            <w:pPr>
              <w:spacing w:after="0"/>
              <w:rPr>
                <w:sz w:val="9"/>
                <w:szCs w:val="9"/>
                <w:color w:val="auto"/>
              </w:rPr>
            </w:pPr>
          </w:p>
        </w:tc>
        <w:tc>
          <w:tcPr>
            <w:tcW w:w="5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vMerge w:val="continue"/>
          </w:tcPr>
          <w:p>
            <w:pPr>
              <w:spacing w:after="0"/>
              <w:rPr>
                <w:sz w:val="9"/>
                <w:szCs w:val="9"/>
                <w:color w:val="auto"/>
              </w:rPr>
            </w:pPr>
          </w:p>
        </w:tc>
        <w:tc>
          <w:tcPr>
            <w:tcW w:w="54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w w:val="99"/>
              </w:rPr>
              <w:t>û   retirement plan; nor do we provide other personal benefits to our</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continue"/>
          </w:tcPr>
          <w:p>
            <w:pPr>
              <w:spacing w:after="0"/>
              <w:rPr>
                <w:sz w:val="9"/>
                <w:szCs w:val="9"/>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8"/>
              </w:rPr>
              <w:t>fraud, intentional misconduct or gross recklessness that caused a</w:t>
            </w:r>
          </w:p>
        </w:tc>
        <w:tc>
          <w:tcPr>
            <w:tcW w:w="54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5380" w:type="dxa"/>
            <w:vAlign w:val="bottom"/>
            <w:tcBorders>
              <w:righ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9"/>
              </w:rPr>
              <w:t>named executive officers that are not available to all employees</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8"/>
              </w:rPr>
              <w:t>mandatory restatement of our financials to correct a material error</w:t>
            </w:r>
          </w:p>
        </w:tc>
        <w:tc>
          <w:tcPr>
            <w:tcW w:w="300" w:type="dxa"/>
            <w:vAlign w:val="bottom"/>
          </w:tcPr>
          <w:p>
            <w:pPr>
              <w:spacing w:after="0"/>
              <w:rPr>
                <w:sz w:val="10"/>
                <w:szCs w:val="10"/>
                <w:color w:val="auto"/>
              </w:rPr>
            </w:pPr>
          </w:p>
        </w:tc>
        <w:tc>
          <w:tcPr>
            <w:tcW w:w="5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bottom w:val="single" w:sz="8" w:color="auto"/>
            </w:tcBorders>
          </w:tcPr>
          <w:p>
            <w:pPr>
              <w:spacing w:after="0"/>
              <w:rPr>
                <w:sz w:val="9"/>
                <w:szCs w:val="9"/>
                <w:color w:val="auto"/>
              </w:rPr>
            </w:pPr>
          </w:p>
        </w:tc>
        <w:tc>
          <w:tcPr>
            <w:tcW w:w="5380" w:type="dxa"/>
            <w:vAlign w:val="bottom"/>
            <w:tcBorders>
              <w:bottom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8"/>
              </w:rPr>
              <w:t>Maintain meaningful director and executive officer Ordinary Share</w:t>
            </w:r>
          </w:p>
        </w:tc>
        <w:tc>
          <w:tcPr>
            <w:tcW w:w="300" w:type="dxa"/>
            <w:vAlign w:val="bottom"/>
          </w:tcPr>
          <w:p>
            <w:pPr>
              <w:spacing w:after="0"/>
              <w:rPr>
                <w:sz w:val="16"/>
                <w:szCs w:val="16"/>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4"/>
              </w:rPr>
              <w:t>We do not pay dividends on unvested equity awards until, and only</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7"/>
              </w:rPr>
              <w:t>ownership  guidelines,  including  the  requirement  that  our  Chief</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û</w:t>
            </w:r>
          </w:p>
        </w:tc>
        <w:tc>
          <w:tcPr>
            <w:tcW w:w="5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continue"/>
          </w:tcPr>
          <w:p>
            <w:pPr>
              <w:spacing w:after="0"/>
              <w:rPr>
                <w:sz w:val="9"/>
                <w:szCs w:val="9"/>
                <w:color w:val="auto"/>
              </w:rPr>
            </w:pPr>
          </w:p>
        </w:tc>
        <w:tc>
          <w:tcPr>
            <w:tcW w:w="5380" w:type="dxa"/>
            <w:vAlign w:val="bottom"/>
            <w:tcBorders>
              <w:right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to the extent, those awards vest</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Executive Officer accumulate a holding of 6x his base salary</w:t>
            </w:r>
          </w:p>
        </w:tc>
        <w:tc>
          <w:tcPr>
            <w:tcW w:w="300" w:type="dxa"/>
            <w:vAlign w:val="bottom"/>
          </w:tcPr>
          <w:p>
            <w:pPr>
              <w:spacing w:after="0"/>
              <w:rPr>
                <w:sz w:val="10"/>
                <w:szCs w:val="10"/>
                <w:color w:val="auto"/>
              </w:rPr>
            </w:pPr>
          </w:p>
        </w:tc>
        <w:tc>
          <w:tcPr>
            <w:tcW w:w="5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bottom w:val="single" w:sz="8" w:color="auto"/>
            </w:tcBorders>
          </w:tcPr>
          <w:p>
            <w:pPr>
              <w:spacing w:after="0"/>
              <w:rPr>
                <w:sz w:val="9"/>
                <w:szCs w:val="9"/>
                <w:color w:val="auto"/>
              </w:rPr>
            </w:pPr>
          </w:p>
        </w:tc>
        <w:tc>
          <w:tcPr>
            <w:tcW w:w="5380" w:type="dxa"/>
            <w:vAlign w:val="bottom"/>
            <w:tcBorders>
              <w:bottom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5"/>
              </w:rPr>
              <w:t>Engage  an  independent  compensation  consultant  to  review  and</w:t>
            </w:r>
          </w:p>
        </w:tc>
        <w:tc>
          <w:tcPr>
            <w:tcW w:w="300" w:type="dxa"/>
            <w:vAlign w:val="bottom"/>
          </w:tcPr>
          <w:p>
            <w:pPr>
              <w:spacing w:after="0"/>
              <w:rPr>
                <w:sz w:val="16"/>
                <w:szCs w:val="16"/>
                <w:color w:val="auto"/>
              </w:rPr>
            </w:pPr>
          </w:p>
        </w:tc>
        <w:tc>
          <w:tcPr>
            <w:tcW w:w="51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Our long-term equity incentive plan prohibits repricing or buyouts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provide  recommendations  regarding  our  executive  compensation</w:t>
            </w:r>
          </w:p>
        </w:tc>
        <w:tc>
          <w:tcPr>
            <w:tcW w:w="54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û   of  underwater  options  or  stock  appreciation  rights  without</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program</w:t>
            </w:r>
          </w:p>
        </w:tc>
        <w:tc>
          <w:tcPr>
            <w:tcW w:w="30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 approval</w:t>
            </w:r>
          </w:p>
        </w:tc>
        <w:tc>
          <w:tcPr>
            <w:tcW w:w="0" w:type="dxa"/>
            <w:vAlign w:val="bottom"/>
          </w:tcPr>
          <w:p>
            <w:pPr>
              <w:spacing w:after="0"/>
              <w:rPr>
                <w:sz w:val="1"/>
                <w:szCs w:val="1"/>
                <w:color w:val="auto"/>
              </w:rPr>
            </w:pPr>
          </w:p>
        </w:tc>
      </w:tr>
      <w:tr>
        <w:trPr>
          <w:trHeight w:val="642"/>
        </w:trPr>
        <w:tc>
          <w:tcPr>
            <w:tcW w:w="3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ind w:left="5140"/>
              <w:spacing w:after="0"/>
              <w:rPr>
                <w:sz w:val="20"/>
                <w:szCs w:val="20"/>
                <w:color w:val="auto"/>
              </w:rPr>
            </w:pPr>
            <w:r>
              <w:rPr>
                <w:rFonts w:ascii="Arial" w:cs="Arial" w:eastAsia="Arial" w:hAnsi="Arial"/>
                <w:sz w:val="18"/>
                <w:szCs w:val="18"/>
                <w:color w:val="auto"/>
                <w:w w:val="99"/>
              </w:rPr>
              <w:t>33</w:t>
            </w:r>
          </w:p>
        </w:tc>
        <w:tc>
          <w:tcPr>
            <w:tcW w:w="3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program is designed to attract, motivate and retain highly talented executives, and to provide competitive compensation opportunities that align management's interests with the short- and long-term interests of our shareholders. Our compensation plans are designed recognizing our key compensation principles (shown below) and with the objectives of motivating the desired performance and maximizing shareholder value.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KEY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-127635</wp:posOffset>
            </wp:positionV>
            <wp:extent cx="3206115" cy="27857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2785745"/>
                    </a:xfrm>
                    <a:prstGeom prst="rect">
                      <a:avLst/>
                    </a:prstGeom>
                    <a:noFill/>
                  </pic:spPr>
                </pic:pic>
              </a:graphicData>
            </a:graphic>
          </wp:anchor>
        </w:drawing>
      </w:r>
    </w:p>
    <w:p>
      <w:pPr>
        <w:spacing w:after="0" w:line="34"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Provide  a  significant  portion  of  total  compensation  that  is</w:t>
      </w:r>
    </w:p>
    <w:p>
      <w:pPr>
        <w:spacing w:after="0" w:line="23" w:lineRule="exact"/>
        <w:rPr>
          <w:sz w:val="20"/>
          <w:szCs w:val="20"/>
          <w:color w:val="auto"/>
        </w:rPr>
      </w:pPr>
    </w:p>
    <w:p>
      <w:pPr>
        <w:ind w:left="3220"/>
        <w:spacing w:after="0"/>
        <w:tabs>
          <w:tab w:leader="none" w:pos="4720" w:val="left"/>
          <w:tab w:leader="none" w:pos="5120" w:val="left"/>
          <w:tab w:leader="none" w:pos="5740" w:val="left"/>
          <w:tab w:leader="none" w:pos="6200" w:val="left"/>
          <w:tab w:leader="none" w:pos="6580" w:val="left"/>
          <w:tab w:leader="none" w:pos="7200" w:val="left"/>
          <w:tab w:leader="none" w:pos="7860" w:val="left"/>
        </w:tabs>
        <w:rPr>
          <w:sz w:val="20"/>
          <w:szCs w:val="20"/>
          <w:color w:val="auto"/>
        </w:rPr>
      </w:pPr>
      <w:r>
        <w:rPr>
          <w:rFonts w:ascii="Arial" w:cs="Arial" w:eastAsia="Arial" w:hAnsi="Arial"/>
          <w:sz w:val="18"/>
          <w:szCs w:val="18"/>
          <w:color w:val="auto"/>
        </w:rPr>
        <w:t>performance-based</w:t>
        <w:tab/>
        <w:t>and</w:t>
        <w:tab/>
        <w:t>at-risk</w:t>
        <w:tab/>
        <w:t>with</w:t>
        <w:tab/>
        <w:t>the</w:t>
        <w:tab/>
        <w:t>largest</w:t>
        <w:tab/>
        <w:t>portion</w:t>
        <w:tab/>
        <w:t>of</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executive compensation being long-term incentives</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Align at-risk pay to company performance resulting from a strong</w:t>
      </w:r>
    </w:p>
    <w:p>
      <w:pPr>
        <w:spacing w:after="0" w:line="3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focus on operational excellence, innovation, safety, environmental</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stewardship  and  social  responsibility,  combined  with  strong</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financial results in both the short- and long-term</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Provide  a  clear  link  between  pay  and  performance,  without</w:t>
      </w:r>
    </w:p>
    <w:p>
      <w:pPr>
        <w:spacing w:after="0" w:line="3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encouraging excessive risk-taking</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Attract, motivate and retain top talent in key executive positions</w:t>
      </w:r>
    </w:p>
    <w:p>
      <w:pPr>
        <w:spacing w:after="0" w:line="3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through market competitive compensation</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Limit non-performance-based entitlements</w:t>
      </w:r>
    </w:p>
    <w:p>
      <w:pPr>
        <w:spacing w:after="0" w:line="7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Require executives to focus on both the short- and long-term</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performance goals of the Company</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Performance measures tied to financial results to drive and reward</w:t>
      </w:r>
    </w:p>
    <w:p>
      <w:pPr>
        <w:spacing w:after="0" w:line="46"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strong business performance and create superior and sustained</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value for our shareholders</w:t>
      </w:r>
    </w:p>
    <w:p>
      <w:pPr>
        <w:spacing w:after="0" w:line="2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our compensation program and the underlying philosophy and principles will encourage sustained long-term profitability by making a significant portion of each NEOs total direct compensation variable and dependent on our achievement of pre-determined financial, and operational performance objectives.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form and level of compensation for each NEO is determined after considering several factors, including the executive's position and responsibility within Weatherford, recent performance appraisals and the executive's ability to assume increasing responsibility, competitive market data and other external market-based factors. The C&amp;HR Committee uses this information when establishing compensation opportunities in order to arrive at a comprehensive package that emphasizes pay-for-performance and is competitive in the marketplace. For the 2020 fiscal year, the graphs below show the pay mix (calculated using annualized salaries without including the effects of the 20% voluntary pay reduction and target opportunities for EICP and LTCIP) for the Chief Executive Officer compared to the average for the other NEOs (as of the end of the 2020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121920</wp:posOffset>
            </wp:positionV>
            <wp:extent cx="5768975" cy="1928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89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Key Elements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the NEO compensation program for 2020 were as follows: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vMerge w:val="restart"/>
            <w:shd w:val="clear" w:color="auto" w:fill="C00000"/>
          </w:tcPr>
          <w:p>
            <w:pPr>
              <w:ind w:left="920"/>
              <w:spacing w:after="0"/>
              <w:rPr>
                <w:sz w:val="20"/>
                <w:szCs w:val="20"/>
                <w:color w:val="auto"/>
              </w:rPr>
            </w:pPr>
            <w:r>
              <w:rPr>
                <w:rFonts w:ascii="Arial" w:cs="Arial" w:eastAsia="Arial" w:hAnsi="Arial"/>
                <w:sz w:val="18"/>
                <w:szCs w:val="18"/>
                <w:b w:val="1"/>
                <w:bCs w:val="1"/>
                <w:color w:val="FFFFFF"/>
              </w:rPr>
              <w:t>ELEMENTS</w:t>
            </w:r>
          </w:p>
        </w:tc>
        <w:tc>
          <w:tcPr>
            <w:tcW w:w="2020" w:type="dxa"/>
            <w:vAlign w:val="bottom"/>
            <w:tcBorders>
              <w:top w:val="single" w:sz="8" w:color="auto"/>
              <w:right w:val="single" w:sz="8" w:color="auto"/>
            </w:tcBorders>
            <w:shd w:val="clear" w:color="auto" w:fill="C00000"/>
          </w:tcPr>
          <w:p>
            <w:pPr>
              <w:ind w:left="580"/>
              <w:spacing w:after="0"/>
              <w:rPr>
                <w:sz w:val="20"/>
                <w:szCs w:val="20"/>
                <w:color w:val="auto"/>
              </w:rPr>
            </w:pPr>
            <w:r>
              <w:rPr>
                <w:rFonts w:ascii="Arial" w:cs="Arial" w:eastAsia="Arial" w:hAnsi="Arial"/>
                <w:sz w:val="18"/>
                <w:szCs w:val="18"/>
                <w:b w:val="1"/>
                <w:bCs w:val="1"/>
                <w:color w:val="FFFFFF"/>
              </w:rPr>
              <w:t>FORM OF</w:t>
            </w:r>
          </w:p>
        </w:tc>
        <w:tc>
          <w:tcPr>
            <w:tcW w:w="3600" w:type="dxa"/>
            <w:vAlign w:val="bottom"/>
            <w:tcBorders>
              <w:top w:val="single" w:sz="8" w:color="auto"/>
              <w:right w:val="single" w:sz="8" w:color="auto"/>
            </w:tcBorders>
            <w:vMerge w:val="restart"/>
            <w:shd w:val="clear" w:color="auto" w:fill="C00000"/>
          </w:tcPr>
          <w:p>
            <w:pPr>
              <w:ind w:left="760"/>
              <w:spacing w:after="0"/>
              <w:rPr>
                <w:sz w:val="20"/>
                <w:szCs w:val="20"/>
                <w:color w:val="auto"/>
              </w:rPr>
            </w:pPr>
            <w:r>
              <w:rPr>
                <w:rFonts w:ascii="Arial" w:cs="Arial" w:eastAsia="Arial" w:hAnsi="Arial"/>
                <w:sz w:val="18"/>
                <w:szCs w:val="18"/>
                <w:b w:val="1"/>
                <w:bCs w:val="1"/>
                <w:color w:val="FFFFFF"/>
              </w:rPr>
              <w:t>PRIMARY OBJECTIVES</w:t>
            </w:r>
          </w:p>
        </w:tc>
        <w:tc>
          <w:tcPr>
            <w:tcW w:w="2780" w:type="dxa"/>
            <w:vAlign w:val="bottom"/>
            <w:tcBorders>
              <w:top w:val="single" w:sz="8" w:color="auto"/>
              <w:right w:val="single" w:sz="8" w:color="auto"/>
            </w:tcBorders>
            <w:vMerge w:val="restart"/>
            <w:shd w:val="clear" w:color="auto" w:fill="C00000"/>
          </w:tcPr>
          <w:p>
            <w:pPr>
              <w:ind w:left="880"/>
              <w:spacing w:after="0"/>
              <w:rPr>
                <w:sz w:val="20"/>
                <w:szCs w:val="20"/>
                <w:color w:val="auto"/>
              </w:rPr>
            </w:pPr>
            <w:r>
              <w:rPr>
                <w:rFonts w:ascii="Arial" w:cs="Arial" w:eastAsia="Arial" w:hAnsi="Arial"/>
                <w:sz w:val="18"/>
                <w:szCs w:val="18"/>
                <w:b w:val="1"/>
                <w:bCs w:val="1"/>
                <w:color w:val="FFFFFF"/>
              </w:rPr>
              <w:t>MEASURES</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continue"/>
            <w:shd w:val="clear" w:color="auto" w:fill="C00000"/>
          </w:tcPr>
          <w:p>
            <w:pPr>
              <w:spacing w:after="0"/>
              <w:rPr>
                <w:sz w:val="10"/>
                <w:szCs w:val="10"/>
                <w:color w:val="auto"/>
              </w:rPr>
            </w:pPr>
          </w:p>
        </w:tc>
        <w:tc>
          <w:tcPr>
            <w:tcW w:w="2020" w:type="dxa"/>
            <w:vAlign w:val="bottom"/>
            <w:tcBorders>
              <w:right w:val="single" w:sz="8" w:color="auto"/>
            </w:tcBorders>
            <w:vMerge w:val="restart"/>
            <w:shd w:val="clear" w:color="auto" w:fill="C00000"/>
          </w:tcPr>
          <w:p>
            <w:pPr>
              <w:ind w:left="260"/>
              <w:spacing w:after="0"/>
              <w:rPr>
                <w:sz w:val="20"/>
                <w:szCs w:val="20"/>
                <w:color w:val="auto"/>
              </w:rPr>
            </w:pPr>
            <w:r>
              <w:rPr>
                <w:rFonts w:ascii="Arial" w:cs="Arial" w:eastAsia="Arial" w:hAnsi="Arial"/>
                <w:sz w:val="18"/>
                <w:szCs w:val="18"/>
                <w:b w:val="1"/>
                <w:bCs w:val="1"/>
                <w:color w:val="FFFFFF"/>
              </w:rPr>
              <w:t>COMPENSATION</w:t>
            </w:r>
          </w:p>
        </w:tc>
        <w:tc>
          <w:tcPr>
            <w:tcW w:w="3600" w:type="dxa"/>
            <w:vAlign w:val="bottom"/>
            <w:tcBorders>
              <w:right w:val="single" w:sz="8" w:color="auto"/>
            </w:tcBorders>
            <w:vMerge w:val="continue"/>
            <w:shd w:val="clear" w:color="auto" w:fill="C00000"/>
          </w:tcPr>
          <w:p>
            <w:pPr>
              <w:spacing w:after="0"/>
              <w:rPr>
                <w:sz w:val="10"/>
                <w:szCs w:val="10"/>
                <w:color w:val="auto"/>
              </w:rPr>
            </w:pPr>
          </w:p>
        </w:tc>
        <w:tc>
          <w:tcPr>
            <w:tcW w:w="2780" w:type="dxa"/>
            <w:vAlign w:val="bottom"/>
            <w:tcBorders>
              <w:right w:val="single" w:sz="8" w:color="auto"/>
            </w:tcBorders>
            <w:vMerge w:val="continue"/>
            <w:shd w:val="clear" w:color="auto" w:fill="C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shd w:val="clear" w:color="auto" w:fill="C00000"/>
          </w:tcPr>
          <w:p>
            <w:pPr>
              <w:spacing w:after="0"/>
              <w:rPr>
                <w:sz w:val="9"/>
                <w:szCs w:val="9"/>
                <w:color w:val="auto"/>
              </w:rPr>
            </w:pPr>
          </w:p>
        </w:tc>
        <w:tc>
          <w:tcPr>
            <w:tcW w:w="2020" w:type="dxa"/>
            <w:vAlign w:val="bottom"/>
            <w:tcBorders>
              <w:bottom w:val="single" w:sz="8" w:color="auto"/>
              <w:right w:val="single" w:sz="8" w:color="auto"/>
            </w:tcBorders>
            <w:vMerge w:val="continue"/>
            <w:shd w:val="clear" w:color="auto" w:fill="C00000"/>
          </w:tcPr>
          <w:p>
            <w:pPr>
              <w:spacing w:after="0"/>
              <w:rPr>
                <w:sz w:val="9"/>
                <w:szCs w:val="9"/>
                <w:color w:val="auto"/>
              </w:rPr>
            </w:pPr>
          </w:p>
        </w:tc>
        <w:tc>
          <w:tcPr>
            <w:tcW w:w="3600" w:type="dxa"/>
            <w:vAlign w:val="bottom"/>
            <w:tcBorders>
              <w:bottom w:val="single" w:sz="8" w:color="auto"/>
              <w:right w:val="single" w:sz="8" w:color="auto"/>
            </w:tcBorders>
            <w:shd w:val="clear" w:color="auto" w:fill="C00000"/>
          </w:tcPr>
          <w:p>
            <w:pPr>
              <w:spacing w:after="0"/>
              <w:rPr>
                <w:sz w:val="9"/>
                <w:szCs w:val="9"/>
                <w:color w:val="auto"/>
              </w:rPr>
            </w:pPr>
          </w:p>
        </w:tc>
        <w:tc>
          <w:tcPr>
            <w:tcW w:w="2780" w:type="dxa"/>
            <w:vAlign w:val="bottom"/>
            <w:tcBorders>
              <w:bottom w:val="single" w:sz="8" w:color="auto"/>
              <w:right w:val="single" w:sz="8" w:color="auto"/>
            </w:tcBorders>
            <w:shd w:val="clear" w:color="auto" w:fill="C00000"/>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Base Salary</w:t>
            </w:r>
          </w:p>
        </w:tc>
        <w:tc>
          <w:tcPr>
            <w:tcW w:w="2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Cash</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Provides a stable source of income</w:t>
            </w:r>
          </w:p>
        </w:tc>
        <w:tc>
          <w:tcPr>
            <w:tcW w:w="2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Based on responsibilities of the position,</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individual performance, experience and</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expertise</w:t>
            </w: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40" w:type="dxa"/>
            <w:vAlign w:val="bottom"/>
            <w:tcBorders>
              <w:left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Annual Incentive (Executive</w:t>
            </w:r>
          </w:p>
        </w:tc>
        <w:tc>
          <w:tcPr>
            <w:tcW w:w="202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Cash</w:t>
            </w:r>
          </w:p>
        </w:tc>
        <w:tc>
          <w:tcPr>
            <w:tcW w:w="360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color w:val="auto"/>
                <w:w w:val="92"/>
              </w:rPr>
              <w:t>Reward executives for the achievement of pre-</w:t>
            </w:r>
          </w:p>
        </w:tc>
        <w:tc>
          <w:tcPr>
            <w:tcW w:w="2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4"/>
                <w:szCs w:val="14"/>
                <w:color w:val="auto"/>
              </w:rPr>
              <w:t>Free Cash Flow</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(80%)</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Incentive Compensation Plan or</w:t>
            </w: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determined annual goals</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(Amended to Unlevered Free Cash</w:t>
            </w:r>
          </w:p>
        </w:tc>
        <w:tc>
          <w:tcPr>
            <w:tcW w:w="0" w:type="dxa"/>
            <w:vAlign w:val="bottom"/>
          </w:tcPr>
          <w:p>
            <w:pPr>
              <w:spacing w:after="0"/>
              <w:rPr>
                <w:sz w:val="1"/>
                <w:szCs w:val="1"/>
                <w:color w:val="auto"/>
              </w:rPr>
            </w:pPr>
          </w:p>
        </w:tc>
      </w:tr>
      <w:tr>
        <w:trPr>
          <w:trHeight w:val="257"/>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EICP)</w:t>
            </w:r>
          </w:p>
        </w:tc>
        <w:tc>
          <w:tcPr>
            <w:tcW w:w="2020" w:type="dxa"/>
            <w:vAlign w:val="bottom"/>
            <w:tcBorders>
              <w:right w:val="single" w:sz="8" w:color="auto"/>
            </w:tcBorders>
          </w:tcPr>
          <w:p>
            <w:pPr>
              <w:spacing w:after="0"/>
              <w:rPr>
                <w:sz w:val="22"/>
                <w:szCs w:val="22"/>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Motivate and reward Company and individual</w:t>
            </w:r>
          </w:p>
        </w:tc>
        <w:tc>
          <w:tcPr>
            <w:tcW w:w="2780" w:type="dxa"/>
            <w:vAlign w:val="bottom"/>
            <w:tcBorders>
              <w:right w:val="single" w:sz="8" w:color="auto"/>
            </w:tcBorders>
          </w:tcPr>
          <w:p>
            <w:pPr>
              <w:ind w:left="80"/>
              <w:spacing w:after="0" w:line="256" w:lineRule="exact"/>
              <w:rPr>
                <w:sz w:val="20"/>
                <w:szCs w:val="20"/>
                <w:color w:val="auto"/>
              </w:rPr>
            </w:pPr>
            <w:r>
              <w:rPr>
                <w:rFonts w:ascii="Arial" w:cs="Arial" w:eastAsia="Arial" w:hAnsi="Arial"/>
                <w:sz w:val="18"/>
                <w:szCs w:val="18"/>
                <w:color w:val="auto"/>
              </w:rPr>
              <w:t>Flow</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June 2020)</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performance</w:t>
            </w:r>
          </w:p>
        </w:tc>
        <w:tc>
          <w:tcPr>
            <w:tcW w:w="2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Quality (10%)</w:t>
            </w:r>
          </w:p>
        </w:tc>
        <w:tc>
          <w:tcPr>
            <w:tcW w:w="0" w:type="dxa"/>
            <w:vAlign w:val="bottom"/>
          </w:tcPr>
          <w:p>
            <w:pPr>
              <w:spacing w:after="0"/>
              <w:rPr>
                <w:sz w:val="1"/>
                <w:szCs w:val="1"/>
                <w:color w:val="auto"/>
              </w:rPr>
            </w:pPr>
          </w:p>
        </w:tc>
      </w:tr>
      <w:tr>
        <w:trPr>
          <w:trHeight w:val="40"/>
        </w:trPr>
        <w:tc>
          <w:tcPr>
            <w:tcW w:w="2840" w:type="dxa"/>
            <w:vAlign w:val="bottom"/>
            <w:tcBorders>
              <w:left w:val="single" w:sz="8" w:color="auto"/>
              <w:right w:val="single" w:sz="8" w:color="auto"/>
            </w:tcBorders>
          </w:tcPr>
          <w:p>
            <w:pPr>
              <w:spacing w:after="0"/>
              <w:rPr>
                <w:sz w:val="3"/>
                <w:szCs w:val="3"/>
                <w:color w:val="auto"/>
              </w:rPr>
            </w:pPr>
          </w:p>
        </w:tc>
        <w:tc>
          <w:tcPr>
            <w:tcW w:w="2020" w:type="dxa"/>
            <w:vAlign w:val="bottom"/>
            <w:tcBorders>
              <w:right w:val="single" w:sz="8" w:color="auto"/>
            </w:tcBorders>
          </w:tcPr>
          <w:p>
            <w:pPr>
              <w:spacing w:after="0"/>
              <w:rPr>
                <w:sz w:val="3"/>
                <w:szCs w:val="3"/>
                <w:color w:val="auto"/>
              </w:rPr>
            </w:pPr>
          </w:p>
        </w:tc>
        <w:tc>
          <w:tcPr>
            <w:tcW w:w="360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Safety (10%)</w:t>
            </w: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Long-Term Incentive</w:t>
            </w:r>
          </w:p>
        </w:tc>
        <w:tc>
          <w:tcPr>
            <w:tcW w:w="202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w w:val="99"/>
              </w:rPr>
              <w:t>Time-based cash (30%)</w:t>
            </w:r>
          </w:p>
        </w:tc>
        <w:tc>
          <w:tcPr>
            <w:tcW w:w="360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w w:val="97"/>
              </w:rPr>
              <w:t>Retain leadership through three-year vesting</w:t>
            </w:r>
          </w:p>
        </w:tc>
        <w:tc>
          <w:tcPr>
            <w:tcW w:w="278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rPr>
              <w:t>ROCE (35%)</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(For 2020 only, the Long-Term</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Performance-based cash</w:t>
            </w: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Reward long-term Company performance</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Free Cash Flow (35%)</w:t>
            </w:r>
          </w:p>
        </w:tc>
        <w:tc>
          <w:tcPr>
            <w:tcW w:w="0" w:type="dxa"/>
            <w:vAlign w:val="bottom"/>
          </w:tcPr>
          <w:p>
            <w:pPr>
              <w:spacing w:after="0"/>
              <w:rPr>
                <w:sz w:val="1"/>
                <w:szCs w:val="1"/>
                <w:color w:val="auto"/>
              </w:rPr>
            </w:pPr>
          </w:p>
        </w:tc>
      </w:tr>
      <w:tr>
        <w:trPr>
          <w:trHeight w:val="220"/>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Cash Incentive Plan or LTCIP, no</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(70%)</w:t>
            </w: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aligned with shareholder value creation</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840" w:type="dxa"/>
            <w:vAlign w:val="bottom"/>
            <w:tcBorders>
              <w:left w:val="single" w:sz="8" w:color="auto"/>
              <w:bottom w:val="single" w:sz="8" w:color="auto"/>
              <w:right w:val="single" w:sz="8" w:color="auto"/>
            </w:tcBorders>
          </w:tcPr>
          <w:p>
            <w:pPr>
              <w:ind w:left="120"/>
              <w:spacing w:after="0" w:line="271" w:lineRule="exact"/>
              <w:rPr>
                <w:sz w:val="20"/>
                <w:szCs w:val="20"/>
                <w:color w:val="auto"/>
              </w:rPr>
            </w:pPr>
            <w:r>
              <w:rPr>
                <w:rFonts w:ascii="Arial" w:cs="Arial" w:eastAsia="Arial" w:hAnsi="Arial"/>
                <w:sz w:val="18"/>
                <w:szCs w:val="18"/>
                <w:b w:val="1"/>
                <w:bCs w:val="1"/>
                <w:color w:val="auto"/>
              </w:rPr>
              <w:t>equity)</w:t>
            </w:r>
            <w:r>
              <w:rPr>
                <w:rFonts w:ascii="Arial" w:cs="Arial" w:eastAsia="Arial" w:hAnsi="Arial"/>
                <w:sz w:val="29"/>
                <w:szCs w:val="29"/>
                <w:b w:val="1"/>
                <w:bCs w:val="1"/>
                <w:color w:val="auto"/>
                <w:vertAlign w:val="superscript"/>
              </w:rPr>
              <w:t>(3)</w:t>
            </w:r>
          </w:p>
        </w:tc>
        <w:tc>
          <w:tcPr>
            <w:tcW w:w="202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right w:val="single" w:sz="8" w:color="auto"/>
            </w:tcBorders>
          </w:tcPr>
          <w:p>
            <w:pPr>
              <w:spacing w:after="0"/>
              <w:rPr>
                <w:sz w:val="23"/>
                <w:szCs w:val="23"/>
                <w:color w:val="auto"/>
              </w:rPr>
            </w:pPr>
          </w:p>
        </w:tc>
        <w:tc>
          <w:tcPr>
            <w:tcW w:w="2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Other Compensation</w:t>
            </w:r>
          </w:p>
        </w:tc>
        <w:tc>
          <w:tcPr>
            <w:tcW w:w="2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Retirement Benefits,</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Provide market competitive benefits</w:t>
            </w:r>
          </w:p>
        </w:tc>
        <w:tc>
          <w:tcPr>
            <w:tcW w:w="2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Perquisites and</w:t>
            </w:r>
          </w:p>
        </w:tc>
        <w:tc>
          <w:tcPr>
            <w:tcW w:w="36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Severance Benefits</w:t>
            </w:r>
          </w:p>
        </w:tc>
        <w:tc>
          <w:tcPr>
            <w:tcW w:w="36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3" w:lineRule="exact"/>
        <w:rPr>
          <w:sz w:val="20"/>
          <w:szCs w:val="20"/>
          <w:color w:val="auto"/>
        </w:rPr>
      </w:pPr>
    </w:p>
    <w:p>
      <w:pPr>
        <w:jc w:val="both"/>
        <w:ind w:left="34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Free Cash Flow is defined as Adjusted EBITDA less cash taxes, capital expenditures, changes in net working capital, cash interest, any amounts paid with respect to severance and any restructuring costs or expenses; EBITDA is defined as earnings before interest, taxes, depreciation and amortization; and Adjusted EBITDA is defined as EBITDA excluding, among other items, impairments of long-lived assets and goodwill as well as write-offs of property plant and equipment right-of-use assets and inventory, all of which are non-GAAP financial measures. GAAP is defined as generally accepted accounting principles in the United States. In the first quarter of 2020, the Company began reporting Adjusted EBITDA excluding stock-based compensation expense.</w:t>
      </w:r>
    </w:p>
    <w:p>
      <w:pPr>
        <w:spacing w:after="0" w:line="19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Unlevered Free Cash Flow is defined as cash flows provided by (used in) operating activities, less capital expenditures plus proceeds from the disposition of assets plus cash paid for interest and is a non-GAAP financial measure.</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sign-on grants for our Chief Executive Officer Girishchandra K. Saligram, Chief Financial Officer H. Keith Jennings and General Counsel Scott C. Weatherholt provided to them on joining the company in 2020. See "Item 6. – Executive Compensation – Summary Compensation Table" of this registration statement,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C&amp;HR Committee, with advice and analyses from LB&amp;Co., considers current compensation levels, benchmarking and other data of peer companies, individual and Company performance, future leadership potential and succession planning, among other factors, in determining appropriate target compensation levels for our NEOs. The C&amp;HR Committee does not use a formula to weight these factors, but instead uses these factors to provide context within which to assess the significance of comparative market data and to differentiate the level of target compensation among our NEOs. During 2020, a significant aspect of this process involved establishing competitive compensation levels in connection with the restructuring of our ELT to ensure each NEO's total compensation package was appropriately aligned with market practice to enable the hiring of executives, as necessary, from outside of the Company.</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5" w:lineRule="auto"/>
        <w:rPr>
          <w:sz w:val="20"/>
          <w:szCs w:val="20"/>
          <w:color w:val="auto"/>
        </w:rPr>
      </w:pPr>
      <w:r>
        <w:rPr>
          <w:rFonts w:ascii="Arial" w:cs="Arial" w:eastAsia="Arial" w:hAnsi="Arial"/>
          <w:sz w:val="18"/>
          <w:szCs w:val="18"/>
          <w:color w:val="auto"/>
        </w:rPr>
        <w:t>After the end of the performance period to which a particular incentive award relates, the C&amp;HR Committee will review our performance relative to the applicable performance targets and recommend payouts based on that performance. The C&amp;HR Committee generally retains the ability to recommend payouts that are above or below actual performance levels for the applicable performance period. For purposes of determining the amount of a payout to recommend, it may also consider infrequent or non-recurring items that are not reflective of ongoing operations, such as the effects of major corporate transactions or other items that the C&amp;HR Committee determines, in its judgment, significantly distort the comparability of our actual performance against the performance targets (including financials).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Annually, the C&amp;HR Committee reviews the design of our ELT compensation program, including whether the risks arising from our compensation policies and practices are reasonably likely to have a material adverse effect on the Company. In doing so, the C&amp;HR Committee assesses whether compensation programs used in prior years have successfully achieved our compensation objectives. It also considers the extent to which our compensation program is designed to achieve our long-term financial and operating goals. The C&amp;HR Committee has retained LB&amp;Co. to help analyze certain comparative market data. Certain members of management participate in this process by assembling and summarizing data used. The C&amp;HR Committee and LB&amp;Co. reviewed our compensation policies and practices, and the C&amp;HR Committee has determined that the risks arising from our compensation policies and practices are designed to avoid encouragement of unnecessary or excessive risk-taking and are not reasonably likely to have a material adverse effect on the Company.</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Consistent with our executive compensation philosophy, the C&amp;HR Committee, in consultation with LB&amp;Co. establishes a benchmark peer group for compensation comparison purposes. Also, the C&amp;HR Committee utilizes WillisTowersWatson and Mercer Executive Compensation Survey Data to provide additional competitive data to assess our executive officer target compensation levels.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2020, the peer group consisted of the following companies: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Apergy Corporation</w:t>
            </w:r>
          </w:p>
        </w:tc>
        <w:tc>
          <w:tcPr>
            <w:tcW w:w="3640" w:type="dxa"/>
            <w:vAlign w:val="bottom"/>
          </w:tcPr>
          <w:p>
            <w:pPr>
              <w:ind w:left="840"/>
              <w:spacing w:after="0"/>
              <w:rPr>
                <w:sz w:val="20"/>
                <w:szCs w:val="20"/>
                <w:color w:val="auto"/>
              </w:rPr>
            </w:pPr>
            <w:r>
              <w:rPr>
                <w:rFonts w:ascii="Arial" w:cs="Arial" w:eastAsia="Arial" w:hAnsi="Arial"/>
                <w:sz w:val="18"/>
                <w:szCs w:val="18"/>
                <w:color w:val="auto"/>
              </w:rPr>
              <w:t>Baker Hughes Company</w:t>
            </w:r>
          </w:p>
        </w:tc>
        <w:tc>
          <w:tcPr>
            <w:tcW w:w="3160" w:type="dxa"/>
            <w:vAlign w:val="bottom"/>
          </w:tcPr>
          <w:p>
            <w:pPr>
              <w:ind w:left="920"/>
              <w:spacing w:after="0"/>
              <w:rPr>
                <w:sz w:val="20"/>
                <w:szCs w:val="20"/>
                <w:color w:val="auto"/>
              </w:rPr>
            </w:pPr>
            <w:r>
              <w:rPr>
                <w:rFonts w:ascii="Arial" w:cs="Arial" w:eastAsia="Arial" w:hAnsi="Arial"/>
                <w:sz w:val="18"/>
                <w:szCs w:val="18"/>
                <w:color w:val="auto"/>
              </w:rPr>
              <w:t>Devon Energy Corporation</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Dover Corporation</w:t>
            </w:r>
          </w:p>
        </w:tc>
        <w:tc>
          <w:tcPr>
            <w:tcW w:w="3640" w:type="dxa"/>
            <w:vAlign w:val="bottom"/>
          </w:tcPr>
          <w:p>
            <w:pPr>
              <w:ind w:left="840"/>
              <w:spacing w:after="0"/>
              <w:rPr>
                <w:sz w:val="20"/>
                <w:szCs w:val="20"/>
                <w:color w:val="auto"/>
              </w:rPr>
            </w:pPr>
            <w:r>
              <w:rPr>
                <w:rFonts w:ascii="Arial" w:cs="Arial" w:eastAsia="Arial" w:hAnsi="Arial"/>
                <w:sz w:val="18"/>
                <w:szCs w:val="18"/>
                <w:color w:val="auto"/>
              </w:rPr>
              <w:t>Frank's International N.V.</w:t>
            </w:r>
          </w:p>
        </w:tc>
        <w:tc>
          <w:tcPr>
            <w:tcW w:w="3160" w:type="dxa"/>
            <w:vAlign w:val="bottom"/>
          </w:tcPr>
          <w:p>
            <w:pPr>
              <w:ind w:left="920"/>
              <w:spacing w:after="0"/>
              <w:rPr>
                <w:sz w:val="20"/>
                <w:szCs w:val="20"/>
                <w:color w:val="auto"/>
              </w:rPr>
            </w:pPr>
            <w:r>
              <w:rPr>
                <w:rFonts w:ascii="Arial" w:cs="Arial" w:eastAsia="Arial" w:hAnsi="Arial"/>
                <w:sz w:val="18"/>
                <w:szCs w:val="18"/>
                <w:color w:val="auto"/>
              </w:rPr>
              <w:t>Halliburton Company</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Helmerich &amp; Payne, Inc.</w:t>
            </w:r>
          </w:p>
        </w:tc>
        <w:tc>
          <w:tcPr>
            <w:tcW w:w="3640" w:type="dxa"/>
            <w:vAlign w:val="bottom"/>
          </w:tcPr>
          <w:p>
            <w:pPr>
              <w:ind w:left="840"/>
              <w:spacing w:after="0"/>
              <w:rPr>
                <w:sz w:val="20"/>
                <w:szCs w:val="20"/>
                <w:color w:val="auto"/>
              </w:rPr>
            </w:pPr>
            <w:r>
              <w:rPr>
                <w:rFonts w:ascii="Arial" w:cs="Arial" w:eastAsia="Arial" w:hAnsi="Arial"/>
                <w:sz w:val="18"/>
                <w:szCs w:val="18"/>
                <w:color w:val="auto"/>
              </w:rPr>
              <w:t>Marathon Oil Corporation</w:t>
            </w:r>
          </w:p>
        </w:tc>
        <w:tc>
          <w:tcPr>
            <w:tcW w:w="3160" w:type="dxa"/>
            <w:vAlign w:val="bottom"/>
          </w:tcPr>
          <w:p>
            <w:pPr>
              <w:ind w:left="920"/>
              <w:spacing w:after="0"/>
              <w:rPr>
                <w:sz w:val="20"/>
                <w:szCs w:val="20"/>
                <w:color w:val="auto"/>
              </w:rPr>
            </w:pPr>
            <w:r>
              <w:rPr>
                <w:rFonts w:ascii="Arial" w:cs="Arial" w:eastAsia="Arial" w:hAnsi="Arial"/>
                <w:sz w:val="18"/>
                <w:szCs w:val="18"/>
                <w:color w:val="auto"/>
                <w:w w:val="96"/>
              </w:rPr>
              <w:t>McDermott International, Inc.</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National Oilwell Varco, Inc.</w:t>
            </w:r>
          </w:p>
        </w:tc>
        <w:tc>
          <w:tcPr>
            <w:tcW w:w="3640" w:type="dxa"/>
            <w:vAlign w:val="bottom"/>
          </w:tcPr>
          <w:p>
            <w:pPr>
              <w:ind w:left="840"/>
              <w:spacing w:after="0"/>
              <w:rPr>
                <w:sz w:val="20"/>
                <w:szCs w:val="20"/>
                <w:color w:val="auto"/>
              </w:rPr>
            </w:pPr>
            <w:r>
              <w:rPr>
                <w:rFonts w:ascii="Arial" w:cs="Arial" w:eastAsia="Arial" w:hAnsi="Arial"/>
                <w:sz w:val="18"/>
                <w:szCs w:val="18"/>
                <w:color w:val="auto"/>
              </w:rPr>
              <w:t>Noble Energy, Inc.</w:t>
            </w:r>
          </w:p>
        </w:tc>
        <w:tc>
          <w:tcPr>
            <w:tcW w:w="3160" w:type="dxa"/>
            <w:vAlign w:val="bottom"/>
          </w:tcPr>
          <w:p>
            <w:pPr>
              <w:ind w:left="920"/>
              <w:spacing w:after="0"/>
              <w:rPr>
                <w:sz w:val="20"/>
                <w:szCs w:val="20"/>
                <w:color w:val="auto"/>
              </w:rPr>
            </w:pPr>
            <w:r>
              <w:rPr>
                <w:rFonts w:ascii="Arial" w:cs="Arial" w:eastAsia="Arial" w:hAnsi="Arial"/>
                <w:sz w:val="18"/>
                <w:szCs w:val="18"/>
                <w:color w:val="auto"/>
                <w:w w:val="90"/>
              </w:rPr>
              <w:t>Oceaneering International, Inc.</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Patterson-UTI Energy, Inc.</w:t>
            </w:r>
          </w:p>
        </w:tc>
        <w:tc>
          <w:tcPr>
            <w:tcW w:w="3640" w:type="dxa"/>
            <w:vAlign w:val="bottom"/>
          </w:tcPr>
          <w:p>
            <w:pPr>
              <w:ind w:left="840"/>
              <w:spacing w:after="0"/>
              <w:rPr>
                <w:sz w:val="20"/>
                <w:szCs w:val="20"/>
                <w:color w:val="auto"/>
              </w:rPr>
            </w:pPr>
            <w:r>
              <w:rPr>
                <w:rFonts w:ascii="Arial" w:cs="Arial" w:eastAsia="Arial" w:hAnsi="Arial"/>
                <w:sz w:val="18"/>
                <w:szCs w:val="18"/>
                <w:color w:val="auto"/>
              </w:rPr>
              <w:t>Transocean Ltd.</w:t>
            </w:r>
          </w:p>
        </w:tc>
        <w:tc>
          <w:tcPr>
            <w:tcW w:w="3160" w:type="dxa"/>
            <w:vAlign w:val="bottom"/>
          </w:tcPr>
          <w:p>
            <w:pPr>
              <w:ind w:left="920"/>
              <w:spacing w:after="0"/>
              <w:rPr>
                <w:sz w:val="20"/>
                <w:szCs w:val="20"/>
                <w:color w:val="auto"/>
              </w:rPr>
            </w:pPr>
            <w:r>
              <w:rPr>
                <w:rFonts w:ascii="Arial" w:cs="Arial" w:eastAsia="Arial" w:hAnsi="Arial"/>
                <w:sz w:val="18"/>
                <w:szCs w:val="18"/>
                <w:color w:val="auto"/>
              </w:rPr>
              <w:t>Valaris plc</w:t>
            </w: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C&amp;HR Committee recognized that certain companies in this group were larger than the Company, and took that into account, as well as the need to provide competitive compensation to attract and retain talented executives to lead the Company, when determining executive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the C&amp;HR Committee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C&amp;HR Committee regularly oversees our executive compensation program, evaluates and determines the appropriate executive compensation philosophy and objectives for Weatherford, the process for establishing executive compensation and the appropriate design of our executive compensation program and compensation arrangements. The C&amp;HR Committee consists entirely of independent directors who review and approve our overall executive compensation programs and practices and set the compensation of our executive officers. In determining compensation for our executive officers, other than our Chief Executive Officer, the C&amp;HR Committee considers, among other things, the recommendations of our Chief Executive Officer. The C&amp;HR Committee also is supported in its work by an independent compensation consultant, as described below. The C&amp;HR Committee is, however, solely responsible for making the final decisions on compensation for our executive officers.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Executive Management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to ensure that our compensation programs are aligned with our strategic objectives and appropriate performance goals, management provides input to the C&amp;HR Committee regarding the compensation-setting process. Our Chief Executive Officer, Chief Financial Officer, General Counsel and Chief Human Resources Officer are the officers who interact most closely with the C&amp;HR Committee. These individuals work with the C&amp;HR Committee to provide their perspective on aligning executive compensation strategies with our business objectives. When determining compensation for our executive officers, the Chief Executive Officer provides the Committee with his input regarding executive performance and recommends base salary and annual and long-term incentive targets for each of our executive officers (other than himself). The performance of the Chief Executive Officer is assessed directly by the C&amp;HR Committee (with input from other independent directors) in executive session without the Chief Executive Officer present.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i w:val="1"/>
          <w:iCs w:val="1"/>
          <w:color w:val="auto"/>
        </w:rPr>
        <w:t>Role of the Compensation Consultant and Independence of Compensation Consultant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C&amp;HR Committee has sole authority to select, approve, retain, terminate and oversee compensation consultants to provide advice and support to the C&amp;HR Committee in the design and implementation of our executive compensation program. LB&amp;Co., which has provided these services to the C&amp;HR Committee since our emergence from bankruptcy, is retained directly by the C&amp;HR Committee. LB&amp;Co. did not provide other consulting services to Weatherford or any of its executive officers in 2020. In selecting LB&amp;Co. as its compensation consultant, the C&amp;HR Committee considered the independence of LB&amp;Co. in accordance with the standards of the NYSE previously applicable to the Company, any applicable rules and regulations of the SEC and other applicable laws relating to independence of advisors and consultants. The C&amp;HR Committee concluded that no conflict of interest exists that would prevent LB&amp;Co. from independently advising the C&amp;HR Committee.</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the C&amp;HR Committee's request, members of LB&amp;Co. regularly attend C&amp;HR Committee meetings. LB&amp;Co. also communicates with the Chair of the C&amp;HR Committee outside C&amp;HR Committee meetings regarding matters related to the C&amp;HR Committee's responsibilities.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Elements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 salary is the fixed element of an executive officer's annual cash compensation and is intended to attract and retain highly qualified executives and to compensate for expected day-to-day performance. The C&amp;HR Committee reviews the base salary for each of our executive officers on an annual basis and considers the following factors in making its determinations:</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 officer's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responsibilities associated with that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expertise, knowledge and qualifications;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industry in which we operate and compete;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and retention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 officer's individual compensation history;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salary levels of the other members of our executive team and similarly situated/comparable executives in our peer group;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overall compensation philosophy.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executive officers in place as of April 1, 2020, voluntarily agreed to a 20% reduction in their base salaries for an indefinite period of time due to market volatility arising from the onset of the COVID-19 pandemic and ongoing uncertainty in the global oil and natural gas markets at the time which disrupted the supply/demand equation and resulted in significant commodity price volatility and material reductions to the capital spending plans of our customers. All voluntary reductions were removed effective January 1, 2021.</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tbl>
      <w:tblPr>
        <w:tblLayout w:type="fixed"/>
        <w:tblInd w:w="28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22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86"/>
              </w:rPr>
              <w:t>2020 Base</w:t>
            </w:r>
          </w:p>
        </w:tc>
      </w:tr>
      <w:tr>
        <w:trPr>
          <w:trHeight w:val="216"/>
        </w:trPr>
        <w:tc>
          <w:tcPr>
            <w:tcW w:w="3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Salary</w:t>
            </w:r>
          </w:p>
        </w:tc>
      </w:tr>
      <w:tr>
        <w:trPr>
          <w:trHeight w:val="234"/>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Rate</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825,000</w:t>
            </w: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Scott C. Weatherholt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425,000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Mark A. McCollum</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1,000,000</w:t>
            </w: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Christian A. Garcia</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675,000</w:t>
            </w: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Mark D. Swift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485,000</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Stuart Fraser</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425,000</w:t>
            </w:r>
          </w:p>
        </w:tc>
      </w:tr>
      <w:tr>
        <w:trPr>
          <w:trHeight w:val="22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executive officers are eligible for annual cash incentive compensation under our Executive Incentive Compensation Plan ("EICP"). Annual incentives under the EICP are intended to motivate the executive officers to achieve short-term company performance goals that will inure to the benefit of our Company and shareholders and align executive officers' interests with those of the shareholders. The annual cash incentives provide payout opportunities based on the achievement of pre-determined corporate performance objective(s), with actual cash bonuses earned based on the achievement of such performance objective(s) each fiscal year.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fiscal year, the C&amp;HR Committee determines the annual target bonus opportunity for each executive officer. Our annual cash incentive compensation is generally structured to deliver payouts in line with market multiples when performance targets are achieved or exceeded. In April 2020, the C&amp;HR Committee, in consultation with management, initially agreed to Free Cash Flow, quality and safety metrics weighted at 80%, 10% and 10%, respectively, as the performance objectives governing the determination of annual incentive payouts under the EICP for the 2020 performance year. In addition, the C&amp;HR Committee set a limit on the Quality and Safety metrics that would limit payouts under those two measures to target if the Free Cash Flow metric was not met at least at target.</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initial approval of the EICP performance measure design described above, in June 2020, the Board determined that the performance objectives set in early April 2020 under the EICP were no longer appropriate due to the severe and growing impact of the COVID-19 pandemic, drastic commodity price fluctuations in the oil and gas industry and other market conditions. The Board also determined that adjustments to the performance objectives were warranted in light of the significant management changes to the ELT in 2020, including the appointment of Mr. Blanchard as interim Chief Executive Officer. After reviewing management's recommendations and consulting with LB&amp;Co. and outside legal counsel, the Board approved amending the EICP to update the Free Cash Flow metric to utilize Unlevered Free Cash Flow, which excludes interest payments on Company debt. In connection with the adjustment in the performance metrics, the Board also implemented management's recommendation to cap payouts at 100% of the target amounts.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made these adjustments in order to provide appropriate incentives to retain key employees and to continue to stabilize the Company given recent changes to the ELT and decided that these objectives were better served by adjusting the existing EICP rather than adopting any new incentive plan or a pure retention-based program. The Board took into account the priority of managing company liquidity during a period of extreme uncertainty and volatility in the market, and also determined that the adjusted metrics presented rigorous, but motivating and attainable goals. In connection with the transition to Unlevered Free Cash Flow, the performance targets under the EICP continue to be based on the original projections relied upon to establish the metrics for the EICP and the Board believed that, based on the then current projections, the EICP appropriately incentivized executives with challenging targets.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tbl>
      <w:tblPr>
        <w:tblLayout w:type="fixed"/>
        <w:tblInd w:w="66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For 2020, the annual incentive targets under the EICP were as follows:</w:t>
            </w: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Target (as % of</w:t>
            </w:r>
          </w:p>
        </w:tc>
      </w:tr>
      <w:tr>
        <w:trPr>
          <w:trHeight w:val="241"/>
        </w:trPr>
        <w:tc>
          <w:tcPr>
            <w:tcW w:w="2160" w:type="dxa"/>
            <w:vAlign w:val="bottom"/>
          </w:tcPr>
          <w:p>
            <w:pPr>
              <w:spacing w:after="0"/>
              <w:rPr>
                <w:sz w:val="20"/>
                <w:szCs w:val="20"/>
                <w:color w:val="auto"/>
              </w:rPr>
            </w:pPr>
          </w:p>
        </w:tc>
        <w:tc>
          <w:tcPr>
            <w:tcW w:w="3500" w:type="dxa"/>
            <w:vAlign w:val="bottom"/>
          </w:tcPr>
          <w:p>
            <w:pPr>
              <w:ind w:left="1700"/>
              <w:spacing w:after="0"/>
              <w:rPr>
                <w:sz w:val="20"/>
                <w:szCs w:val="20"/>
                <w:color w:val="auto"/>
              </w:rPr>
            </w:pPr>
            <w:r>
              <w:rPr>
                <w:rFonts w:ascii="Arial" w:cs="Arial" w:eastAsia="Arial" w:hAnsi="Arial"/>
                <w:sz w:val="18"/>
                <w:szCs w:val="18"/>
                <w:b w:val="1"/>
                <w:bCs w:val="1"/>
                <w:color w:val="auto"/>
              </w:rPr>
              <w:t>Name</w:t>
            </w:r>
          </w:p>
        </w:tc>
        <w:tc>
          <w:tcPr>
            <w:tcW w:w="2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Base Salary)</w:t>
            </w:r>
          </w:p>
        </w:tc>
      </w:tr>
      <w:tr>
        <w:trPr>
          <w:trHeight w:val="216"/>
        </w:trPr>
        <w:tc>
          <w:tcPr>
            <w:tcW w:w="216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9"/>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29"/>
        </w:trPr>
        <w:tc>
          <w:tcPr>
            <w:tcW w:w="216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Scott C. Weatherholt</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2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9"/>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Mark A. McCollum</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216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29"/>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Christian A. Garcia</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70"/>
        </w:trPr>
        <w:tc>
          <w:tcPr>
            <w:tcW w:w="2160" w:type="dxa"/>
            <w:vAlign w:val="bottom"/>
          </w:tcPr>
          <w:p>
            <w:pPr>
              <w:spacing w:after="0"/>
              <w:rPr>
                <w:sz w:val="23"/>
                <w:szCs w:val="23"/>
                <w:color w:val="auto"/>
              </w:rPr>
            </w:pPr>
          </w:p>
        </w:tc>
        <w:tc>
          <w:tcPr>
            <w:tcW w:w="35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Mark D. Swift</w:t>
            </w:r>
            <w:r>
              <w:rPr>
                <w:rFonts w:ascii="Arial" w:cs="Arial" w:eastAsia="Arial" w:hAnsi="Arial"/>
                <w:sz w:val="29"/>
                <w:szCs w:val="29"/>
                <w:color w:val="auto"/>
                <w:vertAlign w:val="superscript"/>
              </w:rPr>
              <w:t>(1)</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29"/>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Stuart Fraser</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216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Mark Swift departed the Company on March 31, 2020 and therefore no EICP target was established for him for 2020.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2021, the Board, in an effort to streamline and simplify the Company's multiple annual bonus plans, upon the recommendation of the C&amp;HR Committee, approved the 2021 Short-Term Incentive Plan ("STI") for our executive officers to replace the EICP. For the 2021 performance year, short-term incentives will be governed by our performance relative to the pre-established EBITDA and Free Cash Flow goals approved at the time of the STI's adoption.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Long-Term Equity Incentive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Long-term equity incentives are designed to motivate management to enable the Company to achieve long-term performance improvements and serve to link a significant portion of compensation to shareholder returns. Consistent with the objectives and philosophy of our compensation programs, historically, the Company previously issued awards of long-term equity compensation from time to time under our various equity incentive plans. We generally granted long-term equity awards annually in the first quarter to incentivize future performance.</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emergence from bankruptcy, pursuant to the terms of the Plan, we adopted the Weatherford International plc 2019 Equity Incentive Plan (as amended, "the 2019 EIP") under which Ordinary Shares are available for issuance. However, given our emergence from bankruptcy, continued pressure on our Ordinary Share price due to the instability in the oil and gas industry due to the 2020 oil crisis and the uncertainty in the markets as a result of the COVID-19 pandemic, the Board, upon the recommendation of the C&amp;HR Committee, approved one-time grants of long-term cash awards pursuant to the 2020 Long-Term Cash Incentive Plan ("LTCIP"), in lieu of equity grants (except for a sign-on grant for our Chief Executive Officer) and which was adopted in April 2020. The purposes of these grants, which comprised time-based and performance-based long-term cash awards, was to continue to motivate and reward our executive officers and other participants to achieve sustained growth in connection with our long-term strategy in lieu of equity awards, while also helping to preserve our Ordinary Share reserve under the 2019 EIP.</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the LTCIP, 30% of the awards vest on the basis of time, with one-third vesting on the award date, and one-third vesting on each of January 1, 2021 and 2022. In November 2020 and again in March 2021, the C&amp;HR Committee approved amendments to the form of award agreement under the LTCIP. The November 2020 amendments addressed and clarified the proration of grants and vesting mechanics of LTCIP awards granted to executives joining the Company in the middle of the fiscal year. The March 2021 amendments further clarified the vesting mechanics, corrected and confirmed the performance metrics and payout percentages for 2020 and adopted new performance metrics for fiscal years 2021 and 2022 that match those approved for long-term equity incentive awards granted in 2021. As amended, the LTCIP award agreement provides that for executive officers joining the Company during fiscal year 2020, the time-based cash awards vest one-third on each of December 31, 2020, 2021 and 2022. For fiscal year 2020, the remaining 70% of the awards vests on the basis of Return On Capital Employed ("ROCE") and Free Cash Flow performance, each equally weighted, as follows: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540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b w:val="1"/>
                <w:bCs w:val="1"/>
                <w:color w:val="auto"/>
              </w:rPr>
              <w:t>Performance Measure For 2020</w:t>
            </w:r>
          </w:p>
        </w:tc>
        <w:tc>
          <w:tcPr>
            <w:tcW w:w="21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Threshold</w:t>
            </w:r>
          </w:p>
        </w:tc>
        <w:tc>
          <w:tcPr>
            <w:tcW w:w="19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Target</w:t>
            </w:r>
          </w:p>
        </w:tc>
        <w:tc>
          <w:tcPr>
            <w:tcW w:w="1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Maximum</w:t>
            </w:r>
          </w:p>
        </w:tc>
      </w:tr>
      <w:tr>
        <w:trPr>
          <w:trHeight w:val="250"/>
        </w:trPr>
        <w:tc>
          <w:tcPr>
            <w:tcW w:w="54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ROCE</w:t>
            </w:r>
            <w:r>
              <w:rPr>
                <w:rFonts w:ascii="Arial" w:cs="Arial" w:eastAsia="Arial" w:hAnsi="Arial"/>
                <w:sz w:val="28"/>
                <w:szCs w:val="28"/>
                <w:b w:val="1"/>
                <w:bCs w:val="1"/>
                <w:color w:val="auto"/>
                <w:vertAlign w:val="superscript"/>
              </w:rPr>
              <w:t>1</w:t>
            </w:r>
            <w:r>
              <w:rPr>
                <w:rFonts w:ascii="Arial" w:cs="Arial" w:eastAsia="Arial" w:hAnsi="Arial"/>
                <w:sz w:val="17"/>
                <w:szCs w:val="17"/>
                <w:b w:val="1"/>
                <w:bCs w:val="1"/>
                <w:color w:val="auto"/>
              </w:rPr>
              <w:t xml:space="preserve"> – 35%</w:t>
            </w:r>
          </w:p>
        </w:tc>
        <w:tc>
          <w:tcPr>
            <w:tcW w:w="21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30"/>
        </w:trPr>
        <w:tc>
          <w:tcPr>
            <w:tcW w:w="5400" w:type="dxa"/>
            <w:vAlign w:val="bottom"/>
          </w:tcPr>
          <w:p>
            <w:pPr>
              <w:jc w:val="right"/>
              <w:ind w:right="210"/>
              <w:spacing w:after="0"/>
              <w:rPr>
                <w:sz w:val="20"/>
                <w:szCs w:val="20"/>
                <w:color w:val="auto"/>
              </w:rPr>
            </w:pPr>
            <w:r>
              <w:rPr>
                <w:rFonts w:ascii="Arial" w:cs="Arial" w:eastAsia="Arial" w:hAnsi="Arial"/>
                <w:sz w:val="18"/>
                <w:szCs w:val="18"/>
                <w:color w:val="auto"/>
              </w:rPr>
              <w:t>Performance Achievement</w:t>
            </w:r>
          </w:p>
        </w:tc>
        <w:tc>
          <w:tcPr>
            <w:tcW w:w="212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Payout</w:t>
            </w:r>
          </w:p>
        </w:tc>
        <w:tc>
          <w:tcPr>
            <w:tcW w:w="2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5400" w:type="dxa"/>
            <w:vAlign w:val="bottom"/>
          </w:tcPr>
          <w:p>
            <w:pPr>
              <w:spacing w:after="0"/>
              <w:rPr>
                <w:sz w:val="20"/>
                <w:szCs w:val="20"/>
                <w:color w:val="auto"/>
              </w:rPr>
            </w:pPr>
            <w:r>
              <w:rPr>
                <w:rFonts w:ascii="Arial" w:cs="Arial" w:eastAsia="Arial" w:hAnsi="Arial"/>
                <w:sz w:val="18"/>
                <w:szCs w:val="18"/>
                <w:b w:val="1"/>
                <w:bCs w:val="1"/>
                <w:color w:val="auto"/>
              </w:rPr>
              <w:t>Free Cash Flow – 35%</w:t>
            </w:r>
          </w:p>
        </w:tc>
        <w:tc>
          <w:tcPr>
            <w:tcW w:w="2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5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Payout</w:t>
            </w:r>
          </w:p>
        </w:tc>
        <w:tc>
          <w:tcPr>
            <w:tcW w:w="2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ROCE is defined as Adjusted EBITDA less cash taxes divided by the total gross assets less non-interest-bearing current liabilities and total cash and is a non-GAAP financial measure.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fiscal years ending December 31, 2021 and 2022, the performance-based portion of the LTCIP awards will vest based on achievement of specified levels of EBITDA Percentage and Operating Cash Flow Conversion Percentage, each equally weighted, to the extent earned, at the conclusion of the remaining two-year performance period ending December 31, 2022. Both EBITDA Percentage and Operating Cash Flow Conversion Percentage are non-GAAP financial measures. EBITDA Percentage is defined as the percentage of EBITDA relative to the Company's revenue, and is calculated by dividing Adjusted EBITDA by revenue. Operating Cash Flow Conversion Percentage is defined as the percentage of operating cash flow of the Company relative to the Company's Adjusted EBITDA, and is calculated as the sum of cash from operations less interest and less cash taxes divided by Adjusted EBITDA. The underlying metrics are competitively sensitive information; therefore, they will be disclosed only in our future proxy statements as performance periods are completed.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cash award amounts for our current executive officers made under the LTCIP, prorated pursuant to their respective offer letters and under the award agreements, as amended, and the grant date values of the awards made under the LTCIP to our former NEOs in 2020 (at Target for the performance-based awards) are shown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Name</w:t>
            </w:r>
          </w:p>
        </w:tc>
        <w:tc>
          <w:tcPr>
            <w:tcW w:w="1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Time-Based</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Performance-Based</w:t>
            </w: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778,099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1,815,565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2,593,664</w:t>
            </w: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Keith H. Jennings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378,870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884,030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1,262,900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Scott C. Weatherholt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243,804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568,878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812,682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Mark A. McCollum</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2,340,000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5,460,000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7,800,000</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Christian A. Garcia</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690,000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1,610,000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2,300,000</w:t>
            </w: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Mark D. Swift</w:t>
            </w:r>
          </w:p>
        </w:tc>
        <w:tc>
          <w:tcPr>
            <w:tcW w:w="1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No grant made in 2020</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Stuart Fraser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165,000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385,000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550,000</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1,400,000</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2021, the C&amp;HR Committee approved long-term equity incentive awards to our ELT comprising time-based and performance-based equity awards. The time-based Restricted Share Units ("RSUs") are expected to be settled partially in cash and partially in equity over a two-year period. The Performance-Based Share Units ("PSUs") which are based on achievement of specified levels of EBITDA Percentage and Operating Cash Flow Conversion Percentage, each equally weighted, will vest, to the extent earned, at the conclusion of a two-year performance period ending December 31, 2022. Upon the recommendation and suggestion of its independent Compensation Consultant, the C&amp;HR Committee and the Board believed a two-year vesting and performance period was appropriate for the 2021 awards to our ELT.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Perquisites and Other Generally Available Benefits and Compensation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provide our NEOs with limited perquisites and other personal benefits that we believe are reasonable and consistent with the practices of our peer group. The amounts of these perquisites are shown in the 2020 Summary Compensation Table and the related footnotes. Our NEOs are also eligible for additional Company-wide benefits on the same basis as other full-time employees. These include a U.S. 401(k) plan, as well as health, medical and welfare programs. Matching contributions to our U.S. 401(k) plan were suspended Company-wide effective from May 1, 2020 through February 28, 2021. We also pay life insurance premiums on their behalf.</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Employment Agreements, Termination and Severance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no longer provide employment agreements to any of our NEOs, however during 2020 each of our former executive officers who are also NEOs were subject to individual severance arrangements provided under a change in control agreement and an individually tailored inducement arrangement, as applicable.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benefits provided to the executives in the event of a change in control of the Company are "double-trigger" and designed to allow them to assess takeover bids objectively and focus solely on the best interests of our shareholders. Each of our NEOs is covered under our CIC Severance Plan (as defined below). Upon his retirement, Mr. Blanchard was eligible for certain benefits under his standalone Change in Control Agreement, dated August 21, 2017, as amended ("Blanchard CIC"). Messrs. Saligram, Jennings and Weatherholt are eligible for the benefits described below under our CIC Severance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 Severance Plan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November 17, 2020, the Board, upon the recommendation of the C&amp;HR Committee, adopted the Weatherford International plc Change in Control Severance Plan (the "CIC Severance Plan").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CIC Severance Plan covers certain executive officers selected by the C&amp;HR Committee, including our Chief Executive Officer, Chief Financial Officer and General Counsel. Under the CIC Severance Plan, participants will receive severance payments and benefits if they experience a termination of employment by the Company "without Cause" or by the participant for "Good Reason" (each as defined in the CIC Severance Plan) in the six months prior to or 12 months following a "Change in Control" (as defined in the CIC Severance Plan). Under the CIC Severance Plan, in general, a change in control will occur if (i) another person becomes the owner of 50% or more of the combined voting power of our Ordinary Shares, (ii) there is a change in a majority of the members of the then incumbent Board, or (iii) our shareholders approve a merger with another entity in which our shareholders fail to own more than 50% of the combined voting power of the surviving entity. However, no change in control will be deemed to have occurred in the event of a bankruptcy or "Restructuring" (as defined in the CIC Severance Plan) or if any person that beneficially owned 10% or more of our outstanding Ordinary Shares as of November 17, 2020 becomes the owner of 50% or more of the combined voting power of our Ordinary Shares. Upon such a termination, participants will be able to receive:</w:t>
      </w:r>
    </w:p>
    <w:p>
      <w:pPr>
        <w:spacing w:after="0" w:line="185" w:lineRule="exact"/>
        <w:rPr>
          <w:sz w:val="20"/>
          <w:szCs w:val="20"/>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amount equal to two (for participants with a title of Executive Vice President or above, including Messrs. Saligram, Jennings and Weatherholt) or one (for other participants) times the sum of (x) the higher of the participant's base salary in effect immediately prior to the Change in Control or termination and (y) the participant's target bonus;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prorated target annual bonus for the year of termination;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two (for participants with a title of Executive Vice President or above, including Messrs. Saligram, Jennings and Weatherholt) or one (for other participants) year(s) of continued health and welfare benefits;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 to six months of outplacement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participate in the CIC Severance Plan, participants must execute the Company's form Confidentiality and Restrictive Covenant Agreement, which provides for a six-month post-termination non-competition covenant, 12-month post-termination non-solicitation of employees covenant and a perpetual non-disparagement covenant. The receipt of such severance payments and benefits is subject to the execution and non-revocation of a release of claims by the participant.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None of our current NEOs is party to a Change in Control Agreement. With his retirement on February 26, 2021 and pursuant to the Blanchard CIC, Mr. Blanchard was subject to a customary non-solicitation covenant that lasts during the period of employment and for one year thereafter.</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i w:val="1"/>
          <w:iCs w:val="1"/>
          <w:color w:val="auto"/>
        </w:rPr>
        <w:t>Executive Severance and Termination Benefits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provides certain severance and termination benefits as outlined in the offer letters with each of our current executive officers. In general, if a current executive officer is terminated "without Cause" and without a Change in Control, they will receive severance benefits equal to 12 months of annual base salary plus their annual non-equity target reward opportunity. However, if either of Messrs. Jennings or Weatherholt is terminated "without Cause" and without a Change in Control within six months of the hiring of Mr. Saligram, then they will receive an additional six months annual base salary and an additional 50% of their respective annual non-equity target reward opportunity. Any severance benefits will be subject to the current executive officer executing the Company's release of claims. Additionally, Mr. Saligram will also be required to execute the Company's standard restrictive covenants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table shows the total compensation paid for the years ended December 31, 2020, 2019 and 2018 to our NEOs, including certain former executive officers. Information is not provided for 2019 and 2018 for Messrs. Saligram, Jennings, Weatherholt, Garcia, Swift and Justus because they either were not employed by the Company or were not NEOs in those years.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1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All Other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Equity (Cash)</w:t>
            </w:r>
          </w:p>
        </w:tc>
        <w:tc>
          <w:tcPr>
            <w:tcW w:w="11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r>
              <w:rPr>
                <w:rFonts w:ascii="Arial" w:cs="Arial" w:eastAsia="Arial" w:hAnsi="Arial"/>
                <w:sz w:val="23"/>
                <w:szCs w:val="23"/>
                <w:b w:val="1"/>
                <w:bCs w:val="1"/>
                <w:color w:val="auto"/>
                <w:vertAlign w:val="superscript"/>
              </w:rPr>
              <w:t>(1)</w:t>
            </w:r>
          </w:p>
        </w:tc>
        <w:tc>
          <w:tcPr>
            <w:tcW w:w="10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Salary</w:t>
            </w: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Bonus</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w w:val="97"/>
              </w:rPr>
              <w:t>Stock Awards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Compensation</w:t>
            </w: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Year</w:t>
            </w: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08"/>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(2)</w:t>
            </w:r>
          </w:p>
        </w:tc>
        <w:tc>
          <w:tcPr>
            <w:tcW w:w="1000" w:type="dxa"/>
            <w:vAlign w:val="bottom"/>
            <w:tcBorders>
              <w:bottom w:val="single" w:sz="8" w:color="auto"/>
            </w:tcBorders>
          </w:tcPr>
          <w:p>
            <w:pPr>
              <w:jc w:val="right"/>
              <w:ind w:right="288"/>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9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(4)</w:t>
            </w:r>
          </w:p>
        </w:tc>
        <w:tc>
          <w:tcPr>
            <w:tcW w:w="1160" w:type="dxa"/>
            <w:vAlign w:val="bottom"/>
            <w:tcBorders>
              <w:bottom w:val="single" w:sz="8" w:color="auto"/>
            </w:tcBorders>
          </w:tcPr>
          <w:p>
            <w:pPr>
              <w:jc w:val="center"/>
              <w:ind w:right="68"/>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(5)</w:t>
            </w: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Executive Officers</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 xml:space="preserve">Girishchandra K. Saligram, </w:t>
            </w:r>
            <w:r>
              <w:rPr>
                <w:rFonts w:ascii="Arial" w:cs="Arial" w:eastAsia="Arial" w:hAnsi="Arial"/>
                <w:sz w:val="14"/>
                <w:szCs w:val="14"/>
                <w:i w:val="1"/>
                <w:iCs w:val="1"/>
                <w:color w:val="auto"/>
              </w:rPr>
              <w:t>President and Chief Executive Officer</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184,375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833,896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307,318</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688</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1,726,277</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H. Keith Jennings, </w:t>
            </w:r>
            <w:r>
              <w:rPr>
                <w:rFonts w:ascii="Arial" w:cs="Arial" w:eastAsia="Arial" w:hAnsi="Arial"/>
                <w:sz w:val="14"/>
                <w:szCs w:val="14"/>
                <w:i w:val="1"/>
                <w:iCs w:val="1"/>
                <w:color w:val="auto"/>
              </w:rPr>
              <w:t>Executive Vice President and Chief Financial</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166,667</w:t>
            </w:r>
          </w:p>
        </w:tc>
        <w:tc>
          <w:tcPr>
            <w:tcW w:w="88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220,537</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150,738</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787,942</w:t>
            </w: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Scott C. Weatherholt,   </w:t>
            </w:r>
            <w:r>
              <w:rPr>
                <w:rFonts w:ascii="Arial" w:cs="Arial" w:eastAsia="Arial" w:hAnsi="Arial"/>
                <w:sz w:val="14"/>
                <w:szCs w:val="14"/>
                <w:i w:val="1"/>
                <w:iCs w:val="1"/>
                <w:color w:val="auto"/>
              </w:rPr>
              <w:t>Executive Vice President, General Counsel,</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Chief Compliance 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194,792</w:t>
            </w:r>
          </w:p>
        </w:tc>
        <w:tc>
          <w:tcPr>
            <w:tcW w:w="880" w:type="dxa"/>
            <w:vAlign w:val="bottom"/>
          </w:tcPr>
          <w:p>
            <w:pPr>
              <w:jc w:val="right"/>
              <w:spacing w:after="0"/>
              <w:rPr>
                <w:sz w:val="20"/>
                <w:szCs w:val="20"/>
                <w:color w:val="auto"/>
              </w:rPr>
            </w:pPr>
            <w:r>
              <w:rPr>
                <w:rFonts w:ascii="Arial" w:cs="Arial" w:eastAsia="Arial" w:hAnsi="Arial"/>
                <w:sz w:val="14"/>
                <w:szCs w:val="14"/>
                <w:color w:val="auto"/>
              </w:rPr>
              <w:t>200,000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212,726</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620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608,138</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Former Executive Officers</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Mark A. McCollum, </w:t>
            </w:r>
            <w:r>
              <w:rPr>
                <w:rFonts w:ascii="Arial" w:cs="Arial" w:eastAsia="Arial" w:hAnsi="Arial"/>
                <w:sz w:val="14"/>
                <w:szCs w:val="14"/>
                <w:i w:val="1"/>
                <w:iCs w:val="1"/>
                <w:color w:val="auto"/>
              </w:rPr>
              <w:t>Former President and Chief Executive Officer</w:t>
            </w: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2020</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398,485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780,000</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4,584,754</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5,763,239</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2019</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5,367,875</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236,428</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6,604,303</w:t>
            </w: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2018</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7,286,322</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579,600</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130,510</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8,996,432</w:t>
            </w: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Karl Blanchard,   </w:t>
            </w:r>
            <w:r>
              <w:rPr>
                <w:rFonts w:ascii="Arial" w:cs="Arial" w:eastAsia="Arial" w:hAnsi="Arial"/>
                <w:sz w:val="14"/>
                <w:szCs w:val="14"/>
                <w:i w:val="1"/>
                <w:iCs w:val="1"/>
                <w:color w:val="auto"/>
              </w:rPr>
              <w:t>Former Office of the Chief Executive, Interim</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i w:val="1"/>
                <w:iCs w:val="1"/>
                <w:color w:val="auto"/>
              </w:rPr>
              <w:t>Chief Executive Officer, Executive Vice President and Chief</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Operating 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672,955</w:t>
            </w:r>
          </w:p>
        </w:tc>
        <w:tc>
          <w:tcPr>
            <w:tcW w:w="880" w:type="dxa"/>
            <w:vAlign w:val="bottom"/>
          </w:tcPr>
          <w:p>
            <w:pPr>
              <w:jc w:val="right"/>
              <w:spacing w:after="0"/>
              <w:rPr>
                <w:sz w:val="20"/>
                <w:szCs w:val="20"/>
                <w:color w:val="auto"/>
              </w:rPr>
            </w:pPr>
            <w:r>
              <w:rPr>
                <w:rFonts w:ascii="Arial" w:cs="Arial" w:eastAsia="Arial" w:hAnsi="Arial"/>
                <w:sz w:val="14"/>
                <w:szCs w:val="14"/>
                <w:color w:val="auto"/>
              </w:rPr>
              <w:t>2,221,776</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972,955</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15,354</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3,883,040</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2019</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2,506,588</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17,687</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3,224,275</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2018</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3,000,256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338,100</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15,735</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4,054,091</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Christian A. Garcia, </w:t>
            </w:r>
            <w:r>
              <w:rPr>
                <w:rFonts w:ascii="Arial" w:cs="Arial" w:eastAsia="Arial" w:hAnsi="Arial"/>
                <w:sz w:val="14"/>
                <w:szCs w:val="14"/>
                <w:i w:val="1"/>
                <w:iCs w:val="1"/>
                <w:color w:val="auto"/>
              </w:rPr>
              <w:t>Former Office of the Chief Executive, Executive</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Vice President and Former Chief Financial 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371,250</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389,658</w:t>
            </w:r>
          </w:p>
        </w:tc>
        <w:tc>
          <w:tcPr>
            <w:tcW w:w="980" w:type="dxa"/>
            <w:vAlign w:val="bottom"/>
          </w:tcPr>
          <w:p>
            <w:pPr>
              <w:jc w:val="right"/>
              <w:spacing w:after="0"/>
              <w:rPr>
                <w:sz w:val="20"/>
                <w:szCs w:val="20"/>
                <w:color w:val="auto"/>
              </w:rPr>
            </w:pPr>
            <w:r>
              <w:rPr>
                <w:rFonts w:ascii="Arial" w:cs="Arial" w:eastAsia="Arial" w:hAnsi="Arial"/>
                <w:sz w:val="14"/>
                <w:szCs w:val="14"/>
                <w:color w:val="auto"/>
              </w:rPr>
              <w:t>230,000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5,787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996,695</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 xml:space="preserve">Mark D. Swift,   </w:t>
            </w:r>
            <w:r>
              <w:rPr>
                <w:rFonts w:ascii="Arial" w:cs="Arial" w:eastAsia="Arial" w:hAnsi="Arial"/>
                <w:sz w:val="14"/>
                <w:szCs w:val="14"/>
                <w:i w:val="1"/>
                <w:iCs w:val="1"/>
                <w:color w:val="auto"/>
              </w:rPr>
              <w:t>Former President, Western Hemisphere</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121,250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1,426,616</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1,547,866</w:t>
            </w: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Stuart Fraser, </w:t>
            </w:r>
            <w:r>
              <w:rPr>
                <w:rFonts w:ascii="Arial" w:cs="Arial" w:eastAsia="Arial" w:hAnsi="Arial"/>
                <w:sz w:val="14"/>
                <w:szCs w:val="14"/>
                <w:i w:val="1"/>
                <w:iCs w:val="1"/>
                <w:color w:val="auto"/>
              </w:rPr>
              <w:t>Vice President, Chief Accounting Officer and Interim</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Chief Financial 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361,250</w:t>
            </w:r>
          </w:p>
        </w:tc>
        <w:tc>
          <w:tcPr>
            <w:tcW w:w="880" w:type="dxa"/>
            <w:vAlign w:val="bottom"/>
          </w:tcPr>
          <w:p>
            <w:pPr>
              <w:jc w:val="right"/>
              <w:spacing w:after="0"/>
              <w:rPr>
                <w:sz w:val="20"/>
                <w:szCs w:val="20"/>
                <w:color w:val="auto"/>
              </w:rPr>
            </w:pPr>
            <w:r>
              <w:rPr>
                <w:rFonts w:ascii="Arial" w:cs="Arial" w:eastAsia="Arial" w:hAnsi="Arial"/>
                <w:sz w:val="14"/>
                <w:szCs w:val="14"/>
                <w:color w:val="auto"/>
              </w:rPr>
              <w:t>45,789</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325,938</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9,499</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742,476</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2019</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425,000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46,292</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748,760</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117,963</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1,338,015</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2018</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542,112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149,893</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100,363</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1,217,368</w:t>
            </w: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4"/>
                <w:szCs w:val="14"/>
                <w:color w:val="auto"/>
              </w:rPr>
              <w:t xml:space="preserve">Frederico Justus, </w:t>
            </w:r>
            <w:r>
              <w:rPr>
                <w:rFonts w:ascii="Arial" w:cs="Arial" w:eastAsia="Arial" w:hAnsi="Arial"/>
                <w:sz w:val="14"/>
                <w:szCs w:val="14"/>
                <w:i w:val="1"/>
                <w:iCs w:val="1"/>
                <w:color w:val="auto"/>
              </w:rPr>
              <w:t>Former President, Eastern Hemisphere</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352,917</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140,000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977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493,894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83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8" w:lineRule="exact"/>
        <w:rPr>
          <w:sz w:val="20"/>
          <w:szCs w:val="20"/>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additional information about our NEOs, see "Item 6. – Executive Compensation – Introduction and Named Executive Officers" of this registration statement, which is incorporated herein by reference.</w:t>
      </w:r>
    </w:p>
    <w:p>
      <w:pPr>
        <w:spacing w:after="0" w:line="170"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listed for Messrs. Saligram, Jennings and Weatherholt represent the portions of their cash sign-on bonuses paid during 2020. For Mr. Blanchard, the amount represents monthly cash payments of $370,296 in consideration of his expanded responsibilities effective June 10, 2020, which were payable on the 15th day of each month from July 15, 2020 through February 15, 2021. Mr. Garcia received a sign-on bonus and relocation allowance of $650,000, which was repaid upon his departure from the Company in August 2020. Mr. Fraser was awarded a discretionary bonus in recognition of, among others, his outstanding leadership and effort relating to our financial restructuring beginning in the fourth quarter of 2019 and continuing through the first quarter of 2020. The discretionary bonus was paid in 2020 and the amount in the table reflects the prorated amount earned in 2020.</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left="340" w:hanging="332"/>
        <w:spacing w:after="0" w:line="28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2020 fiscal year, the fair value of awards granted was determined based on the closing price of our Ordinary Shares on the date of grant. For the 2018 fiscal year, assumptions used in the calculation of the fair value amounts in the table are included in "Part II – Item 8. – Financial Statements and Supplementary Data – Notes to Consolidated Financial Statements – Note 17 – Share-Based Compensation" in the Form 10-K for the year ended December 31, 2018, which is incorporated herein by reference. See also "Item 6. – Executive Compensation – Compensation Discussion and Analysis</w:t>
      </w:r>
    </w:p>
    <w:p>
      <w:pPr>
        <w:spacing w:after="0" w:line="1" w:lineRule="exact"/>
        <w:rPr>
          <w:rFonts w:ascii="Arial" w:cs="Arial" w:eastAsia="Arial" w:hAnsi="Arial"/>
          <w:sz w:val="16"/>
          <w:szCs w:val="16"/>
          <w:color w:val="auto"/>
        </w:rPr>
      </w:pPr>
    </w:p>
    <w:p>
      <w:pPr>
        <w:ind w:left="340"/>
        <w:spacing w:after="0" w:line="260" w:lineRule="auto"/>
        <w:rPr>
          <w:rFonts w:ascii="Arial" w:cs="Arial" w:eastAsia="Arial" w:hAnsi="Arial"/>
          <w:sz w:val="16"/>
          <w:szCs w:val="16"/>
          <w:color w:val="auto"/>
        </w:rPr>
      </w:pPr>
      <w:r>
        <w:rPr>
          <w:rFonts w:ascii="Arial" w:cs="Arial" w:eastAsia="Arial" w:hAnsi="Arial"/>
          <w:sz w:val="18"/>
          <w:szCs w:val="18"/>
          <w:color w:val="auto"/>
        </w:rPr>
        <w:t>– Annual Cash Incentive Compensation" and "Item 6. – Executive Compensation – Compensation Discussion and Analysis – Long-Term Equity Incentive Compensation" of this registration statement, which are incorporated herein by reference.</w:t>
      </w:r>
    </w:p>
    <w:p>
      <w:pPr>
        <w:spacing w:after="0" w:line="185"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2020, each of our NEOs received cash awards under both our EICP and our LTCIP as further described in the "Item 6. – Executive Compensation – Narrative Discussion of Executive Compensation" of this registration statement. Payments under the EICP were paid in 2021 for performance achieved in 2020. Payments under the LTCIP were paid to Messrs. McCollum, Blanchard, Garcia, Fraser and Justus in May 2020 and in January 2021 for Messrs. Saligram, Jennings and Weatherholt, for the time-based portion of their awards vesting in 2020. The amounts listed in Non-Equity (Cash) Incentive consist of the following:</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60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 EICP</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 LTCIP</w:t>
            </w:r>
          </w:p>
        </w:tc>
      </w:tr>
      <w:tr>
        <w:trPr>
          <w:trHeight w:val="234"/>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6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6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6060" w:type="dxa"/>
            <w:vAlign w:val="bottom"/>
          </w:tcPr>
          <w:p>
            <w:pPr>
              <w:jc w:val="right"/>
              <w:ind w:right="90"/>
              <w:spacing w:after="0"/>
              <w:rPr>
                <w:sz w:val="20"/>
                <w:szCs w:val="20"/>
                <w:color w:val="auto"/>
              </w:rPr>
            </w:pPr>
            <w:r>
              <w:rPr>
                <w:rFonts w:ascii="Arial" w:cs="Arial" w:eastAsia="Arial" w:hAnsi="Arial"/>
                <w:sz w:val="18"/>
                <w:szCs w:val="18"/>
                <w:color w:val="auto"/>
              </w:rPr>
              <w:t>230,469</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76,849</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6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166,667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53,870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Scott C. Weatherholt</w:t>
            </w:r>
          </w:p>
        </w:tc>
        <w:tc>
          <w:tcPr>
            <w:tcW w:w="6060" w:type="dxa"/>
            <w:vAlign w:val="bottom"/>
          </w:tcPr>
          <w:p>
            <w:pPr>
              <w:jc w:val="right"/>
              <w:ind w:right="90"/>
              <w:spacing w:after="0"/>
              <w:rPr>
                <w:sz w:val="20"/>
                <w:szCs w:val="20"/>
                <w:color w:val="auto"/>
              </w:rPr>
            </w:pPr>
            <w:r>
              <w:rPr>
                <w:rFonts w:ascii="Arial" w:cs="Arial" w:eastAsia="Arial" w:hAnsi="Arial"/>
                <w:sz w:val="18"/>
                <w:szCs w:val="18"/>
                <w:color w:val="auto"/>
              </w:rPr>
              <w:t>168,672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44,054</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6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Mark A. McCollum</w:t>
            </w:r>
          </w:p>
        </w:tc>
        <w:tc>
          <w:tcPr>
            <w:tcW w:w="6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780,000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6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672,955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Christian A. Garcia</w:t>
            </w:r>
          </w:p>
        </w:tc>
        <w:tc>
          <w:tcPr>
            <w:tcW w:w="6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230,000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Mark D. Swift</w:t>
            </w:r>
          </w:p>
        </w:tc>
        <w:tc>
          <w:tcPr>
            <w:tcW w:w="6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Stuart Fraser</w:t>
            </w:r>
          </w:p>
        </w:tc>
        <w:tc>
          <w:tcPr>
            <w:tcW w:w="6060" w:type="dxa"/>
            <w:vAlign w:val="bottom"/>
          </w:tcPr>
          <w:p>
            <w:pPr>
              <w:jc w:val="right"/>
              <w:ind w:right="90"/>
              <w:spacing w:after="0"/>
              <w:rPr>
                <w:sz w:val="20"/>
                <w:szCs w:val="20"/>
                <w:color w:val="auto"/>
              </w:rPr>
            </w:pPr>
            <w:r>
              <w:rPr>
                <w:rFonts w:ascii="Arial" w:cs="Arial" w:eastAsia="Arial" w:hAnsi="Arial"/>
                <w:sz w:val="18"/>
                <w:szCs w:val="18"/>
                <w:color w:val="auto"/>
              </w:rPr>
              <w:t>270,938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6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140,000</w:t>
            </w:r>
          </w:p>
        </w:tc>
      </w:tr>
      <w:tr>
        <w:trPr>
          <w:trHeight w:val="648"/>
        </w:trPr>
        <w:tc>
          <w:tcPr>
            <w:tcW w:w="380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jc w:val="right"/>
              <w:ind w:right="4070"/>
              <w:spacing w:after="0"/>
              <w:rPr>
                <w:sz w:val="20"/>
                <w:szCs w:val="20"/>
                <w:color w:val="auto"/>
              </w:rPr>
            </w:pPr>
            <w:r>
              <w:rPr>
                <w:rFonts w:ascii="Arial" w:cs="Arial" w:eastAsia="Arial" w:hAnsi="Arial"/>
                <w:sz w:val="18"/>
                <w:szCs w:val="18"/>
                <w:color w:val="auto"/>
              </w:rPr>
              <w:t>44</w:t>
            </w: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(5)  All Other Compensation for 2020 consists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6"/>
              </w:rPr>
              <w:t>Matching</w:t>
            </w: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5"/>
              </w:rPr>
              <w:t>Contribution</w:t>
            </w:r>
          </w:p>
        </w:tc>
        <w:tc>
          <w:tcPr>
            <w:tcW w:w="1340" w:type="dxa"/>
            <w:vAlign w:val="bottom"/>
          </w:tcPr>
          <w:p>
            <w:pPr>
              <w:spacing w:after="0"/>
              <w:rPr>
                <w:sz w:val="17"/>
                <w:szCs w:val="17"/>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Relocation</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5"/>
              </w:rPr>
              <w:t>and Other</w:t>
            </w: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Life</w:t>
            </w: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&amp;</w:t>
            </w: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Housing,</w:t>
            </w: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w w:val="87"/>
              </w:rPr>
              <w:t>Gross-ups</w:t>
            </w:r>
          </w:p>
        </w:tc>
        <w:tc>
          <w:tcPr>
            <w:tcW w:w="12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5"/>
              </w:rPr>
              <w:t>Contribution</w:t>
            </w: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Insurance</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Geographic</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Schooling</w:t>
            </w: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and Net</w:t>
            </w: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Termination</w:t>
            </w: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39"/>
              <w:spacing w:after="0"/>
              <w:rPr>
                <w:sz w:val="20"/>
                <w:szCs w:val="20"/>
                <w:color w:val="auto"/>
              </w:rPr>
            </w:pPr>
            <w:r>
              <w:rPr>
                <w:rFonts w:ascii="Arial" w:cs="Arial" w:eastAsia="Arial" w:hAnsi="Arial"/>
                <w:sz w:val="16"/>
                <w:szCs w:val="16"/>
                <w:b w:val="1"/>
                <w:bCs w:val="1"/>
                <w:color w:val="auto"/>
                <w:w w:val="88"/>
              </w:rPr>
              <w:t>Plans</w:t>
            </w: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Premiums</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Differential</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and Other</w:t>
            </w: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Taxes Paid</w:t>
            </w: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Pay</w:t>
            </w:r>
          </w:p>
        </w:tc>
      </w:tr>
      <w:tr>
        <w:trPr>
          <w:trHeight w:val="256"/>
        </w:trPr>
        <w:tc>
          <w:tcPr>
            <w:tcW w:w="2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000" w:type="dxa"/>
            <w:vAlign w:val="bottom"/>
            <w:tcBorders>
              <w:bottom w:val="single" w:sz="8" w:color="auto"/>
            </w:tcBorders>
          </w:tcPr>
          <w:p>
            <w:pPr>
              <w:jc w:val="center"/>
              <w:ind w:left="319"/>
              <w:spacing w:after="0" w:line="256" w:lineRule="exact"/>
              <w:rPr>
                <w:sz w:val="20"/>
                <w:szCs w:val="20"/>
                <w:color w:val="auto"/>
              </w:rPr>
            </w:pPr>
            <w:r>
              <w:rPr>
                <w:rFonts w:ascii="Arial" w:cs="Arial" w:eastAsia="Arial" w:hAnsi="Arial"/>
                <w:sz w:val="16"/>
                <w:szCs w:val="16"/>
                <w:b w:val="1"/>
                <w:bCs w:val="1"/>
                <w:color w:val="auto"/>
                <w:w w:val="88"/>
              </w:rPr>
              <w:t>($)</w:t>
            </w:r>
            <w:r>
              <w:rPr>
                <w:rFonts w:ascii="Arial" w:cs="Arial" w:eastAsia="Arial" w:hAnsi="Arial"/>
                <w:sz w:val="26"/>
                <w:szCs w:val="26"/>
                <w:b w:val="1"/>
                <w:bCs w:val="1"/>
                <w:color w:val="auto"/>
                <w:w w:val="88"/>
                <w:vertAlign w:val="superscript"/>
              </w:rPr>
              <w:t>(1)</w:t>
            </w: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w:t>
            </w:r>
          </w:p>
        </w:tc>
        <w:tc>
          <w:tcPr>
            <w:tcW w:w="1320" w:type="dxa"/>
            <w:vAlign w:val="bottom"/>
            <w:tcBorders>
              <w:bottom w:val="single" w:sz="8" w:color="auto"/>
            </w:tcBorders>
          </w:tcPr>
          <w:p>
            <w:pPr>
              <w:jc w:val="center"/>
              <w:ind w:right="99"/>
              <w:spacing w:after="0" w:line="256" w:lineRule="exact"/>
              <w:rPr>
                <w:sz w:val="20"/>
                <w:szCs w:val="20"/>
                <w:color w:val="auto"/>
              </w:rPr>
            </w:pPr>
            <w:r>
              <w:rPr>
                <w:rFonts w:ascii="Arial" w:cs="Arial" w:eastAsia="Arial" w:hAnsi="Arial"/>
                <w:sz w:val="16"/>
                <w:szCs w:val="16"/>
                <w:b w:val="1"/>
                <w:bCs w:val="1"/>
                <w:color w:val="auto"/>
                <w:w w:val="83"/>
              </w:rPr>
              <w:t>($)</w:t>
            </w:r>
            <w:r>
              <w:rPr>
                <w:rFonts w:ascii="Arial" w:cs="Arial" w:eastAsia="Arial" w:hAnsi="Arial"/>
                <w:sz w:val="26"/>
                <w:szCs w:val="26"/>
                <w:b w:val="1"/>
                <w:bCs w:val="1"/>
                <w:color w:val="auto"/>
                <w:w w:val="83"/>
                <w:vertAlign w:val="superscript"/>
              </w:rPr>
              <w:t>(2)</w:t>
            </w:r>
          </w:p>
        </w:tc>
        <w:tc>
          <w:tcPr>
            <w:tcW w:w="12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8"/>
              </w:rPr>
              <w:t>($)</w:t>
            </w:r>
            <w:r>
              <w:rPr>
                <w:rFonts w:ascii="Arial" w:cs="Arial" w:eastAsia="Arial" w:hAnsi="Arial"/>
                <w:sz w:val="26"/>
                <w:szCs w:val="26"/>
                <w:b w:val="1"/>
                <w:bCs w:val="1"/>
                <w:color w:val="auto"/>
                <w:w w:val="88"/>
                <w:vertAlign w:val="superscript"/>
              </w:rPr>
              <w:t>(3)</w:t>
            </w:r>
          </w:p>
        </w:tc>
      </w:tr>
      <w:tr>
        <w:trPr>
          <w:trHeight w:val="209"/>
        </w:trPr>
        <w:tc>
          <w:tcPr>
            <w:tcW w:w="2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Executive Officers</w:t>
            </w: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Girishchandra K. Saligram</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688</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H. Keith Jennings</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738</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150,000</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Scott C. Weatherholt</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620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Former Executive Officers</w:t>
            </w:r>
          </w:p>
        </w:tc>
        <w:tc>
          <w:tcPr>
            <w:tcW w:w="20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Mark A. McCollum</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11,400</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4,403</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4,568,951</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Karl Blanchard</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8,867</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6,487</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Christian A. Garcia</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3,037</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2,750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Mark D. Swift</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4,850</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1,094</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1,420,672</w:t>
            </w: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Stuart Fraser</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5,383</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1,864</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2,252</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Frederico Justus</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45,650</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52,370</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(119,119)</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6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shown represent Company contributions to the U.S. 401(k) plan for each of the NEOs.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Gross-ups and Net Taxes Paid represent the difference between amounts paid on behalf of the executive during the year for social contributions and taxes and amounts withheld from the executive's compensation during the year for hypothetical taxes, if applicable.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Pay for 2020, in each case, represents an agreed amount paid in settlement to each departing NEO in satisfaction of any amounts owed to them, respectively, in connection with their departure from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2020</w:t>
      </w:r>
      <w:r>
        <w:rPr>
          <w:rFonts w:ascii="Arial" w:cs="Arial" w:eastAsia="Arial" w:hAnsi="Arial"/>
          <w:sz w:val="29"/>
          <w:szCs w:val="29"/>
          <w:b w:val="1"/>
          <w:bCs w:val="1"/>
          <w:color w:val="auto"/>
          <w:vertAlign w:val="superscript"/>
        </w:rPr>
        <w:t>(9)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5"/>
        </w:trPr>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0"/>
        </w:trPr>
        <w:tc>
          <w:tcPr>
            <w:tcW w:w="1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4"/>
          </w:tcPr>
          <w:p>
            <w:pPr>
              <w:jc w:val="center"/>
              <w:ind w:left="577"/>
              <w:spacing w:after="0" w:line="140" w:lineRule="exact"/>
              <w:rPr>
                <w:sz w:val="20"/>
                <w:szCs w:val="20"/>
                <w:color w:val="auto"/>
              </w:rPr>
            </w:pPr>
            <w:r>
              <w:rPr>
                <w:rFonts w:ascii="Arial" w:cs="Arial" w:eastAsia="Arial" w:hAnsi="Arial"/>
                <w:sz w:val="13"/>
                <w:szCs w:val="13"/>
                <w:b w:val="1"/>
                <w:bCs w:val="1"/>
                <w:color w:val="auto"/>
                <w:w w:val="85"/>
              </w:rPr>
              <w:t>Estimated Possible Payouts</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2"/>
          </w:tcPr>
          <w:p>
            <w:pPr>
              <w:jc w:val="center"/>
              <w:ind w:left="697"/>
              <w:spacing w:after="0" w:line="140" w:lineRule="exact"/>
              <w:rPr>
                <w:sz w:val="20"/>
                <w:szCs w:val="20"/>
                <w:color w:val="auto"/>
              </w:rPr>
            </w:pPr>
            <w:r>
              <w:rPr>
                <w:rFonts w:ascii="Arial" w:cs="Arial" w:eastAsia="Arial" w:hAnsi="Arial"/>
                <w:sz w:val="13"/>
                <w:szCs w:val="13"/>
                <w:b w:val="1"/>
                <w:bCs w:val="1"/>
                <w:color w:val="auto"/>
                <w:w w:val="87"/>
              </w:rPr>
              <w:t>Estimated Future Payouts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Awards:</w:t>
            </w:r>
          </w:p>
        </w:tc>
        <w:tc>
          <w:tcPr>
            <w:tcW w:w="120" w:type="dxa"/>
            <w:vAlign w:val="bottom"/>
          </w:tcPr>
          <w:p>
            <w:pPr>
              <w:spacing w:after="0"/>
              <w:rPr>
                <w:sz w:val="12"/>
                <w:szCs w:val="12"/>
                <w:color w:val="auto"/>
              </w:rPr>
            </w:pPr>
          </w:p>
        </w:tc>
        <w:tc>
          <w:tcPr>
            <w:tcW w:w="940" w:type="dxa"/>
            <w:vAlign w:val="bottom"/>
          </w:tcPr>
          <w:p>
            <w:pPr>
              <w:jc w:val="right"/>
              <w:ind w:right="339"/>
              <w:spacing w:after="0" w:line="140" w:lineRule="exact"/>
              <w:rPr>
                <w:sz w:val="20"/>
                <w:szCs w:val="20"/>
                <w:color w:val="auto"/>
              </w:rPr>
            </w:pPr>
            <w:r>
              <w:rPr>
                <w:rFonts w:ascii="Arial" w:cs="Arial" w:eastAsia="Arial" w:hAnsi="Arial"/>
                <w:sz w:val="13"/>
                <w:szCs w:val="13"/>
                <w:b w:val="1"/>
                <w:bCs w:val="1"/>
                <w:color w:val="auto"/>
              </w:rPr>
              <w:t>Grant</w:t>
            </w:r>
          </w:p>
        </w:tc>
      </w:tr>
      <w:tr>
        <w:trPr>
          <w:trHeight w:val="156"/>
        </w:trPr>
        <w:tc>
          <w:tcPr>
            <w:tcW w:w="1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gridSpan w:val="6"/>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Under Non-Equity Incentive Plan Awards</w:t>
            </w:r>
          </w:p>
        </w:tc>
        <w:tc>
          <w:tcPr>
            <w:tcW w:w="3240" w:type="dxa"/>
            <w:vAlign w:val="bottom"/>
            <w:gridSpan w:val="4"/>
          </w:tcPr>
          <w:p>
            <w:pPr>
              <w:ind w:left="560"/>
              <w:spacing w:after="0" w:line="144" w:lineRule="exact"/>
              <w:rPr>
                <w:sz w:val="20"/>
                <w:szCs w:val="20"/>
                <w:color w:val="auto"/>
              </w:rPr>
            </w:pPr>
            <w:r>
              <w:rPr>
                <w:rFonts w:ascii="Arial" w:cs="Arial" w:eastAsia="Arial" w:hAnsi="Arial"/>
                <w:sz w:val="13"/>
                <w:szCs w:val="13"/>
                <w:b w:val="1"/>
                <w:bCs w:val="1"/>
                <w:color w:val="auto"/>
              </w:rPr>
              <w:t>Under Equity Incentive Plan Awards</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20" w:type="dxa"/>
            <w:vAlign w:val="bottom"/>
          </w:tcPr>
          <w:p>
            <w:pPr>
              <w:spacing w:after="0"/>
              <w:rPr>
                <w:sz w:val="13"/>
                <w:szCs w:val="13"/>
                <w:color w:val="auto"/>
              </w:rPr>
            </w:pPr>
          </w:p>
        </w:tc>
        <w:tc>
          <w:tcPr>
            <w:tcW w:w="940" w:type="dxa"/>
            <w:vAlign w:val="bottom"/>
          </w:tcPr>
          <w:p>
            <w:pPr>
              <w:jc w:val="center"/>
              <w:ind w:right="119"/>
              <w:spacing w:after="0" w:line="144" w:lineRule="exact"/>
              <w:rPr>
                <w:sz w:val="20"/>
                <w:szCs w:val="20"/>
                <w:color w:val="auto"/>
              </w:rPr>
            </w:pPr>
            <w:r>
              <w:rPr>
                <w:rFonts w:ascii="Arial" w:cs="Arial" w:eastAsia="Arial" w:hAnsi="Arial"/>
                <w:sz w:val="13"/>
                <w:szCs w:val="13"/>
                <w:b w:val="1"/>
                <w:bCs w:val="1"/>
                <w:color w:val="auto"/>
                <w:w w:val="93"/>
              </w:rPr>
              <w:t>Date Fair</w:t>
            </w:r>
          </w:p>
        </w:tc>
      </w:tr>
      <w:tr>
        <w:trPr>
          <w:trHeight w:val="103"/>
        </w:trPr>
        <w:tc>
          <w:tcPr>
            <w:tcW w:w="1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Restricted</w:t>
            </w:r>
          </w:p>
        </w:tc>
        <w:tc>
          <w:tcPr>
            <w:tcW w:w="120" w:type="dxa"/>
            <w:vAlign w:val="bottom"/>
          </w:tcPr>
          <w:p>
            <w:pPr>
              <w:spacing w:after="0"/>
              <w:rPr>
                <w:sz w:val="8"/>
                <w:szCs w:val="8"/>
                <w:color w:val="auto"/>
              </w:rPr>
            </w:pPr>
          </w:p>
        </w:tc>
        <w:tc>
          <w:tcPr>
            <w:tcW w:w="940" w:type="dxa"/>
            <w:vAlign w:val="bottom"/>
          </w:tcPr>
          <w:p>
            <w:pPr>
              <w:jc w:val="center"/>
              <w:ind w:right="119"/>
              <w:spacing w:after="0" w:line="104" w:lineRule="exact"/>
              <w:rPr>
                <w:sz w:val="20"/>
                <w:szCs w:val="20"/>
                <w:color w:val="auto"/>
              </w:rPr>
            </w:pPr>
            <w:r>
              <w:rPr>
                <w:rFonts w:ascii="Arial" w:cs="Arial" w:eastAsia="Arial" w:hAnsi="Arial"/>
                <w:sz w:val="10"/>
                <w:szCs w:val="10"/>
                <w:b w:val="1"/>
                <w:bCs w:val="1"/>
                <w:color w:val="auto"/>
              </w:rPr>
              <w:t>Value of</w:t>
            </w:r>
          </w:p>
        </w:tc>
      </w:tr>
      <w:tr>
        <w:trPr>
          <w:trHeight w:val="135"/>
        </w:trPr>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w w:val="89"/>
              </w:rPr>
              <w:t>Threshold</w:t>
            </w:r>
          </w:p>
        </w:tc>
        <w:tc>
          <w:tcPr>
            <w:tcW w:w="280" w:type="dxa"/>
            <w:vAlign w:val="bottom"/>
          </w:tcPr>
          <w:p>
            <w:pPr>
              <w:spacing w:after="0"/>
              <w:rPr>
                <w:sz w:val="11"/>
                <w:szCs w:val="11"/>
                <w:color w:val="auto"/>
              </w:rPr>
            </w:pPr>
          </w:p>
        </w:tc>
        <w:tc>
          <w:tcPr>
            <w:tcW w:w="86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Target</w:t>
            </w:r>
          </w:p>
        </w:tc>
        <w:tc>
          <w:tcPr>
            <w:tcW w:w="26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Superior</w:t>
            </w:r>
          </w:p>
        </w:tc>
        <w:tc>
          <w:tcPr>
            <w:tcW w:w="114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85"/>
              </w:rPr>
              <w:t>Threshold</w:t>
            </w:r>
          </w:p>
        </w:tc>
        <w:tc>
          <w:tcPr>
            <w:tcW w:w="1180" w:type="dxa"/>
            <w:vAlign w:val="bottom"/>
          </w:tcPr>
          <w:p>
            <w:pPr>
              <w:jc w:val="center"/>
              <w:ind w:right="277"/>
              <w:spacing w:after="0" w:line="135" w:lineRule="exact"/>
              <w:rPr>
                <w:sz w:val="20"/>
                <w:szCs w:val="20"/>
                <w:color w:val="auto"/>
              </w:rPr>
            </w:pPr>
            <w:r>
              <w:rPr>
                <w:rFonts w:ascii="Arial" w:cs="Arial" w:eastAsia="Arial" w:hAnsi="Arial"/>
                <w:sz w:val="13"/>
                <w:szCs w:val="13"/>
                <w:b w:val="1"/>
                <w:bCs w:val="1"/>
                <w:color w:val="auto"/>
                <w:w w:val="90"/>
              </w:rPr>
              <w:t>Target</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Maximum</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Shares/Units</w:t>
            </w:r>
          </w:p>
        </w:tc>
        <w:tc>
          <w:tcPr>
            <w:tcW w:w="120" w:type="dxa"/>
            <w:vAlign w:val="bottom"/>
          </w:tcPr>
          <w:p>
            <w:pPr>
              <w:spacing w:after="0"/>
              <w:rPr>
                <w:sz w:val="11"/>
                <w:szCs w:val="11"/>
                <w:color w:val="auto"/>
              </w:rPr>
            </w:pPr>
          </w:p>
        </w:tc>
        <w:tc>
          <w:tcPr>
            <w:tcW w:w="940" w:type="dxa"/>
            <w:vAlign w:val="bottom"/>
          </w:tcPr>
          <w:p>
            <w:pPr>
              <w:jc w:val="center"/>
              <w:ind w:right="119"/>
              <w:spacing w:after="0" w:line="135" w:lineRule="exact"/>
              <w:rPr>
                <w:sz w:val="20"/>
                <w:szCs w:val="20"/>
                <w:color w:val="auto"/>
              </w:rPr>
            </w:pPr>
            <w:r>
              <w:rPr>
                <w:rFonts w:ascii="Arial" w:cs="Arial" w:eastAsia="Arial" w:hAnsi="Arial"/>
                <w:sz w:val="13"/>
                <w:szCs w:val="13"/>
                <w:b w:val="1"/>
                <w:bCs w:val="1"/>
                <w:color w:val="auto"/>
                <w:w w:val="87"/>
              </w:rPr>
              <w:t>Share Awards</w:t>
            </w:r>
          </w:p>
        </w:tc>
      </w:tr>
      <w:tr>
        <w:trPr>
          <w:trHeight w:val="160"/>
        </w:trPr>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Grant Date</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center"/>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7"/>
              </w:rPr>
              <w:t>($)</w:t>
            </w:r>
          </w:p>
        </w:tc>
      </w:tr>
      <w:tr>
        <w:trPr>
          <w:trHeight w:val="135"/>
        </w:trPr>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Current Executive Officers</w:t>
            </w: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3"/>
                <w:szCs w:val="13"/>
                <w:color w:val="auto"/>
              </w:rPr>
              <w:t>Girishchandra K. Saligram</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5"/>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7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115,234</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230,469</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230,469</w:t>
            </w:r>
          </w:p>
        </w:tc>
        <w:tc>
          <w:tcPr>
            <w:tcW w:w="1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1060" w:type="dxa"/>
            <w:vAlign w:val="bottom"/>
          </w:tcPr>
          <w:p>
            <w:pPr>
              <w:jc w:val="center"/>
              <w:ind w:left="7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76,849</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778,099</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778,099</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7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453,891</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907,783</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1,361,674</w:t>
            </w:r>
          </w:p>
        </w:tc>
        <w:tc>
          <w:tcPr>
            <w:tcW w:w="1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1060" w:type="dxa"/>
            <w:vAlign w:val="bottom"/>
          </w:tcPr>
          <w:p>
            <w:pPr>
              <w:jc w:val="center"/>
              <w:ind w:left="7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453,891</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907,783</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1,361,674</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77"/>
              <w:spacing w:after="0" w:line="176" w:lineRule="exact"/>
              <w:rPr>
                <w:sz w:val="20"/>
                <w:szCs w:val="20"/>
                <w:color w:val="auto"/>
              </w:rPr>
            </w:pPr>
            <w:r>
              <w:rPr>
                <w:rFonts w:ascii="Arial" w:cs="Arial" w:eastAsia="Arial" w:hAnsi="Arial"/>
                <w:sz w:val="13"/>
                <w:szCs w:val="13"/>
                <w:color w:val="auto"/>
                <w:w w:val="83"/>
              </w:rPr>
              <w:t>11/17/20</w:t>
            </w:r>
            <w:r>
              <w:rPr>
                <w:rFonts w:ascii="Arial" w:cs="Arial" w:eastAsia="Arial" w:hAnsi="Arial"/>
                <w:sz w:val="20"/>
                <w:szCs w:val="20"/>
                <w:color w:val="auto"/>
                <w:w w:val="83"/>
                <w:vertAlign w:val="superscript"/>
              </w:rPr>
              <w:t>(5)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3"/>
                <w:szCs w:val="13"/>
                <w:color w:val="auto"/>
              </w:rPr>
              <w:t>56,497</w:t>
            </w:r>
          </w:p>
        </w:tc>
        <w:tc>
          <w:tcPr>
            <w:tcW w:w="118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169,491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169,491</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416,948</w:t>
            </w:r>
          </w:p>
        </w:tc>
      </w:tr>
      <w:tr>
        <w:trPr>
          <w:trHeight w:val="175"/>
        </w:trPr>
        <w:tc>
          <w:tcPr>
            <w:tcW w:w="1680" w:type="dxa"/>
            <w:vAlign w:val="bottom"/>
          </w:tcPr>
          <w:p>
            <w:pPr>
              <w:spacing w:after="0"/>
              <w:rPr>
                <w:sz w:val="15"/>
                <w:szCs w:val="15"/>
                <w:color w:val="auto"/>
              </w:rPr>
            </w:pPr>
          </w:p>
        </w:tc>
        <w:tc>
          <w:tcPr>
            <w:tcW w:w="1060" w:type="dxa"/>
            <w:vAlign w:val="bottom"/>
          </w:tcPr>
          <w:p>
            <w:pPr>
              <w:jc w:val="center"/>
              <w:ind w:left="77"/>
              <w:spacing w:after="0" w:line="176" w:lineRule="exact"/>
              <w:rPr>
                <w:sz w:val="20"/>
                <w:szCs w:val="20"/>
                <w:color w:val="auto"/>
              </w:rPr>
            </w:pPr>
            <w:r>
              <w:rPr>
                <w:rFonts w:ascii="Arial" w:cs="Arial" w:eastAsia="Arial" w:hAnsi="Arial"/>
                <w:sz w:val="13"/>
                <w:szCs w:val="13"/>
                <w:color w:val="auto"/>
                <w:w w:val="83"/>
              </w:rPr>
              <w:t>11/17/20</w:t>
            </w:r>
            <w:r>
              <w:rPr>
                <w:rFonts w:ascii="Arial" w:cs="Arial" w:eastAsia="Arial" w:hAnsi="Arial"/>
                <w:sz w:val="20"/>
                <w:szCs w:val="20"/>
                <w:color w:val="auto"/>
                <w:w w:val="83"/>
                <w:vertAlign w:val="superscript"/>
              </w:rPr>
              <w:t>(6)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169,491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416,948</w:t>
            </w:r>
          </w:p>
        </w:tc>
      </w:tr>
      <w:tr>
        <w:trPr>
          <w:trHeight w:val="135"/>
        </w:trPr>
        <w:tc>
          <w:tcPr>
            <w:tcW w:w="16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3"/>
                <w:szCs w:val="13"/>
                <w:color w:val="auto"/>
              </w:rPr>
              <w:t>H. Keith Jennings</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5"/>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7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83,334</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166,667</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166,667</w:t>
            </w:r>
          </w:p>
        </w:tc>
        <w:tc>
          <w:tcPr>
            <w:tcW w:w="1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1060" w:type="dxa"/>
            <w:vAlign w:val="bottom"/>
          </w:tcPr>
          <w:p>
            <w:pPr>
              <w:jc w:val="center"/>
              <w:ind w:left="7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53,870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378,870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378,870</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7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221,007</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442,015</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663,022</w:t>
            </w:r>
          </w:p>
        </w:tc>
        <w:tc>
          <w:tcPr>
            <w:tcW w:w="1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1060" w:type="dxa"/>
            <w:vAlign w:val="bottom"/>
          </w:tcPr>
          <w:p>
            <w:pPr>
              <w:jc w:val="center"/>
              <w:ind w:left="7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221,007</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442,015</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663,022</w:t>
            </w: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35"/>
        </w:trPr>
        <w:tc>
          <w:tcPr>
            <w:tcW w:w="16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3"/>
                <w:szCs w:val="13"/>
                <w:color w:val="auto"/>
              </w:rPr>
              <w:t>Scott C. Weatherholt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6"/>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84,336</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168,672</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168,672</w:t>
            </w:r>
          </w:p>
        </w:tc>
        <w:tc>
          <w:tcPr>
            <w:tcW w:w="1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jc w:val="center"/>
              <w:ind w:left="98"/>
              <w:spacing w:after="0"/>
              <w:rPr>
                <w:sz w:val="20"/>
                <w:szCs w:val="20"/>
                <w:color w:val="auto"/>
              </w:rPr>
            </w:pPr>
            <w:r>
              <w:rPr>
                <w:rFonts w:ascii="Arial" w:cs="Arial" w:eastAsia="Arial" w:hAnsi="Arial"/>
                <w:sz w:val="13"/>
                <w:szCs w:val="13"/>
                <w:b w:val="1"/>
                <w:bCs w:val="1"/>
                <w:color w:val="auto"/>
                <w:w w:val="94"/>
              </w:rPr>
              <w:t>All Other</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35"/>
        </w:trPr>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jc w:val="center"/>
              <w:ind w:left="118"/>
              <w:spacing w:after="0" w:line="135" w:lineRule="exact"/>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gridSpan w:val="4"/>
          </w:tcPr>
          <w:p>
            <w:pPr>
              <w:jc w:val="center"/>
              <w:ind w:left="577"/>
              <w:spacing w:after="0" w:line="135" w:lineRule="exact"/>
              <w:rPr>
                <w:sz w:val="20"/>
                <w:szCs w:val="20"/>
                <w:color w:val="auto"/>
              </w:rPr>
            </w:pPr>
            <w:r>
              <w:rPr>
                <w:rFonts w:ascii="Arial" w:cs="Arial" w:eastAsia="Arial" w:hAnsi="Arial"/>
                <w:sz w:val="13"/>
                <w:szCs w:val="13"/>
                <w:b w:val="1"/>
                <w:bCs w:val="1"/>
                <w:color w:val="auto"/>
                <w:w w:val="85"/>
              </w:rPr>
              <w:t>Estimated Possible Payouts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1"/>
              </w:rPr>
              <w:t>Estimated Future Payouts</w:t>
            </w:r>
          </w:p>
        </w:tc>
        <w:tc>
          <w:tcPr>
            <w:tcW w:w="800" w:type="dxa"/>
            <w:vAlign w:val="bottom"/>
          </w:tcPr>
          <w:p>
            <w:pPr>
              <w:spacing w:after="0"/>
              <w:rPr>
                <w:sz w:val="11"/>
                <w:szCs w:val="11"/>
                <w:color w:val="auto"/>
              </w:rPr>
            </w:pPr>
          </w:p>
        </w:tc>
        <w:tc>
          <w:tcPr>
            <w:tcW w:w="1040" w:type="dxa"/>
            <w:vAlign w:val="bottom"/>
          </w:tcPr>
          <w:p>
            <w:pPr>
              <w:jc w:val="center"/>
              <w:ind w:left="98"/>
              <w:spacing w:after="0" w:line="135" w:lineRule="exact"/>
              <w:rPr>
                <w:sz w:val="20"/>
                <w:szCs w:val="20"/>
                <w:color w:val="auto"/>
              </w:rPr>
            </w:pPr>
            <w:r>
              <w:rPr>
                <w:rFonts w:ascii="Arial" w:cs="Arial" w:eastAsia="Arial" w:hAnsi="Arial"/>
                <w:sz w:val="13"/>
                <w:szCs w:val="13"/>
                <w:b w:val="1"/>
                <w:bCs w:val="1"/>
                <w:color w:val="auto"/>
                <w:w w:val="85"/>
              </w:rPr>
              <w:t>Awards: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7"/>
        </w:trPr>
        <w:tc>
          <w:tcPr>
            <w:tcW w:w="1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gridSpan w:val="6"/>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Under Non-Equity Incentive Plan Awards</w:t>
            </w:r>
          </w:p>
        </w:tc>
        <w:tc>
          <w:tcPr>
            <w:tcW w:w="31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Under Equity Incentive Plan Awards</w:t>
            </w:r>
          </w:p>
        </w:tc>
        <w:tc>
          <w:tcPr>
            <w:tcW w:w="1040" w:type="dxa"/>
            <w:vAlign w:val="bottom"/>
          </w:tcPr>
          <w:p>
            <w:pPr>
              <w:jc w:val="center"/>
              <w:ind w:left="98"/>
              <w:spacing w:after="0" w:line="135" w:lineRule="exact"/>
              <w:rPr>
                <w:sz w:val="20"/>
                <w:szCs w:val="20"/>
                <w:color w:val="auto"/>
              </w:rPr>
            </w:pPr>
            <w:r>
              <w:rPr>
                <w:rFonts w:ascii="Arial" w:cs="Arial" w:eastAsia="Arial" w:hAnsi="Arial"/>
                <w:sz w:val="13"/>
                <w:szCs w:val="13"/>
                <w:b w:val="1"/>
                <w:bCs w:val="1"/>
                <w:color w:val="auto"/>
                <w:w w:val="92"/>
              </w:rPr>
              <w:t>Number of</w:t>
            </w: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Grant Date Fair</w:t>
            </w:r>
          </w:p>
        </w:tc>
      </w:tr>
      <w:tr>
        <w:trPr>
          <w:trHeight w:val="103"/>
        </w:trPr>
        <w:tc>
          <w:tcPr>
            <w:tcW w:w="1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40" w:type="dxa"/>
            <w:vAlign w:val="bottom"/>
          </w:tcPr>
          <w:p>
            <w:pPr>
              <w:jc w:val="center"/>
              <w:ind w:left="98"/>
              <w:spacing w:after="0" w:line="104" w:lineRule="exact"/>
              <w:rPr>
                <w:sz w:val="20"/>
                <w:szCs w:val="20"/>
                <w:color w:val="auto"/>
              </w:rPr>
            </w:pPr>
            <w:r>
              <w:rPr>
                <w:rFonts w:ascii="Arial" w:cs="Arial" w:eastAsia="Arial" w:hAnsi="Arial"/>
                <w:sz w:val="10"/>
                <w:szCs w:val="10"/>
                <w:b w:val="1"/>
                <w:bCs w:val="1"/>
                <w:color w:val="auto"/>
              </w:rPr>
              <w:t>Restricted</w:t>
            </w:r>
          </w:p>
        </w:tc>
        <w:tc>
          <w:tcPr>
            <w:tcW w:w="120" w:type="dxa"/>
            <w:vAlign w:val="bottom"/>
          </w:tcPr>
          <w:p>
            <w:pPr>
              <w:spacing w:after="0"/>
              <w:rPr>
                <w:sz w:val="8"/>
                <w:szCs w:val="8"/>
                <w:color w:val="auto"/>
              </w:rPr>
            </w:pPr>
          </w:p>
        </w:tc>
        <w:tc>
          <w:tcPr>
            <w:tcW w:w="940" w:type="dxa"/>
            <w:vAlign w:val="bottom"/>
          </w:tcPr>
          <w:p>
            <w:pPr>
              <w:jc w:val="center"/>
              <w:ind w:right="120"/>
              <w:spacing w:after="0" w:line="104" w:lineRule="exact"/>
              <w:rPr>
                <w:sz w:val="20"/>
                <w:szCs w:val="20"/>
                <w:color w:val="auto"/>
              </w:rPr>
            </w:pPr>
            <w:r>
              <w:rPr>
                <w:rFonts w:ascii="Arial" w:cs="Arial" w:eastAsia="Arial" w:hAnsi="Arial"/>
                <w:sz w:val="10"/>
                <w:szCs w:val="10"/>
                <w:b w:val="1"/>
                <w:bCs w:val="1"/>
                <w:color w:val="auto"/>
              </w:rPr>
              <w:t>Value of</w:t>
            </w:r>
          </w:p>
        </w:tc>
      </w:tr>
      <w:tr>
        <w:trPr>
          <w:trHeight w:val="135"/>
        </w:trPr>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w w:val="89"/>
              </w:rPr>
              <w:t>Threshold</w:t>
            </w:r>
          </w:p>
        </w:tc>
        <w:tc>
          <w:tcPr>
            <w:tcW w:w="280" w:type="dxa"/>
            <w:vAlign w:val="bottom"/>
          </w:tcPr>
          <w:p>
            <w:pPr>
              <w:spacing w:after="0"/>
              <w:rPr>
                <w:sz w:val="11"/>
                <w:szCs w:val="11"/>
                <w:color w:val="auto"/>
              </w:rPr>
            </w:pPr>
          </w:p>
        </w:tc>
        <w:tc>
          <w:tcPr>
            <w:tcW w:w="86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Target</w:t>
            </w:r>
          </w:p>
        </w:tc>
        <w:tc>
          <w:tcPr>
            <w:tcW w:w="26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Superior</w:t>
            </w:r>
          </w:p>
        </w:tc>
        <w:tc>
          <w:tcPr>
            <w:tcW w:w="78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5"/>
              </w:rPr>
              <w:t>Threshold</w:t>
            </w:r>
          </w:p>
        </w:tc>
        <w:tc>
          <w:tcPr>
            <w:tcW w:w="1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Target</w:t>
            </w:r>
          </w:p>
        </w:tc>
        <w:tc>
          <w:tcPr>
            <w:tcW w:w="8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3"/>
              </w:rPr>
              <w:t>Maximum</w:t>
            </w:r>
          </w:p>
        </w:tc>
        <w:tc>
          <w:tcPr>
            <w:tcW w:w="1040" w:type="dxa"/>
            <w:vAlign w:val="bottom"/>
          </w:tcPr>
          <w:p>
            <w:pPr>
              <w:jc w:val="center"/>
              <w:ind w:left="98"/>
              <w:spacing w:after="0" w:line="135" w:lineRule="exact"/>
              <w:rPr>
                <w:sz w:val="20"/>
                <w:szCs w:val="20"/>
                <w:color w:val="auto"/>
              </w:rPr>
            </w:pPr>
            <w:r>
              <w:rPr>
                <w:rFonts w:ascii="Arial" w:cs="Arial" w:eastAsia="Arial" w:hAnsi="Arial"/>
                <w:sz w:val="13"/>
                <w:szCs w:val="13"/>
                <w:b w:val="1"/>
                <w:bCs w:val="1"/>
                <w:color w:val="auto"/>
                <w:w w:val="85"/>
              </w:rPr>
              <w:t>Shares/Units</w:t>
            </w:r>
          </w:p>
        </w:tc>
        <w:tc>
          <w:tcPr>
            <w:tcW w:w="120" w:type="dxa"/>
            <w:vAlign w:val="bottom"/>
          </w:tcPr>
          <w:p>
            <w:pPr>
              <w:spacing w:after="0"/>
              <w:rPr>
                <w:sz w:val="11"/>
                <w:szCs w:val="11"/>
                <w:color w:val="auto"/>
              </w:rPr>
            </w:pPr>
          </w:p>
        </w:tc>
        <w:tc>
          <w:tcPr>
            <w:tcW w:w="94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Share Awards</w:t>
            </w:r>
          </w:p>
        </w:tc>
      </w:tr>
      <w:tr>
        <w:trPr>
          <w:trHeight w:val="153"/>
        </w:trPr>
        <w:tc>
          <w:tcPr>
            <w:tcW w:w="1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Grant Date</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center"/>
              <w:ind w:left="98"/>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87"/>
              </w:rPr>
              <w:t>($)</w:t>
            </w:r>
          </w:p>
        </w:tc>
      </w:tr>
      <w:tr>
        <w:trPr>
          <w:trHeight w:val="169"/>
        </w:trPr>
        <w:tc>
          <w:tcPr>
            <w:tcW w:w="16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58"/>
              <w:spacing w:after="0" w:line="169" w:lineRule="exact"/>
              <w:rPr>
                <w:sz w:val="20"/>
                <w:szCs w:val="20"/>
                <w:color w:val="auto"/>
              </w:rPr>
            </w:pPr>
            <w:r>
              <w:rPr>
                <w:rFonts w:ascii="Arial" w:cs="Arial" w:eastAsia="Arial" w:hAnsi="Arial"/>
                <w:sz w:val="12"/>
                <w:szCs w:val="12"/>
                <w:color w:val="auto"/>
                <w:w w:val="89"/>
              </w:rPr>
              <w:t>7/23/20</w:t>
            </w:r>
            <w:r>
              <w:rPr>
                <w:rFonts w:ascii="Arial" w:cs="Arial" w:eastAsia="Arial" w:hAnsi="Arial"/>
                <w:sz w:val="19"/>
                <w:szCs w:val="19"/>
                <w:color w:val="auto"/>
                <w:w w:val="89"/>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44,054</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243,804</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243,804</w:t>
            </w:r>
          </w:p>
        </w:tc>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75"/>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142,219</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284,439</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426,658</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142,219</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284,439</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426,658</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3"/>
                <w:szCs w:val="13"/>
                <w:b w:val="1"/>
                <w:bCs w:val="1"/>
                <w:color w:val="auto"/>
              </w:rPr>
              <w:t>Former Executive Officers</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Mark A. McCollum</w:t>
            </w: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76"/>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510,000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1,020,000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1,020,000</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780,000</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2,340,000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2,340,000</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6"/>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1,365,000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2,730,000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4,095,000</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1,365,000</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2,730,000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4,095,000</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35"/>
        </w:trPr>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Karl Blanchard</w:t>
            </w: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76"/>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336,478</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672,955</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672,955</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300,000</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900,000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900,000</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6"/>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525,000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1,050,000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1,575,000</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525,000</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1,050,000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1,575,000</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35"/>
        </w:trPr>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Christian A. Garcia</w:t>
            </w: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75"/>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286,875</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573,750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573,750</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230,000</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690,000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690,000</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402,500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805,000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1,207,500</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402,500</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805,000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1,207,500</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6"/>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4/17/20</w:t>
            </w:r>
            <w:r>
              <w:rPr>
                <w:rFonts w:ascii="Arial" w:cs="Arial" w:eastAsia="Arial" w:hAnsi="Arial"/>
                <w:sz w:val="20"/>
                <w:szCs w:val="20"/>
                <w:color w:val="auto"/>
                <w:w w:val="83"/>
                <w:vertAlign w:val="superscript"/>
              </w:rPr>
              <w:t>(7)</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68,966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40"/>
              <w:spacing w:after="0"/>
              <w:rPr>
                <w:sz w:val="20"/>
                <w:szCs w:val="20"/>
                <w:color w:val="auto"/>
              </w:rPr>
            </w:pPr>
            <w:r>
              <w:rPr>
                <w:rFonts w:ascii="Arial" w:cs="Arial" w:eastAsia="Arial" w:hAnsi="Arial"/>
                <w:sz w:val="13"/>
                <w:szCs w:val="13"/>
                <w:color w:val="auto"/>
              </w:rPr>
              <w:t>389,658</w:t>
            </w:r>
          </w:p>
        </w:tc>
      </w:tr>
      <w:tr>
        <w:trPr>
          <w:trHeight w:val="135"/>
        </w:trPr>
        <w:tc>
          <w:tcPr>
            <w:tcW w:w="16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76"/>
        </w:trPr>
        <w:tc>
          <w:tcPr>
            <w:tcW w:w="1680" w:type="dxa"/>
            <w:vAlign w:val="bottom"/>
          </w:tcPr>
          <w:p>
            <w:pPr>
              <w:spacing w:after="0"/>
              <w:rPr>
                <w:sz w:val="20"/>
                <w:szCs w:val="20"/>
                <w:color w:val="auto"/>
              </w:rPr>
            </w:pPr>
            <w:r>
              <w:rPr>
                <w:rFonts w:ascii="Arial" w:cs="Arial" w:eastAsia="Arial" w:hAnsi="Arial"/>
                <w:sz w:val="13"/>
                <w:szCs w:val="13"/>
                <w:color w:val="auto"/>
              </w:rPr>
              <w:t>Mark D. Swift</w:t>
            </w:r>
          </w:p>
        </w:tc>
        <w:tc>
          <w:tcPr>
            <w:tcW w:w="1060" w:type="dxa"/>
            <w:vAlign w:val="bottom"/>
          </w:tcPr>
          <w:p>
            <w:pPr>
              <w:jc w:val="center"/>
              <w:ind w:left="58"/>
              <w:spacing w:after="0" w:line="176" w:lineRule="exact"/>
              <w:rPr>
                <w:sz w:val="20"/>
                <w:szCs w:val="20"/>
                <w:color w:val="auto"/>
              </w:rPr>
            </w:pPr>
            <w:r>
              <w:rPr>
                <w:rFonts w:ascii="Arial" w:cs="Arial" w:eastAsia="Arial" w:hAnsi="Arial"/>
                <w:sz w:val="20"/>
                <w:szCs w:val="20"/>
                <w:color w:val="auto"/>
                <w:vertAlign w:val="subscript"/>
              </w:rPr>
              <w:t>N/A</w:t>
            </w:r>
            <w:r>
              <w:rPr>
                <w:rFonts w:ascii="Arial" w:cs="Arial" w:eastAsia="Arial" w:hAnsi="Arial"/>
                <w:sz w:val="9"/>
                <w:szCs w:val="9"/>
                <w:color w:val="auto"/>
              </w:rPr>
              <w:t>(8)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35"/>
        </w:trPr>
        <w:tc>
          <w:tcPr>
            <w:tcW w:w="16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3"/>
                <w:szCs w:val="13"/>
                <w:color w:val="auto"/>
              </w:rPr>
              <w:t>Stuart Fraser</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6"/>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135,469</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270,938</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270,938</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55,000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165,000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165,000</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96,250</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192,500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288,750</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96,250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192,500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288,750</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35"/>
        </w:trPr>
        <w:tc>
          <w:tcPr>
            <w:tcW w:w="16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3"/>
                <w:szCs w:val="13"/>
                <w:color w:val="auto"/>
              </w:rPr>
              <w:t>Frederico Justus</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5"/>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261,250</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522,500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522,500</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1060" w:type="dxa"/>
            <w:vAlign w:val="bottom"/>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140,000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420,000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420,000</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58"/>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245,000</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490,000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735,000</w:t>
            </w:r>
          </w:p>
        </w:tc>
        <w:tc>
          <w:tcPr>
            <w:tcW w:w="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72"/>
        </w:trPr>
        <w:tc>
          <w:tcPr>
            <w:tcW w:w="1680" w:type="dxa"/>
            <w:vAlign w:val="bottom"/>
          </w:tcPr>
          <w:p>
            <w:pPr>
              <w:spacing w:after="0"/>
              <w:rPr>
                <w:sz w:val="23"/>
                <w:szCs w:val="23"/>
                <w:color w:val="auto"/>
              </w:rPr>
            </w:pPr>
          </w:p>
        </w:tc>
        <w:tc>
          <w:tcPr>
            <w:tcW w:w="1060" w:type="dxa"/>
            <w:vAlign w:val="bottom"/>
          </w:tcPr>
          <w:p>
            <w:pPr>
              <w:jc w:val="center"/>
              <w:ind w:left="58"/>
              <w:spacing w:after="0"/>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245,000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490,000</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735,000</w:t>
            </w: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7830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7" w:lineRule="exact"/>
        <w:rPr>
          <w:sz w:val="20"/>
          <w:szCs w:val="20"/>
          <w:color w:val="auto"/>
        </w:rPr>
      </w:pPr>
    </w:p>
    <w:p>
      <w:pPr>
        <w:ind w:left="400" w:hanging="325"/>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potential payments for the year ended December 31, 2020 under the terms of the EICP.</w:t>
      </w:r>
    </w:p>
    <w:p>
      <w:pPr>
        <w:spacing w:after="0" w:line="225" w:lineRule="exact"/>
        <w:rPr>
          <w:rFonts w:ascii="Arial" w:cs="Arial" w:eastAsia="Arial" w:hAnsi="Arial"/>
          <w:sz w:val="18"/>
          <w:szCs w:val="18"/>
          <w:color w:val="auto"/>
        </w:rPr>
      </w:pPr>
    </w:p>
    <w:p>
      <w:pPr>
        <w:jc w:val="both"/>
        <w:ind w:left="400" w:hanging="325"/>
        <w:spacing w:after="0" w:line="257"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30% of a total cash award under the terms of the LTCIP. Amounts reflect time-based payment/potential payments to be awarded in May 2020, January 1, 2021 and January 1, 2022 for Messrs. Blanchard, Garcia, McCollum, Fraser and Justus and to be awarded December 31, 2020, 2021 and 2022 for Messrs. Saligram, Jennings and Weatherholt. The cash amount shown in Threshold reflects the first payment out of three potential payments. The cash amount shown in Target and Superior reflects total payments for all three years as there is no opportunity to earn more than the Target cash amount awarded for the time-based portion.</w:t>
      </w:r>
    </w:p>
    <w:p>
      <w:pPr>
        <w:spacing w:after="0" w:line="187" w:lineRule="exact"/>
        <w:rPr>
          <w:rFonts w:ascii="Arial" w:cs="Arial" w:eastAsia="Arial" w:hAnsi="Arial"/>
          <w:sz w:val="18"/>
          <w:szCs w:val="18"/>
          <w:color w:val="auto"/>
        </w:rPr>
      </w:pPr>
    </w:p>
    <w:p>
      <w:pPr>
        <w:jc w:val="both"/>
        <w:ind w:left="400" w:hanging="325"/>
        <w:spacing w:after="0" w:line="275" w:lineRule="auto"/>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35% of a total cash award under the terms of the LTCIP. Amounts reflect performance-based potential payments to be awarded at the completion of the three-year performance period beginning January 1, 2020 and ending on December 31, 2022 contingent upon achievement of ROCE performance goals for fiscal year 2020, and for EBITDA Percentage performance goals for fiscal years ended 2021 and 2022. The cash amount shown in Threshold reflects an amended payout of 50%, the cash amount shown in Target reflects a payout of 100% and the cash amount shown in Superior reflects a payout of 200% of the total award approved for this component of the LTCIP.</w:t>
      </w:r>
    </w:p>
    <w:p>
      <w:pPr>
        <w:spacing w:after="0" w:line="176" w:lineRule="exact"/>
        <w:rPr>
          <w:rFonts w:ascii="Arial" w:cs="Arial" w:eastAsia="Arial" w:hAnsi="Arial"/>
          <w:sz w:val="17"/>
          <w:szCs w:val="17"/>
          <w:color w:val="auto"/>
        </w:rPr>
      </w:pPr>
    </w:p>
    <w:p>
      <w:pPr>
        <w:jc w:val="both"/>
        <w:ind w:left="400" w:hanging="325"/>
        <w:spacing w:after="0" w:line="275" w:lineRule="auto"/>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35% of a total cash award under the terms of the LTCIP. Amounts reflect performance-based potential payments to be awarded at the completion of the three-year performance period beginning January 1, 2020 and ending on December 31, 2022 contingent upon achievement of Free Cash Flow performance goals for fiscal year 2020 and Operating Cash Flow Conversion Percentage performance goals for fiscal years 2021 and 2022. The cash amount shown in Threshold reflects a payout of 50%, the cash amount shown in Target reflects a payout of 100% and the cash amount shown in Superior reflects a payout of 200% of the total award approved for this component of the LTCIP.</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8" w:name="page49"/>
    <w:bookmarkEnd w:id="48"/>
    <w:p>
      <w:pPr>
        <w:jc w:val="both"/>
        <w:ind w:left="400" w:hanging="325"/>
        <w:spacing w:after="0" w:line="257" w:lineRule="auto"/>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PSUs granted under the terms of the 2019 EIP. The Ordinary Share amount shown in Threshold reflects the minimum number of Ordinary Shares that could be earned (other than none) by achieving one of three performance goals. The Ordinary Share amount shown in Target and Superior reflects the Target number of Ordinary Shares granted as there is no opportunity to earn more than Target if all three performance goals are achieved. The value shown reflects grant date fair value of the Target number of Ordinary Shares in accordance with Financial Accounting Standards Board Accounting Standards Codification Topic 718 ("ASC 718").</w:t>
      </w:r>
    </w:p>
    <w:p>
      <w:pPr>
        <w:spacing w:after="0" w:line="187" w:lineRule="exact"/>
        <w:rPr>
          <w:rFonts w:ascii="Arial" w:cs="Arial" w:eastAsia="Arial" w:hAnsi="Arial"/>
          <w:sz w:val="18"/>
          <w:szCs w:val="18"/>
          <w:color w:val="auto"/>
        </w:rPr>
      </w:pPr>
    </w:p>
    <w:p>
      <w:pPr>
        <w:ind w:left="400" w:right="20" w:hanging="325"/>
        <w:spacing w:after="0" w:line="277" w:lineRule="auto"/>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RSUs granted under the terms of the 2019 EIP. The value shown reflects grant date fair value of the Ordinary Shares in accordance with ASC 718. These Ordinary Shares vest in three equal tranches on each of October 12, 2021, 2022 and 2023.</w:t>
      </w:r>
    </w:p>
    <w:p>
      <w:pPr>
        <w:spacing w:after="0" w:line="170" w:lineRule="exact"/>
        <w:rPr>
          <w:rFonts w:ascii="Arial" w:cs="Arial" w:eastAsia="Arial" w:hAnsi="Arial"/>
          <w:sz w:val="18"/>
          <w:szCs w:val="18"/>
          <w:color w:val="auto"/>
        </w:rPr>
      </w:pPr>
    </w:p>
    <w:p>
      <w:pPr>
        <w:jc w:val="both"/>
        <w:ind w:left="400" w:hanging="325"/>
        <w:spacing w:after="0" w:line="263" w:lineRule="auto"/>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RSUs granted under the terms of the 2019 EIP. The value shown reflects grant date fair value of the Ordinary Shares in accordance with ASC 718. The first tranche of these Ordinary Shares vested on the grant date of April 17, 2020 and the other two tranches were forfeited upon Mr. Garcia's departure from the Company on August 5, 2020.</w:t>
      </w:r>
    </w:p>
    <w:p>
      <w:pPr>
        <w:spacing w:after="0" w:line="183" w:lineRule="exact"/>
        <w:rPr>
          <w:rFonts w:ascii="Arial" w:cs="Arial" w:eastAsia="Arial" w:hAnsi="Arial"/>
          <w:sz w:val="18"/>
          <w:szCs w:val="18"/>
          <w:color w:val="auto"/>
        </w:rPr>
      </w:pPr>
    </w:p>
    <w:p>
      <w:pPr>
        <w:ind w:left="400" w:hanging="325"/>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Departed prior to any plan-based awards being granted.</w:t>
      </w:r>
    </w:p>
    <w:p>
      <w:pPr>
        <w:spacing w:after="0" w:line="225" w:lineRule="exact"/>
        <w:rPr>
          <w:rFonts w:ascii="Arial" w:cs="Arial" w:eastAsia="Arial" w:hAnsi="Arial"/>
          <w:sz w:val="18"/>
          <w:szCs w:val="18"/>
          <w:color w:val="auto"/>
        </w:rPr>
      </w:pPr>
    </w:p>
    <w:p>
      <w:pPr>
        <w:ind w:left="400" w:hanging="325"/>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Numbers in table are rounded to the nearest whole dollar and may not agree to other publicly available disclosures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number of outstanding equity awards held by our NEOs at December 31, 2020.</w:t>
      </w:r>
    </w:p>
    <w:p>
      <w:pPr>
        <w:spacing w:after="0" w:line="235"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17145</wp:posOffset>
            </wp:positionV>
            <wp:extent cx="40544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640" w:type="dxa"/>
            <w:vAlign w:val="bottom"/>
          </w:tcPr>
          <w:p>
            <w:pPr>
              <w:spacing w:after="0"/>
              <w:rPr>
                <w:sz w:val="18"/>
                <w:szCs w:val="18"/>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88"/>
              </w:rPr>
              <w:t>Shares or Units</w:t>
            </w:r>
          </w:p>
        </w:tc>
      </w:tr>
      <w:tr>
        <w:trPr>
          <w:trHeight w:val="216"/>
        </w:trPr>
        <w:tc>
          <w:tcPr>
            <w:tcW w:w="2640" w:type="dxa"/>
            <w:vAlign w:val="bottom"/>
          </w:tcPr>
          <w:p>
            <w:pPr>
              <w:spacing w:after="0"/>
              <w:rPr>
                <w:sz w:val="18"/>
                <w:szCs w:val="18"/>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of Shares That</w:t>
            </w:r>
          </w:p>
        </w:tc>
      </w:tr>
      <w:tr>
        <w:trPr>
          <w:trHeight w:val="220"/>
        </w:trPr>
        <w:tc>
          <w:tcPr>
            <w:tcW w:w="2640" w:type="dxa"/>
            <w:vAlign w:val="bottom"/>
          </w:tcPr>
          <w:p>
            <w:pPr>
              <w:spacing w:after="0"/>
              <w:rPr>
                <w:sz w:val="19"/>
                <w:szCs w:val="19"/>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88"/>
              </w:rPr>
              <w:t>Have Not Vested</w:t>
            </w:r>
          </w:p>
        </w:tc>
      </w:tr>
      <w:tr>
        <w:trPr>
          <w:trHeight w:val="286"/>
        </w:trPr>
        <w:tc>
          <w:tcPr>
            <w:tcW w:w="26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460" w:type="dxa"/>
            <w:vAlign w:val="bottom"/>
          </w:tcPr>
          <w:p>
            <w:pPr>
              <w:jc w:val="center"/>
              <w:ind w:left="2110"/>
              <w:spacing w:after="0" w:line="287"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Equity Incentive</w:t>
            </w:r>
          </w:p>
        </w:tc>
      </w:tr>
      <w:tr>
        <w:trPr>
          <w:trHeight w:val="216"/>
        </w:trPr>
        <w:tc>
          <w:tcPr>
            <w:tcW w:w="15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Equity Incentive</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Plan Awards:</w:t>
            </w:r>
          </w:p>
        </w:tc>
      </w:tr>
      <w:tr>
        <w:trPr>
          <w:trHeight w:val="216"/>
        </w:trPr>
        <w:tc>
          <w:tcPr>
            <w:tcW w:w="15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Plan Awards:</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6"/>
              </w:rPr>
              <w:t>Market or</w:t>
            </w:r>
          </w:p>
        </w:tc>
      </w:tr>
      <w:tr>
        <w:trPr>
          <w:trHeight w:val="216"/>
        </w:trPr>
        <w:tc>
          <w:tcPr>
            <w:tcW w:w="15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Payment Value of</w:t>
            </w:r>
          </w:p>
        </w:tc>
      </w:tr>
      <w:tr>
        <w:trPr>
          <w:trHeight w:val="221"/>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Market Value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Unearned Shares,</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Unearned Shares,</w:t>
            </w:r>
          </w:p>
        </w:tc>
      </w:tr>
      <w:tr>
        <w:trPr>
          <w:trHeight w:val="216"/>
        </w:trPr>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Shares or Units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Units or Other</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Units or Other</w:t>
            </w:r>
          </w:p>
        </w:tc>
      </w:tr>
      <w:tr>
        <w:trPr>
          <w:trHeight w:val="216"/>
        </w:trPr>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Shares That Have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Rights That Have</w:t>
            </w:r>
          </w:p>
        </w:tc>
        <w:tc>
          <w:tcPr>
            <w:tcW w:w="15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Rights That Have</w:t>
            </w: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Not Vested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4"/>
              </w:rPr>
              <w:t>not Vested</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Not Vested</w:t>
            </w:r>
          </w:p>
        </w:tc>
      </w:tr>
      <w:tr>
        <w:trPr>
          <w:trHeight w:val="285"/>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w:t>
            </w:r>
          </w:p>
        </w:tc>
        <w:tc>
          <w:tcPr>
            <w:tcW w:w="1680" w:type="dxa"/>
            <w:vAlign w:val="bottom"/>
          </w:tcPr>
          <w:p>
            <w:pPr>
              <w:jc w:val="center"/>
              <w:spacing w:after="0" w:line="285"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c>
          <w:tcPr>
            <w:tcW w:w="1520" w:type="dxa"/>
            <w:vAlign w:val="bottom"/>
          </w:tcPr>
          <w:p>
            <w:pPr>
              <w:jc w:val="center"/>
              <w:ind w:left="50"/>
              <w:spacing w:after="0" w:line="285"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r>
    </w:tbl>
    <w:p>
      <w:pPr>
        <w:spacing w:after="0" w:line="1" w:lineRule="exact"/>
        <w:rPr>
          <w:sz w:val="20"/>
          <w:szCs w:val="20"/>
          <w:color w:val="auto"/>
        </w:rPr>
      </w:pPr>
    </w:p>
    <w:p>
      <w:pPr>
        <w:sectPr>
          <w:pgSz w:w="11900" w:h="16838" w:orient="portrait"/>
          <w:cols w:equalWidth="0" w:num="2">
            <w:col w:w="6160" w:space="220"/>
            <w:col w:w="4860"/>
          </w:cols>
          <w:pgMar w:left="320" w:top="908" w:right="339" w:bottom="1440" w:gutter="0" w:footer="0" w:header="0"/>
          <w:type w:val="continuous"/>
        </w:sectPr>
      </w:pPr>
    </w:p>
    <w:p>
      <w:pPr>
        <w:spacing w:after="0"/>
        <w:tabs>
          <w:tab w:leader="none" w:pos="5220" w:val="left"/>
          <w:tab w:leader="none" w:pos="6300" w:val="left"/>
          <w:tab w:leader="none" w:pos="7060" w:val="left"/>
          <w:tab w:leader="none" w:pos="8960" w:val="left"/>
          <w:tab w:leader="none" w:pos="9660" w:val="left"/>
          <w:tab w:leader="none" w:pos="10520" w:val="left"/>
        </w:tabs>
        <w:rPr>
          <w:sz w:val="20"/>
          <w:szCs w:val="20"/>
          <w:color w:val="auto"/>
        </w:rPr>
      </w:pPr>
      <w:r>
        <w:rPr>
          <w:rFonts w:ascii="Arial" w:cs="Arial" w:eastAsia="Arial" w:hAnsi="Arial"/>
          <w:sz w:val="18"/>
          <w:szCs w:val="18"/>
          <w:color w:val="auto"/>
        </w:rPr>
        <w:t>Girishchandra K. Saligram</w:t>
      </w:r>
      <w:r>
        <w:rPr>
          <w:sz w:val="20"/>
          <w:szCs w:val="20"/>
          <w:color w:val="auto"/>
        </w:rPr>
        <w:tab/>
      </w:r>
      <w:r>
        <w:rPr>
          <w:rFonts w:ascii="Arial" w:cs="Arial" w:eastAsia="Arial" w:hAnsi="Arial"/>
          <w:sz w:val="18"/>
          <w:szCs w:val="18"/>
          <w:color w:val="auto"/>
        </w:rPr>
        <w:t>169,491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1,016,946</w:t>
      </w:r>
      <w:r>
        <w:rPr>
          <w:sz w:val="20"/>
          <w:szCs w:val="20"/>
          <w:color w:val="auto"/>
        </w:rPr>
        <w:tab/>
      </w:r>
      <w:r>
        <w:rPr>
          <w:rFonts w:ascii="Arial" w:cs="Arial" w:eastAsia="Arial" w:hAnsi="Arial"/>
          <w:sz w:val="18"/>
          <w:szCs w:val="18"/>
          <w:color w:val="auto"/>
        </w:rPr>
        <w:t>56,497</w:t>
        <w:tab/>
        <w:t>$</w:t>
      </w:r>
      <w:r>
        <w:rPr>
          <w:sz w:val="20"/>
          <w:szCs w:val="20"/>
          <w:color w:val="auto"/>
        </w:rPr>
        <w:tab/>
      </w:r>
      <w:r>
        <w:rPr>
          <w:rFonts w:ascii="Arial" w:cs="Arial" w:eastAsia="Arial" w:hAnsi="Arial"/>
          <w:sz w:val="16"/>
          <w:szCs w:val="16"/>
          <w:color w:val="auto"/>
        </w:rPr>
        <w:t>338,982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RSUs issued under the 2019 EIP, which vest in equal increments on each of October 12, 2021, 2022 and 2023.</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PSUs issued under the 2019 EIP. The number of units reported and the payout value reported are based on achieving the threshold performance level which is one-third of the PSUs granted. PSUs are eligible to vest at any time after October 12, 2020, subject to the attainment of applicable performance objectives. All performance objectives were met by March 3, 2021 and the full 169,491 PSUs were fully vested and the underlying Ordinary Shares with respect to such PSUs were issued to Mr. Saligram, less Ordinary Shares withheld to satisfy withholding tax obligations.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Option Exercises and Stock Vested in 2020</w:t>
            </w:r>
          </w:p>
        </w:tc>
        <w:tc>
          <w:tcPr>
            <w:tcW w:w="1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Stock</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8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0"/>
              </w:rPr>
              <w:t>Value Realized</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4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9"/>
              </w:rPr>
              <w:t>Shares Acquired</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on Vesting</w:t>
            </w:r>
          </w:p>
        </w:tc>
        <w:tc>
          <w:tcPr>
            <w:tcW w:w="1400" w:type="dxa"/>
            <w:vAlign w:val="bottom"/>
            <w:gridSpan w:val="2"/>
          </w:tcPr>
          <w:p>
            <w:pPr>
              <w:jc w:val="center"/>
              <w:ind w:right="140"/>
              <w:spacing w:after="0" w:line="252" w:lineRule="exact"/>
              <w:rPr>
                <w:sz w:val="20"/>
                <w:szCs w:val="20"/>
                <w:color w:val="auto"/>
              </w:rPr>
            </w:pPr>
            <w:r>
              <w:rPr>
                <w:rFonts w:ascii="Arial" w:cs="Arial" w:eastAsia="Arial" w:hAnsi="Arial"/>
                <w:sz w:val="18"/>
                <w:szCs w:val="18"/>
                <w:b w:val="1"/>
                <w:bCs w:val="1"/>
                <w:color w:val="auto"/>
                <w:w w:val="85"/>
              </w:rPr>
              <w:t>On Vesting</w:t>
            </w:r>
            <w:r>
              <w:rPr>
                <w:rFonts w:ascii="Arial" w:cs="Arial" w:eastAsia="Arial" w:hAnsi="Arial"/>
                <w:sz w:val="29"/>
                <w:szCs w:val="29"/>
                <w:b w:val="1"/>
                <w:bCs w:val="1"/>
                <w:color w:val="auto"/>
                <w:w w:val="85"/>
                <w:vertAlign w:val="superscript"/>
              </w:rPr>
              <w:t>(1)</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Girishchandra K. Saligram</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Scott C. Weatherholt</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Mark A. McCollum</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Christian A. Garcia</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22,988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129,882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 Swift</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Stuart Fraser</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820" w:type="dxa"/>
            <w:vAlign w:val="bottom"/>
            <w:tcBorders>
              <w:bottom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0" w:type="dxa"/>
            <w:vAlign w:val="bottom"/>
            <w:gridSpan w:val="2"/>
          </w:tcPr>
          <w:p>
            <w:pPr>
              <w:spacing w:after="0"/>
              <w:rPr>
                <w:sz w:val="20"/>
                <w:szCs w:val="20"/>
                <w:color w:val="auto"/>
              </w:rPr>
            </w:pPr>
            <w:r>
              <w:rPr>
                <w:rFonts w:ascii="Arial" w:cs="Arial" w:eastAsia="Arial" w:hAnsi="Arial"/>
                <w:sz w:val="18"/>
                <w:szCs w:val="18"/>
                <w:color w:val="auto"/>
              </w:rPr>
              <w:t>(1) Calculated by multiplying the number of Ordinary Shares by the closing price on the date of vest.</w:t>
            </w: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Potential Payments Upon Termination or Change in Control</w:t>
            </w: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tables list the compensation and benefits that Weatherford would provide to our NEOs that were with the Company at the end of the 2020 fiscal year in various scenarios involving a hypothetical termination of employment or upon a change in control on such date. Compensation and benefits generally available to salaried employees are not included in the below. As described previously:</w:t>
      </w:r>
    </w:p>
    <w:p>
      <w:pPr>
        <w:spacing w:after="0" w:line="1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18"/>
          <w:szCs w:val="18"/>
          <w:color w:val="auto"/>
        </w:rPr>
        <w:t>Messrs. Saligram, Jennings and Weatherholt are subject to the Company's CIC Severance Plan and their respective offer letters.</w:t>
      </w:r>
    </w:p>
    <w:p>
      <w:pPr>
        <w:spacing w:after="0" w:line="215" w:lineRule="exact"/>
        <w:rPr>
          <w:rFonts w:ascii="Arial" w:cs="Arial" w:eastAsia="Arial" w:hAnsi="Arial"/>
          <w:sz w:val="20"/>
          <w:szCs w:val="20"/>
          <w:color w:val="auto"/>
        </w:rPr>
      </w:pPr>
    </w:p>
    <w:p>
      <w:pPr>
        <w:ind w:left="660" w:hanging="328"/>
        <w:spacing w:after="0" w:line="25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18"/>
          <w:szCs w:val="18"/>
          <w:color w:val="auto"/>
        </w:rPr>
        <w:t>Messrs. McCollum, Garcia, Swift and Justus were no longer with the Company at the end of the fiscal year and therefore they are not included in the tables below;</w:t>
      </w:r>
    </w:p>
    <w:p>
      <w:pPr>
        <w:spacing w:after="0" w:line="192" w:lineRule="exact"/>
        <w:rPr>
          <w:rFonts w:ascii="Arial" w:cs="Arial" w:eastAsia="Arial" w:hAnsi="Arial"/>
          <w:sz w:val="20"/>
          <w:szCs w:val="20"/>
          <w:color w:val="auto"/>
        </w:rPr>
      </w:pPr>
    </w:p>
    <w:p>
      <w:pPr>
        <w:ind w:left="660" w:hanging="328"/>
        <w:spacing w:after="0" w:line="25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18"/>
          <w:szCs w:val="18"/>
          <w:color w:val="auto"/>
        </w:rPr>
        <w:t>Any payments made to each of Messrs. McCollum, Swift and Justus that were paid in settlement upon their departure from the Company are reflected in the Summary Compensation Table and related footnotes; and</w:t>
      </w:r>
    </w:p>
    <w:p>
      <w:pPr>
        <w:spacing w:after="0" w:line="192"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18"/>
          <w:szCs w:val="18"/>
          <w:color w:val="auto"/>
        </w:rPr>
        <w:t>Mr. Blanchard had the Blanchard CIC and Mr. Fraser had a Change in Control Agreement, as amended (the "Fraser CIC"), in effect as of December 31, 2020, and our emergence from bankruptcy on December 13, 2019 constituted a change in control previously triggered under those agreements.</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ind w:right="100" w:firstLine="648"/>
        <w:spacing w:after="0" w:line="308" w:lineRule="auto"/>
        <w:rPr>
          <w:sz w:val="20"/>
          <w:szCs w:val="20"/>
          <w:color w:val="auto"/>
        </w:rPr>
      </w:pPr>
      <w:r>
        <w:rPr>
          <w:rFonts w:ascii="Arial" w:cs="Arial" w:eastAsia="Arial" w:hAnsi="Arial"/>
          <w:sz w:val="17"/>
          <w:szCs w:val="17"/>
          <w:color w:val="auto"/>
        </w:rPr>
        <w:t>The following table applies to Messrs. Saligram, Jennings and Weatherholt whose potential payments are covered by their respective offer letters, EICP, LTCIP Award Agreements, award agreements under the 2019 EIP (in the case of Mr. Saligram) and our CIC Severance Plan.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w w:val="95"/>
              </w:rPr>
              <w:t>Compensation Element</w:t>
            </w: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91"/>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Sign-on</w:t>
            </w:r>
          </w:p>
        </w:tc>
      </w:tr>
      <w:tr>
        <w:trPr>
          <w:trHeight w:val="221"/>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Long-Term</w:t>
            </w: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Bonus</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 /</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ind w:left="100"/>
              <w:spacing w:after="0"/>
              <w:rPr>
                <w:sz w:val="20"/>
                <w:szCs w:val="20"/>
                <w:color w:val="auto"/>
              </w:rPr>
            </w:pPr>
            <w:r>
              <w:rPr>
                <w:rFonts w:ascii="Arial" w:cs="Arial" w:eastAsia="Arial" w:hAnsi="Arial"/>
                <w:sz w:val="18"/>
                <w:szCs w:val="18"/>
                <w:b w:val="1"/>
                <w:bCs w:val="1"/>
                <w:color w:val="auto"/>
                <w:w w:val="98"/>
              </w:rPr>
              <w:t>Annual Cash</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Cash</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w w:val="92"/>
              </w:rPr>
              <w:t>Performance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Welfare and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Change in Control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Cash</w:t>
            </w:r>
          </w:p>
        </w:tc>
        <w:tc>
          <w:tcPr>
            <w:tcW w:w="1200" w:type="dxa"/>
            <w:vAlign w:val="bottom"/>
          </w:tcPr>
          <w:p>
            <w:pPr>
              <w:ind w:left="240"/>
              <w:spacing w:after="0"/>
              <w:rPr>
                <w:sz w:val="20"/>
                <w:szCs w:val="20"/>
                <w:color w:val="auto"/>
              </w:rPr>
            </w:pPr>
            <w:r>
              <w:rPr>
                <w:rFonts w:ascii="Arial" w:cs="Arial" w:eastAsia="Arial" w:hAnsi="Arial"/>
                <w:sz w:val="18"/>
                <w:szCs w:val="18"/>
                <w:b w:val="1"/>
                <w:bCs w:val="1"/>
                <w:color w:val="auto"/>
              </w:rPr>
              <w:t>Incentive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120" w:type="dxa"/>
            <w:vAlign w:val="bottom"/>
          </w:tcPr>
          <w:p>
            <w:pPr>
              <w:ind w:left="340"/>
              <w:spacing w:after="0"/>
              <w:rPr>
                <w:sz w:val="20"/>
                <w:szCs w:val="20"/>
                <w:color w:val="auto"/>
              </w:rPr>
            </w:pPr>
            <w:r>
              <w:rPr>
                <w:rFonts w:ascii="Arial" w:cs="Arial" w:eastAsia="Arial" w:hAnsi="Arial"/>
                <w:sz w:val="18"/>
                <w:szCs w:val="18"/>
                <w:b w:val="1"/>
                <w:bCs w:val="1"/>
                <w:color w:val="auto"/>
              </w:rPr>
              <w:t>Share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Relocation</w:t>
            </w:r>
          </w:p>
        </w:tc>
      </w:tr>
      <w:tr>
        <w:trPr>
          <w:trHeight w:val="270"/>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Scenario</w:t>
            </w: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Base Salary</w:t>
            </w: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Severance</w:t>
            </w:r>
          </w:p>
        </w:tc>
        <w:tc>
          <w:tcPr>
            <w:tcW w:w="24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Compensation Compensation</w:t>
            </w:r>
          </w:p>
        </w:tc>
        <w:tc>
          <w:tcPr>
            <w:tcW w:w="96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4"/>
              </w:rPr>
              <w:t>Units</w:t>
            </w:r>
            <w:r>
              <w:rPr>
                <w:rFonts w:ascii="Arial" w:cs="Arial" w:eastAsia="Arial" w:hAnsi="Arial"/>
                <w:sz w:val="29"/>
                <w:szCs w:val="29"/>
                <w:b w:val="1"/>
                <w:bCs w:val="1"/>
                <w:color w:val="auto"/>
                <w:w w:val="84"/>
                <w:vertAlign w:val="superscript"/>
              </w:rPr>
              <w:t>(1)</w:t>
            </w:r>
          </w:p>
        </w:tc>
        <w:tc>
          <w:tcPr>
            <w:tcW w:w="1120" w:type="dxa"/>
            <w:vAlign w:val="bottom"/>
            <w:tcBorders>
              <w:bottom w:val="single" w:sz="8" w:color="auto"/>
            </w:tcBorders>
          </w:tcPr>
          <w:p>
            <w:pPr>
              <w:ind w:left="280"/>
              <w:spacing w:after="0" w:line="270" w:lineRule="exact"/>
              <w:rPr>
                <w:sz w:val="20"/>
                <w:szCs w:val="20"/>
                <w:color w:val="auto"/>
              </w:rPr>
            </w:pPr>
            <w:r>
              <w:rPr>
                <w:rFonts w:ascii="Arial" w:cs="Arial" w:eastAsia="Arial" w:hAnsi="Arial"/>
                <w:sz w:val="18"/>
                <w:szCs w:val="18"/>
                <w:b w:val="1"/>
                <w:bCs w:val="1"/>
                <w:color w:val="auto"/>
              </w:rPr>
              <w:t>Units</w:t>
            </w:r>
            <w:r>
              <w:rPr>
                <w:rFonts w:ascii="Arial" w:cs="Arial" w:eastAsia="Arial" w:hAnsi="Arial"/>
                <w:sz w:val="29"/>
                <w:szCs w:val="29"/>
                <w:b w:val="1"/>
                <w:bCs w:val="1"/>
                <w:color w:val="auto"/>
                <w:vertAlign w:val="superscript"/>
              </w:rPr>
              <w:t>(1)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1120" w:type="dxa"/>
            <w:vAlign w:val="bottom"/>
            <w:tcBorders>
              <w:bottom w:val="single" w:sz="8" w:color="auto"/>
            </w:tcBorders>
          </w:tcPr>
          <w:p>
            <w:pPr>
              <w:ind w:left="80"/>
              <w:spacing w:after="0" w:line="270" w:lineRule="exact"/>
              <w:rPr>
                <w:sz w:val="20"/>
                <w:szCs w:val="20"/>
                <w:color w:val="auto"/>
              </w:rPr>
            </w:pPr>
            <w:r>
              <w:rPr>
                <w:rFonts w:ascii="Arial" w:cs="Arial" w:eastAsia="Arial" w:hAnsi="Arial"/>
                <w:sz w:val="18"/>
                <w:szCs w:val="18"/>
                <w:b w:val="1"/>
                <w:bCs w:val="1"/>
                <w:color w:val="auto"/>
                <w:w w:val="83"/>
              </w:rPr>
              <w:t>Allowances</w:t>
            </w:r>
            <w:r>
              <w:rPr>
                <w:rFonts w:ascii="Arial" w:cs="Arial" w:eastAsia="Arial" w:hAnsi="Arial"/>
                <w:sz w:val="29"/>
                <w:szCs w:val="29"/>
                <w:b w:val="1"/>
                <w:bCs w:val="1"/>
                <w:color w:val="auto"/>
                <w:w w:val="83"/>
                <w:vertAlign w:val="superscript"/>
              </w:rPr>
              <w:t>(2)</w:t>
            </w:r>
          </w:p>
        </w:tc>
      </w:tr>
      <w:tr>
        <w:trPr>
          <w:trHeight w:val="195"/>
        </w:trPr>
        <w:tc>
          <w:tcPr>
            <w:tcW w:w="23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Retirement or Resignation</w:t>
            </w:r>
          </w:p>
        </w:tc>
        <w:tc>
          <w:tcPr>
            <w:tcW w:w="1100" w:type="dxa"/>
            <w:vAlign w:val="bottom"/>
            <w:gridSpan w:val="2"/>
            <w:shd w:val="clear" w:color="auto" w:fill="CCEEFF"/>
          </w:tcPr>
          <w:p>
            <w:pPr>
              <w:ind w:left="160"/>
              <w:spacing w:after="0" w:line="195" w:lineRule="exact"/>
              <w:rPr>
                <w:sz w:val="20"/>
                <w:szCs w:val="20"/>
                <w:color w:val="auto"/>
              </w:rPr>
            </w:pPr>
            <w:r>
              <w:rPr>
                <w:rFonts w:ascii="Arial" w:cs="Arial" w:eastAsia="Arial" w:hAnsi="Arial"/>
                <w:sz w:val="18"/>
                <w:szCs w:val="18"/>
                <w:color w:val="auto"/>
              </w:rPr>
              <w:t>Ceases</w:t>
            </w:r>
          </w:p>
        </w:tc>
        <w:tc>
          <w:tcPr>
            <w:tcW w:w="112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None</w:t>
            </w:r>
          </w:p>
        </w:tc>
        <w:tc>
          <w:tcPr>
            <w:tcW w:w="120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Forfeited</w:t>
            </w:r>
          </w:p>
        </w:tc>
        <w:tc>
          <w:tcPr>
            <w:tcW w:w="120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Eligible to</w:t>
            </w:r>
          </w:p>
        </w:tc>
        <w:tc>
          <w:tcPr>
            <w:tcW w:w="9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Ceases</w:t>
            </w:r>
          </w:p>
        </w:tc>
        <w:tc>
          <w:tcPr>
            <w:tcW w:w="112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Must repay</w:t>
            </w:r>
          </w:p>
        </w:tc>
      </w:tr>
      <w:tr>
        <w:trPr>
          <w:trHeight w:val="216"/>
        </w:trPr>
        <w:tc>
          <w:tcPr>
            <w:tcW w:w="2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Immediately</w:t>
            </w: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immediately</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100% of any</w:t>
            </w: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in</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sign-on</w:t>
            </w: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respect of any</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bonuses or</w:t>
            </w: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portion of the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relocation</w:t>
            </w: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Award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allowances</w:t>
            </w: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that is vested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without</w:t>
            </w: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but not yet</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proration</w:t>
            </w: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paid as of the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date of</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termination</w:t>
            </w:r>
          </w:p>
        </w:tc>
        <w:tc>
          <w:tcPr>
            <w:tcW w:w="9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5"/>
                <w:szCs w:val="15"/>
                <w:b w:val="1"/>
                <w:bCs w:val="1"/>
                <w:color w:val="auto"/>
              </w:rPr>
              <w:t>Termination with Cause</w:t>
            </w:r>
            <w:r>
              <w:rPr>
                <w:rFonts w:ascii="Arial" w:cs="Arial" w:eastAsia="Arial" w:hAnsi="Arial"/>
                <w:sz w:val="23"/>
                <w:szCs w:val="23"/>
                <w:b w:val="1"/>
                <w:bCs w:val="1"/>
                <w:color w:val="auto"/>
                <w:vertAlign w:val="superscript"/>
              </w:rPr>
              <w:t>(3)</w:t>
            </w:r>
          </w:p>
        </w:tc>
        <w:tc>
          <w:tcPr>
            <w:tcW w:w="11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Ceases</w:t>
            </w:r>
          </w:p>
        </w:tc>
        <w:tc>
          <w:tcPr>
            <w:tcW w:w="1120" w:type="dxa"/>
            <w:vAlign w:val="bottom"/>
          </w:tcPr>
          <w:p>
            <w:pPr>
              <w:ind w:left="60"/>
              <w:spacing w:after="0" w:line="202" w:lineRule="exact"/>
              <w:rPr>
                <w:sz w:val="20"/>
                <w:szCs w:val="20"/>
                <w:color w:val="auto"/>
              </w:rPr>
            </w:pPr>
            <w:r>
              <w:rPr>
                <w:rFonts w:ascii="Arial" w:cs="Arial" w:eastAsia="Arial" w:hAnsi="Arial"/>
                <w:sz w:val="18"/>
                <w:szCs w:val="18"/>
                <w:color w:val="auto"/>
              </w:rPr>
              <w:t>None</w:t>
            </w:r>
          </w:p>
        </w:tc>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Forfeited</w:t>
            </w:r>
          </w:p>
        </w:tc>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Forfeited</w:t>
            </w:r>
          </w:p>
        </w:tc>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tcPr>
          <w:p>
            <w:pPr>
              <w:ind w:left="6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tcPr>
          <w:p>
            <w:pPr>
              <w:ind w:left="40"/>
              <w:spacing w:after="0" w:line="202" w:lineRule="exact"/>
              <w:rPr>
                <w:sz w:val="20"/>
                <w:szCs w:val="20"/>
                <w:color w:val="auto"/>
              </w:rPr>
            </w:pPr>
            <w:r>
              <w:rPr>
                <w:rFonts w:ascii="Arial" w:cs="Arial" w:eastAsia="Arial" w:hAnsi="Arial"/>
                <w:sz w:val="18"/>
                <w:szCs w:val="18"/>
                <w:color w:val="auto"/>
              </w:rPr>
              <w:t>Ceases</w:t>
            </w:r>
          </w:p>
        </w:tc>
        <w:tc>
          <w:tcPr>
            <w:tcW w:w="1120" w:type="dxa"/>
            <w:vAlign w:val="bottom"/>
          </w:tcPr>
          <w:p>
            <w:pPr>
              <w:ind w:left="60"/>
              <w:spacing w:after="0" w:line="202" w:lineRule="exact"/>
              <w:rPr>
                <w:sz w:val="20"/>
                <w:szCs w:val="20"/>
                <w:color w:val="auto"/>
              </w:rPr>
            </w:pPr>
            <w:r>
              <w:rPr>
                <w:rFonts w:ascii="Arial" w:cs="Arial" w:eastAsia="Arial" w:hAnsi="Arial"/>
                <w:sz w:val="18"/>
                <w:szCs w:val="18"/>
                <w:color w:val="auto"/>
              </w:rPr>
              <w:t>Must repay</w:t>
            </w:r>
          </w:p>
        </w:tc>
      </w:tr>
      <w:tr>
        <w:trPr>
          <w:trHeight w:val="215"/>
        </w:trPr>
        <w:tc>
          <w:tcPr>
            <w:tcW w:w="23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w w:val="94"/>
              </w:rPr>
              <w:t>Immediately</w:t>
            </w: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immediately</w:t>
            </w:r>
          </w:p>
        </w:tc>
        <w:tc>
          <w:tcPr>
            <w:tcW w:w="1120" w:type="dxa"/>
            <w:vAlign w:val="bottom"/>
          </w:tcPr>
          <w:p>
            <w:pPr>
              <w:ind w:left="60"/>
              <w:spacing w:after="0"/>
              <w:rPr>
                <w:sz w:val="20"/>
                <w:szCs w:val="20"/>
                <w:color w:val="auto"/>
              </w:rPr>
            </w:pPr>
            <w:r>
              <w:rPr>
                <w:rFonts w:ascii="Arial" w:cs="Arial" w:eastAsia="Arial" w:hAnsi="Arial"/>
                <w:sz w:val="18"/>
                <w:szCs w:val="18"/>
                <w:color w:val="auto"/>
              </w:rPr>
              <w:t>100% of any</w:t>
            </w: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cash sign-on</w:t>
            </w: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bonuses or</w:t>
            </w: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relocation</w:t>
            </w: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allowances</w:t>
            </w: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without</w:t>
            </w:r>
          </w:p>
        </w:tc>
      </w:tr>
      <w:tr>
        <w:trPr>
          <w:trHeight w:val="230"/>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proration</w:t>
            </w: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Death or Disability</w:t>
            </w:r>
          </w:p>
        </w:tc>
        <w:tc>
          <w:tcPr>
            <w:tcW w:w="11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Ceases</w:t>
            </w:r>
          </w:p>
        </w:tc>
        <w:tc>
          <w:tcPr>
            <w:tcW w:w="11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None</w:t>
            </w:r>
          </w:p>
        </w:tc>
        <w:tc>
          <w:tcPr>
            <w:tcW w:w="12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Prorated for</w:t>
            </w:r>
          </w:p>
        </w:tc>
        <w:tc>
          <w:tcPr>
            <w:tcW w:w="12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All unvested</w:t>
            </w:r>
          </w:p>
        </w:tc>
        <w:tc>
          <w:tcPr>
            <w:tcW w:w="9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Entitled to</w:t>
            </w:r>
          </w:p>
        </w:tc>
        <w:tc>
          <w:tcPr>
            <w:tcW w:w="11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All unvested</w:t>
            </w:r>
          </w:p>
        </w:tc>
        <w:tc>
          <w:tcPr>
            <w:tcW w:w="11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Ceases</w:t>
            </w:r>
          </w:p>
        </w:tc>
        <w:tc>
          <w:tcPr>
            <w:tcW w:w="11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No</w:t>
            </w:r>
          </w:p>
        </w:tc>
      </w:tr>
      <w:tr>
        <w:trPr>
          <w:trHeight w:val="216"/>
        </w:trPr>
        <w:tc>
          <w:tcPr>
            <w:tcW w:w="2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Immediately</w:t>
            </w: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year and</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portions of</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 all</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PSUs vest at</w:t>
            </w: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immediately</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repayments</w:t>
            </w: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based on actual</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the end of the</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achievement</w:t>
            </w: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awards vest;</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time-vested</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applicable</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eligible to</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performance</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period based</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in</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on actual</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respect of any</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performance</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portion of the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Award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that is vested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but not yet</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paid as of the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date of</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termination</w:t>
            </w:r>
          </w:p>
        </w:tc>
        <w:tc>
          <w:tcPr>
            <w:tcW w:w="9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230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Termination Without Cause</w:t>
            </w:r>
          </w:p>
        </w:tc>
        <w:tc>
          <w:tcPr>
            <w:tcW w:w="1100" w:type="dxa"/>
            <w:vAlign w:val="bottom"/>
            <w:gridSpan w:val="2"/>
          </w:tcPr>
          <w:p>
            <w:pPr>
              <w:ind w:left="160"/>
              <w:spacing w:after="0" w:line="198" w:lineRule="exact"/>
              <w:rPr>
                <w:sz w:val="20"/>
                <w:szCs w:val="20"/>
                <w:color w:val="auto"/>
              </w:rPr>
            </w:pPr>
            <w:r>
              <w:rPr>
                <w:rFonts w:ascii="Arial" w:cs="Arial" w:eastAsia="Arial" w:hAnsi="Arial"/>
                <w:sz w:val="18"/>
                <w:szCs w:val="18"/>
                <w:color w:val="auto"/>
              </w:rPr>
              <w:t>Ceases</w:t>
            </w:r>
          </w:p>
        </w:tc>
        <w:tc>
          <w:tcPr>
            <w:tcW w:w="1120" w:type="dxa"/>
            <w:vAlign w:val="bottom"/>
          </w:tcPr>
          <w:p>
            <w:pPr>
              <w:ind w:left="60"/>
              <w:spacing w:after="0" w:line="198" w:lineRule="exact"/>
              <w:rPr>
                <w:sz w:val="20"/>
                <w:szCs w:val="20"/>
                <w:color w:val="auto"/>
              </w:rPr>
            </w:pPr>
            <w:r>
              <w:rPr>
                <w:rFonts w:ascii="Arial" w:cs="Arial" w:eastAsia="Arial" w:hAnsi="Arial"/>
                <w:sz w:val="18"/>
                <w:szCs w:val="18"/>
                <w:color w:val="auto"/>
              </w:rPr>
              <w:t>12 months</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Receives</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A prorated</w:t>
            </w:r>
          </w:p>
        </w:tc>
        <w:tc>
          <w:tcPr>
            <w:tcW w:w="960" w:type="dxa"/>
            <w:vAlign w:val="bottom"/>
          </w:tcPr>
          <w:p>
            <w:pPr>
              <w:ind w:left="40"/>
              <w:spacing w:after="0" w:line="198" w:lineRule="exact"/>
              <w:rPr>
                <w:sz w:val="20"/>
                <w:szCs w:val="20"/>
                <w:color w:val="auto"/>
              </w:rPr>
            </w:pPr>
            <w:r>
              <w:rPr>
                <w:rFonts w:ascii="Arial" w:cs="Arial" w:eastAsia="Arial" w:hAnsi="Arial"/>
                <w:sz w:val="18"/>
                <w:szCs w:val="18"/>
                <w:color w:val="auto"/>
              </w:rPr>
              <w:t>Entitled to</w:t>
            </w:r>
          </w:p>
        </w:tc>
        <w:tc>
          <w:tcPr>
            <w:tcW w:w="1120" w:type="dxa"/>
            <w:vAlign w:val="bottom"/>
          </w:tcPr>
          <w:p>
            <w:pPr>
              <w:ind w:left="60"/>
              <w:spacing w:after="0" w:line="198" w:lineRule="exact"/>
              <w:rPr>
                <w:sz w:val="20"/>
                <w:szCs w:val="20"/>
                <w:color w:val="auto"/>
              </w:rPr>
            </w:pPr>
            <w:r>
              <w:rPr>
                <w:rFonts w:ascii="Arial" w:cs="Arial" w:eastAsia="Arial" w:hAnsi="Arial"/>
                <w:sz w:val="18"/>
                <w:szCs w:val="18"/>
                <w:color w:val="auto"/>
              </w:rPr>
              <w:t>A prorated</w:t>
            </w:r>
          </w:p>
        </w:tc>
        <w:tc>
          <w:tcPr>
            <w:tcW w:w="1120" w:type="dxa"/>
            <w:vAlign w:val="bottom"/>
          </w:tcPr>
          <w:p>
            <w:pPr>
              <w:ind w:left="40"/>
              <w:spacing w:after="0" w:line="198" w:lineRule="exact"/>
              <w:rPr>
                <w:sz w:val="20"/>
                <w:szCs w:val="20"/>
                <w:color w:val="auto"/>
              </w:rPr>
            </w:pPr>
            <w:r>
              <w:rPr>
                <w:rFonts w:ascii="Arial" w:cs="Arial" w:eastAsia="Arial" w:hAnsi="Arial"/>
                <w:sz w:val="18"/>
                <w:szCs w:val="18"/>
                <w:color w:val="auto"/>
              </w:rPr>
              <w:t>Ceases</w:t>
            </w:r>
          </w:p>
        </w:tc>
        <w:tc>
          <w:tcPr>
            <w:tcW w:w="1120" w:type="dxa"/>
            <w:vAlign w:val="bottom"/>
          </w:tcPr>
          <w:p>
            <w:pPr>
              <w:ind w:left="60"/>
              <w:spacing w:after="0" w:line="198" w:lineRule="exact"/>
              <w:rPr>
                <w:sz w:val="20"/>
                <w:szCs w:val="20"/>
                <w:color w:val="auto"/>
              </w:rPr>
            </w:pPr>
            <w:r>
              <w:rPr>
                <w:rFonts w:ascii="Arial" w:cs="Arial" w:eastAsia="Arial" w:hAnsi="Arial"/>
                <w:sz w:val="18"/>
                <w:szCs w:val="18"/>
                <w:color w:val="auto"/>
              </w:rPr>
              <w:t>No</w:t>
            </w:r>
          </w:p>
        </w:tc>
      </w:tr>
      <w:tr>
        <w:trPr>
          <w:trHeight w:val="220"/>
        </w:trPr>
        <w:tc>
          <w:tcPr>
            <w:tcW w:w="2300" w:type="dxa"/>
            <w:vAlign w:val="bottom"/>
          </w:tcPr>
          <w:p>
            <w:pPr>
              <w:spacing w:after="0"/>
              <w:rPr>
                <w:sz w:val="20"/>
                <w:szCs w:val="20"/>
                <w:color w:val="auto"/>
              </w:rPr>
            </w:pPr>
            <w:r>
              <w:rPr>
                <w:rFonts w:ascii="Arial" w:cs="Arial" w:eastAsia="Arial" w:hAnsi="Arial"/>
                <w:sz w:val="18"/>
                <w:szCs w:val="18"/>
                <w:b w:val="1"/>
                <w:bCs w:val="1"/>
                <w:color w:val="auto"/>
              </w:rPr>
              <w:t>or With Good Reason</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w w:val="94"/>
              </w:rPr>
              <w:t>Immediately</w:t>
            </w:r>
          </w:p>
        </w:tc>
        <w:tc>
          <w:tcPr>
            <w:tcW w:w="1120" w:type="dxa"/>
            <w:vAlign w:val="bottom"/>
          </w:tcPr>
          <w:p>
            <w:pPr>
              <w:ind w:left="60"/>
              <w:spacing w:after="0"/>
              <w:rPr>
                <w:sz w:val="20"/>
                <w:szCs w:val="20"/>
                <w:color w:val="auto"/>
              </w:rPr>
            </w:pPr>
            <w:r>
              <w:rPr>
                <w:rFonts w:ascii="Arial" w:cs="Arial" w:eastAsia="Arial" w:hAnsi="Arial"/>
                <w:sz w:val="18"/>
                <w:szCs w:val="18"/>
                <w:color w:val="auto"/>
              </w:rPr>
              <w:t>annual base</w:t>
            </w:r>
          </w:p>
        </w:tc>
        <w:tc>
          <w:tcPr>
            <w:tcW w:w="1200" w:type="dxa"/>
            <w:vAlign w:val="bottom"/>
          </w:tcPr>
          <w:p>
            <w:pPr>
              <w:ind w:left="40"/>
              <w:spacing w:after="0"/>
              <w:rPr>
                <w:sz w:val="20"/>
                <w:szCs w:val="20"/>
                <w:color w:val="auto"/>
              </w:rPr>
            </w:pPr>
            <w:r>
              <w:rPr>
                <w:rFonts w:ascii="Arial" w:cs="Arial" w:eastAsia="Arial" w:hAnsi="Arial"/>
                <w:sz w:val="18"/>
                <w:szCs w:val="18"/>
                <w:color w:val="auto"/>
              </w:rPr>
              <w:t>payment of</w:t>
            </w:r>
          </w:p>
        </w:tc>
        <w:tc>
          <w:tcPr>
            <w:tcW w:w="1200" w:type="dxa"/>
            <w:vAlign w:val="bottom"/>
          </w:tcPr>
          <w:p>
            <w:pPr>
              <w:ind w:left="40"/>
              <w:spacing w:after="0"/>
              <w:rPr>
                <w:sz w:val="20"/>
                <w:szCs w:val="20"/>
                <w:color w:val="auto"/>
              </w:rPr>
            </w:pPr>
            <w:r>
              <w:rPr>
                <w:rFonts w:ascii="Arial" w:cs="Arial" w:eastAsia="Arial" w:hAnsi="Arial"/>
                <w:sz w:val="18"/>
                <w:szCs w:val="18"/>
                <w:color w:val="auto"/>
              </w:rPr>
              <w:t>portion of the</w:t>
            </w:r>
          </w:p>
        </w:tc>
        <w:tc>
          <w:tcPr>
            <w:tcW w:w="960" w:type="dxa"/>
            <w:vAlign w:val="bottom"/>
          </w:tcPr>
          <w:p>
            <w:pPr>
              <w:ind w:left="40"/>
              <w:spacing w:after="0"/>
              <w:rPr>
                <w:sz w:val="20"/>
                <w:szCs w:val="20"/>
                <w:color w:val="auto"/>
              </w:rPr>
            </w:pPr>
            <w:r>
              <w:rPr>
                <w:rFonts w:ascii="Arial" w:cs="Arial" w:eastAsia="Arial" w:hAnsi="Arial"/>
                <w:sz w:val="18"/>
                <w:szCs w:val="18"/>
                <w:color w:val="auto"/>
              </w:rPr>
              <w:t>vest a</w:t>
            </w:r>
          </w:p>
        </w:tc>
        <w:tc>
          <w:tcPr>
            <w:tcW w:w="1120" w:type="dxa"/>
            <w:vAlign w:val="bottom"/>
          </w:tcPr>
          <w:p>
            <w:pPr>
              <w:ind w:left="60"/>
              <w:spacing w:after="0"/>
              <w:rPr>
                <w:sz w:val="20"/>
                <w:szCs w:val="20"/>
                <w:color w:val="auto"/>
              </w:rPr>
            </w:pPr>
            <w:r>
              <w:rPr>
                <w:rFonts w:ascii="Arial" w:cs="Arial" w:eastAsia="Arial" w:hAnsi="Arial"/>
                <w:sz w:val="18"/>
                <w:szCs w:val="18"/>
                <w:color w:val="auto"/>
                <w:w w:val="98"/>
              </w:rPr>
              <w:t>portion of the</w:t>
            </w:r>
          </w:p>
        </w:tc>
        <w:tc>
          <w:tcPr>
            <w:tcW w:w="1120" w:type="dxa"/>
            <w:vAlign w:val="bottom"/>
          </w:tcPr>
          <w:p>
            <w:pPr>
              <w:ind w:left="40"/>
              <w:spacing w:after="0"/>
              <w:rPr>
                <w:sz w:val="20"/>
                <w:szCs w:val="20"/>
                <w:color w:val="auto"/>
              </w:rPr>
            </w:pPr>
            <w:r>
              <w:rPr>
                <w:rFonts w:ascii="Arial" w:cs="Arial" w:eastAsia="Arial" w:hAnsi="Arial"/>
                <w:sz w:val="18"/>
                <w:szCs w:val="18"/>
                <w:color w:val="auto"/>
              </w:rPr>
              <w:t>immediately</w:t>
            </w:r>
          </w:p>
        </w:tc>
        <w:tc>
          <w:tcPr>
            <w:tcW w:w="1120" w:type="dxa"/>
            <w:vAlign w:val="bottom"/>
          </w:tcPr>
          <w:p>
            <w:pPr>
              <w:ind w:left="60"/>
              <w:spacing w:after="0"/>
              <w:rPr>
                <w:sz w:val="20"/>
                <w:szCs w:val="20"/>
                <w:color w:val="auto"/>
              </w:rPr>
            </w:pPr>
            <w:r>
              <w:rPr>
                <w:rFonts w:ascii="Arial" w:cs="Arial" w:eastAsia="Arial" w:hAnsi="Arial"/>
                <w:sz w:val="18"/>
                <w:szCs w:val="18"/>
                <w:color w:val="auto"/>
              </w:rPr>
              <w:t>repayments</w:t>
            </w: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salary plus</w:t>
            </w:r>
          </w:p>
        </w:tc>
        <w:tc>
          <w:tcPr>
            <w:tcW w:w="1200" w:type="dxa"/>
            <w:vAlign w:val="bottom"/>
          </w:tcPr>
          <w:p>
            <w:pPr>
              <w:ind w:left="40"/>
              <w:spacing w:after="0"/>
              <w:rPr>
                <w:sz w:val="20"/>
                <w:szCs w:val="20"/>
                <w:color w:val="auto"/>
              </w:rPr>
            </w:pPr>
            <w:r>
              <w:rPr>
                <w:rFonts w:ascii="Arial" w:cs="Arial" w:eastAsia="Arial" w:hAnsi="Arial"/>
                <w:sz w:val="18"/>
                <w:szCs w:val="18"/>
                <w:color w:val="auto"/>
              </w:rPr>
              <w:t>annual award</w:t>
            </w:r>
          </w:p>
        </w:tc>
        <w:tc>
          <w:tcPr>
            <w:tcW w:w="1200" w:type="dxa"/>
            <w:vAlign w:val="bottom"/>
          </w:tcPr>
          <w:p>
            <w:pPr>
              <w:ind w:left="40"/>
              <w:spacing w:after="0"/>
              <w:rPr>
                <w:sz w:val="20"/>
                <w:szCs w:val="20"/>
                <w:color w:val="auto"/>
              </w:rPr>
            </w:pPr>
            <w:r>
              <w:rPr>
                <w:rFonts w:ascii="Arial" w:cs="Arial" w:eastAsia="Arial" w:hAnsi="Arial"/>
                <w:sz w:val="18"/>
                <w:szCs w:val="18"/>
                <w:color w:val="auto"/>
              </w:rPr>
              <w:t>next unvested</w:t>
            </w:r>
          </w:p>
        </w:tc>
        <w:tc>
          <w:tcPr>
            <w:tcW w:w="960" w:type="dxa"/>
            <w:vAlign w:val="bottom"/>
          </w:tcPr>
          <w:p>
            <w:pPr>
              <w:ind w:left="40"/>
              <w:spacing w:after="0"/>
              <w:rPr>
                <w:sz w:val="20"/>
                <w:szCs w:val="20"/>
                <w:color w:val="auto"/>
              </w:rPr>
            </w:pPr>
            <w:r>
              <w:rPr>
                <w:rFonts w:ascii="Arial" w:cs="Arial" w:eastAsia="Arial" w:hAnsi="Arial"/>
                <w:sz w:val="18"/>
                <w:szCs w:val="18"/>
                <w:color w:val="auto"/>
              </w:rPr>
              <w:t>prorated</w:t>
            </w:r>
          </w:p>
        </w:tc>
        <w:tc>
          <w:tcPr>
            <w:tcW w:w="1120" w:type="dxa"/>
            <w:vAlign w:val="bottom"/>
          </w:tcPr>
          <w:p>
            <w:pPr>
              <w:ind w:left="60"/>
              <w:spacing w:after="0"/>
              <w:rPr>
                <w:sz w:val="20"/>
                <w:szCs w:val="20"/>
                <w:color w:val="auto"/>
              </w:rPr>
            </w:pPr>
            <w:r>
              <w:rPr>
                <w:rFonts w:ascii="Arial" w:cs="Arial" w:eastAsia="Arial" w:hAnsi="Arial"/>
                <w:sz w:val="18"/>
                <w:szCs w:val="18"/>
                <w:color w:val="auto"/>
              </w:rPr>
              <w:t>PSU award</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EICP target</w:t>
            </w:r>
          </w:p>
        </w:tc>
        <w:tc>
          <w:tcPr>
            <w:tcW w:w="1200" w:type="dxa"/>
            <w:vAlign w:val="bottom"/>
          </w:tcPr>
          <w:p>
            <w:pPr>
              <w:ind w:left="40"/>
              <w:spacing w:after="0"/>
              <w:rPr>
                <w:sz w:val="20"/>
                <w:szCs w:val="20"/>
                <w:color w:val="auto"/>
              </w:rPr>
            </w:pPr>
            <w:r>
              <w:rPr>
                <w:rFonts w:ascii="Arial" w:cs="Arial" w:eastAsia="Arial" w:hAnsi="Arial"/>
                <w:sz w:val="18"/>
                <w:szCs w:val="18"/>
                <w:color w:val="auto"/>
              </w:rPr>
              <w:t>based upon</w:t>
            </w:r>
          </w:p>
        </w:tc>
        <w:tc>
          <w:tcPr>
            <w:tcW w:w="1200" w:type="dxa"/>
            <w:vAlign w:val="bottom"/>
          </w:tcPr>
          <w:p>
            <w:pPr>
              <w:ind w:left="40"/>
              <w:spacing w:after="0"/>
              <w:rPr>
                <w:sz w:val="20"/>
                <w:szCs w:val="20"/>
                <w:color w:val="auto"/>
              </w:rPr>
            </w:pPr>
            <w:r>
              <w:rPr>
                <w:rFonts w:ascii="Arial" w:cs="Arial" w:eastAsia="Arial" w:hAnsi="Arial"/>
                <w:sz w:val="18"/>
                <w:szCs w:val="18"/>
                <w:color w:val="auto"/>
              </w:rPr>
              <w:t>tranche of</w:t>
            </w:r>
          </w:p>
        </w:tc>
        <w:tc>
          <w:tcPr>
            <w:tcW w:w="960" w:type="dxa"/>
            <w:vAlign w:val="bottom"/>
          </w:tcPr>
          <w:p>
            <w:pPr>
              <w:ind w:left="40"/>
              <w:spacing w:after="0"/>
              <w:rPr>
                <w:sz w:val="20"/>
                <w:szCs w:val="20"/>
                <w:color w:val="auto"/>
              </w:rPr>
            </w:pPr>
            <w:r>
              <w:rPr>
                <w:rFonts w:ascii="Arial" w:cs="Arial" w:eastAsia="Arial" w:hAnsi="Arial"/>
                <w:sz w:val="18"/>
                <w:szCs w:val="18"/>
                <w:color w:val="auto"/>
              </w:rPr>
              <w:t>portion of</w:t>
            </w:r>
          </w:p>
        </w:tc>
        <w:tc>
          <w:tcPr>
            <w:tcW w:w="1120" w:type="dxa"/>
            <w:vAlign w:val="bottom"/>
          </w:tcPr>
          <w:p>
            <w:pPr>
              <w:ind w:left="60"/>
              <w:spacing w:after="0"/>
              <w:rPr>
                <w:sz w:val="20"/>
                <w:szCs w:val="20"/>
                <w:color w:val="auto"/>
              </w:rPr>
            </w:pPr>
            <w:r>
              <w:rPr>
                <w:rFonts w:ascii="Arial" w:cs="Arial" w:eastAsia="Arial" w:hAnsi="Arial"/>
                <w:sz w:val="18"/>
                <w:szCs w:val="18"/>
                <w:color w:val="auto"/>
              </w:rPr>
              <w:t>vests at the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line="217" w:lineRule="exact"/>
              <w:rPr>
                <w:sz w:val="20"/>
                <w:szCs w:val="20"/>
                <w:color w:val="auto"/>
              </w:rPr>
            </w:pPr>
            <w:r>
              <w:rPr>
                <w:rFonts w:ascii="Arial" w:cs="Arial" w:eastAsia="Arial" w:hAnsi="Arial"/>
                <w:sz w:val="16"/>
                <w:szCs w:val="16"/>
                <w:color w:val="auto"/>
              </w:rPr>
              <w:t>opportunity</w:t>
            </w:r>
            <w:r>
              <w:rPr>
                <w:rFonts w:ascii="Arial" w:cs="Arial" w:eastAsia="Arial" w:hAnsi="Arial"/>
                <w:sz w:val="25"/>
                <w:szCs w:val="25"/>
                <w:color w:val="auto"/>
                <w:vertAlign w:val="superscript"/>
              </w:rPr>
              <w:t>(4)</w:t>
            </w:r>
          </w:p>
        </w:tc>
        <w:tc>
          <w:tcPr>
            <w:tcW w:w="1200" w:type="dxa"/>
            <w:vAlign w:val="bottom"/>
          </w:tcPr>
          <w:p>
            <w:pPr>
              <w:ind w:left="40"/>
              <w:spacing w:after="0"/>
              <w:rPr>
                <w:sz w:val="20"/>
                <w:szCs w:val="20"/>
                <w:color w:val="auto"/>
              </w:rPr>
            </w:pPr>
            <w:r>
              <w:rPr>
                <w:rFonts w:ascii="Arial" w:cs="Arial" w:eastAsia="Arial" w:hAnsi="Arial"/>
                <w:sz w:val="18"/>
                <w:szCs w:val="18"/>
                <w:color w:val="auto"/>
              </w:rPr>
              <w:t>actual</w:t>
            </w:r>
          </w:p>
        </w:tc>
        <w:tc>
          <w:tcPr>
            <w:tcW w:w="1200" w:type="dxa"/>
            <w:vAlign w:val="bottom"/>
          </w:tcPr>
          <w:p>
            <w:pPr>
              <w:ind w:left="40"/>
              <w:spacing w:after="0"/>
              <w:rPr>
                <w:sz w:val="20"/>
                <w:szCs w:val="20"/>
                <w:color w:val="auto"/>
              </w:rPr>
            </w:pPr>
            <w:r>
              <w:rPr>
                <w:rFonts w:ascii="Arial" w:cs="Arial" w:eastAsia="Arial" w:hAnsi="Arial"/>
                <w:sz w:val="18"/>
                <w:szCs w:val="18"/>
                <w:color w:val="auto"/>
              </w:rPr>
              <w:t>time-based</w:t>
            </w:r>
          </w:p>
        </w:tc>
        <w:tc>
          <w:tcPr>
            <w:tcW w:w="960" w:type="dxa"/>
            <w:vAlign w:val="bottom"/>
          </w:tcPr>
          <w:p>
            <w:pPr>
              <w:ind w:left="40"/>
              <w:spacing w:after="0"/>
              <w:rPr>
                <w:sz w:val="20"/>
                <w:szCs w:val="20"/>
                <w:color w:val="auto"/>
              </w:rPr>
            </w:pPr>
            <w:r>
              <w:rPr>
                <w:rFonts w:ascii="Arial" w:cs="Arial" w:eastAsia="Arial" w:hAnsi="Arial"/>
                <w:sz w:val="18"/>
                <w:szCs w:val="18"/>
                <w:color w:val="auto"/>
              </w:rPr>
              <w:t>the next</w:t>
            </w:r>
          </w:p>
        </w:tc>
        <w:tc>
          <w:tcPr>
            <w:tcW w:w="1120" w:type="dxa"/>
            <w:vAlign w:val="bottom"/>
          </w:tcPr>
          <w:p>
            <w:pPr>
              <w:ind w:left="60"/>
              <w:spacing w:after="0"/>
              <w:rPr>
                <w:sz w:val="20"/>
                <w:szCs w:val="20"/>
                <w:color w:val="auto"/>
              </w:rPr>
            </w:pPr>
            <w:r>
              <w:rPr>
                <w:rFonts w:ascii="Arial" w:cs="Arial" w:eastAsia="Arial" w:hAnsi="Arial"/>
                <w:sz w:val="18"/>
                <w:szCs w:val="18"/>
                <w:color w:val="auto"/>
              </w:rPr>
              <w:t>end of the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ind w:left="40"/>
              <w:spacing w:after="0" w:line="216" w:lineRule="exact"/>
              <w:rPr>
                <w:sz w:val="20"/>
                <w:szCs w:val="20"/>
                <w:color w:val="auto"/>
              </w:rPr>
            </w:pPr>
            <w:r>
              <w:rPr>
                <w:rFonts w:ascii="Arial" w:cs="Arial" w:eastAsia="Arial" w:hAnsi="Arial"/>
                <w:sz w:val="16"/>
                <w:szCs w:val="16"/>
                <w:color w:val="auto"/>
              </w:rPr>
              <w:t>achievement</w:t>
            </w:r>
            <w:r>
              <w:rPr>
                <w:rFonts w:ascii="Arial" w:cs="Arial" w:eastAsia="Arial" w:hAnsi="Arial"/>
                <w:sz w:val="25"/>
                <w:szCs w:val="25"/>
                <w:color w:val="auto"/>
                <w:vertAlign w:val="superscript"/>
              </w:rPr>
              <w:t>(5)</w:t>
            </w:r>
          </w:p>
        </w:tc>
        <w:tc>
          <w:tcPr>
            <w:tcW w:w="1200" w:type="dxa"/>
            <w:vAlign w:val="bottom"/>
          </w:tcPr>
          <w:p>
            <w:pPr>
              <w:ind w:left="40"/>
              <w:spacing w:after="0"/>
              <w:rPr>
                <w:sz w:val="20"/>
                <w:szCs w:val="20"/>
                <w:color w:val="auto"/>
              </w:rPr>
            </w:pPr>
            <w:r>
              <w:rPr>
                <w:rFonts w:ascii="Arial" w:cs="Arial" w:eastAsia="Arial" w:hAnsi="Arial"/>
                <w:sz w:val="18"/>
                <w:szCs w:val="18"/>
                <w:color w:val="auto"/>
              </w:rPr>
              <w:t>awards vest;</w:t>
            </w:r>
          </w:p>
        </w:tc>
        <w:tc>
          <w:tcPr>
            <w:tcW w:w="960" w:type="dxa"/>
            <w:vAlign w:val="bottom"/>
          </w:tcPr>
          <w:p>
            <w:pPr>
              <w:ind w:left="40"/>
              <w:spacing w:after="0"/>
              <w:rPr>
                <w:sz w:val="20"/>
                <w:szCs w:val="20"/>
                <w:color w:val="auto"/>
              </w:rPr>
            </w:pPr>
            <w:r>
              <w:rPr>
                <w:rFonts w:ascii="Arial" w:cs="Arial" w:eastAsia="Arial" w:hAnsi="Arial"/>
                <w:sz w:val="18"/>
                <w:szCs w:val="18"/>
                <w:color w:val="auto"/>
              </w:rPr>
              <w:t>tranche of</w:t>
            </w:r>
          </w:p>
        </w:tc>
        <w:tc>
          <w:tcPr>
            <w:tcW w:w="1120" w:type="dxa"/>
            <w:vAlign w:val="bottom"/>
          </w:tcPr>
          <w:p>
            <w:pPr>
              <w:ind w:left="60"/>
              <w:spacing w:after="0"/>
              <w:rPr>
                <w:sz w:val="20"/>
                <w:szCs w:val="20"/>
                <w:color w:val="auto"/>
              </w:rPr>
            </w:pPr>
            <w:r>
              <w:rPr>
                <w:rFonts w:ascii="Arial" w:cs="Arial" w:eastAsia="Arial" w:hAnsi="Arial"/>
                <w:sz w:val="18"/>
                <w:szCs w:val="18"/>
                <w:color w:val="auto"/>
              </w:rPr>
              <w:t>applicable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eligible to</w:t>
            </w:r>
          </w:p>
        </w:tc>
        <w:tc>
          <w:tcPr>
            <w:tcW w:w="960" w:type="dxa"/>
            <w:vAlign w:val="bottom"/>
          </w:tcPr>
          <w:p>
            <w:pPr>
              <w:ind w:left="40"/>
              <w:spacing w:after="0"/>
              <w:rPr>
                <w:sz w:val="20"/>
                <w:szCs w:val="20"/>
                <w:color w:val="auto"/>
              </w:rPr>
            </w:pPr>
            <w:r>
              <w:rPr>
                <w:rFonts w:ascii="Arial" w:cs="Arial" w:eastAsia="Arial" w:hAnsi="Arial"/>
                <w:sz w:val="18"/>
                <w:szCs w:val="18"/>
                <w:color w:val="auto"/>
                <w:w w:val="96"/>
              </w:rPr>
              <w:t>time-vested</w:t>
            </w:r>
          </w:p>
        </w:tc>
        <w:tc>
          <w:tcPr>
            <w:tcW w:w="112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receive</w:t>
            </w:r>
          </w:p>
        </w:tc>
        <w:tc>
          <w:tcPr>
            <w:tcW w:w="960" w:type="dxa"/>
            <w:vAlign w:val="bottom"/>
          </w:tcPr>
          <w:p>
            <w:pPr>
              <w:ind w:left="40"/>
              <w:spacing w:after="0"/>
              <w:rPr>
                <w:sz w:val="20"/>
                <w:szCs w:val="20"/>
                <w:color w:val="auto"/>
              </w:rPr>
            </w:pPr>
            <w:r>
              <w:rPr>
                <w:rFonts w:ascii="Arial" w:cs="Arial" w:eastAsia="Arial" w:hAnsi="Arial"/>
                <w:sz w:val="18"/>
                <w:szCs w:val="18"/>
                <w:color w:val="auto"/>
              </w:rPr>
              <w:t>RSUs that</w:t>
            </w:r>
          </w:p>
        </w:tc>
        <w:tc>
          <w:tcPr>
            <w:tcW w:w="1120" w:type="dxa"/>
            <w:vAlign w:val="bottom"/>
          </w:tcPr>
          <w:p>
            <w:pPr>
              <w:ind w:left="60"/>
              <w:spacing w:after="0"/>
              <w:rPr>
                <w:sz w:val="20"/>
                <w:szCs w:val="20"/>
                <w:color w:val="auto"/>
              </w:rPr>
            </w:pPr>
            <w:r>
              <w:rPr>
                <w:rFonts w:ascii="Arial" w:cs="Arial" w:eastAsia="Arial" w:hAnsi="Arial"/>
                <w:sz w:val="18"/>
                <w:szCs w:val="18"/>
                <w:color w:val="auto"/>
                <w:w w:val="99"/>
              </w:rPr>
              <w:t>period based</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payment in</w:t>
            </w:r>
          </w:p>
        </w:tc>
        <w:tc>
          <w:tcPr>
            <w:tcW w:w="960" w:type="dxa"/>
            <w:vAlign w:val="bottom"/>
          </w:tcPr>
          <w:p>
            <w:pPr>
              <w:ind w:left="40"/>
              <w:spacing w:after="0"/>
              <w:rPr>
                <w:sz w:val="20"/>
                <w:szCs w:val="20"/>
                <w:color w:val="auto"/>
              </w:rPr>
            </w:pPr>
            <w:r>
              <w:rPr>
                <w:rFonts w:ascii="Arial" w:cs="Arial" w:eastAsia="Arial" w:hAnsi="Arial"/>
                <w:sz w:val="18"/>
                <w:szCs w:val="18"/>
                <w:color w:val="auto"/>
              </w:rPr>
              <w:t>would</w:t>
            </w:r>
          </w:p>
        </w:tc>
        <w:tc>
          <w:tcPr>
            <w:tcW w:w="1120" w:type="dxa"/>
            <w:vAlign w:val="bottom"/>
          </w:tcPr>
          <w:p>
            <w:pPr>
              <w:ind w:left="60"/>
              <w:spacing w:after="0"/>
              <w:rPr>
                <w:sz w:val="20"/>
                <w:szCs w:val="20"/>
                <w:color w:val="auto"/>
              </w:rPr>
            </w:pPr>
            <w:r>
              <w:rPr>
                <w:rFonts w:ascii="Arial" w:cs="Arial" w:eastAsia="Arial" w:hAnsi="Arial"/>
                <w:sz w:val="18"/>
                <w:szCs w:val="18"/>
                <w:color w:val="auto"/>
              </w:rPr>
              <w:t>on actual</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respect of any</w:t>
            </w:r>
          </w:p>
        </w:tc>
        <w:tc>
          <w:tcPr>
            <w:tcW w:w="960" w:type="dxa"/>
            <w:vAlign w:val="bottom"/>
          </w:tcPr>
          <w:p>
            <w:pPr>
              <w:ind w:left="40"/>
              <w:spacing w:after="0"/>
              <w:rPr>
                <w:sz w:val="20"/>
                <w:szCs w:val="20"/>
                <w:color w:val="auto"/>
              </w:rPr>
            </w:pPr>
            <w:r>
              <w:rPr>
                <w:rFonts w:ascii="Arial" w:cs="Arial" w:eastAsia="Arial" w:hAnsi="Arial"/>
                <w:sz w:val="18"/>
                <w:szCs w:val="18"/>
                <w:color w:val="auto"/>
              </w:rPr>
              <w:t>otherwise</w:t>
            </w:r>
          </w:p>
        </w:tc>
        <w:tc>
          <w:tcPr>
            <w:tcW w:w="112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portion of the</w:t>
            </w:r>
          </w:p>
        </w:tc>
        <w:tc>
          <w:tcPr>
            <w:tcW w:w="960" w:type="dxa"/>
            <w:vAlign w:val="bottom"/>
          </w:tcPr>
          <w:p>
            <w:pPr>
              <w:ind w:left="40"/>
              <w:spacing w:after="0"/>
              <w:rPr>
                <w:sz w:val="20"/>
                <w:szCs w:val="20"/>
                <w:color w:val="auto"/>
              </w:rPr>
            </w:pPr>
            <w:r>
              <w:rPr>
                <w:rFonts w:ascii="Arial" w:cs="Arial" w:eastAsia="Arial" w:hAnsi="Arial"/>
                <w:sz w:val="18"/>
                <w:szCs w:val="18"/>
                <w:color w:val="auto"/>
              </w:rPr>
              <w:t>vest</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Cash Award</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that is vested</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but not yet</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paid as of the</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date of</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151" w:right="339" w:bottom="0" w:gutter="0" w:footer="0" w:header="0"/>
        </w:sectPr>
      </w:pPr>
    </w:p>
    <w:p>
      <w:pPr>
        <w:spacing w:after="0" w:line="209"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29"/>
          <w:szCs w:val="29"/>
          <w:b w:val="1"/>
          <w:bCs w:val="1"/>
          <w:color w:val="auto"/>
          <w:vertAlign w:val="superscript"/>
        </w:rPr>
        <w:t>(6)</w:t>
      </w:r>
      <w:r>
        <w:rPr>
          <w:rFonts w:ascii="Arial" w:cs="Arial" w:eastAsia="Arial" w:hAnsi="Arial"/>
          <w:sz w:val="18"/>
          <w:szCs w:val="18"/>
          <w:b w:val="1"/>
          <w:bCs w:val="1"/>
          <w:color w:val="auto"/>
        </w:rPr>
        <w:t xml:space="preserve"> Without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60"/>
        <w:spacing w:after="0" w:line="216"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29"/>
          <w:szCs w:val="29"/>
          <w:b w:val="1"/>
          <w:bCs w:val="1"/>
          <w:color w:val="auto"/>
          <w:vertAlign w:val="superscript"/>
        </w:rPr>
        <w:t>(6)</w:t>
      </w:r>
      <w:r>
        <w:rPr>
          <w:rFonts w:ascii="Arial" w:cs="Arial" w:eastAsia="Arial" w:hAnsi="Arial"/>
          <w:sz w:val="18"/>
          <w:szCs w:val="18"/>
          <w:b w:val="1"/>
          <w:bCs w:val="1"/>
          <w:color w:val="auto"/>
        </w:rPr>
        <w:t xml:space="preserve"> With Termination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940" w:type="dxa"/>
            <w:vAlign w:val="bottom"/>
          </w:tcPr>
          <w:p>
            <w:pPr>
              <w:spacing w:after="0" w:line="201" w:lineRule="exact"/>
              <w:rPr>
                <w:sz w:val="20"/>
                <w:szCs w:val="20"/>
                <w:color w:val="auto"/>
              </w:rPr>
            </w:pPr>
            <w:r>
              <w:rPr>
                <w:rFonts w:ascii="Arial" w:cs="Arial" w:eastAsia="Arial" w:hAnsi="Arial"/>
                <w:sz w:val="18"/>
                <w:szCs w:val="18"/>
                <w:color w:val="auto"/>
              </w:rPr>
              <w:t>Continues</w:t>
            </w:r>
          </w:p>
        </w:tc>
        <w:tc>
          <w:tcPr>
            <w:tcW w:w="1100" w:type="dxa"/>
            <w:vAlign w:val="bottom"/>
          </w:tcPr>
          <w:p>
            <w:pPr>
              <w:ind w:left="60"/>
              <w:spacing w:after="0" w:line="201" w:lineRule="exact"/>
              <w:rPr>
                <w:sz w:val="20"/>
                <w:szCs w:val="20"/>
                <w:color w:val="auto"/>
              </w:rPr>
            </w:pPr>
            <w:r>
              <w:rPr>
                <w:rFonts w:ascii="Arial" w:cs="Arial" w:eastAsia="Arial" w:hAnsi="Arial"/>
                <w:sz w:val="18"/>
                <w:szCs w:val="18"/>
                <w:color w:val="auto"/>
              </w:rPr>
              <w:t>None</w:t>
            </w:r>
          </w:p>
        </w:tc>
        <w:tc>
          <w:tcPr>
            <w:tcW w:w="1200" w:type="dxa"/>
            <w:vAlign w:val="bottom"/>
          </w:tcPr>
          <w:p>
            <w:pPr>
              <w:ind w:left="60"/>
              <w:spacing w:after="0" w:line="201" w:lineRule="exact"/>
              <w:rPr>
                <w:sz w:val="20"/>
                <w:szCs w:val="20"/>
                <w:color w:val="auto"/>
              </w:rPr>
            </w:pPr>
            <w:r>
              <w:rPr>
                <w:rFonts w:ascii="Arial" w:cs="Arial" w:eastAsia="Arial" w:hAnsi="Arial"/>
                <w:sz w:val="18"/>
                <w:szCs w:val="18"/>
                <w:color w:val="auto"/>
                <w:w w:val="95"/>
              </w:rPr>
              <w:t>Target amount</w:t>
            </w:r>
          </w:p>
        </w:tc>
        <w:tc>
          <w:tcPr>
            <w:tcW w:w="1160" w:type="dxa"/>
            <w:vAlign w:val="bottom"/>
          </w:tcPr>
          <w:p>
            <w:pPr>
              <w:ind w:left="60"/>
              <w:spacing w:after="0" w:line="201" w:lineRule="exact"/>
              <w:rPr>
                <w:sz w:val="20"/>
                <w:szCs w:val="20"/>
                <w:color w:val="auto"/>
              </w:rPr>
            </w:pPr>
            <w:r>
              <w:rPr>
                <w:rFonts w:ascii="Arial" w:cs="Arial" w:eastAsia="Arial" w:hAnsi="Arial"/>
                <w:sz w:val="18"/>
                <w:szCs w:val="18"/>
                <w:color w:val="auto"/>
              </w:rPr>
              <w:t>Continues</w:t>
            </w:r>
          </w:p>
        </w:tc>
        <w:tc>
          <w:tcPr>
            <w:tcW w:w="1020" w:type="dxa"/>
            <w:vAlign w:val="bottom"/>
          </w:tcPr>
          <w:p>
            <w:pPr>
              <w:ind w:left="100"/>
              <w:spacing w:after="0" w:line="201" w:lineRule="exact"/>
              <w:rPr>
                <w:sz w:val="20"/>
                <w:szCs w:val="20"/>
                <w:color w:val="auto"/>
              </w:rPr>
            </w:pPr>
            <w:r>
              <w:rPr>
                <w:rFonts w:ascii="Arial" w:cs="Arial" w:eastAsia="Arial" w:hAnsi="Arial"/>
                <w:sz w:val="18"/>
                <w:szCs w:val="18"/>
                <w:color w:val="auto"/>
              </w:rPr>
              <w:t>Continues</w:t>
            </w:r>
          </w:p>
        </w:tc>
        <w:tc>
          <w:tcPr>
            <w:tcW w:w="1060" w:type="dxa"/>
            <w:vAlign w:val="bottom"/>
          </w:tcPr>
          <w:p>
            <w:pPr>
              <w:ind w:left="60"/>
              <w:spacing w:after="0" w:line="201" w:lineRule="exact"/>
              <w:rPr>
                <w:sz w:val="20"/>
                <w:szCs w:val="20"/>
                <w:color w:val="auto"/>
              </w:rPr>
            </w:pPr>
            <w:r>
              <w:rPr>
                <w:rFonts w:ascii="Arial" w:cs="Arial" w:eastAsia="Arial" w:hAnsi="Arial"/>
                <w:sz w:val="18"/>
                <w:szCs w:val="18"/>
                <w:color w:val="auto"/>
              </w:rPr>
              <w:t>Continues</w:t>
            </w:r>
          </w:p>
        </w:tc>
        <w:tc>
          <w:tcPr>
            <w:tcW w:w="1200" w:type="dxa"/>
            <w:vAlign w:val="bottom"/>
          </w:tcPr>
          <w:p>
            <w:pPr>
              <w:ind w:left="100"/>
              <w:spacing w:after="0" w:line="201" w:lineRule="exact"/>
              <w:rPr>
                <w:sz w:val="20"/>
                <w:szCs w:val="20"/>
                <w:color w:val="auto"/>
              </w:rPr>
            </w:pPr>
            <w:r>
              <w:rPr>
                <w:rFonts w:ascii="Arial" w:cs="Arial" w:eastAsia="Arial" w:hAnsi="Arial"/>
                <w:sz w:val="18"/>
                <w:szCs w:val="18"/>
                <w:color w:val="auto"/>
              </w:rPr>
              <w:t>Continues</w:t>
            </w:r>
          </w:p>
        </w:tc>
        <w:tc>
          <w:tcPr>
            <w:tcW w:w="880" w:type="dxa"/>
            <w:vAlign w:val="bottom"/>
          </w:tcPr>
          <w:p>
            <w:pPr>
              <w:ind w:left="40"/>
              <w:spacing w:after="0" w:line="201" w:lineRule="exact"/>
              <w:rPr>
                <w:sz w:val="20"/>
                <w:szCs w:val="20"/>
                <w:color w:val="auto"/>
              </w:rPr>
            </w:pPr>
            <w:r>
              <w:rPr>
                <w:rFonts w:ascii="Arial" w:cs="Arial" w:eastAsia="Arial" w:hAnsi="Arial"/>
                <w:sz w:val="18"/>
                <w:szCs w:val="18"/>
                <w:color w:val="auto"/>
              </w:rPr>
              <w:t>No</w:t>
            </w:r>
          </w:p>
        </w:tc>
      </w:tr>
      <w:tr>
        <w:trPr>
          <w:trHeight w:val="216"/>
        </w:trPr>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of annual</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7"/>
              </w:rPr>
              <w:t>repayments</w:t>
            </w:r>
          </w:p>
        </w:tc>
      </w:tr>
      <w:tr>
        <w:trPr>
          <w:trHeight w:val="216"/>
        </w:trPr>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w w:val="92"/>
              </w:rPr>
              <w:t>award prorated</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through the</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date of the</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Change in</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Control</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940" w:type="dxa"/>
            <w:vAlign w:val="bottom"/>
          </w:tcPr>
          <w:p>
            <w:pPr>
              <w:spacing w:after="0"/>
              <w:rPr>
                <w:sz w:val="20"/>
                <w:szCs w:val="20"/>
                <w:color w:val="auto"/>
              </w:rPr>
            </w:pPr>
            <w:r>
              <w:rPr>
                <w:rFonts w:ascii="Arial" w:cs="Arial" w:eastAsia="Arial" w:hAnsi="Arial"/>
                <w:sz w:val="18"/>
                <w:szCs w:val="18"/>
                <w:color w:val="auto"/>
                <w:w w:val="90"/>
              </w:rPr>
              <w:t>Accrued and</w:t>
            </w:r>
          </w:p>
        </w:tc>
        <w:tc>
          <w:tcPr>
            <w:tcW w:w="1100" w:type="dxa"/>
            <w:vAlign w:val="bottom"/>
          </w:tcPr>
          <w:p>
            <w:pPr>
              <w:ind w:left="60"/>
              <w:spacing w:after="0"/>
              <w:rPr>
                <w:sz w:val="20"/>
                <w:szCs w:val="20"/>
                <w:color w:val="auto"/>
              </w:rPr>
            </w:pPr>
            <w:r>
              <w:rPr>
                <w:rFonts w:ascii="Arial" w:cs="Arial" w:eastAsia="Arial" w:hAnsi="Arial"/>
                <w:sz w:val="18"/>
                <w:szCs w:val="18"/>
                <w:color w:val="auto"/>
                <w:w w:val="94"/>
              </w:rPr>
              <w:t>2x the sum of</w:t>
            </w:r>
          </w:p>
        </w:tc>
        <w:tc>
          <w:tcPr>
            <w:tcW w:w="1200" w:type="dxa"/>
            <w:vAlign w:val="bottom"/>
          </w:tcPr>
          <w:p>
            <w:pPr>
              <w:ind w:left="60"/>
              <w:spacing w:after="0"/>
              <w:rPr>
                <w:sz w:val="20"/>
                <w:szCs w:val="20"/>
                <w:color w:val="auto"/>
              </w:rPr>
            </w:pPr>
            <w:r>
              <w:rPr>
                <w:rFonts w:ascii="Arial" w:cs="Arial" w:eastAsia="Arial" w:hAnsi="Arial"/>
                <w:sz w:val="18"/>
                <w:szCs w:val="18"/>
                <w:color w:val="auto"/>
                <w:w w:val="95"/>
              </w:rPr>
              <w:t>Target amount</w:t>
            </w:r>
          </w:p>
        </w:tc>
        <w:tc>
          <w:tcPr>
            <w:tcW w:w="1160" w:type="dxa"/>
            <w:vAlign w:val="bottom"/>
          </w:tcPr>
          <w:p>
            <w:pPr>
              <w:ind w:left="60"/>
              <w:spacing w:after="0"/>
              <w:rPr>
                <w:sz w:val="20"/>
                <w:szCs w:val="20"/>
                <w:color w:val="auto"/>
              </w:rPr>
            </w:pPr>
            <w:r>
              <w:rPr>
                <w:rFonts w:ascii="Arial" w:cs="Arial" w:eastAsia="Arial" w:hAnsi="Arial"/>
                <w:sz w:val="18"/>
                <w:szCs w:val="18"/>
                <w:color w:val="auto"/>
              </w:rPr>
              <w:t>Receives a</w:t>
            </w:r>
          </w:p>
        </w:tc>
        <w:tc>
          <w:tcPr>
            <w:tcW w:w="1020" w:type="dxa"/>
            <w:vAlign w:val="bottom"/>
          </w:tcPr>
          <w:p>
            <w:pPr>
              <w:ind w:left="100"/>
              <w:spacing w:after="0"/>
              <w:rPr>
                <w:sz w:val="20"/>
                <w:szCs w:val="20"/>
                <w:color w:val="auto"/>
              </w:rPr>
            </w:pPr>
            <w:r>
              <w:rPr>
                <w:rFonts w:ascii="Arial" w:cs="Arial" w:eastAsia="Arial" w:hAnsi="Arial"/>
                <w:sz w:val="18"/>
                <w:szCs w:val="18"/>
                <w:color w:val="auto"/>
              </w:rPr>
              <w:t>RSUs</w:t>
            </w:r>
          </w:p>
        </w:tc>
        <w:tc>
          <w:tcPr>
            <w:tcW w:w="1060" w:type="dxa"/>
            <w:vAlign w:val="bottom"/>
          </w:tcPr>
          <w:p>
            <w:pPr>
              <w:ind w:left="60"/>
              <w:spacing w:after="0"/>
              <w:rPr>
                <w:sz w:val="20"/>
                <w:szCs w:val="20"/>
                <w:color w:val="auto"/>
              </w:rPr>
            </w:pPr>
            <w:r>
              <w:rPr>
                <w:rFonts w:ascii="Arial" w:cs="Arial" w:eastAsia="Arial" w:hAnsi="Arial"/>
                <w:sz w:val="18"/>
                <w:szCs w:val="18"/>
                <w:color w:val="auto"/>
              </w:rPr>
              <w:t>All PSUs</w:t>
            </w:r>
          </w:p>
        </w:tc>
        <w:tc>
          <w:tcPr>
            <w:tcW w:w="1200" w:type="dxa"/>
            <w:vAlign w:val="bottom"/>
          </w:tcPr>
          <w:p>
            <w:pPr>
              <w:ind w:left="100"/>
              <w:spacing w:after="0"/>
              <w:rPr>
                <w:sz w:val="20"/>
                <w:szCs w:val="20"/>
                <w:color w:val="auto"/>
              </w:rPr>
            </w:pPr>
            <w:r>
              <w:rPr>
                <w:rFonts w:ascii="Arial" w:cs="Arial" w:eastAsia="Arial" w:hAnsi="Arial"/>
                <w:sz w:val="18"/>
                <w:szCs w:val="18"/>
                <w:color w:val="auto"/>
              </w:rPr>
              <w:t>Continue to</w:t>
            </w:r>
          </w:p>
        </w:tc>
        <w:tc>
          <w:tcPr>
            <w:tcW w:w="880" w:type="dxa"/>
            <w:vAlign w:val="bottom"/>
          </w:tcPr>
          <w:p>
            <w:pPr>
              <w:ind w:left="40"/>
              <w:spacing w:after="0"/>
              <w:rPr>
                <w:sz w:val="20"/>
                <w:szCs w:val="20"/>
                <w:color w:val="auto"/>
              </w:rPr>
            </w:pPr>
            <w:r>
              <w:rPr>
                <w:rFonts w:ascii="Arial" w:cs="Arial" w:eastAsia="Arial" w:hAnsi="Arial"/>
                <w:sz w:val="18"/>
                <w:szCs w:val="18"/>
                <w:color w:val="auto"/>
              </w:rPr>
              <w:t>No</w:t>
            </w:r>
          </w:p>
        </w:tc>
      </w:tr>
      <w:tr>
        <w:trPr>
          <w:trHeight w:val="220"/>
        </w:trPr>
        <w:tc>
          <w:tcPr>
            <w:tcW w:w="940" w:type="dxa"/>
            <w:vAlign w:val="bottom"/>
          </w:tcPr>
          <w:p>
            <w:pPr>
              <w:spacing w:after="0"/>
              <w:rPr>
                <w:sz w:val="20"/>
                <w:szCs w:val="20"/>
                <w:color w:val="auto"/>
              </w:rPr>
            </w:pPr>
            <w:r>
              <w:rPr>
                <w:rFonts w:ascii="Arial" w:cs="Arial" w:eastAsia="Arial" w:hAnsi="Arial"/>
                <w:sz w:val="18"/>
                <w:szCs w:val="18"/>
                <w:color w:val="auto"/>
                <w:w w:val="93"/>
              </w:rPr>
              <w:t>unpaid base</w:t>
            </w:r>
          </w:p>
        </w:tc>
        <w:tc>
          <w:tcPr>
            <w:tcW w:w="1100" w:type="dxa"/>
            <w:vAlign w:val="bottom"/>
          </w:tcPr>
          <w:p>
            <w:pPr>
              <w:ind w:left="60"/>
              <w:spacing w:after="0"/>
              <w:rPr>
                <w:sz w:val="20"/>
                <w:szCs w:val="20"/>
                <w:color w:val="auto"/>
              </w:rPr>
            </w:pPr>
            <w:r>
              <w:rPr>
                <w:rFonts w:ascii="Arial" w:cs="Arial" w:eastAsia="Arial" w:hAnsi="Arial"/>
                <w:sz w:val="18"/>
                <w:szCs w:val="18"/>
                <w:color w:val="auto"/>
                <w:w w:val="95"/>
              </w:rPr>
              <w:t>(1) the higher</w:t>
            </w:r>
          </w:p>
        </w:tc>
        <w:tc>
          <w:tcPr>
            <w:tcW w:w="1200" w:type="dxa"/>
            <w:vAlign w:val="bottom"/>
          </w:tcPr>
          <w:p>
            <w:pPr>
              <w:ind w:left="60"/>
              <w:spacing w:after="0"/>
              <w:rPr>
                <w:sz w:val="20"/>
                <w:szCs w:val="20"/>
                <w:color w:val="auto"/>
              </w:rPr>
            </w:pPr>
            <w:r>
              <w:rPr>
                <w:rFonts w:ascii="Arial" w:cs="Arial" w:eastAsia="Arial" w:hAnsi="Arial"/>
                <w:sz w:val="18"/>
                <w:szCs w:val="18"/>
                <w:color w:val="auto"/>
              </w:rPr>
              <w:t>of annual</w:t>
            </w:r>
          </w:p>
        </w:tc>
        <w:tc>
          <w:tcPr>
            <w:tcW w:w="1160" w:type="dxa"/>
            <w:vAlign w:val="bottom"/>
          </w:tcPr>
          <w:p>
            <w:pPr>
              <w:ind w:left="60"/>
              <w:spacing w:after="0"/>
              <w:rPr>
                <w:sz w:val="20"/>
                <w:szCs w:val="20"/>
                <w:color w:val="auto"/>
              </w:rPr>
            </w:pPr>
            <w:r>
              <w:rPr>
                <w:rFonts w:ascii="Arial" w:cs="Arial" w:eastAsia="Arial" w:hAnsi="Arial"/>
                <w:sz w:val="18"/>
                <w:szCs w:val="18"/>
                <w:color w:val="auto"/>
              </w:rPr>
              <w:t>prorated</w:t>
            </w:r>
          </w:p>
        </w:tc>
        <w:tc>
          <w:tcPr>
            <w:tcW w:w="1020" w:type="dxa"/>
            <w:vAlign w:val="bottom"/>
          </w:tcPr>
          <w:p>
            <w:pPr>
              <w:ind w:left="100"/>
              <w:spacing w:after="0"/>
              <w:rPr>
                <w:sz w:val="20"/>
                <w:szCs w:val="20"/>
                <w:color w:val="auto"/>
              </w:rPr>
            </w:pPr>
            <w:r>
              <w:rPr>
                <w:rFonts w:ascii="Arial" w:cs="Arial" w:eastAsia="Arial" w:hAnsi="Arial"/>
                <w:sz w:val="18"/>
                <w:szCs w:val="18"/>
                <w:color w:val="auto"/>
              </w:rPr>
              <w:t>become</w:t>
            </w:r>
          </w:p>
        </w:tc>
        <w:tc>
          <w:tcPr>
            <w:tcW w:w="1060" w:type="dxa"/>
            <w:vAlign w:val="bottom"/>
          </w:tcPr>
          <w:p>
            <w:pPr>
              <w:ind w:left="60"/>
              <w:spacing w:after="0"/>
              <w:rPr>
                <w:sz w:val="20"/>
                <w:szCs w:val="20"/>
                <w:color w:val="auto"/>
              </w:rPr>
            </w:pPr>
            <w:r>
              <w:rPr>
                <w:rFonts w:ascii="Arial" w:cs="Arial" w:eastAsia="Arial" w:hAnsi="Arial"/>
                <w:sz w:val="18"/>
                <w:szCs w:val="18"/>
                <w:color w:val="auto"/>
              </w:rPr>
              <w:t>become</w:t>
            </w:r>
          </w:p>
        </w:tc>
        <w:tc>
          <w:tcPr>
            <w:tcW w:w="1200" w:type="dxa"/>
            <w:vAlign w:val="bottom"/>
          </w:tcPr>
          <w:p>
            <w:pPr>
              <w:ind w:left="100"/>
              <w:spacing w:after="0"/>
              <w:rPr>
                <w:sz w:val="20"/>
                <w:szCs w:val="20"/>
                <w:color w:val="auto"/>
              </w:rPr>
            </w:pPr>
            <w:r>
              <w:rPr>
                <w:rFonts w:ascii="Arial" w:cs="Arial" w:eastAsia="Arial" w:hAnsi="Arial"/>
                <w:sz w:val="18"/>
                <w:szCs w:val="18"/>
                <w:color w:val="auto"/>
                <w:w w:val="95"/>
              </w:rPr>
              <w:t>provide health</w:t>
            </w:r>
          </w:p>
        </w:tc>
        <w:tc>
          <w:tcPr>
            <w:tcW w:w="880" w:type="dxa"/>
            <w:vAlign w:val="bottom"/>
          </w:tcPr>
          <w:p>
            <w:pPr>
              <w:ind w:left="40"/>
              <w:spacing w:after="0"/>
              <w:rPr>
                <w:sz w:val="20"/>
                <w:szCs w:val="20"/>
                <w:color w:val="auto"/>
              </w:rPr>
            </w:pPr>
            <w:r>
              <w:rPr>
                <w:rFonts w:ascii="Arial" w:cs="Arial" w:eastAsia="Arial" w:hAnsi="Arial"/>
                <w:sz w:val="18"/>
                <w:szCs w:val="18"/>
                <w:color w:val="auto"/>
                <w:w w:val="86"/>
              </w:rPr>
              <w:t>repayment</w:t>
            </w:r>
            <w:r>
              <w:rPr>
                <w:rFonts w:ascii="Arial" w:cs="Arial" w:eastAsia="Arial" w:hAnsi="Arial"/>
                <w:sz w:val="18"/>
                <w:szCs w:val="18"/>
                <w:b w:val="1"/>
                <w:bCs w:val="1"/>
                <w:color w:val="auto"/>
                <w:w w:val="86"/>
              </w:rPr>
              <w:t>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salary plus</w:t>
            </w:r>
          </w:p>
        </w:tc>
        <w:tc>
          <w:tcPr>
            <w:tcW w:w="1100" w:type="dxa"/>
            <w:vAlign w:val="bottom"/>
          </w:tcPr>
          <w:p>
            <w:pPr>
              <w:ind w:left="60"/>
              <w:spacing w:after="0"/>
              <w:rPr>
                <w:sz w:val="20"/>
                <w:szCs w:val="20"/>
                <w:color w:val="auto"/>
              </w:rPr>
            </w:pPr>
            <w:r>
              <w:rPr>
                <w:rFonts w:ascii="Arial" w:cs="Arial" w:eastAsia="Arial" w:hAnsi="Arial"/>
                <w:sz w:val="18"/>
                <w:szCs w:val="18"/>
                <w:color w:val="auto"/>
                <w:w w:val="90"/>
              </w:rPr>
              <w:t>of base salary</w:t>
            </w:r>
          </w:p>
        </w:tc>
        <w:tc>
          <w:tcPr>
            <w:tcW w:w="1200" w:type="dxa"/>
            <w:vAlign w:val="bottom"/>
          </w:tcPr>
          <w:p>
            <w:pPr>
              <w:ind w:left="60"/>
              <w:spacing w:after="0"/>
              <w:rPr>
                <w:sz w:val="20"/>
                <w:szCs w:val="20"/>
                <w:color w:val="auto"/>
              </w:rPr>
            </w:pPr>
            <w:r>
              <w:rPr>
                <w:rFonts w:ascii="Arial" w:cs="Arial" w:eastAsia="Arial" w:hAnsi="Arial"/>
                <w:sz w:val="18"/>
                <w:szCs w:val="18"/>
                <w:color w:val="auto"/>
                <w:w w:val="92"/>
              </w:rPr>
              <w:t>award prorated</w:t>
            </w:r>
          </w:p>
        </w:tc>
        <w:tc>
          <w:tcPr>
            <w:tcW w:w="1160" w:type="dxa"/>
            <w:vAlign w:val="bottom"/>
          </w:tcPr>
          <w:p>
            <w:pPr>
              <w:ind w:left="60"/>
              <w:spacing w:after="0"/>
              <w:rPr>
                <w:sz w:val="20"/>
                <w:szCs w:val="20"/>
                <w:color w:val="auto"/>
              </w:rPr>
            </w:pPr>
            <w:r>
              <w:rPr>
                <w:rFonts w:ascii="Arial" w:cs="Arial" w:eastAsia="Arial" w:hAnsi="Arial"/>
                <w:sz w:val="18"/>
                <w:szCs w:val="18"/>
                <w:color w:val="auto"/>
                <w:w w:val="98"/>
              </w:rPr>
              <w:t>amount of the</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fully vested</w:t>
            </w:r>
          </w:p>
        </w:tc>
        <w:tc>
          <w:tcPr>
            <w:tcW w:w="1060" w:type="dxa"/>
            <w:vAlign w:val="bottom"/>
          </w:tcPr>
          <w:p>
            <w:pPr>
              <w:ind w:left="60"/>
              <w:spacing w:after="0"/>
              <w:rPr>
                <w:sz w:val="20"/>
                <w:szCs w:val="20"/>
                <w:color w:val="auto"/>
              </w:rPr>
            </w:pPr>
            <w:r>
              <w:rPr>
                <w:rFonts w:ascii="Arial" w:cs="Arial" w:eastAsia="Arial" w:hAnsi="Arial"/>
                <w:sz w:val="18"/>
                <w:szCs w:val="18"/>
                <w:color w:val="auto"/>
              </w:rPr>
              <w:t>earned and</w:t>
            </w:r>
          </w:p>
        </w:tc>
        <w:tc>
          <w:tcPr>
            <w:tcW w:w="1200" w:type="dxa"/>
            <w:vAlign w:val="bottom"/>
          </w:tcPr>
          <w:p>
            <w:pPr>
              <w:ind w:left="100"/>
              <w:spacing w:after="0"/>
              <w:rPr>
                <w:sz w:val="20"/>
                <w:szCs w:val="20"/>
                <w:color w:val="auto"/>
              </w:rPr>
            </w:pPr>
            <w:r>
              <w:rPr>
                <w:rFonts w:ascii="Arial" w:cs="Arial" w:eastAsia="Arial" w:hAnsi="Arial"/>
                <w:sz w:val="18"/>
                <w:szCs w:val="18"/>
                <w:color w:val="auto"/>
              </w:rPr>
              <w:t>and dental</w:t>
            </w:r>
          </w:p>
        </w:tc>
        <w:tc>
          <w:tcPr>
            <w:tcW w:w="88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w w:val="90"/>
              </w:rPr>
              <w:t>vacation pay</w:t>
            </w:r>
          </w:p>
        </w:tc>
        <w:tc>
          <w:tcPr>
            <w:tcW w:w="1100" w:type="dxa"/>
            <w:vAlign w:val="bottom"/>
          </w:tcPr>
          <w:p>
            <w:pPr>
              <w:ind w:left="60"/>
              <w:spacing w:after="0"/>
              <w:rPr>
                <w:sz w:val="20"/>
                <w:szCs w:val="20"/>
                <w:color w:val="auto"/>
              </w:rPr>
            </w:pPr>
            <w:r>
              <w:rPr>
                <w:rFonts w:ascii="Arial" w:cs="Arial" w:eastAsia="Arial" w:hAnsi="Arial"/>
                <w:sz w:val="18"/>
                <w:szCs w:val="18"/>
                <w:color w:val="auto"/>
                <w:w w:val="94"/>
              </w:rPr>
              <w:t>in effect upon</w:t>
            </w:r>
          </w:p>
        </w:tc>
        <w:tc>
          <w:tcPr>
            <w:tcW w:w="1200" w:type="dxa"/>
            <w:vAlign w:val="bottom"/>
          </w:tcPr>
          <w:p>
            <w:pPr>
              <w:ind w:left="60"/>
              <w:spacing w:after="0"/>
              <w:rPr>
                <w:sz w:val="20"/>
                <w:szCs w:val="20"/>
                <w:color w:val="auto"/>
              </w:rPr>
            </w:pPr>
            <w:r>
              <w:rPr>
                <w:rFonts w:ascii="Arial" w:cs="Arial" w:eastAsia="Arial" w:hAnsi="Arial"/>
                <w:sz w:val="18"/>
                <w:szCs w:val="18"/>
                <w:color w:val="auto"/>
              </w:rPr>
              <w:t>through the</w:t>
            </w:r>
          </w:p>
        </w:tc>
        <w:tc>
          <w:tcPr>
            <w:tcW w:w="1160" w:type="dxa"/>
            <w:vAlign w:val="bottom"/>
          </w:tcPr>
          <w:p>
            <w:pPr>
              <w:ind w:left="60"/>
              <w:spacing w:after="0"/>
              <w:rPr>
                <w:sz w:val="20"/>
                <w:szCs w:val="20"/>
                <w:color w:val="auto"/>
              </w:rPr>
            </w:pPr>
            <w:r>
              <w:rPr>
                <w:rFonts w:ascii="Arial" w:cs="Arial" w:eastAsia="Arial" w:hAnsi="Arial"/>
                <w:sz w:val="18"/>
                <w:szCs w:val="18"/>
                <w:color w:val="auto"/>
              </w:rPr>
              <w:t>bonus under</w:t>
            </w:r>
          </w:p>
        </w:tc>
        <w:tc>
          <w:tcPr>
            <w:tcW w:w="1020" w:type="dxa"/>
            <w:vAlign w:val="bottom"/>
          </w:tcPr>
          <w:p>
            <w:pPr>
              <w:ind w:left="100"/>
              <w:spacing w:after="0"/>
              <w:rPr>
                <w:sz w:val="20"/>
                <w:szCs w:val="20"/>
                <w:color w:val="auto"/>
              </w:rPr>
            </w:pPr>
            <w:r>
              <w:rPr>
                <w:rFonts w:ascii="Arial" w:cs="Arial" w:eastAsia="Arial" w:hAnsi="Arial"/>
                <w:sz w:val="18"/>
                <w:szCs w:val="18"/>
                <w:color w:val="auto"/>
              </w:rPr>
              <w:t>as of the</w:t>
            </w:r>
          </w:p>
        </w:tc>
        <w:tc>
          <w:tcPr>
            <w:tcW w:w="1060" w:type="dxa"/>
            <w:vAlign w:val="bottom"/>
          </w:tcPr>
          <w:p>
            <w:pPr>
              <w:ind w:left="60"/>
              <w:spacing w:after="0"/>
              <w:rPr>
                <w:sz w:val="20"/>
                <w:szCs w:val="20"/>
                <w:color w:val="auto"/>
              </w:rPr>
            </w:pPr>
            <w:r>
              <w:rPr>
                <w:rFonts w:ascii="Arial" w:cs="Arial" w:eastAsia="Arial" w:hAnsi="Arial"/>
                <w:sz w:val="18"/>
                <w:szCs w:val="18"/>
                <w:color w:val="auto"/>
                <w:w w:val="91"/>
              </w:rPr>
              <w:t>vested based</w:t>
            </w:r>
          </w:p>
        </w:tc>
        <w:tc>
          <w:tcPr>
            <w:tcW w:w="1200" w:type="dxa"/>
            <w:vAlign w:val="bottom"/>
          </w:tcPr>
          <w:p>
            <w:pPr>
              <w:ind w:left="100"/>
              <w:spacing w:after="0"/>
              <w:rPr>
                <w:sz w:val="20"/>
                <w:szCs w:val="20"/>
                <w:color w:val="auto"/>
              </w:rPr>
            </w:pPr>
            <w:r>
              <w:rPr>
                <w:rFonts w:ascii="Arial" w:cs="Arial" w:eastAsia="Arial" w:hAnsi="Arial"/>
                <w:sz w:val="18"/>
                <w:szCs w:val="18"/>
                <w:color w:val="auto"/>
              </w:rPr>
              <w:t>benefits for</w:t>
            </w: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-1508125</wp:posOffset>
            </wp:positionV>
            <wp:extent cx="7132320" cy="9601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ectPr>
          <w:pgSz w:w="11900" w:h="16838" w:orient="portrait"/>
          <w:cols w:equalWidth="0" w:num="2">
            <w:col w:w="2300" w:space="160"/>
            <w:col w:w="8780"/>
          </w:cols>
          <w:pgMar w:left="320" w:top="1151" w:right="339"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3400" w:type="dxa"/>
            <w:vAlign w:val="bottom"/>
          </w:tcPr>
          <w:p>
            <w:pPr>
              <w:ind w:left="2460"/>
              <w:spacing w:after="0"/>
              <w:rPr>
                <w:sz w:val="20"/>
                <w:szCs w:val="20"/>
                <w:color w:val="auto"/>
              </w:rPr>
            </w:pPr>
            <w:r>
              <w:rPr>
                <w:rFonts w:ascii="Arial" w:cs="Arial" w:eastAsia="Arial" w:hAnsi="Arial"/>
                <w:sz w:val="18"/>
                <w:szCs w:val="18"/>
                <w:color w:val="auto"/>
                <w:w w:val="90"/>
              </w:rPr>
              <w:t>earned, both</w:t>
            </w:r>
          </w:p>
        </w:tc>
        <w:tc>
          <w:tcPr>
            <w:tcW w:w="1120" w:type="dxa"/>
            <w:vAlign w:val="bottom"/>
          </w:tcPr>
          <w:p>
            <w:pPr>
              <w:ind w:left="60"/>
              <w:spacing w:after="0"/>
              <w:rPr>
                <w:sz w:val="20"/>
                <w:szCs w:val="20"/>
                <w:color w:val="auto"/>
              </w:rPr>
            </w:pPr>
            <w:r>
              <w:rPr>
                <w:rFonts w:ascii="Arial" w:cs="Arial" w:eastAsia="Arial" w:hAnsi="Arial"/>
                <w:sz w:val="18"/>
                <w:szCs w:val="18"/>
                <w:color w:val="auto"/>
                <w:w w:val="92"/>
              </w:rPr>
              <w:t>the Change in</w:t>
            </w:r>
          </w:p>
        </w:tc>
        <w:tc>
          <w:tcPr>
            <w:tcW w:w="900" w:type="dxa"/>
            <w:vAlign w:val="bottom"/>
          </w:tcPr>
          <w:p>
            <w:pPr>
              <w:ind w:left="40"/>
              <w:spacing w:after="0"/>
              <w:rPr>
                <w:sz w:val="20"/>
                <w:szCs w:val="20"/>
                <w:color w:val="auto"/>
              </w:rPr>
            </w:pPr>
            <w:r>
              <w:rPr>
                <w:rFonts w:ascii="Arial" w:cs="Arial" w:eastAsia="Arial" w:hAnsi="Arial"/>
                <w:sz w:val="18"/>
                <w:szCs w:val="18"/>
                <w:color w:val="auto"/>
                <w:w w:val="98"/>
              </w:rPr>
              <w:t>date of the</w:t>
            </w:r>
          </w:p>
        </w:tc>
        <w:tc>
          <w:tcPr>
            <w:tcW w:w="1440" w:type="dxa"/>
            <w:vAlign w:val="bottom"/>
          </w:tcPr>
          <w:p>
            <w:pPr>
              <w:ind w:left="340"/>
              <w:spacing w:after="0"/>
              <w:rPr>
                <w:sz w:val="20"/>
                <w:szCs w:val="20"/>
                <w:color w:val="auto"/>
              </w:rPr>
            </w:pPr>
            <w:r>
              <w:rPr>
                <w:rFonts w:ascii="Arial" w:cs="Arial" w:eastAsia="Arial" w:hAnsi="Arial"/>
                <w:sz w:val="18"/>
                <w:szCs w:val="18"/>
                <w:color w:val="auto"/>
              </w:rPr>
              <w:t>the current</w:t>
            </w:r>
          </w:p>
        </w:tc>
        <w:tc>
          <w:tcPr>
            <w:tcW w:w="1040" w:type="dxa"/>
            <w:vAlign w:val="bottom"/>
          </w:tcPr>
          <w:p>
            <w:pPr>
              <w:ind w:left="100"/>
              <w:spacing w:after="0"/>
              <w:rPr>
                <w:sz w:val="20"/>
                <w:szCs w:val="20"/>
                <w:color w:val="auto"/>
              </w:rPr>
            </w:pPr>
            <w:r>
              <w:rPr>
                <w:rFonts w:ascii="Arial" w:cs="Arial" w:eastAsia="Arial" w:hAnsi="Arial"/>
                <w:sz w:val="18"/>
                <w:szCs w:val="18"/>
                <w:color w:val="auto"/>
              </w:rPr>
              <w:t>time</w:t>
            </w:r>
          </w:p>
        </w:tc>
        <w:tc>
          <w:tcPr>
            <w:tcW w:w="1080" w:type="dxa"/>
            <w:vAlign w:val="bottom"/>
          </w:tcPr>
          <w:p>
            <w:pPr>
              <w:ind w:left="40"/>
              <w:spacing w:after="0"/>
              <w:rPr>
                <w:sz w:val="20"/>
                <w:szCs w:val="20"/>
                <w:color w:val="auto"/>
              </w:rPr>
            </w:pPr>
            <w:r>
              <w:rPr>
                <w:rFonts w:ascii="Arial" w:cs="Arial" w:eastAsia="Arial" w:hAnsi="Arial"/>
                <w:sz w:val="18"/>
                <w:szCs w:val="18"/>
                <w:color w:val="auto"/>
              </w:rPr>
              <w:t>on actual</w:t>
            </w:r>
          </w:p>
        </w:tc>
        <w:tc>
          <w:tcPr>
            <w:tcW w:w="2260" w:type="dxa"/>
            <w:vAlign w:val="bottom"/>
          </w:tcPr>
          <w:p>
            <w:pPr>
              <w:ind w:left="60"/>
              <w:spacing w:after="0"/>
              <w:rPr>
                <w:sz w:val="20"/>
                <w:szCs w:val="20"/>
                <w:color w:val="auto"/>
              </w:rPr>
            </w:pPr>
            <w:r>
              <w:rPr>
                <w:rFonts w:ascii="Arial" w:cs="Arial" w:eastAsia="Arial" w:hAnsi="Arial"/>
                <w:sz w:val="18"/>
                <w:szCs w:val="18"/>
                <w:color w:val="auto"/>
              </w:rPr>
              <w:t>two years</w:t>
            </w:r>
          </w:p>
        </w:tc>
      </w:tr>
      <w:tr>
        <w:trPr>
          <w:trHeight w:val="216"/>
        </w:trPr>
        <w:tc>
          <w:tcPr>
            <w:tcW w:w="3400" w:type="dxa"/>
            <w:vAlign w:val="bottom"/>
          </w:tcPr>
          <w:p>
            <w:pPr>
              <w:ind w:left="2460"/>
              <w:spacing w:after="0"/>
              <w:rPr>
                <w:sz w:val="20"/>
                <w:szCs w:val="20"/>
                <w:color w:val="auto"/>
              </w:rPr>
            </w:pPr>
            <w:r>
              <w:rPr>
                <w:rFonts w:ascii="Arial" w:cs="Arial" w:eastAsia="Arial" w:hAnsi="Arial"/>
                <w:sz w:val="18"/>
                <w:szCs w:val="18"/>
                <w:color w:val="auto"/>
              </w:rPr>
              <w:t>through the</w:t>
            </w:r>
          </w:p>
        </w:tc>
        <w:tc>
          <w:tcPr>
            <w:tcW w:w="1120" w:type="dxa"/>
            <w:vAlign w:val="bottom"/>
          </w:tcPr>
          <w:p>
            <w:pPr>
              <w:ind w:left="60"/>
              <w:spacing w:after="0"/>
              <w:rPr>
                <w:sz w:val="20"/>
                <w:szCs w:val="20"/>
                <w:color w:val="auto"/>
              </w:rPr>
            </w:pPr>
            <w:r>
              <w:rPr>
                <w:rFonts w:ascii="Arial" w:cs="Arial" w:eastAsia="Arial" w:hAnsi="Arial"/>
                <w:sz w:val="18"/>
                <w:szCs w:val="18"/>
                <w:color w:val="auto"/>
                <w:w w:val="95"/>
              </w:rPr>
              <w:t>Control or the</w:t>
            </w:r>
          </w:p>
        </w:tc>
        <w:tc>
          <w:tcPr>
            <w:tcW w:w="900" w:type="dxa"/>
            <w:vAlign w:val="bottom"/>
          </w:tcPr>
          <w:p>
            <w:pPr>
              <w:ind w:left="40"/>
              <w:spacing w:after="0"/>
              <w:rPr>
                <w:sz w:val="20"/>
                <w:szCs w:val="20"/>
                <w:color w:val="auto"/>
              </w:rPr>
            </w:pPr>
            <w:r>
              <w:rPr>
                <w:rFonts w:ascii="Arial" w:cs="Arial" w:eastAsia="Arial" w:hAnsi="Arial"/>
                <w:sz w:val="18"/>
                <w:szCs w:val="18"/>
                <w:color w:val="auto"/>
              </w:rPr>
              <w:t>Change in</w:t>
            </w:r>
          </w:p>
        </w:tc>
        <w:tc>
          <w:tcPr>
            <w:tcW w:w="1440" w:type="dxa"/>
            <w:vAlign w:val="bottom"/>
          </w:tcPr>
          <w:p>
            <w:pPr>
              <w:ind w:left="340"/>
              <w:spacing w:after="0"/>
              <w:rPr>
                <w:sz w:val="20"/>
                <w:szCs w:val="20"/>
                <w:color w:val="auto"/>
              </w:rPr>
            </w:pPr>
            <w:r>
              <w:rPr>
                <w:rFonts w:ascii="Arial" w:cs="Arial" w:eastAsia="Arial" w:hAnsi="Arial"/>
                <w:sz w:val="18"/>
                <w:szCs w:val="18"/>
                <w:color w:val="auto"/>
              </w:rPr>
              <w:t>non-equity</w:t>
            </w:r>
          </w:p>
        </w:tc>
        <w:tc>
          <w:tcPr>
            <w:tcW w:w="1040" w:type="dxa"/>
            <w:vAlign w:val="bottom"/>
          </w:tcPr>
          <w:p>
            <w:pPr>
              <w:ind w:left="100"/>
              <w:spacing w:after="0"/>
              <w:rPr>
                <w:sz w:val="20"/>
                <w:szCs w:val="20"/>
                <w:color w:val="auto"/>
              </w:rPr>
            </w:pPr>
            <w:r>
              <w:rPr>
                <w:rFonts w:ascii="Arial" w:cs="Arial" w:eastAsia="Arial" w:hAnsi="Arial"/>
                <w:sz w:val="18"/>
                <w:szCs w:val="18"/>
                <w:color w:val="auto"/>
                <w:w w:val="95"/>
              </w:rPr>
              <w:t>immediately</w:t>
            </w:r>
          </w:p>
        </w:tc>
        <w:tc>
          <w:tcPr>
            <w:tcW w:w="1080" w:type="dxa"/>
            <w:vAlign w:val="bottom"/>
          </w:tcPr>
          <w:p>
            <w:pPr>
              <w:ind w:left="40"/>
              <w:spacing w:after="0"/>
              <w:rPr>
                <w:sz w:val="20"/>
                <w:szCs w:val="20"/>
                <w:color w:val="auto"/>
              </w:rPr>
            </w:pPr>
            <w:r>
              <w:rPr>
                <w:rFonts w:ascii="Arial" w:cs="Arial" w:eastAsia="Arial" w:hAnsi="Arial"/>
                <w:sz w:val="18"/>
                <w:szCs w:val="18"/>
                <w:color w:val="auto"/>
                <w:w w:val="99"/>
              </w:rPr>
              <w:t>achievement</w:t>
            </w:r>
          </w:p>
        </w:tc>
        <w:tc>
          <w:tcPr>
            <w:tcW w:w="2260" w:type="dxa"/>
            <w:vAlign w:val="bottom"/>
          </w:tcPr>
          <w:p>
            <w:pPr>
              <w:ind w:left="60"/>
              <w:spacing w:after="0"/>
              <w:rPr>
                <w:sz w:val="20"/>
                <w:szCs w:val="20"/>
                <w:color w:val="auto"/>
              </w:rPr>
            </w:pPr>
            <w:r>
              <w:rPr>
                <w:rFonts w:ascii="Arial" w:cs="Arial" w:eastAsia="Arial" w:hAnsi="Arial"/>
                <w:sz w:val="18"/>
                <w:szCs w:val="18"/>
                <w:color w:val="auto"/>
              </w:rPr>
              <w:t>from the date</w:t>
            </w:r>
          </w:p>
        </w:tc>
      </w:tr>
      <w:tr>
        <w:trPr>
          <w:trHeight w:val="216"/>
        </w:trPr>
        <w:tc>
          <w:tcPr>
            <w:tcW w:w="3400" w:type="dxa"/>
            <w:vAlign w:val="bottom"/>
          </w:tcPr>
          <w:p>
            <w:pPr>
              <w:ind w:left="2460"/>
              <w:spacing w:after="0"/>
              <w:rPr>
                <w:sz w:val="20"/>
                <w:szCs w:val="20"/>
                <w:color w:val="auto"/>
              </w:rPr>
            </w:pPr>
            <w:r>
              <w:rPr>
                <w:rFonts w:ascii="Arial" w:cs="Arial" w:eastAsia="Arial" w:hAnsi="Arial"/>
                <w:sz w:val="18"/>
                <w:szCs w:val="18"/>
                <w:color w:val="auto"/>
              </w:rPr>
              <w:t>date of</w:t>
            </w:r>
          </w:p>
        </w:tc>
        <w:tc>
          <w:tcPr>
            <w:tcW w:w="112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900" w:type="dxa"/>
            <w:vAlign w:val="bottom"/>
          </w:tcPr>
          <w:p>
            <w:pPr>
              <w:ind w:left="40"/>
              <w:spacing w:after="0"/>
              <w:rPr>
                <w:sz w:val="20"/>
                <w:szCs w:val="20"/>
                <w:color w:val="auto"/>
              </w:rPr>
            </w:pPr>
            <w:r>
              <w:rPr>
                <w:rFonts w:ascii="Arial" w:cs="Arial" w:eastAsia="Arial" w:hAnsi="Arial"/>
                <w:sz w:val="18"/>
                <w:szCs w:val="18"/>
                <w:color w:val="auto"/>
              </w:rPr>
              <w:t>Control</w:t>
            </w:r>
          </w:p>
        </w:tc>
        <w:tc>
          <w:tcPr>
            <w:tcW w:w="1440" w:type="dxa"/>
            <w:vAlign w:val="bottom"/>
          </w:tcPr>
          <w:p>
            <w:pPr>
              <w:ind w:left="340"/>
              <w:spacing w:after="0"/>
              <w:rPr>
                <w:sz w:val="20"/>
                <w:szCs w:val="20"/>
                <w:color w:val="auto"/>
              </w:rPr>
            </w:pPr>
            <w:r>
              <w:rPr>
                <w:rFonts w:ascii="Arial" w:cs="Arial" w:eastAsia="Arial" w:hAnsi="Arial"/>
                <w:sz w:val="18"/>
                <w:szCs w:val="18"/>
                <w:color w:val="auto"/>
                <w:w w:val="98"/>
              </w:rPr>
              <w:t>incentive plan</w:t>
            </w:r>
          </w:p>
        </w:tc>
        <w:tc>
          <w:tcPr>
            <w:tcW w:w="1040" w:type="dxa"/>
            <w:vAlign w:val="bottom"/>
          </w:tcPr>
          <w:p>
            <w:pPr>
              <w:ind w:left="100"/>
              <w:spacing w:after="0"/>
              <w:rPr>
                <w:sz w:val="20"/>
                <w:szCs w:val="20"/>
                <w:color w:val="auto"/>
              </w:rPr>
            </w:pPr>
            <w:r>
              <w:rPr>
                <w:rFonts w:ascii="Arial" w:cs="Arial" w:eastAsia="Arial" w:hAnsi="Arial"/>
                <w:sz w:val="18"/>
                <w:szCs w:val="18"/>
                <w:color w:val="auto"/>
              </w:rPr>
              <w:t>prior to</w:t>
            </w:r>
          </w:p>
        </w:tc>
        <w:tc>
          <w:tcPr>
            <w:tcW w:w="1080" w:type="dxa"/>
            <w:vAlign w:val="bottom"/>
          </w:tcPr>
          <w:p>
            <w:pPr>
              <w:ind w:left="40"/>
              <w:spacing w:after="0"/>
              <w:rPr>
                <w:sz w:val="20"/>
                <w:szCs w:val="20"/>
                <w:color w:val="auto"/>
              </w:rPr>
            </w:pPr>
            <w:r>
              <w:rPr>
                <w:rFonts w:ascii="Arial" w:cs="Arial" w:eastAsia="Arial" w:hAnsi="Arial"/>
                <w:sz w:val="18"/>
                <w:szCs w:val="18"/>
                <w:color w:val="auto"/>
              </w:rPr>
              <w:t>of the</w:t>
            </w:r>
          </w:p>
        </w:tc>
        <w:tc>
          <w:tcPr>
            <w:tcW w:w="2260" w:type="dxa"/>
            <w:vAlign w:val="bottom"/>
          </w:tcPr>
          <w:p>
            <w:pPr>
              <w:ind w:left="60"/>
              <w:spacing w:after="0"/>
              <w:rPr>
                <w:sz w:val="20"/>
                <w:szCs w:val="20"/>
                <w:color w:val="auto"/>
              </w:rPr>
            </w:pPr>
            <w:r>
              <w:rPr>
                <w:rFonts w:ascii="Arial" w:cs="Arial" w:eastAsia="Arial" w:hAnsi="Arial"/>
                <w:sz w:val="18"/>
                <w:szCs w:val="18"/>
                <w:color w:val="auto"/>
              </w:rPr>
              <w:t>of</w:t>
            </w:r>
          </w:p>
        </w:tc>
      </w:tr>
      <w:tr>
        <w:trPr>
          <w:trHeight w:val="217"/>
        </w:trPr>
        <w:tc>
          <w:tcPr>
            <w:tcW w:w="3400" w:type="dxa"/>
            <w:vAlign w:val="bottom"/>
          </w:tcPr>
          <w:p>
            <w:pPr>
              <w:ind w:left="2460"/>
              <w:spacing w:after="0"/>
              <w:rPr>
                <w:sz w:val="20"/>
                <w:szCs w:val="20"/>
                <w:color w:val="auto"/>
              </w:rPr>
            </w:pPr>
            <w:r>
              <w:rPr>
                <w:rFonts w:ascii="Arial" w:cs="Arial" w:eastAsia="Arial" w:hAnsi="Arial"/>
                <w:sz w:val="18"/>
                <w:szCs w:val="18"/>
                <w:color w:val="auto"/>
              </w:rPr>
              <w:t>termination</w:t>
            </w:r>
          </w:p>
        </w:tc>
        <w:tc>
          <w:tcPr>
            <w:tcW w:w="1120" w:type="dxa"/>
            <w:vAlign w:val="bottom"/>
          </w:tcPr>
          <w:p>
            <w:pPr>
              <w:ind w:left="60"/>
              <w:spacing w:after="0"/>
              <w:rPr>
                <w:sz w:val="20"/>
                <w:szCs w:val="20"/>
                <w:color w:val="auto"/>
              </w:rPr>
            </w:pPr>
            <w:r>
              <w:rPr>
                <w:rFonts w:ascii="Arial" w:cs="Arial" w:eastAsia="Arial" w:hAnsi="Arial"/>
                <w:sz w:val="18"/>
                <w:szCs w:val="18"/>
                <w:color w:val="auto"/>
              </w:rPr>
              <w:t>date and (2)</w:t>
            </w:r>
          </w:p>
        </w:tc>
        <w:tc>
          <w:tcPr>
            <w:tcW w:w="90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through the</w:t>
            </w:r>
          </w:p>
        </w:tc>
        <w:tc>
          <w:tcPr>
            <w:tcW w:w="1040" w:type="dxa"/>
            <w:vAlign w:val="bottom"/>
          </w:tcPr>
          <w:p>
            <w:pPr>
              <w:ind w:left="100"/>
              <w:spacing w:after="0"/>
              <w:rPr>
                <w:sz w:val="20"/>
                <w:szCs w:val="20"/>
                <w:color w:val="auto"/>
              </w:rPr>
            </w:pPr>
            <w:r>
              <w:rPr>
                <w:rFonts w:ascii="Arial" w:cs="Arial" w:eastAsia="Arial" w:hAnsi="Arial"/>
                <w:sz w:val="18"/>
                <w:szCs w:val="18"/>
                <w:color w:val="auto"/>
              </w:rPr>
              <w:t>such</w:t>
            </w:r>
          </w:p>
        </w:tc>
        <w:tc>
          <w:tcPr>
            <w:tcW w:w="108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260" w:type="dxa"/>
            <w:vAlign w:val="bottom"/>
          </w:tcPr>
          <w:p>
            <w:pPr>
              <w:ind w:left="60"/>
              <w:spacing w:after="0" w:line="217" w:lineRule="exact"/>
              <w:rPr>
                <w:sz w:val="20"/>
                <w:szCs w:val="20"/>
                <w:color w:val="auto"/>
              </w:rPr>
            </w:pPr>
            <w:r>
              <w:rPr>
                <w:rFonts w:ascii="Arial" w:cs="Arial" w:eastAsia="Arial" w:hAnsi="Arial"/>
                <w:sz w:val="16"/>
                <w:szCs w:val="16"/>
                <w:color w:val="auto"/>
              </w:rPr>
              <w:t>termination</w:t>
            </w:r>
            <w:r>
              <w:rPr>
                <w:rFonts w:ascii="Arial" w:cs="Arial" w:eastAsia="Arial" w:hAnsi="Arial"/>
                <w:sz w:val="25"/>
                <w:szCs w:val="25"/>
                <w:color w:val="auto"/>
                <w:vertAlign w:val="superscript"/>
              </w:rPr>
              <w:t>(8)</w:t>
            </w:r>
            <w:r>
              <w:rPr>
                <w:rFonts w:ascii="Arial" w:cs="Arial" w:eastAsia="Arial" w:hAnsi="Arial"/>
                <w:sz w:val="16"/>
                <w:szCs w:val="16"/>
                <w:color w:val="auto"/>
              </w:rPr>
              <w:t>;</w:t>
            </w:r>
          </w:p>
        </w:tc>
      </w:tr>
      <w:tr>
        <w:trPr>
          <w:trHeight w:val="216"/>
        </w:trPr>
        <w:tc>
          <w:tcPr>
            <w:tcW w:w="340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the annual</w:t>
            </w:r>
          </w:p>
        </w:tc>
        <w:tc>
          <w:tcPr>
            <w:tcW w:w="90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date of</w:t>
            </w:r>
          </w:p>
        </w:tc>
        <w:tc>
          <w:tcPr>
            <w:tcW w:w="104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1080" w:type="dxa"/>
            <w:vAlign w:val="bottom"/>
          </w:tcPr>
          <w:p>
            <w:pPr>
              <w:ind w:left="40"/>
              <w:spacing w:after="0"/>
              <w:rPr>
                <w:sz w:val="20"/>
                <w:szCs w:val="20"/>
                <w:color w:val="auto"/>
              </w:rPr>
            </w:pPr>
            <w:r>
              <w:rPr>
                <w:rFonts w:ascii="Arial" w:cs="Arial" w:eastAsia="Arial" w:hAnsi="Arial"/>
                <w:sz w:val="18"/>
                <w:szCs w:val="18"/>
                <w:color w:val="auto"/>
                <w:w w:val="93"/>
              </w:rPr>
              <w:t>goals through</w:t>
            </w:r>
          </w:p>
        </w:tc>
        <w:tc>
          <w:tcPr>
            <w:tcW w:w="2260" w:type="dxa"/>
            <w:vAlign w:val="bottom"/>
          </w:tcPr>
          <w:p>
            <w:pPr>
              <w:ind w:left="60"/>
              <w:spacing w:after="0"/>
              <w:rPr>
                <w:sz w:val="20"/>
                <w:szCs w:val="20"/>
                <w:color w:val="auto"/>
              </w:rPr>
            </w:pPr>
            <w:r>
              <w:rPr>
                <w:rFonts w:ascii="Arial" w:cs="Arial" w:eastAsia="Arial" w:hAnsi="Arial"/>
                <w:sz w:val="18"/>
                <w:szCs w:val="18"/>
                <w:color w:val="auto"/>
              </w:rPr>
              <w:t>outplacement</w:t>
            </w:r>
          </w:p>
        </w:tc>
      </w:tr>
      <w:tr>
        <w:trPr>
          <w:trHeight w:val="216"/>
        </w:trPr>
        <w:tc>
          <w:tcPr>
            <w:tcW w:w="340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bonus under</w:t>
            </w:r>
          </w:p>
        </w:tc>
        <w:tc>
          <w:tcPr>
            <w:tcW w:w="90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1040" w:type="dxa"/>
            <w:vAlign w:val="bottom"/>
          </w:tcPr>
          <w:p>
            <w:pPr>
              <w:ind w:left="100"/>
              <w:spacing w:after="0"/>
              <w:rPr>
                <w:sz w:val="20"/>
                <w:szCs w:val="20"/>
                <w:color w:val="auto"/>
              </w:rPr>
            </w:pPr>
            <w:r>
              <w:rPr>
                <w:rFonts w:ascii="Arial" w:cs="Arial" w:eastAsia="Arial" w:hAnsi="Arial"/>
                <w:sz w:val="18"/>
                <w:szCs w:val="18"/>
                <w:color w:val="auto"/>
              </w:rPr>
              <w:t>and all</w:t>
            </w:r>
          </w:p>
        </w:tc>
        <w:tc>
          <w:tcPr>
            <w:tcW w:w="1080" w:type="dxa"/>
            <w:vAlign w:val="bottom"/>
          </w:tcPr>
          <w:p>
            <w:pPr>
              <w:ind w:left="40"/>
              <w:spacing w:after="0"/>
              <w:rPr>
                <w:sz w:val="20"/>
                <w:szCs w:val="20"/>
                <w:color w:val="auto"/>
              </w:rPr>
            </w:pPr>
            <w:r>
              <w:rPr>
                <w:rFonts w:ascii="Arial" w:cs="Arial" w:eastAsia="Arial" w:hAnsi="Arial"/>
                <w:sz w:val="18"/>
                <w:szCs w:val="18"/>
                <w:color w:val="auto"/>
              </w:rPr>
              <w:t>the date of</w:t>
            </w:r>
          </w:p>
        </w:tc>
        <w:tc>
          <w:tcPr>
            <w:tcW w:w="2260" w:type="dxa"/>
            <w:vAlign w:val="bottom"/>
          </w:tcPr>
          <w:p>
            <w:pPr>
              <w:ind w:left="60"/>
              <w:spacing w:after="0"/>
              <w:rPr>
                <w:sz w:val="20"/>
                <w:szCs w:val="20"/>
                <w:color w:val="auto"/>
              </w:rPr>
            </w:pPr>
            <w:r>
              <w:rPr>
                <w:rFonts w:ascii="Arial" w:cs="Arial" w:eastAsia="Arial" w:hAnsi="Arial"/>
                <w:sz w:val="18"/>
                <w:szCs w:val="18"/>
                <w:color w:val="auto"/>
              </w:rPr>
              <w:t>services for</w:t>
            </w:r>
          </w:p>
        </w:tc>
      </w:tr>
      <w:tr>
        <w:trPr>
          <w:trHeight w:val="216"/>
        </w:trPr>
        <w:tc>
          <w:tcPr>
            <w:tcW w:w="340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the then</w:t>
            </w: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forfeiture</w:t>
            </w:r>
          </w:p>
        </w:tc>
        <w:tc>
          <w:tcPr>
            <w:tcW w:w="108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2260" w:type="dxa"/>
            <w:vAlign w:val="bottom"/>
          </w:tcPr>
          <w:p>
            <w:pPr>
              <w:ind w:left="60"/>
              <w:spacing w:after="0"/>
              <w:rPr>
                <w:sz w:val="20"/>
                <w:szCs w:val="20"/>
                <w:color w:val="auto"/>
              </w:rPr>
            </w:pPr>
            <w:r>
              <w:rPr>
                <w:rFonts w:ascii="Arial" w:cs="Arial" w:eastAsia="Arial" w:hAnsi="Arial"/>
                <w:sz w:val="18"/>
                <w:szCs w:val="18"/>
                <w:color w:val="auto"/>
              </w:rPr>
              <w:t>six months</w:t>
            </w:r>
          </w:p>
        </w:tc>
      </w:tr>
      <w:tr>
        <w:trPr>
          <w:trHeight w:val="215"/>
        </w:trPr>
        <w:tc>
          <w:tcPr>
            <w:tcW w:w="340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current non-</w:t>
            </w: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restrictions</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equity</w:t>
            </w: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lapse as of</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w w:val="94"/>
              </w:rPr>
              <w:t>incentive plan</w:t>
            </w: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the date of</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94"/>
        </w:trPr>
        <w:tc>
          <w:tcPr>
            <w:tcW w:w="34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at Target</w:t>
            </w:r>
            <w:r>
              <w:rPr>
                <w:rFonts w:ascii="Arial" w:cs="Arial" w:eastAsia="Arial" w:hAnsi="Arial"/>
                <w:sz w:val="29"/>
                <w:szCs w:val="29"/>
                <w:color w:val="auto"/>
                <w:vertAlign w:val="superscript"/>
              </w:rPr>
              <w:t>(7)</w:t>
            </w: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10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525"/>
        </w:trPr>
        <w:tc>
          <w:tcPr>
            <w:tcW w:w="3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49</w:t>
            </w:r>
          </w:p>
        </w:tc>
        <w:tc>
          <w:tcPr>
            <w:tcW w:w="10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2" w:name="page53"/>
    <w:bookmarkEnd w:id="52"/>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1783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8255"/>
                    </a:xfrm>
                    <a:prstGeom prst="rect">
                      <a:avLst/>
                    </a:prstGeom>
                    <a:noFill/>
                  </pic:spPr>
                </pic:pic>
              </a:graphicData>
            </a:graphic>
          </wp:anchor>
        </w:drawing>
        <w:t>As of December 31, 2020, only Mr. Saligram had been awarded any RSUs or PSUs under our 2019 EIP. Therefore, the information in this column is not applicable to Messrs. Jennings, Weatherholt, Blanchard or Fraser.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in this column only applies to Messrs. Saligram, Jennings and Weatherholt who joined the Company during 2020. Requirements for repayment of sign-on cash bonuses and relocation allowances are detailed in the NEOs respective offer letters.</w:t>
      </w:r>
    </w:p>
    <w:p>
      <w:pPr>
        <w:spacing w:after="0" w:line="170"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special or additional payments are payable to any of the NEOs under the CIC Severance Plan, the Blanchard CIC, the Fraser CIC or otherwise in the event of a termination of employment for "Cause." Terms such as "Cause," "Good Reason" and "Disability" used in "Item 6. – Executive Compensation – Potential Payments Upon Termination or Change in Control" of this registration statement and not otherwise defined have the meaning for them set forth for them in the underlying policy, plan, award agreement or other document detailing applicable termination rights.</w:t>
      </w:r>
    </w:p>
    <w:p>
      <w:pPr>
        <w:spacing w:after="0" w:line="157"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Messrs. Jennings and Weatherholt are entitled to an additional six months of annual base salary and 50% of their EICP target reward opportunity in the event of their termination "without Cause" or for "Good Reason" within six months of the hire of the Company's Chief Executive Officer, which "protection period" will expire on April 12, 2021.</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upon a hypothetical termination on December 31, 2020, under the terms of the EICP, NEOs are eligible for payment of their respective EICP target reward opportunity based upon actual achievement for the plan year because their employment was not terminated prior to the end of the EICP plan year.</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the CIC Severance Plan, Change in Control is defined above in "Item 6. – Executive Compensation – Compensation Discussion and Analysis – Employment Agreements, Termination and Severance – Change in Control Severance Plan."</w:t>
      </w:r>
    </w:p>
    <w:p>
      <w:pPr>
        <w:spacing w:after="0" w:line="170" w:lineRule="exact"/>
        <w:rPr>
          <w:rFonts w:ascii="Arial" w:cs="Arial" w:eastAsia="Arial" w:hAnsi="Arial"/>
          <w:sz w:val="18"/>
          <w:szCs w:val="18"/>
          <w:color w:val="auto"/>
        </w:rPr>
      </w:pPr>
    </w:p>
    <w:p>
      <w:pPr>
        <w:jc w:val="both"/>
        <w:ind w:left="340"/>
        <w:spacing w:after="0" w:line="271" w:lineRule="auto"/>
        <w:rPr>
          <w:rFonts w:ascii="Arial" w:cs="Arial" w:eastAsia="Arial" w:hAnsi="Arial"/>
          <w:sz w:val="18"/>
          <w:szCs w:val="18"/>
          <w:color w:val="auto"/>
        </w:rPr>
      </w:pPr>
      <w:r>
        <w:rPr>
          <w:rFonts w:ascii="Arial" w:cs="Arial" w:eastAsia="Arial" w:hAnsi="Arial"/>
          <w:sz w:val="17"/>
          <w:szCs w:val="17"/>
          <w:color w:val="auto"/>
        </w:rPr>
        <w:t>Under the Blanchard CIC and Fraser CIC, "Change in Control" is generally deemed to occur if (i) any person acquires 30% or more of our Ordinary Shares; (ii) at least a majority of the members of the current Board cease to be directors other than in specified circumstances; (iii) upon the consummation of a merger or similar transaction other than (a) a transaction in which the shareholders beneficially owning our Ordinary Shares outstanding immediately prior to the transaction represent at least 50% of the voting power immediately after the transaction, (b) a transaction in which no person owns 30% or more of the outstanding Ordinary Shares or voting power of the surviving entity and (c) a transaction in which at least a majority of the members of the board of directors of the surviving entity are current members of the Board at the time the transaction was approved; or (iv) approval or adoption by the Board or our shareholders of a plan or proposal which could result directly or indirectly in the liquidation, transfer, sale or other disposal of all or substantially all of the Company's assets or a dissolution of the Company.</w:t>
      </w:r>
    </w:p>
    <w:p>
      <w:pPr>
        <w:spacing w:after="0" w:line="178"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Under the Blanchard CIC and Fraser CIC, severance is payable if either Messrs. Blanchard and Fraser employment is terminated (i) by the Company "without Cause" or (ii) by the Executive for "Good Reason" within six months preceding or two years following a Change in Control under certain circumstances. "Cause" means willful and continued failure of either Messrs. Blanchard and Fraser to perform his duties or either Messrs. Blanchard and Fraser willfully engaging in illegal conduct or gross misconduct that is harmful to the Company. "Good Reason" includes a material reduction in either Messrs. Blanchard and Fraser authorities, responsibilities, status, compensation or benefits (unless part of a cost reduction initiative that applies to all NEOs equally) or the failure of any successor company to assume the employment agreement. Mr. Blanchard's Letter Agreement dated June 10, 2020 (the "KB Letter Agreement") added additional circumstances that would constitute "Good Reason" for Mr. Blanchard; however, those conditions were not satisfied as of December 31,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3" w:name="page54"/>
    <w:bookmarkEnd w:id="53"/>
    <w:p>
      <w:pPr>
        <w:jc w:val="both"/>
        <w:ind w:left="34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the Blanchard CIC, Mr. Blanchard is entitled to 3x the sum of annual salary plus average annual cash incentive reduced by the portion of the Specified Amount (as defined in the KB Letter Agreement) paid on or before the date of termination. Under the Fraser CIC, Mr. Fraser is entitled to 2x the sum of annual salary plus average annual cash incentive. Under the Blanchard CIC and Fraser CIC, Messrs. Blanchard and Fraser's average annual bonus for the prior three years is used for calculation purposes.</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Continuation of health and dental benefits to the NEO and the NEO's family requires that the NEO must continue to pay the monthly employee contribution for such benefits. Mr. Blanchard is entitled to receive three years continued welfare benefits under the Blanchard CIC. We are required to pay reasonable legal fees and expenses incurred by either Messrs. Blanchard and Fraser in any disputes regarding the Blanchard CIC and Fraser CIC, so long as either Messrs. Blanchard and Fraser undertakes to reimburse the Company for such amounts paid if either Messrs. Blanchard and Fraser is determined to have acted in bad faith in connection with the dispute.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Potential Payments Upon Termination or Change in Control</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2020. The following includes the various types of circumstances that would trigger payments and benefits under the CIC Severance Plan, the Blanchard CIC, the Fraser CIC or otherwise. Reasonable estimates are provided where appropriate. It is always possible that different arrangements could be negotiated in connection with an actual termination of employment or Change in Control, including in settlement. No information is provided in this table with regard to potential payments to former employees listed as NEOs if such NEO received payments prior to December 31, 2020; those actual payments are reflected in the Summary Compensation Table and related footnotes.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Performance</w:t>
            </w:r>
          </w:p>
        </w:tc>
        <w:tc>
          <w:tcPr>
            <w:tcW w:w="980" w:type="dxa"/>
            <w:vAlign w:val="bottom"/>
          </w:tcPr>
          <w:p>
            <w:pPr>
              <w:spacing w:after="0"/>
              <w:rPr>
                <w:sz w:val="14"/>
                <w:szCs w:val="14"/>
                <w:color w:val="auto"/>
              </w:rPr>
            </w:pPr>
          </w:p>
        </w:tc>
        <w:tc>
          <w:tcPr>
            <w:tcW w:w="1100" w:type="dxa"/>
            <w:vAlign w:val="bottom"/>
          </w:tcPr>
          <w:p>
            <w:pPr>
              <w:jc w:val="center"/>
              <w:ind w:right="69"/>
              <w:spacing w:after="0"/>
              <w:rPr>
                <w:sz w:val="20"/>
                <w:szCs w:val="20"/>
                <w:color w:val="auto"/>
              </w:rPr>
            </w:pPr>
            <w:r>
              <w:rPr>
                <w:rFonts w:ascii="Arial" w:cs="Arial" w:eastAsia="Arial" w:hAnsi="Arial"/>
                <w:sz w:val="14"/>
                <w:szCs w:val="14"/>
                <w:b w:val="1"/>
                <w:bCs w:val="1"/>
                <w:color w:val="auto"/>
                <w:w w:val="92"/>
              </w:rPr>
              <w:t>Clawback of</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3"/>
              </w:rPr>
              <w:t>Annual Cash</w:t>
            </w: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Long-Term</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Share Units</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Welfare and</w:t>
            </w:r>
          </w:p>
        </w:tc>
        <w:tc>
          <w:tcPr>
            <w:tcW w:w="1100" w:type="dxa"/>
            <w:vAlign w:val="bottom"/>
          </w:tcPr>
          <w:p>
            <w:pPr>
              <w:jc w:val="center"/>
              <w:ind w:right="69"/>
              <w:spacing w:after="0"/>
              <w:rPr>
                <w:sz w:val="20"/>
                <w:szCs w:val="20"/>
                <w:color w:val="auto"/>
              </w:rPr>
            </w:pPr>
            <w:r>
              <w:rPr>
                <w:rFonts w:ascii="Arial" w:cs="Arial" w:eastAsia="Arial" w:hAnsi="Arial"/>
                <w:sz w:val="14"/>
                <w:szCs w:val="14"/>
                <w:b w:val="1"/>
                <w:bCs w:val="1"/>
                <w:color w:val="auto"/>
                <w:w w:val="92"/>
              </w:rPr>
              <w:t>Sign-on</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Cash</w:t>
            </w:r>
          </w:p>
        </w:tc>
        <w:tc>
          <w:tcPr>
            <w:tcW w:w="1120" w:type="dxa"/>
            <w:vAlign w:val="bottom"/>
            <w:vMerge w:val="continue"/>
          </w:tcPr>
          <w:p>
            <w:pPr>
              <w:spacing w:after="0"/>
              <w:rPr>
                <w:sz w:val="12"/>
                <w:szCs w:val="12"/>
                <w:color w:val="auto"/>
              </w:rPr>
            </w:pPr>
          </w:p>
        </w:tc>
        <w:tc>
          <w:tcPr>
            <w:tcW w:w="10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Cash</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Unvested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 Unvested</w:t>
            </w:r>
          </w:p>
        </w:tc>
        <w:tc>
          <w:tcPr>
            <w:tcW w:w="980" w:type="dxa"/>
            <w:vAlign w:val="bottom"/>
            <w:vMerge w:val="continue"/>
          </w:tcPr>
          <w:p>
            <w:pPr>
              <w:spacing w:after="0"/>
              <w:rPr>
                <w:sz w:val="12"/>
                <w:szCs w:val="12"/>
                <w:color w:val="auto"/>
              </w:rPr>
            </w:pPr>
          </w:p>
        </w:tc>
        <w:tc>
          <w:tcPr>
            <w:tcW w:w="1100" w:type="dxa"/>
            <w:vAlign w:val="bottom"/>
          </w:tcPr>
          <w:p>
            <w:pPr>
              <w:jc w:val="center"/>
              <w:ind w:right="69"/>
              <w:spacing w:after="0" w:line="149" w:lineRule="exact"/>
              <w:rPr>
                <w:sz w:val="20"/>
                <w:szCs w:val="20"/>
                <w:color w:val="auto"/>
              </w:rPr>
            </w:pPr>
            <w:r>
              <w:rPr>
                <w:rFonts w:ascii="Arial" w:cs="Arial" w:eastAsia="Arial" w:hAnsi="Arial"/>
                <w:sz w:val="14"/>
                <w:szCs w:val="14"/>
                <w:b w:val="1"/>
                <w:bCs w:val="1"/>
                <w:color w:val="auto"/>
                <w:w w:val="88"/>
              </w:rPr>
              <w:t>Bonus and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12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Incentive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tcPr>
          <w:p>
            <w:pPr>
              <w:jc w:val="center"/>
              <w:ind w:right="69"/>
              <w:spacing w:after="0" w:line="149" w:lineRule="exact"/>
              <w:rPr>
                <w:sz w:val="20"/>
                <w:szCs w:val="20"/>
                <w:color w:val="auto"/>
              </w:rPr>
            </w:pPr>
            <w:r>
              <w:rPr>
                <w:rFonts w:ascii="Arial" w:cs="Arial" w:eastAsia="Arial" w:hAnsi="Arial"/>
                <w:sz w:val="14"/>
                <w:szCs w:val="14"/>
                <w:b w:val="1"/>
                <w:bCs w:val="1"/>
                <w:color w:val="auto"/>
                <w:w w:val="89"/>
              </w:rPr>
              <w:t>Relocation</w:t>
            </w: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Hypothetical</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Severance</w:t>
            </w:r>
          </w:p>
        </w:tc>
        <w:tc>
          <w:tcPr>
            <w:tcW w:w="112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Plan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Accelerated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Accelerated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Benefits</w:t>
            </w:r>
          </w:p>
        </w:tc>
        <w:tc>
          <w:tcPr>
            <w:tcW w:w="1100" w:type="dxa"/>
            <w:vAlign w:val="bottom"/>
          </w:tcPr>
          <w:p>
            <w:pPr>
              <w:jc w:val="center"/>
              <w:ind w:right="69"/>
              <w:spacing w:after="0" w:line="149" w:lineRule="exact"/>
              <w:rPr>
                <w:sz w:val="20"/>
                <w:szCs w:val="20"/>
                <w:color w:val="auto"/>
              </w:rPr>
            </w:pPr>
            <w:r>
              <w:rPr>
                <w:rFonts w:ascii="Arial" w:cs="Arial" w:eastAsia="Arial" w:hAnsi="Arial"/>
                <w:sz w:val="14"/>
                <w:szCs w:val="14"/>
                <w:b w:val="1"/>
                <w:bCs w:val="1"/>
                <w:color w:val="auto"/>
                <w:w w:val="88"/>
              </w:rPr>
              <w:t>Allowances</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Event</w:t>
            </w:r>
          </w:p>
        </w:tc>
        <w:tc>
          <w:tcPr>
            <w:tcW w:w="12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(1)</w:t>
            </w:r>
          </w:p>
        </w:tc>
        <w:tc>
          <w:tcPr>
            <w:tcW w:w="11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w:t>
            </w:r>
          </w:p>
        </w:tc>
        <w:tc>
          <w:tcPr>
            <w:tcW w:w="9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(3)</w:t>
            </w: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(4)</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tcBorders>
              <w:bottom w:val="single" w:sz="8" w:color="auto"/>
            </w:tcBorders>
          </w:tcPr>
          <w:p>
            <w:pPr>
              <w:jc w:val="center"/>
              <w:ind w:right="69"/>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(5)</w:t>
            </w: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9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Girish K. Saligram</w:t>
            </w: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Retirement or Resignation</w:t>
            </w:r>
          </w:p>
        </w:tc>
        <w:tc>
          <w:tcPr>
            <w:tcW w:w="122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20" w:type="dxa"/>
            <w:vAlign w:val="bottom"/>
          </w:tcPr>
          <w:p>
            <w:pPr>
              <w:jc w:val="right"/>
              <w:ind w:right="69"/>
              <w:spacing w:after="0" w:line="149" w:lineRule="exact"/>
              <w:rPr>
                <w:sz w:val="20"/>
                <w:szCs w:val="20"/>
                <w:color w:val="auto"/>
              </w:rPr>
            </w:pPr>
            <w:r>
              <w:rPr>
                <w:rFonts w:ascii="Arial" w:cs="Arial" w:eastAsia="Arial" w:hAnsi="Arial"/>
                <w:sz w:val="14"/>
                <w:szCs w:val="14"/>
                <w:color w:val="auto"/>
              </w:rPr>
              <w:t>230,469</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76,849</w:t>
            </w:r>
          </w:p>
        </w:tc>
        <w:tc>
          <w:tcPr>
            <w:tcW w:w="98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(400,000)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(92,682)</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Termination with Cause</w:t>
            </w:r>
          </w:p>
        </w:tc>
        <w:tc>
          <w:tcPr>
            <w:tcW w:w="12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2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10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(400,000)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48"/>
        </w:trPr>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Death or Disability</w:t>
            </w:r>
          </w:p>
        </w:tc>
        <w:tc>
          <w:tcPr>
            <w:tcW w:w="122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20" w:type="dxa"/>
            <w:vAlign w:val="bottom"/>
          </w:tcPr>
          <w:p>
            <w:pPr>
              <w:jc w:val="right"/>
              <w:ind w:right="69"/>
              <w:spacing w:after="0" w:line="149" w:lineRule="exact"/>
              <w:rPr>
                <w:sz w:val="20"/>
                <w:szCs w:val="20"/>
                <w:color w:val="auto"/>
              </w:rPr>
            </w:pPr>
            <w:r>
              <w:rPr>
                <w:rFonts w:ascii="Arial" w:cs="Arial" w:eastAsia="Arial" w:hAnsi="Arial"/>
                <w:sz w:val="14"/>
                <w:szCs w:val="14"/>
                <w:color w:val="auto"/>
              </w:rPr>
              <w:t>230,469</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778,099</w:t>
            </w:r>
          </w:p>
        </w:tc>
        <w:tc>
          <w:tcPr>
            <w:tcW w:w="98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1,016,946</w:t>
            </w:r>
          </w:p>
        </w:tc>
        <w:tc>
          <w:tcPr>
            <w:tcW w:w="10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(0)</w:t>
            </w: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2,025,514</w:t>
            </w:r>
          </w:p>
        </w:tc>
        <w:tc>
          <w:tcPr>
            <w:tcW w:w="0" w:type="dxa"/>
            <w:vAlign w:val="bottom"/>
          </w:tcPr>
          <w:p>
            <w:pPr>
              <w:spacing w:after="0"/>
              <w:rPr>
                <w:sz w:val="1"/>
                <w:szCs w:val="1"/>
                <w:color w:val="auto"/>
              </w:rPr>
            </w:pPr>
          </w:p>
        </w:tc>
      </w:tr>
      <w:tr>
        <w:trPr>
          <w:trHeight w:val="130"/>
        </w:trPr>
        <w:tc>
          <w:tcPr>
            <w:tcW w:w="29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Termination Without Cause or With Good</w:t>
            </w:r>
          </w:p>
        </w:tc>
        <w:tc>
          <w:tcPr>
            <w:tcW w:w="1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Reason</w:t>
            </w:r>
          </w:p>
        </w:tc>
        <w:tc>
          <w:tcPr>
            <w:tcW w:w="1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1,856,250</w:t>
            </w: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230,469</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76,849</w:t>
            </w: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45,330</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2,208,898</w:t>
            </w:r>
          </w:p>
        </w:tc>
        <w:tc>
          <w:tcPr>
            <w:tcW w:w="0" w:type="dxa"/>
            <w:vAlign w:val="bottom"/>
          </w:tcPr>
          <w:p>
            <w:pPr>
              <w:spacing w:after="0"/>
              <w:rPr>
                <w:sz w:val="1"/>
                <w:szCs w:val="1"/>
                <w:color w:val="auto"/>
              </w:rPr>
            </w:pPr>
          </w:p>
        </w:tc>
      </w:tr>
      <w:tr>
        <w:trPr>
          <w:trHeight w:val="148"/>
        </w:trPr>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Change in Control Without Termination</w:t>
            </w:r>
          </w:p>
        </w:tc>
        <w:tc>
          <w:tcPr>
            <w:tcW w:w="122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20" w:type="dxa"/>
            <w:vAlign w:val="bottom"/>
          </w:tcPr>
          <w:p>
            <w:pPr>
              <w:jc w:val="right"/>
              <w:ind w:right="69"/>
              <w:spacing w:after="0" w:line="149" w:lineRule="exact"/>
              <w:rPr>
                <w:sz w:val="20"/>
                <w:szCs w:val="20"/>
                <w:color w:val="auto"/>
              </w:rPr>
            </w:pPr>
            <w:r>
              <w:rPr>
                <w:rFonts w:ascii="Arial" w:cs="Arial" w:eastAsia="Arial" w:hAnsi="Arial"/>
                <w:sz w:val="14"/>
                <w:szCs w:val="14"/>
                <w:color w:val="auto"/>
              </w:rPr>
              <w:t>230,469</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76,849</w:t>
            </w:r>
          </w:p>
        </w:tc>
        <w:tc>
          <w:tcPr>
            <w:tcW w:w="98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(0)</w:t>
            </w: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307,318</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 in Control With Termination</w:t>
            </w:r>
          </w:p>
        </w:tc>
        <w:tc>
          <w:tcPr>
            <w:tcW w:w="122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3,712,500</w:t>
            </w:r>
          </w:p>
        </w:tc>
        <w:tc>
          <w:tcPr>
            <w:tcW w:w="112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230,469</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76,849</w:t>
            </w:r>
          </w:p>
        </w:tc>
        <w:tc>
          <w:tcPr>
            <w:tcW w:w="98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1,016,946</w:t>
            </w:r>
          </w:p>
        </w:tc>
        <w:tc>
          <w:tcPr>
            <w:tcW w:w="104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29,437</w:t>
            </w:r>
          </w:p>
        </w:tc>
        <w:tc>
          <w:tcPr>
            <w:tcW w:w="11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5,066,201</w:t>
            </w:r>
          </w:p>
        </w:tc>
        <w:tc>
          <w:tcPr>
            <w:tcW w:w="0" w:type="dxa"/>
            <w:vAlign w:val="bottom"/>
          </w:tcPr>
          <w:p>
            <w:pPr>
              <w:spacing w:after="0"/>
              <w:rPr>
                <w:sz w:val="1"/>
                <w:szCs w:val="1"/>
                <w:color w:val="auto"/>
              </w:rPr>
            </w:pPr>
          </w:p>
        </w:tc>
      </w:tr>
      <w:tr>
        <w:trPr>
          <w:trHeight w:val="148"/>
        </w:trPr>
        <w:tc>
          <w:tcPr>
            <w:tcW w:w="2920" w:type="dxa"/>
            <w:vAlign w:val="bottom"/>
          </w:tcPr>
          <w:p>
            <w:pPr>
              <w:spacing w:after="0" w:line="149" w:lineRule="exact"/>
              <w:rPr>
                <w:sz w:val="20"/>
                <w:szCs w:val="20"/>
                <w:color w:val="auto"/>
              </w:rPr>
            </w:pPr>
            <w:r>
              <w:rPr>
                <w:rFonts w:ascii="Arial" w:cs="Arial" w:eastAsia="Arial" w:hAnsi="Arial"/>
                <w:sz w:val="14"/>
                <w:szCs w:val="14"/>
                <w:b w:val="1"/>
                <w:bCs w:val="1"/>
                <w:color w:val="auto"/>
              </w:rPr>
              <w:t>H. Keith Jennings</w:t>
            </w: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Retirement or Resignation</w:t>
            </w:r>
          </w:p>
        </w:tc>
        <w:tc>
          <w:tcPr>
            <w:tcW w:w="12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2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166,667</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53,870</w:t>
            </w:r>
          </w:p>
        </w:tc>
        <w:tc>
          <w:tcPr>
            <w:tcW w:w="9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(400,000)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(179,463)</w:t>
            </w:r>
          </w:p>
        </w:tc>
        <w:tc>
          <w:tcPr>
            <w:tcW w:w="0" w:type="dxa"/>
            <w:vAlign w:val="bottom"/>
          </w:tcPr>
          <w:p>
            <w:pPr>
              <w:spacing w:after="0"/>
              <w:rPr>
                <w:sz w:val="1"/>
                <w:szCs w:val="1"/>
                <w:color w:val="auto"/>
              </w:rPr>
            </w:pPr>
          </w:p>
        </w:tc>
      </w:tr>
      <w:tr>
        <w:trPr>
          <w:trHeight w:val="149"/>
        </w:trPr>
        <w:tc>
          <w:tcPr>
            <w:tcW w:w="2920" w:type="dxa"/>
            <w:vAlign w:val="bottom"/>
          </w:tcPr>
          <w:p>
            <w:pPr>
              <w:ind w:left="180"/>
              <w:spacing w:after="0" w:line="149" w:lineRule="exact"/>
              <w:rPr>
                <w:sz w:val="20"/>
                <w:szCs w:val="20"/>
                <w:color w:val="auto"/>
              </w:rPr>
            </w:pPr>
            <w:r>
              <w:rPr>
                <w:rFonts w:ascii="Arial" w:cs="Arial" w:eastAsia="Arial" w:hAnsi="Arial"/>
                <w:sz w:val="14"/>
                <w:szCs w:val="14"/>
                <w:color w:val="auto"/>
              </w:rPr>
              <w:t>Termination with Cause</w:t>
            </w:r>
          </w:p>
        </w:tc>
        <w:tc>
          <w:tcPr>
            <w:tcW w:w="122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20" w:type="dxa"/>
            <w:vAlign w:val="bottom"/>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w:t>
            </w:r>
          </w:p>
        </w:tc>
        <w:tc>
          <w:tcPr>
            <w:tcW w:w="98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(400,000)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Death or Disability</w:t>
            </w:r>
          </w:p>
        </w:tc>
        <w:tc>
          <w:tcPr>
            <w:tcW w:w="12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2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166,667</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378,870</w:t>
            </w:r>
          </w:p>
        </w:tc>
        <w:tc>
          <w:tcPr>
            <w:tcW w:w="9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4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545,537</w:t>
            </w:r>
          </w:p>
        </w:tc>
        <w:tc>
          <w:tcPr>
            <w:tcW w:w="0" w:type="dxa"/>
            <w:vAlign w:val="bottom"/>
          </w:tcPr>
          <w:p>
            <w:pPr>
              <w:spacing w:after="0"/>
              <w:rPr>
                <w:sz w:val="1"/>
                <w:szCs w:val="1"/>
                <w:color w:val="auto"/>
              </w:rPr>
            </w:pPr>
          </w:p>
        </w:tc>
      </w:tr>
      <w:tr>
        <w:trPr>
          <w:trHeight w:val="130"/>
        </w:trPr>
        <w:tc>
          <w:tcPr>
            <w:tcW w:w="2920" w:type="dxa"/>
            <w:vAlign w:val="bottom"/>
          </w:tcPr>
          <w:p>
            <w:pPr>
              <w:ind w:left="180"/>
              <w:spacing w:after="0" w:line="130" w:lineRule="exact"/>
              <w:rPr>
                <w:sz w:val="20"/>
                <w:szCs w:val="20"/>
                <w:color w:val="auto"/>
              </w:rPr>
            </w:pPr>
            <w:r>
              <w:rPr>
                <w:rFonts w:ascii="Arial" w:cs="Arial" w:eastAsia="Arial" w:hAnsi="Arial"/>
                <w:sz w:val="14"/>
                <w:szCs w:val="14"/>
                <w:color w:val="auto"/>
              </w:rPr>
              <w:t>Termination Without Cause or With Good</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920" w:type="dxa"/>
            <w:vAlign w:val="bottom"/>
          </w:tcPr>
          <w:p>
            <w:pPr>
              <w:ind w:left="180"/>
              <w:spacing w:after="0"/>
              <w:rPr>
                <w:sz w:val="20"/>
                <w:szCs w:val="20"/>
                <w:color w:val="auto"/>
              </w:rPr>
            </w:pPr>
            <w:r>
              <w:rPr>
                <w:rFonts w:ascii="Arial" w:cs="Arial" w:eastAsia="Arial" w:hAnsi="Arial"/>
                <w:sz w:val="14"/>
                <w:szCs w:val="14"/>
                <w:color w:val="auto"/>
              </w:rPr>
              <w:t>Reason</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1,500,000</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166,667</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53,870</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1,720,537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000" w:type="dxa"/>
            <w:vAlign w:val="bottom"/>
          </w:tcPr>
          <w:p>
            <w:pPr>
              <w:spacing w:after="0"/>
              <w:rPr>
                <w:sz w:val="14"/>
                <w:szCs w:val="14"/>
                <w:color w:val="auto"/>
              </w:rPr>
            </w:pPr>
          </w:p>
        </w:tc>
        <w:tc>
          <w:tcPr>
            <w:tcW w:w="1140" w:type="dxa"/>
            <w:vAlign w:val="bottom"/>
          </w:tcPr>
          <w:p>
            <w:pPr>
              <w:jc w:val="center"/>
              <w:ind w:right="129"/>
              <w:spacing w:after="0"/>
              <w:rPr>
                <w:sz w:val="20"/>
                <w:szCs w:val="20"/>
                <w:color w:val="auto"/>
              </w:rPr>
            </w:pPr>
            <w:r>
              <w:rPr>
                <w:rFonts w:ascii="Arial" w:cs="Arial" w:eastAsia="Arial" w:hAnsi="Arial"/>
                <w:sz w:val="14"/>
                <w:szCs w:val="14"/>
                <w:b w:val="1"/>
                <w:bCs w:val="1"/>
                <w:color w:val="auto"/>
                <w:w w:val="95"/>
              </w:rPr>
              <w:t>Clawback of</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Long-Term</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Share Units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1000" w:type="dxa"/>
            <w:vAlign w:val="bottom"/>
          </w:tcPr>
          <w:p>
            <w:pPr>
              <w:spacing w:after="0"/>
              <w:rPr>
                <w:sz w:val="14"/>
                <w:szCs w:val="14"/>
                <w:color w:val="auto"/>
              </w:rPr>
            </w:pPr>
          </w:p>
        </w:tc>
        <w:tc>
          <w:tcPr>
            <w:tcW w:w="1140" w:type="dxa"/>
            <w:vAlign w:val="bottom"/>
          </w:tcPr>
          <w:p>
            <w:pPr>
              <w:jc w:val="center"/>
              <w:ind w:right="129"/>
              <w:spacing w:after="0"/>
              <w:rPr>
                <w:sz w:val="20"/>
                <w:szCs w:val="20"/>
                <w:color w:val="auto"/>
              </w:rPr>
            </w:pPr>
            <w:r>
              <w:rPr>
                <w:rFonts w:ascii="Arial" w:cs="Arial" w:eastAsia="Arial" w:hAnsi="Arial"/>
                <w:sz w:val="14"/>
                <w:szCs w:val="14"/>
                <w:b w:val="1"/>
                <w:bCs w:val="1"/>
                <w:color w:val="auto"/>
                <w:w w:val="88"/>
              </w:rPr>
              <w:t>Sign-on</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Annual Cash</w:t>
            </w:r>
          </w:p>
        </w:tc>
        <w:tc>
          <w:tcPr>
            <w:tcW w:w="980" w:type="dxa"/>
            <w:vAlign w:val="bottom"/>
          </w:tcPr>
          <w:p>
            <w:pPr>
              <w:jc w:val="center"/>
              <w:ind w:right="8"/>
              <w:spacing w:after="0"/>
              <w:rPr>
                <w:sz w:val="20"/>
                <w:szCs w:val="20"/>
                <w:color w:val="auto"/>
              </w:rPr>
            </w:pPr>
            <w:r>
              <w:rPr>
                <w:rFonts w:ascii="Arial" w:cs="Arial" w:eastAsia="Arial" w:hAnsi="Arial"/>
                <w:sz w:val="14"/>
                <w:szCs w:val="14"/>
                <w:b w:val="1"/>
                <w:bCs w:val="1"/>
                <w:color w:val="auto"/>
                <w:w w:val="87"/>
              </w:rPr>
              <w:t>Cash</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 Unvested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Welfare and</w:t>
            </w:r>
          </w:p>
        </w:tc>
        <w:tc>
          <w:tcPr>
            <w:tcW w:w="1140" w:type="dxa"/>
            <w:vAlign w:val="bottom"/>
          </w:tcPr>
          <w:p>
            <w:pPr>
              <w:jc w:val="center"/>
              <w:ind w:right="129"/>
              <w:spacing w:after="0"/>
              <w:rPr>
                <w:sz w:val="20"/>
                <w:szCs w:val="20"/>
                <w:color w:val="auto"/>
              </w:rPr>
            </w:pPr>
            <w:r>
              <w:rPr>
                <w:rFonts w:ascii="Arial" w:cs="Arial" w:eastAsia="Arial" w:hAnsi="Arial"/>
                <w:sz w:val="14"/>
                <w:szCs w:val="14"/>
                <w:b w:val="1"/>
                <w:bCs w:val="1"/>
                <w:color w:val="auto"/>
                <w:w w:val="91"/>
              </w:rPr>
              <w:t>Bonus and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9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Incentive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tcPr>
          <w:p>
            <w:pPr>
              <w:jc w:val="center"/>
              <w:ind w:right="129"/>
              <w:spacing w:after="0" w:line="149" w:lineRule="exact"/>
              <w:rPr>
                <w:sz w:val="20"/>
                <w:szCs w:val="20"/>
                <w:color w:val="auto"/>
              </w:rPr>
            </w:pPr>
            <w:r>
              <w:rPr>
                <w:rFonts w:ascii="Arial" w:cs="Arial" w:eastAsia="Arial" w:hAnsi="Arial"/>
                <w:sz w:val="14"/>
                <w:szCs w:val="14"/>
                <w:b w:val="1"/>
                <w:bCs w:val="1"/>
                <w:color w:val="auto"/>
                <w:w w:val="92"/>
              </w:rPr>
              <w:t>Relocation</w:t>
            </w:r>
          </w:p>
        </w:tc>
        <w:tc>
          <w:tcPr>
            <w:tcW w:w="9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Hypothetical</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Accelerated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Accelerated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Benefits</w:t>
            </w:r>
          </w:p>
        </w:tc>
        <w:tc>
          <w:tcPr>
            <w:tcW w:w="1140" w:type="dxa"/>
            <w:vAlign w:val="bottom"/>
          </w:tcPr>
          <w:p>
            <w:pPr>
              <w:jc w:val="center"/>
              <w:ind w:right="129"/>
              <w:spacing w:after="0" w:line="149" w:lineRule="exact"/>
              <w:rPr>
                <w:sz w:val="20"/>
                <w:szCs w:val="20"/>
                <w:color w:val="auto"/>
              </w:rPr>
            </w:pPr>
            <w:r>
              <w:rPr>
                <w:rFonts w:ascii="Arial" w:cs="Arial" w:eastAsia="Arial" w:hAnsi="Arial"/>
                <w:sz w:val="14"/>
                <w:szCs w:val="14"/>
                <w:b w:val="1"/>
                <w:bCs w:val="1"/>
                <w:color w:val="auto"/>
                <w:w w:val="90"/>
              </w:rPr>
              <w:t>Allowances</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Event</w:t>
            </w:r>
          </w:p>
        </w:tc>
        <w:tc>
          <w:tcPr>
            <w:tcW w:w="11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11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(2)</w:t>
            </w:r>
          </w:p>
        </w:tc>
        <w:tc>
          <w:tcPr>
            <w:tcW w:w="9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(3)</w:t>
            </w:r>
          </w:p>
        </w:tc>
        <w:tc>
          <w:tcPr>
            <w:tcW w:w="10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tcBorders>
              <w:bottom w:val="single" w:sz="8" w:color="auto"/>
            </w:tcBorders>
          </w:tcPr>
          <w:p>
            <w:pPr>
              <w:jc w:val="center"/>
              <w:ind w:right="129"/>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(5)</w:t>
            </w: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86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Change in Control Without Termination</w:t>
            </w:r>
          </w:p>
        </w:tc>
        <w:tc>
          <w:tcPr>
            <w:tcW w:w="116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jc w:val="right"/>
              <w:ind w:right="89"/>
              <w:spacing w:after="0" w:line="142" w:lineRule="exact"/>
              <w:rPr>
                <w:sz w:val="20"/>
                <w:szCs w:val="20"/>
                <w:color w:val="auto"/>
              </w:rPr>
            </w:pPr>
            <w:r>
              <w:rPr>
                <w:rFonts w:ascii="Arial" w:cs="Arial" w:eastAsia="Arial" w:hAnsi="Arial"/>
                <w:sz w:val="14"/>
                <w:szCs w:val="14"/>
                <w:color w:val="auto"/>
              </w:rPr>
              <w:t>166,667</w:t>
            </w:r>
          </w:p>
        </w:tc>
        <w:tc>
          <w:tcPr>
            <w:tcW w:w="98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53,870</w:t>
            </w:r>
          </w:p>
        </w:tc>
        <w:tc>
          <w:tcPr>
            <w:tcW w:w="10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(0)</w:t>
            </w:r>
          </w:p>
        </w:tc>
        <w:tc>
          <w:tcPr>
            <w:tcW w:w="10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jc w:val="right"/>
              <w:ind w:right="149"/>
              <w:spacing w:after="0" w:line="142" w:lineRule="exact"/>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220,537</w:t>
            </w:r>
          </w:p>
        </w:tc>
        <w:tc>
          <w:tcPr>
            <w:tcW w:w="0" w:type="dxa"/>
            <w:vAlign w:val="bottom"/>
          </w:tcPr>
          <w:p>
            <w:pPr>
              <w:spacing w:after="0"/>
              <w:rPr>
                <w:sz w:val="1"/>
                <w:szCs w:val="1"/>
                <w:color w:val="auto"/>
              </w:rPr>
            </w:pPr>
          </w:p>
        </w:tc>
      </w:tr>
      <w:tr>
        <w:trPr>
          <w:trHeight w:val="148"/>
        </w:trPr>
        <w:tc>
          <w:tcPr>
            <w:tcW w:w="2860" w:type="dxa"/>
            <w:vAlign w:val="bottom"/>
          </w:tcPr>
          <w:p>
            <w:pPr>
              <w:ind w:left="180"/>
              <w:spacing w:after="0" w:line="149" w:lineRule="exact"/>
              <w:rPr>
                <w:sz w:val="20"/>
                <w:szCs w:val="20"/>
                <w:color w:val="auto"/>
              </w:rPr>
            </w:pPr>
            <w:r>
              <w:rPr>
                <w:rFonts w:ascii="Arial" w:cs="Arial" w:eastAsia="Arial" w:hAnsi="Arial"/>
                <w:sz w:val="14"/>
                <w:szCs w:val="14"/>
                <w:color w:val="auto"/>
              </w:rPr>
              <w:t>Change in Control With Termination</w:t>
            </w:r>
          </w:p>
        </w:tc>
        <w:tc>
          <w:tcPr>
            <w:tcW w:w="11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2,000,000</w:t>
            </w:r>
          </w:p>
        </w:tc>
        <w:tc>
          <w:tcPr>
            <w:tcW w:w="11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166,667</w:t>
            </w: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53,870</w:t>
            </w:r>
          </w:p>
        </w:tc>
        <w:tc>
          <w:tcPr>
            <w:tcW w:w="10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102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25,954</w:t>
            </w:r>
          </w:p>
        </w:tc>
        <w:tc>
          <w:tcPr>
            <w:tcW w:w="114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(0)</w:t>
            </w: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2,246,491</w:t>
            </w: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Scott C. Weatherholt</w:t>
            </w:r>
          </w:p>
        </w:tc>
        <w:tc>
          <w:tcPr>
            <w:tcW w:w="1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180"/>
              <w:spacing w:after="0" w:line="149" w:lineRule="exact"/>
              <w:rPr>
                <w:sz w:val="20"/>
                <w:szCs w:val="20"/>
                <w:color w:val="auto"/>
              </w:rPr>
            </w:pPr>
            <w:r>
              <w:rPr>
                <w:rFonts w:ascii="Arial" w:cs="Arial" w:eastAsia="Arial" w:hAnsi="Arial"/>
                <w:sz w:val="14"/>
                <w:szCs w:val="14"/>
                <w:color w:val="auto"/>
              </w:rPr>
              <w:t>Retirement or Resignation</w:t>
            </w:r>
          </w:p>
        </w:tc>
        <w:tc>
          <w:tcPr>
            <w:tcW w:w="116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168,672</w:t>
            </w: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44,054</w:t>
            </w:r>
          </w:p>
        </w:tc>
        <w:tc>
          <w:tcPr>
            <w:tcW w:w="10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102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4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(200,000)</w:t>
            </w: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12,726</w:t>
            </w: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Termination with Cause</w:t>
            </w:r>
          </w:p>
        </w:tc>
        <w:tc>
          <w:tcPr>
            <w:tcW w:w="116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0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(200,000)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8"/>
        </w:trPr>
        <w:tc>
          <w:tcPr>
            <w:tcW w:w="2860" w:type="dxa"/>
            <w:vAlign w:val="bottom"/>
          </w:tcPr>
          <w:p>
            <w:pPr>
              <w:ind w:left="180"/>
              <w:spacing w:after="0" w:line="149" w:lineRule="exact"/>
              <w:rPr>
                <w:sz w:val="20"/>
                <w:szCs w:val="20"/>
                <w:color w:val="auto"/>
              </w:rPr>
            </w:pPr>
            <w:r>
              <w:rPr>
                <w:rFonts w:ascii="Arial" w:cs="Arial" w:eastAsia="Arial" w:hAnsi="Arial"/>
                <w:sz w:val="14"/>
                <w:szCs w:val="14"/>
                <w:color w:val="auto"/>
              </w:rPr>
              <w:t>Death or Disability</w:t>
            </w:r>
          </w:p>
        </w:tc>
        <w:tc>
          <w:tcPr>
            <w:tcW w:w="116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168,672</w:t>
            </w: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243,804</w:t>
            </w:r>
          </w:p>
        </w:tc>
        <w:tc>
          <w:tcPr>
            <w:tcW w:w="10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102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4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(0)</w:t>
            </w: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412,476</w:t>
            </w:r>
          </w:p>
        </w:tc>
        <w:tc>
          <w:tcPr>
            <w:tcW w:w="0" w:type="dxa"/>
            <w:vAlign w:val="bottom"/>
          </w:tcPr>
          <w:p>
            <w:pPr>
              <w:spacing w:after="0"/>
              <w:rPr>
                <w:sz w:val="1"/>
                <w:szCs w:val="1"/>
                <w:color w:val="auto"/>
              </w:rPr>
            </w:pPr>
          </w:p>
        </w:tc>
      </w:tr>
      <w:tr>
        <w:trPr>
          <w:trHeight w:val="130"/>
        </w:trPr>
        <w:tc>
          <w:tcPr>
            <w:tcW w:w="28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Termination Without Cause or With Good</w:t>
            </w:r>
          </w:p>
        </w:tc>
        <w:tc>
          <w:tcPr>
            <w:tcW w:w="1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Reason</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1,211,250</w:t>
            </w:r>
          </w:p>
        </w:tc>
        <w:tc>
          <w:tcPr>
            <w:tcW w:w="11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168,672</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44,054</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1,423,976</w:t>
            </w:r>
          </w:p>
        </w:tc>
        <w:tc>
          <w:tcPr>
            <w:tcW w:w="0" w:type="dxa"/>
            <w:vAlign w:val="bottom"/>
          </w:tcPr>
          <w:p>
            <w:pPr>
              <w:spacing w:after="0"/>
              <w:rPr>
                <w:sz w:val="1"/>
                <w:szCs w:val="1"/>
                <w:color w:val="auto"/>
              </w:rPr>
            </w:pPr>
          </w:p>
        </w:tc>
      </w:tr>
      <w:tr>
        <w:trPr>
          <w:trHeight w:val="148"/>
        </w:trPr>
        <w:tc>
          <w:tcPr>
            <w:tcW w:w="2860" w:type="dxa"/>
            <w:vAlign w:val="bottom"/>
          </w:tcPr>
          <w:p>
            <w:pPr>
              <w:ind w:left="180"/>
              <w:spacing w:after="0" w:line="149" w:lineRule="exact"/>
              <w:rPr>
                <w:sz w:val="20"/>
                <w:szCs w:val="20"/>
                <w:color w:val="auto"/>
              </w:rPr>
            </w:pPr>
            <w:r>
              <w:rPr>
                <w:rFonts w:ascii="Arial" w:cs="Arial" w:eastAsia="Arial" w:hAnsi="Arial"/>
                <w:sz w:val="14"/>
                <w:szCs w:val="14"/>
                <w:color w:val="auto"/>
              </w:rPr>
              <w:t>Change in Control Without Termination</w:t>
            </w:r>
          </w:p>
        </w:tc>
        <w:tc>
          <w:tcPr>
            <w:tcW w:w="116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14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168,672</w:t>
            </w: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44,054</w:t>
            </w:r>
          </w:p>
        </w:tc>
        <w:tc>
          <w:tcPr>
            <w:tcW w:w="10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1020" w:type="dxa"/>
            <w:vAlign w:val="bottom"/>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(0)</w:t>
            </w:r>
          </w:p>
        </w:tc>
        <w:tc>
          <w:tcPr>
            <w:tcW w:w="114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(0)</w:t>
            </w: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212,726</w:t>
            </w: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 in Control With Termination</w:t>
            </w:r>
          </w:p>
        </w:tc>
        <w:tc>
          <w:tcPr>
            <w:tcW w:w="116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1,615,000</w:t>
            </w:r>
          </w:p>
        </w:tc>
        <w:tc>
          <w:tcPr>
            <w:tcW w:w="114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168,672</w:t>
            </w: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44,054</w:t>
            </w:r>
          </w:p>
        </w:tc>
        <w:tc>
          <w:tcPr>
            <w:tcW w:w="10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(0)</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26,820</w:t>
            </w:r>
          </w:p>
        </w:tc>
        <w:tc>
          <w:tcPr>
            <w:tcW w:w="114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1,854,546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400" w:hanging="325"/>
        <w:spacing w:after="0" w:line="277"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zero (0) indicates either that there is no amount payable to the NEO, or the amount payable is generally available for both the NEOs and all salaried employees.</w:t>
      </w:r>
    </w:p>
    <w:p>
      <w:pPr>
        <w:spacing w:after="0" w:line="170" w:lineRule="exact"/>
        <w:rPr>
          <w:rFonts w:ascii="Arial" w:cs="Arial" w:eastAsia="Arial" w:hAnsi="Arial"/>
          <w:sz w:val="18"/>
          <w:szCs w:val="18"/>
          <w:color w:val="auto"/>
        </w:rPr>
      </w:pPr>
    </w:p>
    <w:p>
      <w:pPr>
        <w:ind w:left="400" w:hanging="325"/>
        <w:spacing w:after="0" w:line="277"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the EICP, (i) upon death or "Disability" annual cash incentive compensation is prorated to the date of the triggering event and based on actual performance and (ii) upon a "Change in Control" annual cash incentive compensation is paid at Target.</w:t>
      </w:r>
    </w:p>
    <w:p>
      <w:pPr>
        <w:spacing w:after="0" w:line="170" w:lineRule="exact"/>
        <w:rPr>
          <w:rFonts w:ascii="Arial" w:cs="Arial" w:eastAsia="Arial" w:hAnsi="Arial"/>
          <w:sz w:val="18"/>
          <w:szCs w:val="18"/>
          <w:color w:val="auto"/>
        </w:rPr>
      </w:pPr>
    </w:p>
    <w:p>
      <w:pPr>
        <w:ind w:left="400" w:hanging="325"/>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Number of Ordinary Shares vested valued at the closing price on December 31, 2020.</w:t>
      </w:r>
    </w:p>
    <w:p>
      <w:pPr>
        <w:spacing w:after="0" w:line="225" w:lineRule="exact"/>
        <w:rPr>
          <w:rFonts w:ascii="Arial" w:cs="Arial" w:eastAsia="Arial" w:hAnsi="Arial"/>
          <w:sz w:val="18"/>
          <w:szCs w:val="18"/>
          <w:color w:val="auto"/>
        </w:rPr>
      </w:pPr>
    </w:p>
    <w:p>
      <w:pPr>
        <w:ind w:left="400" w:hanging="325"/>
        <w:spacing w:after="0" w:line="277"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December 31, 2020, only Mr. Saligram had been granted PSUs and none of the performance measures for those PSUs had been attained and therefore none of the PSUs would have vested at that time.</w:t>
      </w:r>
    </w:p>
    <w:p>
      <w:pPr>
        <w:spacing w:after="0" w:line="170" w:lineRule="exact"/>
        <w:rPr>
          <w:rFonts w:ascii="Arial" w:cs="Arial" w:eastAsia="Arial" w:hAnsi="Arial"/>
          <w:sz w:val="18"/>
          <w:szCs w:val="18"/>
          <w:color w:val="auto"/>
        </w:rPr>
      </w:pPr>
    </w:p>
    <w:p>
      <w:pPr>
        <w:jc w:val="both"/>
        <w:ind w:left="400" w:hanging="325"/>
        <w:spacing w:after="0" w:line="255"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Mr. Saligram, amount represents the cash portion of his sign-on bonus paid upon commencement of employment that must be repaid in full if his employment is terminated other than for an involuntary termination "without Cause," a voluntary resignation for "Good Reason," or a termination due to death or "Disability" with the first 12 months of payment. For Mr. Jennings, amount represents the portions of his cash sign-on bonus and relocation allowance that must be repaid in full if he voluntarily resigns or is involuntarily terminated for "Cause" within the first 12 months of payment. For Mr. Weatherholt amount represents his cash sign-on bonus that must be repaid in full if he voluntarily resigns or is involuntarily terminated for "Cause" within the first 12 months of payment.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2020 Director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compensation paid to each of our independent directors for the year ended December 31, 2020. Information about Mr. Girishchandra K. Saligram, our President and Chief Executive Officer and Mr. Mark A. McCollum, our former President and Chief Executive Officer, can be found in "Item 6. – Executive Compensation – 2020 Summary Compensation Table" in this registration statement, which is incorporated herein by reference.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55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Fees Earned or Paid in Cash ($)</w:t>
            </w:r>
            <w:r>
              <w:rPr>
                <w:rFonts w:ascii="Arial" w:cs="Arial" w:eastAsia="Arial" w:hAnsi="Arial"/>
                <w:sz w:val="29"/>
                <w:szCs w:val="29"/>
                <w:b w:val="1"/>
                <w:bCs w:val="1"/>
                <w:color w:val="auto"/>
                <w:vertAlign w:val="superscript"/>
              </w:rPr>
              <w:t>(1)</w:t>
            </w: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55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Charles M. Sledge</w:t>
            </w:r>
            <w:r>
              <w:rPr>
                <w:rFonts w:ascii="Arial" w:cs="Arial" w:eastAsia="Arial" w:hAnsi="Arial"/>
                <w:sz w:val="28"/>
                <w:szCs w:val="28"/>
                <w:color w:val="auto"/>
                <w:vertAlign w:val="superscript"/>
              </w:rPr>
              <w:t>(2)</w:t>
            </w:r>
          </w:p>
        </w:tc>
        <w:tc>
          <w:tcPr>
            <w:tcW w:w="5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636,335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636,335</w:t>
            </w:r>
          </w:p>
        </w:tc>
        <w:tc>
          <w:tcPr>
            <w:tcW w:w="0" w:type="dxa"/>
            <w:vAlign w:val="bottom"/>
          </w:tcPr>
          <w:p>
            <w:pPr>
              <w:spacing w:after="0"/>
              <w:rPr>
                <w:sz w:val="1"/>
                <w:szCs w:val="1"/>
                <w:color w:val="auto"/>
              </w:rPr>
            </w:pPr>
          </w:p>
        </w:tc>
      </w:tr>
      <w:tr>
        <w:trPr>
          <w:trHeight w:val="257"/>
        </w:trPr>
        <w:tc>
          <w:tcPr>
            <w:tcW w:w="4520" w:type="dxa"/>
            <w:vAlign w:val="bottom"/>
          </w:tcPr>
          <w:p>
            <w:pPr>
              <w:spacing w:after="0" w:line="256" w:lineRule="exact"/>
              <w:rPr>
                <w:sz w:val="20"/>
                <w:szCs w:val="20"/>
                <w:color w:val="auto"/>
              </w:rPr>
            </w:pPr>
            <w:r>
              <w:rPr>
                <w:rFonts w:ascii="Arial" w:cs="Arial" w:eastAsia="Arial" w:hAnsi="Arial"/>
                <w:sz w:val="18"/>
                <w:szCs w:val="18"/>
                <w:color w:val="auto"/>
              </w:rPr>
              <w:t>Benjamin C. Duster, IV</w:t>
            </w:r>
            <w:r>
              <w:rPr>
                <w:rFonts w:ascii="Arial" w:cs="Arial" w:eastAsia="Arial" w:hAnsi="Arial"/>
                <w:sz w:val="29"/>
                <w:szCs w:val="29"/>
                <w:color w:val="auto"/>
                <w:vertAlign w:val="superscript"/>
              </w:rPr>
              <w:t>(3)</w:t>
            </w:r>
          </w:p>
        </w:tc>
        <w:tc>
          <w:tcPr>
            <w:tcW w:w="5540" w:type="dxa"/>
            <w:vAlign w:val="bottom"/>
          </w:tcPr>
          <w:p>
            <w:pPr>
              <w:jc w:val="right"/>
              <w:ind w:right="210"/>
              <w:spacing w:after="0"/>
              <w:rPr>
                <w:sz w:val="20"/>
                <w:szCs w:val="20"/>
                <w:color w:val="auto"/>
              </w:rPr>
            </w:pPr>
            <w:r>
              <w:rPr>
                <w:rFonts w:ascii="Arial" w:cs="Arial" w:eastAsia="Arial" w:hAnsi="Arial"/>
                <w:sz w:val="18"/>
                <w:szCs w:val="18"/>
                <w:color w:val="auto"/>
              </w:rPr>
              <w:t>380,366</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380,366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Jacqueline C. Mutschler</w:t>
            </w:r>
          </w:p>
        </w:tc>
        <w:tc>
          <w:tcPr>
            <w:tcW w:w="5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523,712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523,712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Neal P. Goldman</w:t>
            </w:r>
          </w:p>
        </w:tc>
        <w:tc>
          <w:tcPr>
            <w:tcW w:w="5540" w:type="dxa"/>
            <w:vAlign w:val="bottom"/>
          </w:tcPr>
          <w:p>
            <w:pPr>
              <w:jc w:val="right"/>
              <w:ind w:right="210"/>
              <w:spacing w:after="0"/>
              <w:rPr>
                <w:sz w:val="20"/>
                <w:szCs w:val="20"/>
                <w:color w:val="auto"/>
              </w:rPr>
            </w:pPr>
            <w:r>
              <w:rPr>
                <w:rFonts w:ascii="Arial" w:cs="Arial" w:eastAsia="Arial" w:hAnsi="Arial"/>
                <w:sz w:val="18"/>
                <w:szCs w:val="18"/>
                <w:color w:val="auto"/>
              </w:rPr>
              <w:t>534,379</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534,379</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Thomas R. Bates Jr.</w:t>
            </w:r>
            <w:r>
              <w:rPr>
                <w:rFonts w:ascii="Arial" w:cs="Arial" w:eastAsia="Arial" w:hAnsi="Arial"/>
                <w:sz w:val="29"/>
                <w:szCs w:val="29"/>
                <w:color w:val="auto"/>
                <w:vertAlign w:val="superscript"/>
              </w:rPr>
              <w:t>(4)</w:t>
            </w:r>
          </w:p>
        </w:tc>
        <w:tc>
          <w:tcPr>
            <w:tcW w:w="5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431,316</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431,316</w:t>
            </w:r>
          </w:p>
        </w:tc>
        <w:tc>
          <w:tcPr>
            <w:tcW w:w="0" w:type="dxa"/>
            <w:vAlign w:val="bottom"/>
          </w:tcPr>
          <w:p>
            <w:pPr>
              <w:spacing w:after="0"/>
              <w:rPr>
                <w:sz w:val="1"/>
                <w:szCs w:val="1"/>
                <w:color w:val="auto"/>
              </w:rPr>
            </w:pPr>
          </w:p>
        </w:tc>
      </w:tr>
      <w:tr>
        <w:trPr>
          <w:trHeight w:val="256"/>
        </w:trPr>
        <w:tc>
          <w:tcPr>
            <w:tcW w:w="4520" w:type="dxa"/>
            <w:vAlign w:val="bottom"/>
          </w:tcPr>
          <w:p>
            <w:pPr>
              <w:spacing w:after="0" w:line="256" w:lineRule="exact"/>
              <w:rPr>
                <w:sz w:val="20"/>
                <w:szCs w:val="20"/>
                <w:color w:val="auto"/>
              </w:rPr>
            </w:pPr>
            <w:r>
              <w:rPr>
                <w:rFonts w:ascii="Arial" w:cs="Arial" w:eastAsia="Arial" w:hAnsi="Arial"/>
                <w:sz w:val="18"/>
                <w:szCs w:val="18"/>
                <w:color w:val="auto"/>
              </w:rPr>
              <w:t>John F. Glick</w:t>
            </w:r>
            <w:r>
              <w:rPr>
                <w:rFonts w:ascii="Arial" w:cs="Arial" w:eastAsia="Arial" w:hAnsi="Arial"/>
                <w:sz w:val="29"/>
                <w:szCs w:val="29"/>
                <w:color w:val="auto"/>
                <w:vertAlign w:val="superscript"/>
              </w:rPr>
              <w:t>(4)</w:t>
            </w:r>
          </w:p>
        </w:tc>
        <w:tc>
          <w:tcPr>
            <w:tcW w:w="5540" w:type="dxa"/>
            <w:vAlign w:val="bottom"/>
          </w:tcPr>
          <w:p>
            <w:pPr>
              <w:jc w:val="right"/>
              <w:ind w:right="210"/>
              <w:spacing w:after="0"/>
              <w:rPr>
                <w:sz w:val="20"/>
                <w:szCs w:val="20"/>
                <w:color w:val="auto"/>
              </w:rPr>
            </w:pPr>
            <w:r>
              <w:rPr>
                <w:rFonts w:ascii="Arial" w:cs="Arial" w:eastAsia="Arial" w:hAnsi="Arial"/>
                <w:sz w:val="18"/>
                <w:szCs w:val="18"/>
                <w:color w:val="auto"/>
              </w:rPr>
              <w:t>301,859</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301,859</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Gordon T. Hall</w:t>
            </w:r>
            <w:r>
              <w:rPr>
                <w:rFonts w:ascii="Arial" w:cs="Arial" w:eastAsia="Arial" w:hAnsi="Arial"/>
                <w:sz w:val="29"/>
                <w:szCs w:val="29"/>
                <w:color w:val="auto"/>
                <w:vertAlign w:val="superscript"/>
              </w:rPr>
              <w:t>(4)</w:t>
            </w:r>
          </w:p>
        </w:tc>
        <w:tc>
          <w:tcPr>
            <w:tcW w:w="5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301,859</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83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Paid in Cash includes the annual $200,000 equity retainer converted to cash as described below for all directors, other than for the Non-Executive Chair of the Board for which the amount was $292,000.</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June 12, 2020, Mr. Sledge assumed the role of our Non-Executive Chair of the Board.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Appointed to the Board on June 16, 2020. Mr. Duster's compensation has been prorated to reflect his tenure in 2020.</w:t>
      </w:r>
    </w:p>
    <w:p>
      <w:pPr>
        <w:spacing w:after="0" w:line="22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At our 2020 Annual General Meeting held on June 12, 2020, each of Messrs. Bates, Glick, and Hall had more votes "against" his re-election to the Board than votes "for" his re-election. On June 12, 2020, in accordance with the Company's Articles, each of Messrs. Bates, Glick and Hall promptly tendered his resignation from the Board and the committees thereof, effective immediately, and the Board accepted such resignations.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Discussion of Director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we have used a combination of cash and share-based incentive compensation to attract and retain qualified candidates to serve on the Board. In setting independent director compensation, we consider the significant amount of time that directors expend in fulfilling their duties to the Company, including the number and location of meetings, as well as the level of knowledge and experience that we require of and expect from each member of our Board. Our C&amp;HR Committee is responsible for reviewing and structuring our compensation policy regarding fees and compensation paid and granted to our independent directors.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emergence from bankruptcy in December 2019, the newly appointed C&amp;HR Committee retained LB&amp;Co. as its independent compensation consultant to advise on executive and independent, non-employee director compensation matters. Following an analysis and comprehensive review of our non-employee director compensation program by LB&amp;Co., on the recommendation of the C&amp;HR Committee, the Board approved the following compensation structure for our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New</w:t>
            </w:r>
          </w:p>
        </w:tc>
      </w:tr>
      <w:tr>
        <w:trPr>
          <w:trHeight w:val="234"/>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Fee</w:t>
            </w:r>
          </w:p>
        </w:tc>
        <w:tc>
          <w:tcPr>
            <w:tcW w:w="2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Regular Director Board service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Regular Director Board service annual equity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Non-Executive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Non-Executive Chair annual equity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Audit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Human Resources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Compensation and Human Resources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Governance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Nominating and Governance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Safety, Environment and Sustainability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Safety, Environment and Sustainability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7,500</w:t>
            </w:r>
          </w:p>
        </w:tc>
      </w:tr>
    </w:tbl>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above covers up to 10 meetings per year for the full Board or any of its committees, respectively. An additional fee of $1,500 per meeting is paid to each director for meetings exceeding that threshold. Cash retainers are paid quarterly, in advance. Equity compensation is structured as grants of RSUs determined using the grant date fair value under ASC 718 with a grant date to be selected for the current grant and for future years. The RSUs will vest on the first anniversary of the grant date with accelerated vesting in the event of death, disability and change in control.</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13, 2020, in response to the global COVID-19 pandemic and the sudden drop in oil and gas prices in March 2020, the Company's non-employee directors voluntarily agreed to temporarily reduce their compensation in 2020. The annual cash retainer for Board service was temporarily reduced by $5,000 a quarter, equal to $20,000 annualized, effective July 1, 2020. All voluntary reductions were removed effective January 1, 2021. The annual equity retainer for non-employee directors granted on April 13, 2020 (the "Grant Date") in respect of the one-year period commencing on the Grant Date (the "Annual Grant Period") and the amount due in respect of the period served on the Board from December 13, 2019 through April 12, 2020, were each paid in cash in lieu of RSU grants, and the amount with respect to the Annual Grant Period is subject to pro rata clawback in the event a non-employee director voluntarily resigns from the Board prior to the one-year anniversary of the Grant Date.</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27, 2020, the Board established a special committee comprised of all of the independent, non-employee directors. The special committee was established, in part, to conduct a fulsome search process to identify a new Chief Executive Officer. Members of the special committee received a monthly cash fee of $25,000 and the Board temporarily suspended the additional $1,500 per meeting fee for any meetings in excess of 10 meetings in 2020. On December 31, 2020, the special committee was dissolved and the per meeting fee was reinstated for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implemented an ERM system to identify and evaluate varying levels of risk and their potential impact on the enterprise, as well as steps to further mitigate those risks. Management representatives of the ERM committee present quarterly to the Audit Committee and annually to the full Board. Therefore, the Board is responsible for the oversight of overall risk management for the Company, and the Audit Committee is responsible for financial and compliance reporting as well as risk assessment.</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assurance and compliance departments. The Audit Committee has established a pre-approval policy for all audit and non-audit services to be provided by our independent auditor, which was last reviewed and approved on February 25, 2021. This document is available on our website at www.weatherford.com, by clicking on "Investor Relations," then "Company Information," then "Corporate Governance," then "Corporate Documents," then selecting "Audit Committee Pre-Approval Policy."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 of the Audit Committee, to whom the Audit Committee has delegated pre-approval authority. The Chair of the Audit Committee must report any pre-approved decisions to the Audit Committee at its next scheduled meeting. During 2020, all audit and non-audit services performed by the independent auditor were subject to, and were approved pursuant to, the pre-approval policy.</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jc w:val="both"/>
        <w:ind w:firstLine="648"/>
        <w:spacing w:after="0" w:line="263" w:lineRule="auto"/>
        <w:rPr>
          <w:sz w:val="20"/>
          <w:szCs w:val="20"/>
          <w:color w:val="auto"/>
        </w:rPr>
      </w:pPr>
      <w:r>
        <w:rPr>
          <w:rFonts w:ascii="Arial" w:cs="Arial" w:eastAsia="Arial" w:hAnsi="Arial"/>
          <w:sz w:val="18"/>
          <w:szCs w:val="18"/>
          <w:color w:val="auto"/>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his monitoring.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and Governance Committee periodically provides oversight with respect to risks associated with our corporate governance policies and practices, including our Corporate Governance Principles. The Nominating and Governance Committee also oversees and reviews, on an annual basis, an evaluation of the Board, each of our Board committees, a director peer evaluation, and compliance with the Minimum Share Ownership Guidelines. The results of those evaluations are also considered as part of the Nominating and Governance Committee's recommendations for committee service and rotation, as appropriate.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C&amp;HR Committee reviews our compensation plans and practices to ensure they do not encourage excessive risk-taking and, instead, encourage behaviors that support sustainable value creation.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Safety, Environment and Sustainability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had no related transactions that we must disclose in this registration statement.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has adopted a policy regarding related person transactions as part of a comprehensive governance program. This policy regarding transactions between us or any of our affiliates and our employees, officers and directors is set forth in writing in our Corporate Governance Principles and our Code of Business Conduct. These documents are available on our website at www.weatherford.com, by clicking on "Investor Relations," then "Company Information," then "Corporate Governance," then "Corporate Documents," then selecting "Corporate Governance Principles" or "Code of Business Conduct," as applicable. We also have a Supplemental Code of Business Conduct that applies to our Chief Executive Officer, our Chief Financial Officer and our Chief Accounting Officer, which is available in the same location under "Supplemental Code of Conduct." The Board believes these documents promote the effective functioning of the Board, its committees and management. Accordingly, they are periodically reviewed and revised, as appropriate.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Chief Executive Officer and our Chief Executive Officer approves any transactions with any other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conjunction with any Nasdaq listing, the Board will affirmatively determine that each non-employee director is independent under the rules of Nasdaq and the SEC. As contemplated by Nasdaq rules, the Board will also adopt categorical standards to assist it in making independence determinations. These standards will be available on our website at www.weatherford.com, by clicking on "Investor Relations,"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has relationships relevant to an independence determination that were outside the scope of the Board's categorical standards.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48"/>
        <w:spacing w:after="0" w:line="259" w:lineRule="auto"/>
        <w:rPr>
          <w:sz w:val="20"/>
          <w:szCs w:val="20"/>
          <w:color w:val="auto"/>
        </w:rPr>
      </w:pPr>
      <w:r>
        <w:rPr>
          <w:rFonts w:ascii="Arial" w:cs="Arial" w:eastAsia="Arial" w:hAnsi="Arial"/>
          <w:sz w:val="18"/>
          <w:szCs w:val="18"/>
          <w:color w:val="auto"/>
        </w:rPr>
        <w:t>For additional detail on the independence of the members on each of our committees and their satisfaction of the required qualification standards for membership on those committees, see "Item 5. – Directors and Executive Officers - Additional Board Information - Independence" and "Item 5. – Directors, Executive Officers - Additional Board Information - Committee Member Qualifications" of this registration statement, which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17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information on the Cases, see "Part II – Item 8. – Financial Statements and Supplementary Data – Notes to Consolidated Financial Statements</w:t>
      </w:r>
    </w:p>
    <w:p>
      <w:pPr>
        <w:spacing w:after="0" w:line="46" w:lineRule="exact"/>
        <w:rPr>
          <w:rFonts w:ascii="Arial" w:cs="Arial" w:eastAsia="Arial" w:hAnsi="Arial"/>
          <w:sz w:val="16"/>
          <w:szCs w:val="16"/>
          <w:color w:val="auto"/>
        </w:rPr>
      </w:pPr>
    </w:p>
    <w:p>
      <w:pPr>
        <w:jc w:val="both"/>
        <w:ind w:left="660"/>
        <w:spacing w:after="0" w:line="253" w:lineRule="auto"/>
        <w:rPr>
          <w:rFonts w:ascii="Arial" w:cs="Arial" w:eastAsia="Arial" w:hAnsi="Arial"/>
          <w:sz w:val="16"/>
          <w:szCs w:val="16"/>
          <w:color w:val="auto"/>
        </w:rPr>
      </w:pPr>
      <w:r>
        <w:rPr>
          <w:rFonts w:ascii="Arial" w:cs="Arial" w:eastAsia="Arial" w:hAnsi="Arial"/>
          <w:sz w:val="18"/>
          <w:szCs w:val="18"/>
          <w:color w:val="auto"/>
        </w:rPr>
        <w:t>– Note 2 – Emergence from Chapter 11 Bankruptcy Proceedings" and "Part II – Item 8. – Financial Statements and Supplementary Data – Notes to Consolidated Financial Statements – Note 3 – Fresh Start Accounting" in the Form 10-K, which are incorporated herein by reference. See also "Explanatory Note" and "Item 1. – Business – Recent Developments – Reorganization and Emergence from Bankruptcy Proceedings" of this registration statement, which are incorporated herein by reference.</w:t>
      </w:r>
    </w:p>
    <w:p>
      <w:pPr>
        <w:spacing w:after="0" w:line="192"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are the subject of governmental and internal investigations related to alleged misconduct and violations of U.S. or International laws in the future, it could have a material adverse effect on our business, financial condition and results of operations. See "Part II – Item 8. – Financial Statements and Supplementary Data – Notes to Consolidated Financial Statements – Note 19 – Disputes, Litigation and Legal Contingencies" in the Form 10-K, which is incorporated herein by reference.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are subject to various on-going litigation, we do not believe it is probable that any of our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Market Price of and Dividends on the Registrant's Common Equity and Related Stockholder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17, 2020, the NYSE filed a Form 25 with the SEC. The delisting of our Ordinary Shares from the NYSE became effective on April 27, 2020. Our Ordinary Shares were deregistered under Section 12(b) of the Exchange Act on July 16, 2020. Our Ordinary Shares currently trade on the OTC Pink Marketplace under the ticker symbol "WFTLF". We currently expect to file a listing application to list our Ordinary Shares on Nasdaq under the symbol "WFRD". See also "Item 11. – Description of Registrant's Securities to be Registered" of this registration statement, which is incorporated herein by reference.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our Ordinary Share capitalization and Ordinary Share ownership, see "Item 11. – Description of Registrant's Securities to be Registered" in this registration statement, which is incorporated herein by reference.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part of our emergence from bankruptcy, outstanding awards under all predecessor equity incentive plans were cancelled, and pursuant to approval we received under the Plan, we adopted the 2019 EIP. The 2019 EIP permits the grant of options, Ordinary Share appreciation rights, restricted share awards, RSUs and other share-based and performance-based awards to any employee, consultant or non-employee director. The provisions of each award vary based on the type of award granted and are determined by the C&amp;HR Committee of our Board.</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2020, about the number of Ordinary Shares to be issued upon vesting or exercise of equity awards as well as the number of Ordinary Shares remaining available for issuance under the 2019 EIP.</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48"/>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w:t>
            </w:r>
          </w:p>
        </w:tc>
        <w:tc>
          <w:tcPr>
            <w:tcW w:w="5940" w:type="dxa"/>
            <w:vAlign w:val="bottom"/>
            <w:tcBorders>
              <w:bottom w:val="single" w:sz="8" w:color="auto"/>
            </w:tcBorders>
            <w:gridSpan w:val="3"/>
          </w:tcPr>
          <w:p>
            <w:pPr>
              <w:jc w:val="center"/>
              <w:ind w:left="2730"/>
              <w:spacing w:after="0"/>
              <w:rPr>
                <w:sz w:val="20"/>
                <w:szCs w:val="20"/>
                <w:color w:val="auto"/>
              </w:rPr>
            </w:pPr>
            <w:r>
              <w:rPr>
                <w:rFonts w:ascii="Arial" w:cs="Arial" w:eastAsia="Arial" w:hAnsi="Arial"/>
                <w:sz w:val="18"/>
                <w:szCs w:val="18"/>
                <w:b w:val="1"/>
                <w:bCs w:val="1"/>
                <w:color w:val="auto"/>
                <w:w w:val="91"/>
              </w:rPr>
              <w:t>Equity Compensation Plan Information</w:t>
            </w:r>
          </w:p>
        </w:tc>
        <w:tc>
          <w:tcPr>
            <w:tcW w:w="2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660" w:type="dxa"/>
            <w:vAlign w:val="bottom"/>
          </w:tcPr>
          <w:p>
            <w:pPr>
              <w:spacing w:after="0" w:line="191" w:lineRule="exact"/>
              <w:rPr>
                <w:sz w:val="20"/>
                <w:szCs w:val="20"/>
                <w:color w:val="auto"/>
              </w:rPr>
            </w:pPr>
            <w:r>
              <w:rPr>
                <w:rFonts w:ascii="Arial" w:cs="Arial" w:eastAsia="Arial" w:hAnsi="Arial"/>
                <w:sz w:val="18"/>
                <w:szCs w:val="18"/>
                <w:b w:val="1"/>
                <w:bCs w:val="1"/>
                <w:color w:val="auto"/>
              </w:rPr>
              <w:t>Category</w:t>
            </w:r>
          </w:p>
        </w:tc>
        <w:tc>
          <w:tcPr>
            <w:tcW w:w="3000" w:type="dxa"/>
            <w:vAlign w:val="bottom"/>
          </w:tcPr>
          <w:p>
            <w:pPr>
              <w:jc w:val="center"/>
              <w:ind w:left="70"/>
              <w:spacing w:after="0" w:line="191" w:lineRule="exact"/>
              <w:rPr>
                <w:sz w:val="20"/>
                <w:szCs w:val="20"/>
                <w:color w:val="auto"/>
              </w:rPr>
            </w:pPr>
            <w:r>
              <w:rPr>
                <w:rFonts w:ascii="Arial" w:cs="Arial" w:eastAsia="Arial" w:hAnsi="Arial"/>
                <w:sz w:val="18"/>
                <w:szCs w:val="18"/>
                <w:b w:val="1"/>
                <w:bCs w:val="1"/>
                <w:color w:val="auto"/>
                <w:w w:val="88"/>
              </w:rPr>
              <w:t>Numbers of Securities to be</w:t>
            </w:r>
          </w:p>
        </w:tc>
        <w:tc>
          <w:tcPr>
            <w:tcW w:w="260" w:type="dxa"/>
            <w:vAlign w:val="bottom"/>
          </w:tcPr>
          <w:p>
            <w:pPr>
              <w:spacing w:after="0"/>
              <w:rPr>
                <w:sz w:val="16"/>
                <w:szCs w:val="16"/>
                <w:color w:val="auto"/>
              </w:rPr>
            </w:pPr>
          </w:p>
        </w:tc>
        <w:tc>
          <w:tcPr>
            <w:tcW w:w="268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w w:val="88"/>
              </w:rPr>
              <w:t>Weighted Average Exercise</w:t>
            </w:r>
          </w:p>
        </w:tc>
        <w:tc>
          <w:tcPr>
            <w:tcW w:w="26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0"/>
              </w:rPr>
              <w:t>Number of Securities Available</w:t>
            </w:r>
          </w:p>
        </w:tc>
        <w:tc>
          <w:tcPr>
            <w:tcW w:w="0" w:type="dxa"/>
            <w:vAlign w:val="bottom"/>
          </w:tcPr>
          <w:p>
            <w:pPr>
              <w:spacing w:after="0"/>
              <w:rPr>
                <w:sz w:val="1"/>
                <w:szCs w:val="1"/>
                <w:color w:val="auto"/>
              </w:rPr>
            </w:pPr>
          </w:p>
        </w:tc>
      </w:tr>
      <w:tr>
        <w:trPr>
          <w:trHeight w:val="180"/>
        </w:trPr>
        <w:tc>
          <w:tcPr>
            <w:tcW w:w="2660" w:type="dxa"/>
            <w:vAlign w:val="bottom"/>
          </w:tcPr>
          <w:p>
            <w:pPr>
              <w:spacing w:after="0" w:line="181" w:lineRule="exact"/>
              <w:rPr>
                <w:sz w:val="20"/>
                <w:szCs w:val="20"/>
                <w:color w:val="auto"/>
              </w:rPr>
            </w:pPr>
            <w:r>
              <w:rPr>
                <w:rFonts w:ascii="Arial" w:cs="Arial" w:eastAsia="Arial" w:hAnsi="Arial"/>
                <w:sz w:val="18"/>
                <w:szCs w:val="18"/>
                <w:i w:val="1"/>
                <w:iCs w:val="1"/>
                <w:color w:val="auto"/>
              </w:rPr>
              <w:t>(Ordinary</w:t>
            </w:r>
          </w:p>
        </w:tc>
        <w:tc>
          <w:tcPr>
            <w:tcW w:w="3000" w:type="dxa"/>
            <w:vAlign w:val="bottom"/>
          </w:tcPr>
          <w:p>
            <w:pPr>
              <w:jc w:val="center"/>
              <w:ind w:left="70"/>
              <w:spacing w:after="0" w:line="181" w:lineRule="exact"/>
              <w:rPr>
                <w:sz w:val="20"/>
                <w:szCs w:val="20"/>
                <w:color w:val="auto"/>
              </w:rPr>
            </w:pPr>
            <w:r>
              <w:rPr>
                <w:rFonts w:ascii="Arial" w:cs="Arial" w:eastAsia="Arial" w:hAnsi="Arial"/>
                <w:sz w:val="18"/>
                <w:szCs w:val="18"/>
                <w:b w:val="1"/>
                <w:bCs w:val="1"/>
                <w:color w:val="auto"/>
                <w:w w:val="87"/>
              </w:rPr>
              <w:t>Issued Upon Exercise of</w:t>
            </w:r>
          </w:p>
        </w:tc>
        <w:tc>
          <w:tcPr>
            <w:tcW w:w="260" w:type="dxa"/>
            <w:vAlign w:val="bottom"/>
          </w:tcPr>
          <w:p>
            <w:pPr>
              <w:spacing w:after="0"/>
              <w:rPr>
                <w:sz w:val="15"/>
                <w:szCs w:val="15"/>
                <w:color w:val="auto"/>
              </w:rPr>
            </w:pPr>
          </w:p>
        </w:tc>
        <w:tc>
          <w:tcPr>
            <w:tcW w:w="2680" w:type="dxa"/>
            <w:vAlign w:val="bottom"/>
          </w:tcPr>
          <w:p>
            <w:pPr>
              <w:jc w:val="center"/>
              <w:ind w:right="390"/>
              <w:spacing w:after="0" w:line="181" w:lineRule="exact"/>
              <w:rPr>
                <w:sz w:val="20"/>
                <w:szCs w:val="20"/>
                <w:color w:val="auto"/>
              </w:rPr>
            </w:pPr>
            <w:r>
              <w:rPr>
                <w:rFonts w:ascii="Arial" w:cs="Arial" w:eastAsia="Arial" w:hAnsi="Arial"/>
                <w:sz w:val="18"/>
                <w:szCs w:val="18"/>
                <w:b w:val="1"/>
                <w:bCs w:val="1"/>
                <w:color w:val="auto"/>
                <w:w w:val="90"/>
              </w:rPr>
              <w:t>Price of Outstanding</w:t>
            </w: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i w:val="1"/>
                <w:iCs w:val="1"/>
                <w:color w:val="auto"/>
              </w:rPr>
              <w:t>Shares in</w:t>
            </w:r>
          </w:p>
        </w:tc>
        <w:tc>
          <w:tcPr>
            <w:tcW w:w="300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Outstanding Options,</w:t>
            </w:r>
          </w:p>
        </w:tc>
        <w:tc>
          <w:tcPr>
            <w:tcW w:w="260" w:type="dxa"/>
            <w:vAlign w:val="bottom"/>
          </w:tcPr>
          <w:p>
            <w:pPr>
              <w:spacing w:after="0"/>
              <w:rPr>
                <w:sz w:val="18"/>
                <w:szCs w:val="18"/>
                <w:color w:val="auto"/>
              </w:rPr>
            </w:pPr>
          </w:p>
        </w:tc>
        <w:tc>
          <w:tcPr>
            <w:tcW w:w="268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Options, Warrants and</w:t>
            </w:r>
          </w:p>
        </w:tc>
        <w:tc>
          <w:tcPr>
            <w:tcW w:w="2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for Future Issuance Under</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w:t>
            </w:r>
          </w:p>
        </w:tc>
        <w:tc>
          <w:tcPr>
            <w:tcW w:w="30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Warrants and Rights</w:t>
            </w:r>
          </w:p>
        </w:tc>
        <w:tc>
          <w:tcPr>
            <w:tcW w:w="26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Rights</w:t>
            </w:r>
          </w:p>
        </w:tc>
        <w:tc>
          <w:tcPr>
            <w:tcW w:w="2640" w:type="dxa"/>
            <w:vAlign w:val="bottom"/>
            <w:tcBorders>
              <w:bottom w:val="single" w:sz="8" w:color="auto"/>
            </w:tcBorders>
          </w:tcPr>
          <w:p>
            <w:pPr>
              <w:jc w:val="center"/>
              <w:ind w:right="70"/>
              <w:spacing w:after="0" w:line="270" w:lineRule="exact"/>
              <w:rPr>
                <w:sz w:val="20"/>
                <w:szCs w:val="20"/>
                <w:color w:val="auto"/>
              </w:rPr>
            </w:pPr>
            <w:r>
              <w:rPr>
                <w:rFonts w:ascii="Arial" w:cs="Arial" w:eastAsia="Arial" w:hAnsi="Arial"/>
                <w:sz w:val="18"/>
                <w:szCs w:val="18"/>
                <w:b w:val="1"/>
                <w:bCs w:val="1"/>
                <w:color w:val="auto"/>
                <w:w w:val="88"/>
              </w:rPr>
              <w:t>Equity Compensation Plans</w:t>
            </w:r>
            <w:r>
              <w:rPr>
                <w:rFonts w:ascii="Arial" w:cs="Arial" w:eastAsia="Arial" w:hAnsi="Arial"/>
                <w:sz w:val="29"/>
                <w:szCs w:val="29"/>
                <w:b w:val="1"/>
                <w:bCs w:val="1"/>
                <w:color w:val="auto"/>
                <w:w w:val="88"/>
                <w:vertAlign w:val="superscript"/>
              </w:rPr>
              <w:t>(1)</w:t>
            </w: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Equity compensation plans</w:t>
            </w:r>
            <w:r>
              <w:rPr>
                <w:rFonts w:ascii="Arial" w:cs="Arial" w:eastAsia="Arial" w:hAnsi="Arial"/>
                <w:sz w:val="28"/>
                <w:szCs w:val="28"/>
                <w:color w:val="auto"/>
                <w:vertAlign w:val="superscript"/>
              </w:rPr>
              <w:t>(2)</w:t>
            </w:r>
          </w:p>
        </w:tc>
        <w:tc>
          <w:tcPr>
            <w:tcW w:w="3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8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Excluding Ordinary Shares reflected in the first column of this table.</w:t>
      </w:r>
    </w:p>
    <w:p>
      <w:pPr>
        <w:spacing w:after="0" w:line="225" w:lineRule="exact"/>
        <w:rPr>
          <w:rFonts w:ascii="Arial" w:cs="Arial" w:eastAsia="Arial" w:hAnsi="Arial"/>
          <w:sz w:val="18"/>
          <w:szCs w:val="18"/>
          <w:color w:val="auto"/>
        </w:rPr>
      </w:pPr>
    </w:p>
    <w:p>
      <w:pPr>
        <w:ind w:right="20" w:firstLine="8"/>
        <w:spacing w:after="0" w:line="277" w:lineRule="auto"/>
        <w:tabs>
          <w:tab w:leader="none" w:pos="2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the 2019 EIP, the adoption of which was approved in connection with our emergence from bankruptcy in December 2019. The 2019 EIP was amended and restated in 2020.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as part of the emergence from bankruptcy, the Company issued Warrants to holders of our old Ordinary Shares to purchase up to an aggregate of 7,777,779 our new Ordinary Shares at an exercise price of $99.96 per Ordinary Share. The Warrants are equity classified and, upon issuance, have a value of $31 million, which was recorded in "Capital in Excess of Par Value." See "Item 10. – Recent Sales of Unregistered Securities" of this registration statement, which is incorporated herein by reference. These are Warrants issued pursuant to the Plan and were not issued pursuant to an equity compensation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stamp duty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Irish stamp duty (currently at the rate of 1% of the higher of the price paid or the market value of the shares acquired) may become payable in respect of transfers of our Ordinary Shares. However, a transfer of our Ordinary Shares from a seller who holds Ordinary Shares through the Depository Trust Company ("DTC") to a buyer who holds the acquired Ordinary Shares through DTC should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The person accountable for payment of stamp duty is generally the buyer or, in the case of a transfer by way of a gift or for less than market value, all parties to the transfer.</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(or a shareholder who holds Ordinary Shares through DTC may transfer those Ordinary Shares out of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for the sale of the related book-entry interest or the Ordinary Shares or an interest in the Ordinary Shares, as the case may be, by the shareholder to a third party being contemplated.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dividend withholding tax</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Dividends on our Ordinary Shares that are owned by residents of the U.S. and held beneficially through DTC will not be subject to dividend withholding tax ("DWT") provided that the address of the beneficial owner of the Ordinary Shares in the records of the broker is in the U.S. Dividends on our Ordinary Shares that are owned by residents of the U.S. and held directly (outside of DTC) will not be subject to DWT provided that the shareholder has completed the appropriate Irish DWT form and this form remains valid or provides a Certification of U.S. Tax Residency, or Form IRS 6166. Such shareholders must provide the appropriate Irish DWT form or Form IRS 6166 to our transfer agent at least seven business days before the record date for the first dividend payment to which they are entitled. If any shareholder who is resident in the U.S. receives a dividend subject to DWT, he or she should generally be able to make an application for a refund from the Irish Revenue Commissioners on the prescribed form (DWT Claim Form 1). While the U.S./Ireland Double Tax Treaty contains provisions regarding withholding tax, due to the wide scope of the exemptions from DWT available under Irish domestic law, it would generally be unnecessary for a U.S. resident shareholder to rely on the treaty provisions.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9" w:lineRule="auto"/>
        <w:rPr>
          <w:sz w:val="20"/>
          <w:szCs w:val="20"/>
          <w:color w:val="auto"/>
        </w:rPr>
      </w:pPr>
      <w:r>
        <w:rPr>
          <w:rFonts w:ascii="Arial" w:cs="Arial" w:eastAsia="Arial" w:hAnsi="Arial"/>
          <w:sz w:val="18"/>
          <w:szCs w:val="18"/>
          <w:color w:val="auto"/>
        </w:rPr>
        <w:t>Shareholders resident in EU countries (other than Ireland) or other countries with which Ireland has signed a tax treaty (whether the treaty has been ratified or not) generally should not be subject to Irish withholding tax so long as the shareholder has provided its broker, for onward transmission to our qualifying intermediary or other designated agent (in the case of shares held beneficially), or our or its transfer agent (in the case of shares held directly), with all the necessary documentation by the appropriate due date prior to payment of the dividend.</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certain limited circumstances dividends received by Irish residents and certain other shareholders may be subject to a residual charge to Irish income tax. A shareholder who is neither resident nor ordinarily resident in Ireland and who is entitled to an exemption from DWT generally has no additional liability to Irish income tax or to the universal social charge on a dividend from us. A shareholder who is neither resident nor ordinarily resident in Ireland and who is not entitled to an exemption from DWT generally has no additional liability to Irish income tax or to the universal social charge on a dividend from us. The DWT deducted by us discharges the liability to Irish income tax and to the universal social charge.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capital acquisitions tax</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Irish capital acquisitions tax ("CAT") is composed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Children have a tax-free threshold which Irish Revenue typically updates annually in respect of taxable gifts or inheritances received from their parents (currently at €335,000). Our shareholders should consult their own tax advisers as to whether CAT is creditable or deductible in computing any domestic tax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capital gains tax</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only Irish resident shareholders are subject to Irish capital gains tax ("CGT") on a disposal of their shares. A shareholder who is neither resident nor ordinarily resident in Ireland and does not hold our Ordinary Shares in connection with a trade or business carried on by such shareholder in Ireland through a branch or agency should not be within the charge to Irish CGT on a disposal of our Ordinary Shares. In circumstances where a charge to Irish CGT arises the rate of CGT is currently 33% of the gain.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Irish Restrictions on Import and Export of Capital</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212529"/>
        </w:rPr>
        <w:t>Except as indicated below, there are no restrictions imposed specifically on non-residents of Ireland dealing in Irish domestic securities, which includes ordinary shares of Irish companies. Dividends and redemption proceeds also continue to be freely transferable to non-resident holders of such securities. The Financial Transfers Act 1992 (of Ireland)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The Criminal Justice (Terrorist Offences) Act 2005 (as amended) (of Ireland) also gives the Minister of Finance of Ireland the power to take various measures, including the freezing or seizure of assets, in order to combat terrorism. At present the Financial Transfers Act 1992, certain EU regulations (as implemented into Irish law) and the Criminal Justice (Terrorist Offences) Act 2005 (as amended) (of Ireland) prohibit financial transfers involving certain persons and entities associated with the ISIL (Da'esh) and Al-Qaida organizations, the late Slobodan Milosevic and associated persons, Republic of Guinea-Bissau, Myanmar/Burma, Belarus, certain persons indicted by the International Criminal Tribunal for the former Yugoslavia, the late Osama bin Laden, Al-Qaida, the Taliban of Afghanistan, Democratic Republic of Congo, Democratic People's Republic of Korea (North Korea), Iran, Iraq, Côte d'Ivoire, Lebanon, Liberia, Zimbabwe, South Sudan, Sudan, Somalia, Republic of Guinea, Afghanistan, Egypt, Eritrea, Libya, Syria, Tunisia, Burundi, the Central African Republic, Ukraine, Yemen, Bosnia and Herzegovina, certain known terrorists and terrorist groups and countries that harbor certain terrorist groups, without the prior permission of the Central Bank of Ireland or the Minister of Finance of Ireland (as applicable).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63" w:lineRule="auto"/>
        <w:rPr>
          <w:sz w:val="20"/>
          <w:szCs w:val="20"/>
          <w:color w:val="auto"/>
        </w:rPr>
      </w:pPr>
      <w:r>
        <w:rPr>
          <w:rFonts w:ascii="Arial" w:cs="Arial" w:eastAsia="Arial" w:hAnsi="Arial"/>
          <w:sz w:val="18"/>
          <w:szCs w:val="18"/>
          <w:color w:val="212529"/>
        </w:rPr>
        <w:t>Any transfer of, or payment in respect of, a share or interest in a share involving the government of any country that is currently the subject of United Nations or EU sanctions, any person or body controlled by any of the foregoing, or by any person acting on behalf of the foregoing, may be subject to restrictions pursuant to such sanctions as implemented into Irish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Recent Sales of Unregistered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effectiveness of the Plan, all previously issued and outstanding equity interests in the Company were cancelled, and on the Effective Date the Company issued an aggregate of 69,999,954 new Ordinary Shares to the holders of the Company's existing senior notes and holders of old Ordinary Shares. In addition, the Company issued Warrants to purchase up to an aggregate of 7,777,779 new Ordinary Shares to holders of old Ordinary Shares, subject to adjustment as set forth in the Warrant Agreement. For additional details regarding the Warrants, see "Part II – Item 7. – Management's Discussion and Analysis of Financial Condition and Results of Operations" and "Part II – Item 8. – Financial Statements and Supplementary Data" of the Form 10-K, which are incorporated herein by reference.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issued in December 2019, the new Ordinary Shares and the Warrants were exempt from registration under the Securities Act, pursuant to Section 1145 of the Bankruptcy Code (which generally exempts from such registration requirements the issuance of securities under a plan of reorganization).</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April 17, 2020 we granted our now former Chief Financial Officer an equity-based award of RSUs for 68,966 Ordinary Shares under the 2019 EIP. On November 17, 2020 we granted our Chief Executive Officer an equity-based award of 169,491 PSUs and 169,491 RSUs under the 2019 EIP. In the first quater of 2021, we granted to certain of our employees equity-based awards of 913,371 RSUs, 941,953 PSUs and 1,342,247 phantom share units under the 2019 EIP. These securities were issued under the 2019 EIP without registration in reliance on the exemptions afforded by Section 4(a)(2) of the Securities Act and Rule 701 promulgated thereunder, as well as under analogous state "blue sky"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Description of Registrant's Securities to be Registered.</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following description of our Ordinary Shares is a summary. The complete text of our Articles have been filed as exhibits to our periodic reports filed with the SEC, and each are incorporated by reference as exhibits to this Form 10. Our authorized share capital is $1,356,000 divided into 1,356,000,000 Ordinary Shares of $0.001 each. As of March 19, 2021, there were approximately 75 shareholders of record and 70,120,153 Ordinary Shares issued and outstanding. The actual number of shareholders is considerably greater than the number of shareholders of record and includes shareholders who are beneficial owners but whose Ordinary Shares are held in street name by brokers and other nominees.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holder of our Ordinary Shares is entitled to one vote for each Ordinary Share registered in his or her name in the register of members (shareholders).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holder of our Ordinary Shares entitled to attend, speak and vote at a general meeting may appoint a proxy to attend, speak and vote on his or her behalf and may appoint more than one proxy to attend, speak and vote at the same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required to hold an Annual General Meeting in each calendar year at intervals of no more than 15 months from our previous Annual General Meeting and no more than nine months after our fiscal year-end. There is no legal requirement to hold general meetings in Ireland, except that where a general meeting of shareholders is held outside Ireland, the Company has a duty to make arrangements for shareholders of record to participate at the meeting by technological means without leaving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Director Elections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Directors may be appointed by our shareholders at the Annual General Meeting or at any extraordinary general meeting called for that purpose and by our Board in accordance with our Articles.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of our directors shall (unless his or her office is earlier vacated in accordance with our Articles) serve for a one-year term concluding on the latter of (i) the Annual General Meeting after such director was last appointed or re-appointed and (y) until his or her successor is elected and qualified.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director retiring at an Annual General Meeting will be eligible for re-appointment.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director shall be elected by a simple majority of the votes cast, in person or by proxy, at a general meeting of shareholders (referred to under Irish law as an ordinary resolution),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our Articles, in an uncontested election (where the number of director nominees does not exceed the number of directors to be elected), any nominee for election to the Board who is then serving as a director and who receives a greater number of "against" votes than "for" votes shall promptly tender his or her resignation following certification of the vote. The Board (excluding the director who has so tendered his or her resignation) is then obliged to consider the resignation offer and decide whether to accept or reject the resignation, or whether other action should be taken.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Ordinary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allot (issue) Ordinary Shares subject to the maximum authorized share capital contained in our Articles. The authorized maximum may be increased or reduced by an ordinary resolution of shareholders. We may from time to time issue Ordinary Shares with such preferred or deferred or other special rights or such restrictions, whether in regard to dividend, voting, return of capital or otherwise, as determined by an ordinary resolution of the shareholders.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Irish law, our Board may issue new Ordinary Shares having the rights provided for in our Articles without shareholder approval once authorized to do so by the Articles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We have been authorized in our Articles to issue new Ordinary Shares without shareholder approval for a period of five years ending December 9, 2024, up to an aggregate nominal value of $170,000 (170,000,000 Ordinary Shares) as follows:</w:t>
      </w:r>
    </w:p>
    <w:p>
      <w:pPr>
        <w:spacing w:after="0" w:line="176" w:lineRule="exact"/>
        <w:rPr>
          <w:sz w:val="20"/>
          <w:szCs w:val="20"/>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 to $83,000 (83,000,000 Ordinary Shares), together with any Ordinary Shares authorized for allotment pursuant to the authority detailed in the bullet point immediately below relating to our bankruptcy that were not allotted (or otherwise counted for the purposes of that authority), which may be allotted as our directors see fit;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up to $87,000 (87,000,000 Ordinary Shares) for the purposes of allotting relevant securities contemplated in (i) the examiner's scheme of arrangement under Part 10 of the Irish Companies Act approved by the Irish High Court on December 12, 2019 and (ii) the provisional liquidator's scheme of arrangement in respect of Weatherford International Ltd. pursuant to the Companies Act 1981 of Bermuda.</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that basis, taking account of Ordinary Shares that have been allotted or issued since December 10, 2019 or that are otherwise reserved for issuance, as of the date of this registration statement, our Board is authorized to issue an additional 83,622,267 Ordinary Shares without shareholder approval for the balance of the period of five years ending on December 9, 2024.</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when shares are to be issued for cash. As permitted under Irish law, we opted-out of these preemption rights in our Articles adopted at the time of emergence from bankruptcy in respect of the 170,000,000 Ordinary Shares our directors were authorized to allot pursuant to the allotment authority referenced above (of which, as referenced above, our Board remains, as of the date of this registration statement, authorized to issue an additional 83,622,267 Ordinary Shares without shareholder approval). Irish law requires this opt-out to be renewed at least every five years by a qualified 75% majority of the votes cast, in person or by proxy, at a general meeting of our shareholders at which a quorum is present (referred to under Irish law as a special resolution). A special resolution of the shareholders is also required for any increase in the number of shares covered by the opt-out. If the opt-out is not renewed, shares to be issued for cash must be offered to our existing shareholders on a pro rata basis to their existing shareholding before the shares may be issued to any new shareholders.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employee equity compensation plans.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Articles provide that, subject to the provisions contained therein relating to the allotment of new shares and the Irish Companies Act, our directors may allot, grant options over or otherwise dispose of them to such persons, on such terms and conditions and at such times as they may consider to be in the best interests of the Company and its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of Ordinary Shares are entitled to receive dividends which may be declared (i) at a general meeting of shareholders upon the recommendation of the Board or (ii) by the Board in such amount as appear to the directors to be justified by our profits, subject to applicable law.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Subject to the provisions of the Irish Companies Act as to preferential payments, upon winding up, our property shall be distributed among the members according to their rights and interests.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Ordinary Shares are currently trading on the OTC Pink Marketplace under the ticker symbol "WFTLF". We currently expect to file a listing application to list our Ordinary Shares on Nasdaq under the symbol "WFRD".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Indemnification of Directors and Officers.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exceptions, the Irish Companies Act contains limitations that do not permit a company to exempt a director or certain officers from, or indemnify a director against, liability in connection with any negligence, default, breach of duty or breach of trust by a director in relation to the Company.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Articles include a provision which, subject to the provisions of the Irish Companies Act as aforesaid, entitles every present and former director and other officer of the Company and each other person who is or was serving at the request of the Company as a director, officer, employee or agent of another company, or of a partnership, joint venture, trust or non-profit entity, including service with respect to employee benefit plans maintained or sponsored by the Company (including the heirs, executors, administrators and estates of such persons) to be indemnified and held harmless by the Company to the fullest extent permitted by law against all costs, charges, losses, expenses and liabilities incurred by him, or her, in the execution and discharge of his, or her, duties or in relation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jc w:val="both"/>
        <w:ind w:firstLine="648"/>
        <w:spacing w:after="0" w:line="293" w:lineRule="auto"/>
        <w:rPr>
          <w:sz w:val="20"/>
          <w:szCs w:val="20"/>
          <w:color w:val="auto"/>
        </w:rPr>
      </w:pPr>
      <w:r>
        <w:rPr>
          <w:rFonts w:ascii="Arial" w:cs="Arial" w:eastAsia="Arial" w:hAnsi="Arial"/>
          <w:sz w:val="16"/>
          <w:szCs w:val="16"/>
          <w:color w:val="auto"/>
        </w:rPr>
        <w:t>In addition, the Company and Weatherford International Ltd., a Bermuda exempted company and wholly-owned, indirect subsidiary of the Company have entered (and/or, if required, any other subsidiary of the Company may enter) into indemnification agreements (or deed poll indemnities) with or as to each of Company's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 The obligations of the Company under such agreements are also subject to the limitations on indemnification under Irish law as aforesaid.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permitted by Irish law, the Company has also taken out directors' and officers' liability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this Item 13 is contained within the section titled "Part II – Item 8. Financial Statements and Supplementary Data" in the Form 10-K,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Financial Statements and Exhibits.</w:t>
      </w:r>
    </w:p>
    <w:p>
      <w:pPr>
        <w:spacing w:after="0" w:line="229" w:lineRule="exact"/>
        <w:rPr>
          <w:sz w:val="20"/>
          <w:szCs w:val="20"/>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financial statements required by this Item 15 are contained within the section titled "Part II – Item 8. – Financial Statements and Supplementary Data" of the Form 10-K and are incorporated herein by reference:</w:t>
      </w:r>
    </w:p>
    <w:p>
      <w:pPr>
        <w:spacing w:after="0" w:line="170" w:lineRule="exact"/>
        <w:rPr>
          <w:rFonts w:ascii="Arial" w:cs="Arial" w:eastAsia="Arial" w:hAnsi="Arial"/>
          <w:sz w:val="18"/>
          <w:szCs w:val="18"/>
          <w:color w:val="auto"/>
        </w:rPr>
      </w:pPr>
    </w:p>
    <w:p>
      <w:pPr>
        <w:ind w:left="980" w:hanging="162"/>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pages </w:t>
      </w:r>
      <w:hyperlink r:id="rId111">
        <w:r>
          <w:rPr>
            <w:rFonts w:ascii="Arial" w:cs="Arial" w:eastAsia="Arial" w:hAnsi="Arial"/>
            <w:sz w:val="18"/>
            <w:szCs w:val="18"/>
            <w:u w:val="single" w:color="auto"/>
            <w:color w:val="0000EE"/>
          </w:rPr>
          <w:t>42 - 96 of the Form 10-K</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162"/>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r:id="rId111">
        <w:r>
          <w:rPr>
            <w:rFonts w:ascii="Arial" w:cs="Arial" w:eastAsia="Arial" w:hAnsi="Arial"/>
            <w:sz w:val="18"/>
            <w:szCs w:val="18"/>
            <w:u w:val="single" w:color="auto"/>
            <w:color w:val="0000EE"/>
          </w:rPr>
          <w:t>106 of the Form 10-K</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are all incorporated herein by reference to a prior SEC filing as indicated: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3"/>
              </w:rPr>
              <w:t>Exhibit</w:t>
            </w: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04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920" w:type="dxa"/>
            <w:vAlign w:val="bottom"/>
            <w:gridSpan w:val="11"/>
            <w:shd w:val="clear" w:color="auto" w:fill="CCEEFF"/>
          </w:tcPr>
          <w:p>
            <w:pPr>
              <w:ind w:left="100"/>
              <w:spacing w:after="0"/>
              <w:rPr>
                <w:sz w:val="20"/>
                <w:szCs w:val="20"/>
                <w:color w:val="auto"/>
              </w:rPr>
            </w:pPr>
            <w:r>
              <w:rPr>
                <w:rFonts w:ascii="Arial" w:cs="Arial" w:eastAsia="Arial" w:hAnsi="Arial"/>
                <w:sz w:val="18"/>
                <w:szCs w:val="18"/>
                <w:b w:val="1"/>
                <w:bCs w:val="1"/>
                <w:color w:val="auto"/>
              </w:rPr>
              <w:t>Description</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2"/>
              </w:rPr>
              <w:t>File Number</w:t>
            </w:r>
          </w:p>
        </w:tc>
      </w:tr>
      <w:tr>
        <w:trPr>
          <w:trHeight w:val="175"/>
        </w:trPr>
        <w:tc>
          <w:tcPr>
            <w:tcW w:w="10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5"/>
              </w:rPr>
              <w:t>3.1</w:t>
            </w:r>
          </w:p>
        </w:tc>
        <w:tc>
          <w:tcPr>
            <w:tcW w:w="5880" w:type="dxa"/>
            <w:vAlign w:val="bottom"/>
            <w:tcBorders>
              <w:bottom w:val="single" w:sz="8" w:color="0000EE"/>
            </w:tcBorders>
            <w:gridSpan w:val="9"/>
          </w:tcPr>
          <w:p>
            <w:pPr>
              <w:spacing w:after="0" w:line="17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Amended and Restated Memorandum and Articles of Association of Weatherford</w:t>
              </w:r>
            </w:hyperlink>
          </w:p>
        </w:tc>
        <w:tc>
          <w:tcPr>
            <w:tcW w:w="740" w:type="dxa"/>
            <w:vAlign w:val="bottom"/>
            <w:gridSpan w:val="5"/>
          </w:tcPr>
          <w:p>
            <w:pPr>
              <w:spacing w:after="0"/>
              <w:rPr>
                <w:sz w:val="15"/>
                <w:szCs w:val="15"/>
                <w:color w:val="auto"/>
              </w:rPr>
            </w:pPr>
          </w:p>
        </w:tc>
        <w:tc>
          <w:tcPr>
            <w:tcW w:w="2460" w:type="dxa"/>
            <w:vAlign w:val="bottom"/>
          </w:tcPr>
          <w:p>
            <w:pPr>
              <w:jc w:val="center"/>
              <w:spacing w:after="0" w:line="176" w:lineRule="exact"/>
              <w:rPr>
                <w:sz w:val="20"/>
                <w:szCs w:val="20"/>
                <w:color w:val="auto"/>
              </w:rPr>
            </w:pPr>
            <w:r>
              <w:rPr>
                <w:rFonts w:ascii="Arial" w:cs="Arial" w:eastAsia="Arial" w:hAnsi="Arial"/>
                <w:sz w:val="18"/>
                <w:szCs w:val="18"/>
                <w:color w:val="auto"/>
                <w:w w:val="93"/>
              </w:rPr>
              <w:t>Exhibit 3.1 of the</w:t>
            </w:r>
          </w:p>
        </w:tc>
        <w:tc>
          <w:tcPr>
            <w:tcW w:w="112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6"/>
              </w:rPr>
              <w:t>File No.</w:t>
            </w:r>
          </w:p>
        </w:tc>
      </w:tr>
      <w:tr>
        <w:trPr>
          <w:trHeight w:val="196"/>
        </w:trPr>
        <w:tc>
          <w:tcPr>
            <w:tcW w:w="1040" w:type="dxa"/>
            <w:vAlign w:val="bottom"/>
          </w:tcPr>
          <w:p>
            <w:pPr>
              <w:spacing w:after="0"/>
              <w:rPr>
                <w:sz w:val="17"/>
                <w:szCs w:val="17"/>
                <w:color w:val="auto"/>
              </w:rPr>
            </w:pPr>
          </w:p>
        </w:tc>
        <w:tc>
          <w:tcPr>
            <w:tcW w:w="6620" w:type="dxa"/>
            <w:vAlign w:val="bottom"/>
            <w:gridSpan w:val="1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International public limited company.</w:t>
              </w:r>
            </w:hyperlink>
          </w:p>
        </w:tc>
        <w:tc>
          <w:tcPr>
            <w:tcW w:w="2460" w:type="dxa"/>
            <w:vAlign w:val="bottom"/>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12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0"/>
              </w:rPr>
              <w:t>1-36504</w:t>
            </w:r>
          </w:p>
        </w:tc>
      </w:tr>
      <w:tr>
        <w:trPr>
          <w:trHeight w:val="222"/>
        </w:trPr>
        <w:tc>
          <w:tcPr>
            <w:tcW w:w="1040" w:type="dxa"/>
            <w:vAlign w:val="bottom"/>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filed December 18, 2019</w:t>
            </w:r>
          </w:p>
        </w:tc>
        <w:tc>
          <w:tcPr>
            <w:tcW w:w="1120" w:type="dxa"/>
            <w:vAlign w:val="bottom"/>
          </w:tcPr>
          <w:p>
            <w:pPr>
              <w:spacing w:after="0"/>
              <w:rPr>
                <w:sz w:val="20"/>
                <w:szCs w:val="20"/>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4.1</w:t>
            </w:r>
          </w:p>
        </w:tc>
        <w:tc>
          <w:tcPr>
            <w:tcW w:w="62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shd w:val="clear" w:color="auto" w:fill="CCEEFF"/>
              </w:rPr>
            </w:pPr>
            <w:hyperlink r:id="rId114">
              <w:r>
                <w:rPr>
                  <w:rFonts w:ascii="Arial" w:cs="Arial" w:eastAsia="Arial" w:hAnsi="Arial"/>
                  <w:sz w:val="18"/>
                  <w:szCs w:val="18"/>
                  <w:color w:val="0000EE"/>
                  <w:w w:val="89"/>
                  <w:shd w:val="clear" w:color="auto" w:fill="CCEEFF"/>
                </w:rPr>
                <w:t>Indenture, dated December 13, 2019, by and among Weatherford International Ltd., as</w:t>
              </w:r>
            </w:hyperlink>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4.1 of the Company's</w:t>
            </w:r>
          </w:p>
        </w:tc>
        <w:tc>
          <w:tcPr>
            <w:tcW w:w="11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6"/>
              </w:rPr>
              <w:t>File No.</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22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88"/>
                <w:shd w:val="clear" w:color="auto" w:fill="CCEEFF"/>
              </w:rPr>
            </w:pPr>
            <w:hyperlink r:id="rId114">
              <w:r>
                <w:rPr>
                  <w:rFonts w:ascii="Arial" w:cs="Arial" w:eastAsia="Arial" w:hAnsi="Arial"/>
                  <w:sz w:val="18"/>
                  <w:szCs w:val="18"/>
                  <w:color w:val="0000EE"/>
                  <w:w w:val="88"/>
                  <w:shd w:val="clear" w:color="auto" w:fill="CCEEFF"/>
                </w:rPr>
                <w:t>issuer, the guarantors thereto and Deutsche Bank Trust Company Americas, as trustee.</w:t>
              </w:r>
            </w:hyperlink>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Current</w:t>
            </w:r>
          </w:p>
        </w:tc>
        <w:tc>
          <w:tcPr>
            <w:tcW w:w="1120" w:type="dxa"/>
            <w:vAlign w:val="bottom"/>
            <w:tcBorders>
              <w:bottom w:val="single" w:sz="8" w:color="CCEEFF"/>
            </w:tcBorders>
            <w:shd w:val="clear" w:color="auto" w:fill="CCEEFF"/>
          </w:tcPr>
          <w:p>
            <w:pPr>
              <w:jc w:val="center"/>
              <w:ind w:left="30"/>
              <w:spacing w:after="0" w:line="196" w:lineRule="exact"/>
              <w:rPr>
                <w:sz w:val="20"/>
                <w:szCs w:val="20"/>
                <w:color w:val="auto"/>
              </w:rPr>
            </w:pPr>
            <w:r>
              <w:rPr>
                <w:rFonts w:ascii="Arial" w:cs="Arial" w:eastAsia="Arial" w:hAnsi="Arial"/>
                <w:sz w:val="18"/>
                <w:szCs w:val="18"/>
                <w:color w:val="auto"/>
                <w:w w:val="90"/>
              </w:rPr>
              <w:t>1-36504</w:t>
            </w:r>
          </w:p>
        </w:tc>
      </w:tr>
      <w:tr>
        <w:trPr>
          <w:trHeight w:val="222"/>
        </w:trPr>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shd w:val="clear" w:color="auto" w:fill="CCEEFF"/>
          </w:tcPr>
          <w:p>
            <w:pPr>
              <w:spacing w:after="0"/>
              <w:rPr>
                <w:sz w:val="19"/>
                <w:szCs w:val="19"/>
                <w:color w:val="auto"/>
              </w:rPr>
            </w:pPr>
          </w:p>
        </w:tc>
      </w:tr>
      <w:tr>
        <w:trPr>
          <w:trHeight w:val="230"/>
        </w:trPr>
        <w:tc>
          <w:tcPr>
            <w:tcW w:w="10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120" w:type="dxa"/>
            <w:vAlign w:val="bottom"/>
            <w:shd w:val="clear" w:color="auto" w:fill="CCEEFF"/>
          </w:tcPr>
          <w:p>
            <w:pPr>
              <w:spacing w:after="0"/>
              <w:rPr>
                <w:sz w:val="20"/>
                <w:szCs w:val="20"/>
                <w:color w:val="auto"/>
              </w:rPr>
            </w:pPr>
          </w:p>
        </w:tc>
      </w:tr>
      <w:tr>
        <w:trPr>
          <w:trHeight w:val="176"/>
        </w:trPr>
        <w:tc>
          <w:tcPr>
            <w:tcW w:w="10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5"/>
              </w:rPr>
              <w:t>4.2</w:t>
            </w:r>
          </w:p>
        </w:tc>
        <w:tc>
          <w:tcPr>
            <w:tcW w:w="6620" w:type="dxa"/>
            <w:vAlign w:val="bottom"/>
            <w:gridSpan w:val="14"/>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Form of Senior Note (included in Exhibit 4.1).</w:t>
              </w:r>
            </w:hyperlink>
          </w:p>
        </w:tc>
        <w:tc>
          <w:tcPr>
            <w:tcW w:w="2460" w:type="dxa"/>
            <w:vAlign w:val="bottom"/>
          </w:tcPr>
          <w:p>
            <w:pPr>
              <w:jc w:val="center"/>
              <w:spacing w:after="0" w:line="176" w:lineRule="exact"/>
              <w:rPr>
                <w:sz w:val="20"/>
                <w:szCs w:val="20"/>
                <w:color w:val="auto"/>
              </w:rPr>
            </w:pPr>
            <w:r>
              <w:rPr>
                <w:rFonts w:ascii="Arial" w:cs="Arial" w:eastAsia="Arial" w:hAnsi="Arial"/>
                <w:sz w:val="18"/>
                <w:szCs w:val="18"/>
                <w:color w:val="auto"/>
                <w:w w:val="93"/>
              </w:rPr>
              <w:t>Included in Exhibit 4.1 of the</w:t>
            </w:r>
          </w:p>
        </w:tc>
        <w:tc>
          <w:tcPr>
            <w:tcW w:w="112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1040" w:type="dxa"/>
            <w:vAlign w:val="bottom"/>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0"/>
              </w:rPr>
              <w:t>1-36504</w:t>
            </w: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filed December 18, 2019</w:t>
            </w:r>
          </w:p>
        </w:tc>
        <w:tc>
          <w:tcPr>
            <w:tcW w:w="1120" w:type="dxa"/>
            <w:vAlign w:val="bottom"/>
          </w:tcPr>
          <w:p>
            <w:pPr>
              <w:spacing w:after="0"/>
              <w:rPr>
                <w:sz w:val="20"/>
                <w:szCs w:val="20"/>
                <w:color w:val="auto"/>
              </w:rPr>
            </w:pPr>
          </w:p>
        </w:tc>
      </w:tr>
      <w:tr>
        <w:trPr>
          <w:trHeight w:val="176"/>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4.3</w:t>
            </w:r>
          </w:p>
        </w:tc>
        <w:tc>
          <w:tcPr>
            <w:tcW w:w="40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shd w:val="clear" w:color="auto" w:fill="CCEEFF"/>
              </w:rPr>
            </w:pPr>
            <w:hyperlink r:id="rId115">
              <w:r>
                <w:rPr>
                  <w:rFonts w:ascii="Arial" w:cs="Arial" w:eastAsia="Arial" w:hAnsi="Arial"/>
                  <w:sz w:val="18"/>
                  <w:szCs w:val="18"/>
                  <w:color w:val="0000EE"/>
                  <w:w w:val="92"/>
                  <w:shd w:val="clear" w:color="auto" w:fill="CCEEFF"/>
                </w:rPr>
                <w:t>Form of Warrant Certificate (included in Exhibit 10.31).</w:t>
              </w:r>
            </w:hyperlink>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Included in Exhibit 10.4 of the</w:t>
            </w:r>
          </w:p>
        </w:tc>
        <w:tc>
          <w:tcPr>
            <w:tcW w:w="11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1-36504</w:t>
            </w:r>
          </w:p>
        </w:tc>
      </w:tr>
      <w:tr>
        <w:trPr>
          <w:trHeight w:val="216"/>
        </w:trPr>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120" w:type="dxa"/>
            <w:vAlign w:val="bottom"/>
            <w:shd w:val="clear" w:color="auto" w:fill="CCEEFF"/>
          </w:tcPr>
          <w:p>
            <w:pPr>
              <w:spacing w:after="0"/>
              <w:rPr>
                <w:sz w:val="20"/>
                <w:szCs w:val="20"/>
                <w:color w:val="auto"/>
              </w:rPr>
            </w:pPr>
          </w:p>
        </w:tc>
      </w:tr>
      <w:tr>
        <w:trPr>
          <w:trHeight w:val="175"/>
        </w:trPr>
        <w:tc>
          <w:tcPr>
            <w:tcW w:w="10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5"/>
              </w:rPr>
              <w:t>4.4</w:t>
            </w:r>
          </w:p>
        </w:tc>
        <w:tc>
          <w:tcPr>
            <w:tcW w:w="6500" w:type="dxa"/>
            <w:vAlign w:val="bottom"/>
            <w:tcBorders>
              <w:bottom w:val="single" w:sz="8" w:color="0000EE"/>
            </w:tcBorders>
            <w:gridSpan w:val="13"/>
          </w:tcPr>
          <w:p>
            <w:pPr>
              <w:spacing w:after="0" w:line="17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Indenture, dated August 28, 2020, by and among Weatherford International Ltd., as issuer,</w:t>
              </w:r>
            </w:hyperlink>
          </w:p>
        </w:tc>
        <w:tc>
          <w:tcPr>
            <w:tcW w:w="120" w:type="dxa"/>
            <w:vAlign w:val="bottom"/>
          </w:tcPr>
          <w:p>
            <w:pPr>
              <w:spacing w:after="0"/>
              <w:rPr>
                <w:sz w:val="15"/>
                <w:szCs w:val="15"/>
                <w:color w:val="auto"/>
              </w:rPr>
            </w:pPr>
          </w:p>
        </w:tc>
        <w:tc>
          <w:tcPr>
            <w:tcW w:w="2460" w:type="dxa"/>
            <w:vAlign w:val="bottom"/>
          </w:tcPr>
          <w:p>
            <w:pPr>
              <w:jc w:val="center"/>
              <w:spacing w:after="0" w:line="176" w:lineRule="exact"/>
              <w:rPr>
                <w:sz w:val="20"/>
                <w:szCs w:val="20"/>
                <w:color w:val="auto"/>
              </w:rPr>
            </w:pPr>
            <w:r>
              <w:rPr>
                <w:rFonts w:ascii="Arial" w:cs="Arial" w:eastAsia="Arial" w:hAnsi="Arial"/>
                <w:sz w:val="18"/>
                <w:szCs w:val="18"/>
                <w:color w:val="auto"/>
                <w:w w:val="93"/>
              </w:rPr>
              <w:t>Exhibit 4.1 of the</w:t>
            </w:r>
          </w:p>
        </w:tc>
        <w:tc>
          <w:tcPr>
            <w:tcW w:w="112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6"/>
              </w:rPr>
              <w:t>File No.</w:t>
            </w:r>
          </w:p>
        </w:tc>
      </w:tr>
      <w:tr>
        <w:trPr>
          <w:trHeight w:val="196"/>
        </w:trPr>
        <w:tc>
          <w:tcPr>
            <w:tcW w:w="1040" w:type="dxa"/>
            <w:vAlign w:val="bottom"/>
          </w:tcPr>
          <w:p>
            <w:pPr>
              <w:spacing w:after="0"/>
              <w:rPr>
                <w:sz w:val="17"/>
                <w:szCs w:val="17"/>
                <w:color w:val="auto"/>
              </w:rPr>
            </w:pPr>
          </w:p>
        </w:tc>
        <w:tc>
          <w:tcPr>
            <w:tcW w:w="6620" w:type="dxa"/>
            <w:vAlign w:val="bottom"/>
            <w:gridSpan w:val="14"/>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the guarantors party thereto and Wilmington Trust, National Association, as trustee and</w:t>
              </w:r>
            </w:hyperlink>
          </w:p>
        </w:tc>
        <w:tc>
          <w:tcPr>
            <w:tcW w:w="2460" w:type="dxa"/>
            <w:vAlign w:val="bottom"/>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12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0"/>
              </w:rPr>
              <w:t>1-36504</w:t>
            </w:r>
          </w:p>
        </w:tc>
      </w:tr>
      <w:tr>
        <w:trPr>
          <w:trHeight w:val="196"/>
        </w:trPr>
        <w:tc>
          <w:tcPr>
            <w:tcW w:w="1040" w:type="dxa"/>
            <w:vAlign w:val="bottom"/>
          </w:tcPr>
          <w:p>
            <w:pPr>
              <w:spacing w:after="0"/>
              <w:rPr>
                <w:sz w:val="17"/>
                <w:szCs w:val="17"/>
                <w:color w:val="auto"/>
              </w:rPr>
            </w:pPr>
          </w:p>
        </w:tc>
        <w:tc>
          <w:tcPr>
            <w:tcW w:w="6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collateral agent.</w:t>
              </w:r>
            </w:hyperlink>
          </w:p>
        </w:tc>
        <w:tc>
          <w:tcPr>
            <w:tcW w:w="340" w:type="dxa"/>
            <w:vAlign w:val="bottom"/>
            <w:gridSpan w:val="2"/>
          </w:tcPr>
          <w:p>
            <w:pPr>
              <w:spacing w:after="0"/>
              <w:rPr>
                <w:sz w:val="17"/>
                <w:szCs w:val="17"/>
                <w:color w:val="auto"/>
              </w:rPr>
            </w:pPr>
          </w:p>
        </w:tc>
        <w:tc>
          <w:tcPr>
            <w:tcW w:w="2460" w:type="dxa"/>
            <w:vAlign w:val="bottom"/>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120" w:type="dxa"/>
            <w:vAlign w:val="bottom"/>
          </w:tcPr>
          <w:p>
            <w:pPr>
              <w:spacing w:after="0"/>
              <w:rPr>
                <w:sz w:val="17"/>
                <w:szCs w:val="17"/>
                <w:color w:val="auto"/>
              </w:rPr>
            </w:pPr>
          </w:p>
        </w:tc>
      </w:tr>
      <w:tr>
        <w:trPr>
          <w:trHeight w:val="237"/>
        </w:trPr>
        <w:tc>
          <w:tcPr>
            <w:tcW w:w="1040" w:type="dxa"/>
            <w:vAlign w:val="bottom"/>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2"/>
              </w:rPr>
              <w:t>filed August 28, 2020</w:t>
            </w:r>
          </w:p>
        </w:tc>
        <w:tc>
          <w:tcPr>
            <w:tcW w:w="1120" w:type="dxa"/>
            <w:vAlign w:val="bottom"/>
          </w:tcPr>
          <w:p>
            <w:pPr>
              <w:spacing w:after="0"/>
              <w:rPr>
                <w:sz w:val="20"/>
                <w:szCs w:val="20"/>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4.5</w:t>
            </w:r>
          </w:p>
        </w:tc>
        <w:tc>
          <w:tcPr>
            <w:tcW w:w="6620" w:type="dxa"/>
            <w:vAlign w:val="bottom"/>
            <w:gridSpan w:val="14"/>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Form of Senior Note (included in Exhibit 4.4).</w:t>
              </w:r>
            </w:hyperlink>
          </w:p>
        </w:tc>
        <w:tc>
          <w:tcPr>
            <w:tcW w:w="2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Included in Exhibit 4.1 of</w:t>
            </w:r>
          </w:p>
        </w:tc>
        <w:tc>
          <w:tcPr>
            <w:tcW w:w="112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0000EE"/>
            </w:tcBorders>
            <w:shd w:val="clear" w:color="auto" w:fill="CCEEFF"/>
          </w:tcPr>
          <w:p>
            <w:pPr>
              <w:spacing w:after="0"/>
              <w:rPr>
                <w:sz w:val="19"/>
                <w:szCs w:val="19"/>
                <w:color w:val="auto"/>
              </w:rPr>
            </w:pPr>
          </w:p>
        </w:tc>
        <w:tc>
          <w:tcPr>
            <w:tcW w:w="122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the Company's Current</w:t>
            </w:r>
          </w:p>
        </w:tc>
        <w:tc>
          <w:tcPr>
            <w:tcW w:w="112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1-36504</w:t>
            </w:r>
          </w:p>
        </w:tc>
      </w:tr>
      <w:tr>
        <w:trPr>
          <w:trHeight w:val="216"/>
        </w:trPr>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August 28, 2020</w:t>
            </w:r>
          </w:p>
        </w:tc>
        <w:tc>
          <w:tcPr>
            <w:tcW w:w="1120" w:type="dxa"/>
            <w:vAlign w:val="bottom"/>
            <w:shd w:val="clear" w:color="auto" w:fill="CCEEFF"/>
          </w:tcPr>
          <w:p>
            <w:pPr>
              <w:spacing w:after="0"/>
              <w:rPr>
                <w:sz w:val="20"/>
                <w:szCs w:val="20"/>
                <w:color w:val="auto"/>
              </w:rPr>
            </w:pPr>
          </w:p>
        </w:tc>
      </w:tr>
      <w:tr>
        <w:trPr>
          <w:trHeight w:val="432"/>
        </w:trPr>
        <w:tc>
          <w:tcPr>
            <w:tcW w:w="10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175"/>
        </w:trPr>
        <w:tc>
          <w:tcPr>
            <w:tcW w:w="10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5"/>
              </w:rPr>
              <w:t>*10.1</w:t>
            </w:r>
          </w:p>
        </w:tc>
        <w:tc>
          <w:tcPr>
            <w:tcW w:w="6140" w:type="dxa"/>
            <w:vAlign w:val="bottom"/>
            <w:tcBorders>
              <w:bottom w:val="single" w:sz="8" w:color="0000EE"/>
            </w:tcBorders>
            <w:gridSpan w:val="10"/>
          </w:tcPr>
          <w:p>
            <w:pPr>
              <w:spacing w:after="0" w:line="17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Employment Letter, dated March 3, 2017, between Weatherford International plc and</w:t>
              </w:r>
            </w:hyperlink>
          </w:p>
        </w:tc>
        <w:tc>
          <w:tcPr>
            <w:tcW w:w="480" w:type="dxa"/>
            <w:vAlign w:val="bottom"/>
            <w:gridSpan w:val="4"/>
          </w:tcPr>
          <w:p>
            <w:pPr>
              <w:spacing w:after="0"/>
              <w:rPr>
                <w:sz w:val="15"/>
                <w:szCs w:val="15"/>
                <w:color w:val="auto"/>
              </w:rPr>
            </w:pPr>
          </w:p>
        </w:tc>
        <w:tc>
          <w:tcPr>
            <w:tcW w:w="2460" w:type="dxa"/>
            <w:vAlign w:val="bottom"/>
          </w:tcPr>
          <w:p>
            <w:pPr>
              <w:jc w:val="center"/>
              <w:spacing w:after="0" w:line="176" w:lineRule="exact"/>
              <w:rPr>
                <w:sz w:val="20"/>
                <w:szCs w:val="20"/>
                <w:color w:val="auto"/>
              </w:rPr>
            </w:pPr>
            <w:r>
              <w:rPr>
                <w:rFonts w:ascii="Arial" w:cs="Arial" w:eastAsia="Arial" w:hAnsi="Arial"/>
                <w:sz w:val="18"/>
                <w:szCs w:val="18"/>
                <w:color w:val="auto"/>
                <w:w w:val="92"/>
              </w:rPr>
              <w:t>Exhibit 10.3 to the</w:t>
            </w:r>
          </w:p>
        </w:tc>
        <w:tc>
          <w:tcPr>
            <w:tcW w:w="112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6"/>
              </w:rPr>
              <w:t>File No.</w:t>
            </w:r>
          </w:p>
        </w:tc>
      </w:tr>
      <w:tr>
        <w:trPr>
          <w:trHeight w:val="196"/>
        </w:trPr>
        <w:tc>
          <w:tcPr>
            <w:tcW w:w="1040" w:type="dxa"/>
            <w:vAlign w:val="bottom"/>
          </w:tcPr>
          <w:p>
            <w:pPr>
              <w:spacing w:after="0"/>
              <w:rPr>
                <w:sz w:val="17"/>
                <w:szCs w:val="17"/>
                <w:color w:val="auto"/>
              </w:rPr>
            </w:pPr>
          </w:p>
        </w:tc>
        <w:tc>
          <w:tcPr>
            <w:tcW w:w="6620" w:type="dxa"/>
            <w:vAlign w:val="bottom"/>
            <w:gridSpan w:val="14"/>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Mark A. McCollum.</w:t>
              </w:r>
            </w:hyperlink>
          </w:p>
        </w:tc>
        <w:tc>
          <w:tcPr>
            <w:tcW w:w="2460" w:type="dxa"/>
            <w:vAlign w:val="bottom"/>
          </w:tcPr>
          <w:p>
            <w:pPr>
              <w:jc w:val="center"/>
              <w:spacing w:after="0" w:line="196" w:lineRule="exact"/>
              <w:rPr>
                <w:sz w:val="20"/>
                <w:szCs w:val="20"/>
                <w:color w:val="auto"/>
              </w:rPr>
            </w:pPr>
            <w:r>
              <w:rPr>
                <w:rFonts w:ascii="Arial" w:cs="Arial" w:eastAsia="Arial" w:hAnsi="Arial"/>
                <w:sz w:val="18"/>
                <w:szCs w:val="18"/>
                <w:color w:val="auto"/>
                <w:w w:val="91"/>
              </w:rPr>
              <w:t>Company's Quarterly</w:t>
            </w:r>
          </w:p>
        </w:tc>
        <w:tc>
          <w:tcPr>
            <w:tcW w:w="112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0"/>
              </w:rPr>
              <w:t>1-36504</w:t>
            </w:r>
          </w:p>
        </w:tc>
      </w:tr>
      <w:tr>
        <w:trPr>
          <w:trHeight w:val="222"/>
        </w:trPr>
        <w:tc>
          <w:tcPr>
            <w:tcW w:w="1040" w:type="dxa"/>
            <w:vAlign w:val="bottom"/>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Report on Form 10-Q</w:t>
            </w:r>
          </w:p>
        </w:tc>
        <w:tc>
          <w:tcPr>
            <w:tcW w:w="112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for the quarter ended</w:t>
            </w:r>
          </w:p>
        </w:tc>
        <w:tc>
          <w:tcPr>
            <w:tcW w:w="1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March 31, 2017 filed</w:t>
            </w:r>
          </w:p>
        </w:tc>
        <w:tc>
          <w:tcPr>
            <w:tcW w:w="11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April 28, 2017</w:t>
            </w:r>
          </w:p>
        </w:tc>
        <w:tc>
          <w:tcPr>
            <w:tcW w:w="1120" w:type="dxa"/>
            <w:vAlign w:val="bottom"/>
          </w:tcPr>
          <w:p>
            <w:pPr>
              <w:spacing w:after="0"/>
              <w:rPr>
                <w:sz w:val="20"/>
                <w:szCs w:val="20"/>
                <w:color w:val="auto"/>
              </w:rPr>
            </w:pPr>
          </w:p>
        </w:tc>
      </w:tr>
      <w:tr>
        <w:trPr>
          <w:trHeight w:val="176"/>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*10.2</w:t>
            </w:r>
          </w:p>
        </w:tc>
        <w:tc>
          <w:tcPr>
            <w:tcW w:w="55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shd w:val="clear" w:color="auto" w:fill="CCEEFF"/>
              </w:rPr>
            </w:pPr>
            <w:hyperlink r:id="rId118">
              <w:r>
                <w:rPr>
                  <w:rFonts w:ascii="Arial" w:cs="Arial" w:eastAsia="Arial" w:hAnsi="Arial"/>
                  <w:sz w:val="18"/>
                  <w:szCs w:val="18"/>
                  <w:color w:val="0000EE"/>
                  <w:w w:val="91"/>
                  <w:shd w:val="clear" w:color="auto" w:fill="CCEEFF"/>
                </w:rPr>
                <w:t>Offer Letter between Weatherford International Ltd. and Christian A. Garcia.</w:t>
              </w:r>
            </w:hyperlink>
          </w:p>
        </w:tc>
        <w:tc>
          <w:tcPr>
            <w:tcW w:w="1080" w:type="dxa"/>
            <w:vAlign w:val="bottom"/>
            <w:tcBorders>
              <w:bottom w:val="single" w:sz="8" w:color="CCEEFF"/>
            </w:tcBorders>
            <w:gridSpan w:val="6"/>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10.3 of the</w:t>
            </w:r>
          </w:p>
        </w:tc>
        <w:tc>
          <w:tcPr>
            <w:tcW w:w="11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Company's Annual</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1-36504</w:t>
            </w:r>
          </w:p>
        </w:tc>
      </w:tr>
      <w:tr>
        <w:trPr>
          <w:trHeight w:val="216"/>
        </w:trPr>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Report on Form 10-K</w:t>
            </w:r>
          </w:p>
        </w:tc>
        <w:tc>
          <w:tcPr>
            <w:tcW w:w="112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for the year ended</w:t>
            </w:r>
          </w:p>
        </w:tc>
        <w:tc>
          <w:tcPr>
            <w:tcW w:w="112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31, 2019</w:t>
            </w:r>
          </w:p>
        </w:tc>
        <w:tc>
          <w:tcPr>
            <w:tcW w:w="11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filed March 16, 2020</w:t>
            </w:r>
          </w:p>
        </w:tc>
        <w:tc>
          <w:tcPr>
            <w:tcW w:w="1120" w:type="dxa"/>
            <w:vAlign w:val="bottom"/>
            <w:shd w:val="clear" w:color="auto" w:fill="CCEEFF"/>
          </w:tcPr>
          <w:p>
            <w:pPr>
              <w:spacing w:after="0"/>
              <w:rPr>
                <w:sz w:val="20"/>
                <w:szCs w:val="20"/>
                <w:color w:val="auto"/>
              </w:rPr>
            </w:pPr>
          </w:p>
        </w:tc>
      </w:tr>
      <w:tr>
        <w:trPr>
          <w:trHeight w:val="176"/>
        </w:trPr>
        <w:tc>
          <w:tcPr>
            <w:tcW w:w="10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5"/>
              </w:rPr>
              <w:t>*10.3</w:t>
            </w:r>
          </w:p>
        </w:tc>
        <w:tc>
          <w:tcPr>
            <w:tcW w:w="6620" w:type="dxa"/>
            <w:vAlign w:val="bottom"/>
            <w:gridSpan w:val="14"/>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Letter Agreement with Karl Blanchard, dated June 10, 2020.</w:t>
              </w:r>
            </w:hyperlink>
          </w:p>
        </w:tc>
        <w:tc>
          <w:tcPr>
            <w:tcW w:w="2460" w:type="dxa"/>
            <w:vAlign w:val="bottom"/>
          </w:tcPr>
          <w:p>
            <w:pPr>
              <w:jc w:val="center"/>
              <w:spacing w:after="0" w:line="176" w:lineRule="exact"/>
              <w:rPr>
                <w:sz w:val="20"/>
                <w:szCs w:val="20"/>
                <w:color w:val="auto"/>
              </w:rPr>
            </w:pPr>
            <w:r>
              <w:rPr>
                <w:rFonts w:ascii="Arial" w:cs="Arial" w:eastAsia="Arial" w:hAnsi="Arial"/>
                <w:sz w:val="18"/>
                <w:szCs w:val="18"/>
                <w:color w:val="auto"/>
                <w:w w:val="94"/>
              </w:rPr>
              <w:t>Exhibit 10.6 of the</w:t>
            </w:r>
          </w:p>
        </w:tc>
        <w:tc>
          <w:tcPr>
            <w:tcW w:w="112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1040" w:type="dxa"/>
            <w:vAlign w:val="bottom"/>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Company's Quarterly</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0"/>
              </w:rPr>
              <w:t>1-36504</w:t>
            </w: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Report on Form 10-Q</w:t>
            </w:r>
          </w:p>
        </w:tc>
        <w:tc>
          <w:tcPr>
            <w:tcW w:w="1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for the quarter ended</w:t>
            </w:r>
          </w:p>
        </w:tc>
        <w:tc>
          <w:tcPr>
            <w:tcW w:w="1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June 30, 2020</w:t>
            </w:r>
          </w:p>
        </w:tc>
        <w:tc>
          <w:tcPr>
            <w:tcW w:w="11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2"/>
              </w:rPr>
              <w:t>filed August 14, 2020</w:t>
            </w:r>
          </w:p>
        </w:tc>
        <w:tc>
          <w:tcPr>
            <w:tcW w:w="1120" w:type="dxa"/>
            <w:vAlign w:val="bottom"/>
          </w:tcPr>
          <w:p>
            <w:pPr>
              <w:spacing w:after="0"/>
              <w:rPr>
                <w:sz w:val="20"/>
                <w:szCs w:val="20"/>
                <w:color w:val="auto"/>
              </w:rPr>
            </w:pPr>
          </w:p>
        </w:tc>
      </w:tr>
      <w:tr>
        <w:trPr>
          <w:trHeight w:val="183"/>
        </w:trPr>
        <w:tc>
          <w:tcPr>
            <w:tcW w:w="10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5"/>
              </w:rPr>
              <w:t>*10.4</w:t>
            </w:r>
          </w:p>
        </w:tc>
        <w:tc>
          <w:tcPr>
            <w:tcW w:w="4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shd w:val="clear" w:color="auto" w:fill="CCEEFF"/>
              </w:rPr>
            </w:pPr>
            <w:hyperlink r:id="rId120">
              <w:r>
                <w:rPr>
                  <w:rFonts w:ascii="Arial" w:cs="Arial" w:eastAsia="Arial" w:hAnsi="Arial"/>
                  <w:sz w:val="18"/>
                  <w:szCs w:val="18"/>
                  <w:color w:val="0000EE"/>
                  <w:w w:val="91"/>
                  <w:shd w:val="clear" w:color="auto" w:fill="CCEEFF"/>
                </w:rPr>
                <w:t>Offer Letter to H. Keith Jennings, dated August 6, 2020.</w:t>
              </w:r>
            </w:hyperlink>
          </w:p>
        </w:tc>
        <w:tc>
          <w:tcPr>
            <w:tcW w:w="2560" w:type="dxa"/>
            <w:vAlign w:val="bottom"/>
            <w:gridSpan w:val="8"/>
          </w:tcPr>
          <w:p>
            <w:pPr>
              <w:spacing w:after="0"/>
              <w:rPr>
                <w:sz w:val="15"/>
                <w:szCs w:val="15"/>
                <w:color w:val="auto"/>
              </w:rPr>
            </w:pPr>
          </w:p>
        </w:tc>
        <w:tc>
          <w:tcPr>
            <w:tcW w:w="2460" w:type="dxa"/>
            <w:vAlign w:val="bottom"/>
          </w:tcPr>
          <w:p>
            <w:pPr>
              <w:jc w:val="center"/>
              <w:spacing w:after="0" w:line="176" w:lineRule="exact"/>
              <w:rPr>
                <w:sz w:val="20"/>
                <w:szCs w:val="20"/>
                <w:color w:val="auto"/>
              </w:rPr>
            </w:pPr>
            <w:r>
              <w:rPr>
                <w:rFonts w:ascii="Arial" w:cs="Arial" w:eastAsia="Arial" w:hAnsi="Arial"/>
                <w:sz w:val="18"/>
                <w:szCs w:val="18"/>
                <w:color w:val="auto"/>
                <w:w w:val="94"/>
              </w:rPr>
              <w:t>Exhibit 10.4 of the</w:t>
            </w:r>
          </w:p>
        </w:tc>
        <w:tc>
          <w:tcPr>
            <w:tcW w:w="112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6"/>
              </w:rPr>
              <w:t>File No.</w:t>
            </w:r>
          </w:p>
        </w:tc>
      </w:tr>
      <w:tr>
        <w:trPr>
          <w:trHeight w:val="215"/>
        </w:trPr>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Company's Quarterly</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0"/>
              </w:rPr>
              <w:t>1-36504</w:t>
            </w:r>
          </w:p>
        </w:tc>
      </w:tr>
      <w:tr>
        <w:trPr>
          <w:trHeight w:val="230"/>
        </w:trPr>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Report on Form 10-Q</w:t>
            </w: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29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8"/>
          <w:szCs w:val="18"/>
          <w:color w:val="auto"/>
        </w:rPr>
        <w:t>for the quarter ended</w:t>
      </w:r>
    </w:p>
    <w:p>
      <w:pPr>
        <w:spacing w:after="0" w:line="9"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filed November 4,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95"/>
              </w:rPr>
              <w:t>*10.5</w:t>
            </w:r>
          </w:p>
        </w:tc>
        <w:tc>
          <w:tcPr>
            <w:tcW w:w="6560" w:type="dxa"/>
            <w:vAlign w:val="bottom"/>
            <w:gridSpan w:val="17"/>
          </w:tcPr>
          <w:p>
            <w:pPr>
              <w:spacing w:after="0"/>
              <w:rPr>
                <w:rFonts w:ascii="Arial" w:cs="Arial" w:eastAsia="Arial" w:hAnsi="Arial"/>
                <w:sz w:val="18"/>
                <w:szCs w:val="18"/>
                <w:color w:val="0000EE"/>
              </w:rPr>
            </w:pPr>
            <w:hyperlink r:id="rId123">
              <w:r>
                <w:rPr>
                  <w:rFonts w:ascii="Arial" w:cs="Arial" w:eastAsia="Arial" w:hAnsi="Arial"/>
                  <w:sz w:val="18"/>
                  <w:szCs w:val="18"/>
                  <w:color w:val="0000EE"/>
                </w:rPr>
                <w:t>Offer Letter to Girishchandra K. Saligram, dated September 9, 2020.</w:t>
              </w:r>
            </w:hyperlink>
          </w:p>
        </w:tc>
        <w:tc>
          <w:tcPr>
            <w:tcW w:w="2680" w:type="dxa"/>
            <w:vAlign w:val="bottom"/>
          </w:tcPr>
          <w:p>
            <w:pPr>
              <w:jc w:val="center"/>
              <w:spacing w:after="0"/>
              <w:rPr>
                <w:sz w:val="20"/>
                <w:szCs w:val="20"/>
                <w:color w:val="auto"/>
              </w:rPr>
            </w:pPr>
            <w:r>
              <w:rPr>
                <w:rFonts w:ascii="Arial" w:cs="Arial" w:eastAsia="Arial" w:hAnsi="Arial"/>
                <w:sz w:val="18"/>
                <w:szCs w:val="18"/>
                <w:color w:val="auto"/>
                <w:w w:val="94"/>
              </w:rPr>
              <w:t>Exhibit 10.5 of the</w:t>
            </w:r>
          </w:p>
        </w:tc>
        <w:tc>
          <w:tcPr>
            <w:tcW w:w="960" w:type="dxa"/>
            <w:vAlign w:val="bottom"/>
          </w:tcPr>
          <w:p>
            <w:pPr>
              <w:ind w:left="160"/>
              <w:spacing w:after="0"/>
              <w:rPr>
                <w:sz w:val="20"/>
                <w:szCs w:val="20"/>
                <w:color w:val="auto"/>
              </w:rPr>
            </w:pPr>
            <w:r>
              <w:rPr>
                <w:rFonts w:ascii="Arial" w:cs="Arial" w:eastAsia="Arial" w:hAnsi="Arial"/>
                <w:sz w:val="18"/>
                <w:szCs w:val="18"/>
                <w:color w:val="auto"/>
              </w:rPr>
              <w:t>File No.</w:t>
            </w:r>
          </w:p>
        </w:tc>
      </w:tr>
      <w:tr>
        <w:trPr>
          <w:trHeight w:val="222"/>
        </w:trPr>
        <w:tc>
          <w:tcPr>
            <w:tcW w:w="1040" w:type="dxa"/>
            <w:vAlign w:val="bottom"/>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3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Pr>
          <w:p>
            <w:pPr>
              <w:jc w:val="center"/>
              <w:ind w:right="10"/>
              <w:spacing w:after="0"/>
              <w:rPr>
                <w:sz w:val="20"/>
                <w:szCs w:val="20"/>
                <w:color w:val="auto"/>
              </w:rPr>
            </w:pPr>
            <w:r>
              <w:rPr>
                <w:rFonts w:ascii="Arial" w:cs="Arial" w:eastAsia="Arial" w:hAnsi="Arial"/>
                <w:sz w:val="18"/>
                <w:szCs w:val="18"/>
                <w:color w:val="auto"/>
                <w:w w:val="91"/>
              </w:rPr>
              <w:t>Company's Quarterly</w:t>
            </w:r>
          </w:p>
        </w:tc>
        <w:tc>
          <w:tcPr>
            <w:tcW w:w="960" w:type="dxa"/>
            <w:vAlign w:val="bottom"/>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Report on Form 10-Q</w:t>
            </w:r>
          </w:p>
        </w:tc>
        <w:tc>
          <w:tcPr>
            <w:tcW w:w="9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for the third quarter ended</w:t>
            </w:r>
          </w:p>
        </w:tc>
        <w:tc>
          <w:tcPr>
            <w:tcW w:w="9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September 30, 2020</w:t>
            </w:r>
          </w:p>
        </w:tc>
        <w:tc>
          <w:tcPr>
            <w:tcW w:w="96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filed November 4, 2020</w:t>
            </w:r>
          </w:p>
        </w:tc>
        <w:tc>
          <w:tcPr>
            <w:tcW w:w="960" w:type="dxa"/>
            <w:vAlign w:val="bottom"/>
          </w:tcPr>
          <w:p>
            <w:pPr>
              <w:spacing w:after="0"/>
              <w:rPr>
                <w:sz w:val="20"/>
                <w:szCs w:val="20"/>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*10.6</w:t>
            </w:r>
          </w:p>
        </w:tc>
        <w:tc>
          <w:tcPr>
            <w:tcW w:w="64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shd w:val="clear" w:color="auto" w:fill="CCEEFF"/>
              </w:rPr>
            </w:pPr>
            <w:hyperlink r:id="rId124">
              <w:r>
                <w:rPr>
                  <w:rFonts w:ascii="Arial" w:cs="Arial" w:eastAsia="Arial" w:hAnsi="Arial"/>
                  <w:sz w:val="18"/>
                  <w:szCs w:val="18"/>
                  <w:color w:val="0000EE"/>
                  <w:w w:val="91"/>
                  <w:shd w:val="clear" w:color="auto" w:fill="CCEEFF"/>
                </w:rPr>
                <w:t>Form of Deed of Indemnity of Weatherford International plc entered into by each director</w:t>
              </w:r>
            </w:hyperlink>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Exhibit 10.11 of the</w:t>
            </w:r>
          </w:p>
        </w:tc>
        <w:tc>
          <w:tcPr>
            <w:tcW w:w="96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2"/>
                <w:shd w:val="clear" w:color="auto" w:fill="CCEEFF"/>
              </w:rPr>
            </w:pPr>
            <w:hyperlink r:id="rId124">
              <w:r>
                <w:rPr>
                  <w:rFonts w:ascii="Arial" w:cs="Arial" w:eastAsia="Arial" w:hAnsi="Arial"/>
                  <w:sz w:val="18"/>
                  <w:szCs w:val="18"/>
                  <w:color w:val="0000EE"/>
                  <w:w w:val="92"/>
                  <w:shd w:val="clear" w:color="auto" w:fill="CCEEFF"/>
                </w:rPr>
                <w:t>of Weatherford International plc and each of the following executive officers of</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96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196"/>
        </w:trPr>
        <w:tc>
          <w:tcPr>
            <w:tcW w:w="1040" w:type="dxa"/>
            <w:vAlign w:val="bottom"/>
            <w:shd w:val="clear" w:color="auto" w:fill="CCEEFF"/>
          </w:tcPr>
          <w:p>
            <w:pPr>
              <w:spacing w:after="0"/>
              <w:rPr>
                <w:sz w:val="17"/>
                <w:szCs w:val="17"/>
                <w:color w:val="auto"/>
              </w:rPr>
            </w:pPr>
          </w:p>
        </w:tc>
        <w:tc>
          <w:tcPr>
            <w:tcW w:w="6360" w:type="dxa"/>
            <w:vAlign w:val="bottom"/>
            <w:gridSpan w:val="13"/>
            <w:shd w:val="clear" w:color="auto" w:fill="CCEEFF"/>
          </w:tcPr>
          <w:p>
            <w:pPr>
              <w:spacing w:after="0" w:line="196" w:lineRule="exact"/>
              <w:rPr>
                <w:rFonts w:ascii="Arial" w:cs="Arial" w:eastAsia="Arial" w:hAnsi="Arial"/>
                <w:sz w:val="18"/>
                <w:szCs w:val="18"/>
                <w:color w:val="0000EE"/>
                <w:w w:val="92"/>
                <w:shd w:val="clear" w:color="auto" w:fill="CCEEFF"/>
              </w:rPr>
            </w:pPr>
            <w:hyperlink r:id="rId124">
              <w:r>
                <w:rPr>
                  <w:rFonts w:ascii="Arial" w:cs="Arial" w:eastAsia="Arial" w:hAnsi="Arial"/>
                  <w:sz w:val="18"/>
                  <w:szCs w:val="18"/>
                  <w:color w:val="0000EE"/>
                  <w:w w:val="92"/>
                  <w:shd w:val="clear" w:color="auto" w:fill="CCEEFF"/>
                </w:rPr>
                <w:t>Weatherford International plc: Karl Blanchard (August 21, 2017), Scott C. Weatherholt</w:t>
              </w:r>
            </w:hyperlink>
          </w:p>
        </w:tc>
        <w:tc>
          <w:tcPr>
            <w:tcW w:w="12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Report on Form 8-K12B</w:t>
            </w:r>
          </w:p>
        </w:tc>
        <w:tc>
          <w:tcPr>
            <w:tcW w:w="960" w:type="dxa"/>
            <w:vAlign w:val="bottom"/>
            <w:shd w:val="clear" w:color="auto" w:fill="CCEEFF"/>
          </w:tcPr>
          <w:p>
            <w:pPr>
              <w:spacing w:after="0"/>
              <w:rPr>
                <w:sz w:val="17"/>
                <w:szCs w:val="17"/>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48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0"/>
                <w:shd w:val="clear" w:color="auto" w:fill="CCEEFF"/>
              </w:rPr>
            </w:pPr>
            <w:hyperlink r:id="rId124">
              <w:r>
                <w:rPr>
                  <w:rFonts w:ascii="Arial" w:cs="Arial" w:eastAsia="Arial" w:hAnsi="Arial"/>
                  <w:sz w:val="18"/>
                  <w:szCs w:val="18"/>
                  <w:color w:val="0000EE"/>
                  <w:w w:val="90"/>
                  <w:shd w:val="clear" w:color="auto" w:fill="CCEEFF"/>
                </w:rPr>
                <w:t>(July 23, 2020), H. Keith Jennings (September 18, 2020) and Girish K. Saligram (October</w:t>
              </w:r>
            </w:hyperlink>
          </w:p>
        </w:tc>
        <w:tc>
          <w:tcPr>
            <w:tcW w:w="20" w:type="dxa"/>
            <w:vAlign w:val="bottom"/>
            <w:tcBorders>
              <w:bottom w:val="single" w:sz="8" w:color="0000EE"/>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0"/>
              </w:rPr>
              <w:t>filed June 17, 2014</w:t>
            </w:r>
          </w:p>
        </w:tc>
        <w:tc>
          <w:tcPr>
            <w:tcW w:w="960" w:type="dxa"/>
            <w:vAlign w:val="bottom"/>
            <w:tcBorders>
              <w:bottom w:val="single" w:sz="8" w:color="CCEEFF"/>
            </w:tcBorders>
            <w:shd w:val="clear" w:color="auto" w:fill="CCEEFF"/>
          </w:tcPr>
          <w:p>
            <w:pPr>
              <w:spacing w:after="0"/>
              <w:rPr>
                <w:sz w:val="17"/>
                <w:szCs w:val="17"/>
                <w:color w:val="auto"/>
              </w:rPr>
            </w:pPr>
          </w:p>
        </w:tc>
      </w:tr>
      <w:tr>
        <w:trPr>
          <w:trHeight w:val="222"/>
        </w:trPr>
        <w:tc>
          <w:tcPr>
            <w:tcW w:w="10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6"/>
                <w:shd w:val="clear" w:color="auto" w:fill="CCEEFF"/>
              </w:rPr>
            </w:pPr>
            <w:hyperlink r:id="rId124">
              <w:r>
                <w:rPr>
                  <w:rFonts w:ascii="Arial" w:cs="Arial" w:eastAsia="Arial" w:hAnsi="Arial"/>
                  <w:sz w:val="18"/>
                  <w:szCs w:val="18"/>
                  <w:color w:val="0000EE"/>
                  <w:w w:val="86"/>
                  <w:shd w:val="clear" w:color="auto" w:fill="CCEEFF"/>
                </w:rPr>
                <w:t>12, 2020).</w:t>
              </w:r>
            </w:hyperlink>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175"/>
        </w:trPr>
        <w:tc>
          <w:tcPr>
            <w:tcW w:w="1040" w:type="dxa"/>
            <w:vAlign w:val="bottom"/>
            <w:tcBorders>
              <w:top w:val="single" w:sz="8" w:color="CCEEFF"/>
            </w:tcBorders>
          </w:tcPr>
          <w:p>
            <w:pPr>
              <w:jc w:val="center"/>
              <w:ind w:right="30"/>
              <w:spacing w:after="0" w:line="176" w:lineRule="exact"/>
              <w:rPr>
                <w:sz w:val="20"/>
                <w:szCs w:val="20"/>
                <w:color w:val="auto"/>
              </w:rPr>
            </w:pPr>
            <w:r>
              <w:rPr>
                <w:rFonts w:ascii="Arial" w:cs="Arial" w:eastAsia="Arial" w:hAnsi="Arial"/>
                <w:sz w:val="18"/>
                <w:szCs w:val="18"/>
                <w:color w:val="auto"/>
                <w:w w:val="95"/>
              </w:rPr>
              <w:t>*10.7</w:t>
            </w:r>
          </w:p>
        </w:tc>
        <w:tc>
          <w:tcPr>
            <w:tcW w:w="6480" w:type="dxa"/>
            <w:vAlign w:val="bottom"/>
            <w:tcBorders>
              <w:top w:val="single" w:sz="8" w:color="CCEEFF"/>
              <w:bottom w:val="single" w:sz="8" w:color="0000EE"/>
            </w:tcBorders>
            <w:gridSpan w:val="15"/>
          </w:tcPr>
          <w:p>
            <w:pPr>
              <w:spacing w:after="0" w:line="17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Form of Deed of Indemnity of Weatherford International Ltd entered into by each director</w:t>
              </w:r>
            </w:hyperlink>
          </w:p>
        </w:tc>
        <w:tc>
          <w:tcPr>
            <w:tcW w:w="80" w:type="dxa"/>
            <w:vAlign w:val="bottom"/>
            <w:tcBorders>
              <w:top w:val="single" w:sz="8" w:color="CCEEFF"/>
            </w:tcBorders>
            <w:gridSpan w:val="2"/>
          </w:tcPr>
          <w:p>
            <w:pPr>
              <w:spacing w:after="0"/>
              <w:rPr>
                <w:sz w:val="15"/>
                <w:szCs w:val="15"/>
                <w:color w:val="auto"/>
              </w:rPr>
            </w:pPr>
          </w:p>
        </w:tc>
        <w:tc>
          <w:tcPr>
            <w:tcW w:w="2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Exhibit 10.12 of the</w:t>
            </w:r>
          </w:p>
        </w:tc>
        <w:tc>
          <w:tcPr>
            <w:tcW w:w="960" w:type="dxa"/>
            <w:vAlign w:val="bottom"/>
            <w:tcBorders>
              <w:top w:val="single" w:sz="8" w:color="CCEEFF"/>
            </w:tcBorders>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tcPr>
          <w:p>
            <w:pPr>
              <w:spacing w:after="0"/>
              <w:rPr>
                <w:sz w:val="17"/>
                <w:szCs w:val="17"/>
                <w:color w:val="auto"/>
              </w:rPr>
            </w:pPr>
          </w:p>
        </w:tc>
        <w:tc>
          <w:tcPr>
            <w:tcW w:w="57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of Weatherford International plc and each of the following executive officers of</w:t>
              </w:r>
            </w:hyperlink>
          </w:p>
        </w:tc>
        <w:tc>
          <w:tcPr>
            <w:tcW w:w="840" w:type="dxa"/>
            <w:vAlign w:val="bottom"/>
            <w:gridSpan w:val="8"/>
          </w:tcPr>
          <w:p>
            <w:pPr>
              <w:spacing w:after="0"/>
              <w:rPr>
                <w:sz w:val="17"/>
                <w:szCs w:val="17"/>
                <w:color w:val="auto"/>
              </w:rPr>
            </w:pPr>
          </w:p>
        </w:tc>
        <w:tc>
          <w:tcPr>
            <w:tcW w:w="2680" w:type="dxa"/>
            <w:vAlign w:val="bottom"/>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960" w:type="dxa"/>
            <w:vAlign w:val="bottom"/>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196"/>
        </w:trPr>
        <w:tc>
          <w:tcPr>
            <w:tcW w:w="1040" w:type="dxa"/>
            <w:vAlign w:val="bottom"/>
          </w:tcPr>
          <w:p>
            <w:pPr>
              <w:spacing w:after="0"/>
              <w:rPr>
                <w:sz w:val="17"/>
                <w:szCs w:val="17"/>
                <w:color w:val="auto"/>
              </w:rPr>
            </w:pPr>
          </w:p>
        </w:tc>
        <w:tc>
          <w:tcPr>
            <w:tcW w:w="62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Weatherford International plc: Scott C. Weatherholt (July 23, 2020), H. Keith Jennings</w:t>
              </w:r>
            </w:hyperlink>
          </w:p>
        </w:tc>
        <w:tc>
          <w:tcPr>
            <w:tcW w:w="300" w:type="dxa"/>
            <w:vAlign w:val="bottom"/>
            <w:gridSpan w:val="5"/>
          </w:tcPr>
          <w:p>
            <w:pPr>
              <w:spacing w:after="0"/>
              <w:rPr>
                <w:sz w:val="17"/>
                <w:szCs w:val="17"/>
                <w:color w:val="auto"/>
              </w:rPr>
            </w:pPr>
          </w:p>
        </w:tc>
        <w:tc>
          <w:tcPr>
            <w:tcW w:w="2680" w:type="dxa"/>
            <w:vAlign w:val="bottom"/>
          </w:tcPr>
          <w:p>
            <w:pPr>
              <w:jc w:val="center"/>
              <w:spacing w:after="0" w:line="196" w:lineRule="exact"/>
              <w:rPr>
                <w:sz w:val="20"/>
                <w:szCs w:val="20"/>
                <w:color w:val="auto"/>
              </w:rPr>
            </w:pPr>
            <w:r>
              <w:rPr>
                <w:rFonts w:ascii="Arial" w:cs="Arial" w:eastAsia="Arial" w:hAnsi="Arial"/>
                <w:sz w:val="18"/>
                <w:szCs w:val="18"/>
                <w:color w:val="auto"/>
                <w:w w:val="92"/>
              </w:rPr>
              <w:t>Report on Form 8-K12B</w:t>
            </w:r>
          </w:p>
        </w:tc>
        <w:tc>
          <w:tcPr>
            <w:tcW w:w="9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560" w:type="dxa"/>
            <w:vAlign w:val="bottom"/>
            <w:gridSpan w:val="17"/>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(September 18, 2020) and Girishchandra K. Saligram (October 12, 2020).</w:t>
              </w:r>
            </w:hyperlink>
          </w:p>
        </w:tc>
        <w:tc>
          <w:tcPr>
            <w:tcW w:w="268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0"/>
              </w:rPr>
              <w:t>filed June 17, 2014</w:t>
            </w:r>
          </w:p>
        </w:tc>
        <w:tc>
          <w:tcPr>
            <w:tcW w:w="9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*10.8</w:t>
            </w:r>
          </w:p>
        </w:tc>
        <w:tc>
          <w:tcPr>
            <w:tcW w:w="626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Form of Change in Control Agreement entered into by each of the following executive</w:t>
              </w:r>
            </w:hyperlink>
          </w:p>
        </w:tc>
        <w:tc>
          <w:tcPr>
            <w:tcW w:w="300" w:type="dxa"/>
            <w:vAlign w:val="bottom"/>
            <w:tcBorders>
              <w:bottom w:val="single" w:sz="8" w:color="CCEEFF"/>
            </w:tcBorders>
            <w:gridSpan w:val="5"/>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10.1 of the Company's</w:t>
            </w:r>
          </w:p>
        </w:tc>
        <w:tc>
          <w:tcPr>
            <w:tcW w:w="96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shd w:val="clear" w:color="auto" w:fill="CCEEFF"/>
          </w:tcPr>
          <w:p>
            <w:pPr>
              <w:spacing w:after="0"/>
              <w:rPr>
                <w:sz w:val="17"/>
                <w:szCs w:val="17"/>
                <w:color w:val="auto"/>
              </w:rPr>
            </w:pPr>
          </w:p>
        </w:tc>
        <w:tc>
          <w:tcPr>
            <w:tcW w:w="6560" w:type="dxa"/>
            <w:vAlign w:val="bottom"/>
            <w:gridSpan w:val="17"/>
            <w:shd w:val="clear" w:color="auto" w:fill="CCEEFF"/>
          </w:tcPr>
          <w:p>
            <w:pPr>
              <w:spacing w:after="0" w:line="196" w:lineRule="exact"/>
              <w:rPr>
                <w:rFonts w:ascii="Arial" w:cs="Arial" w:eastAsia="Arial" w:hAnsi="Arial"/>
                <w:sz w:val="18"/>
                <w:szCs w:val="18"/>
                <w:color w:val="0000EE"/>
                <w:w w:val="96"/>
              </w:rPr>
            </w:pPr>
            <w:hyperlink r:id="rId126">
              <w:r>
                <w:rPr>
                  <w:rFonts w:ascii="Arial" w:cs="Arial" w:eastAsia="Arial" w:hAnsi="Arial"/>
                  <w:sz w:val="18"/>
                  <w:szCs w:val="18"/>
                  <w:color w:val="0000EE"/>
                  <w:w w:val="96"/>
                </w:rPr>
                <w:t>officers of Weatherford International plc: Karl Blanchard (August 21, 2017) and Stuart</w:t>
              </w:r>
            </w:hyperlink>
          </w:p>
        </w:tc>
        <w:tc>
          <w:tcPr>
            <w:tcW w:w="2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Current Report on Form 8-K filed</w:t>
            </w:r>
          </w:p>
        </w:tc>
        <w:tc>
          <w:tcPr>
            <w:tcW w:w="9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26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Fraser (April 15, 2018).</w:t>
              </w:r>
            </w:hyperlink>
          </w:p>
        </w:tc>
        <w:tc>
          <w:tcPr>
            <w:tcW w:w="300" w:type="dxa"/>
            <w:vAlign w:val="bottom"/>
            <w:tcBorders>
              <w:top w:val="single" w:sz="8" w:color="CCEEFF"/>
            </w:tcBorders>
            <w:gridSpan w:val="5"/>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December 15, 2016</w:t>
            </w:r>
          </w:p>
        </w:tc>
        <w:tc>
          <w:tcPr>
            <w:tcW w:w="960" w:type="dxa"/>
            <w:vAlign w:val="bottom"/>
            <w:tcBorders>
              <w:top w:val="single" w:sz="8" w:color="CCEEFF"/>
            </w:tcBorders>
            <w:shd w:val="clear" w:color="auto" w:fill="CCEEFF"/>
          </w:tcPr>
          <w:p>
            <w:pPr>
              <w:spacing w:after="0"/>
              <w:rPr>
                <w:sz w:val="17"/>
                <w:szCs w:val="17"/>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5"/>
              </w:rPr>
              <w:t>*10.9</w:t>
            </w:r>
          </w:p>
        </w:tc>
        <w:tc>
          <w:tcPr>
            <w:tcW w:w="5880" w:type="dxa"/>
            <w:vAlign w:val="bottom"/>
            <w:tcBorders>
              <w:bottom w:val="single" w:sz="8" w:color="0000EE"/>
            </w:tcBorders>
            <w:gridSpan w:val="11"/>
          </w:tcPr>
          <w:p>
            <w:pPr>
              <w:spacing w:after="0" w:line="17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Form of Amendment to Change in Control Agreement entered into by each of the</w:t>
              </w:r>
            </w:hyperlink>
          </w:p>
        </w:tc>
        <w:tc>
          <w:tcPr>
            <w:tcW w:w="680" w:type="dxa"/>
            <w:vAlign w:val="bottom"/>
            <w:gridSpan w:val="6"/>
          </w:tcPr>
          <w:p>
            <w:pPr>
              <w:spacing w:after="0"/>
              <w:rPr>
                <w:sz w:val="15"/>
                <w:szCs w:val="15"/>
                <w:color w:val="auto"/>
              </w:rPr>
            </w:pPr>
          </w:p>
        </w:tc>
        <w:tc>
          <w:tcPr>
            <w:tcW w:w="2680" w:type="dxa"/>
            <w:vAlign w:val="bottom"/>
          </w:tcPr>
          <w:p>
            <w:pPr>
              <w:jc w:val="center"/>
              <w:spacing w:after="0" w:line="176" w:lineRule="exact"/>
              <w:rPr>
                <w:sz w:val="20"/>
                <w:szCs w:val="20"/>
                <w:color w:val="auto"/>
              </w:rPr>
            </w:pPr>
            <w:r>
              <w:rPr>
                <w:rFonts w:ascii="Arial" w:cs="Arial" w:eastAsia="Arial" w:hAnsi="Arial"/>
                <w:sz w:val="18"/>
                <w:szCs w:val="18"/>
                <w:color w:val="auto"/>
                <w:w w:val="94"/>
              </w:rPr>
              <w:t>Exhibit 10.7 of the</w:t>
            </w:r>
          </w:p>
        </w:tc>
        <w:tc>
          <w:tcPr>
            <w:tcW w:w="960" w:type="dxa"/>
            <w:vAlign w:val="bottom"/>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tcPr>
          <w:p>
            <w:pPr>
              <w:spacing w:after="0"/>
              <w:rPr>
                <w:sz w:val="17"/>
                <w:szCs w:val="17"/>
                <w:color w:val="auto"/>
              </w:rPr>
            </w:pPr>
          </w:p>
        </w:tc>
        <w:tc>
          <w:tcPr>
            <w:tcW w:w="6560" w:type="dxa"/>
            <w:vAlign w:val="bottom"/>
            <w:gridSpan w:val="17"/>
          </w:tcPr>
          <w:p>
            <w:pPr>
              <w:spacing w:after="0" w:line="196" w:lineRule="exact"/>
              <w:rPr>
                <w:rFonts w:ascii="Arial" w:cs="Arial" w:eastAsia="Arial" w:hAnsi="Arial"/>
                <w:sz w:val="18"/>
                <w:szCs w:val="18"/>
                <w:color w:val="0000EE"/>
                <w:w w:val="95"/>
              </w:rPr>
            </w:pPr>
            <w:hyperlink r:id="rId127">
              <w:r>
                <w:rPr>
                  <w:rFonts w:ascii="Arial" w:cs="Arial" w:eastAsia="Arial" w:hAnsi="Arial"/>
                  <w:sz w:val="18"/>
                  <w:szCs w:val="18"/>
                  <w:color w:val="0000EE"/>
                  <w:w w:val="95"/>
                </w:rPr>
                <w:t>following executive officers of Weatherford International plc: Karl Blanchard and Stuart</w:t>
              </w:r>
            </w:hyperlink>
          </w:p>
        </w:tc>
        <w:tc>
          <w:tcPr>
            <w:tcW w:w="268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Company's Quarterly</w:t>
            </w:r>
          </w:p>
        </w:tc>
        <w:tc>
          <w:tcPr>
            <w:tcW w:w="960" w:type="dxa"/>
            <w:vAlign w:val="bottom"/>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Fraser, each such amendment effective as of December 13, 2019.</w:t>
              </w:r>
            </w:hyperlink>
          </w:p>
        </w:tc>
        <w:tc>
          <w:tcPr>
            <w:tcW w:w="200" w:type="dxa"/>
            <w:vAlign w:val="bottom"/>
            <w:gridSpan w:val="4"/>
          </w:tcPr>
          <w:p>
            <w:pPr>
              <w:spacing w:after="0"/>
              <w:rPr>
                <w:sz w:val="17"/>
                <w:szCs w:val="17"/>
                <w:color w:val="auto"/>
              </w:rPr>
            </w:pPr>
          </w:p>
        </w:tc>
        <w:tc>
          <w:tcPr>
            <w:tcW w:w="2680" w:type="dxa"/>
            <w:vAlign w:val="bottom"/>
          </w:tcPr>
          <w:p>
            <w:pPr>
              <w:jc w:val="center"/>
              <w:spacing w:after="0" w:line="196" w:lineRule="exact"/>
              <w:rPr>
                <w:sz w:val="20"/>
                <w:szCs w:val="20"/>
                <w:color w:val="auto"/>
              </w:rPr>
            </w:pPr>
            <w:r>
              <w:rPr>
                <w:rFonts w:ascii="Arial" w:cs="Arial" w:eastAsia="Arial" w:hAnsi="Arial"/>
                <w:sz w:val="18"/>
                <w:szCs w:val="18"/>
                <w:color w:val="auto"/>
                <w:w w:val="91"/>
              </w:rPr>
              <w:t>Report on Form 10-Q</w:t>
            </w:r>
          </w:p>
        </w:tc>
        <w:tc>
          <w:tcPr>
            <w:tcW w:w="960" w:type="dxa"/>
            <w:vAlign w:val="bottom"/>
          </w:tcPr>
          <w:p>
            <w:pPr>
              <w:spacing w:after="0"/>
              <w:rPr>
                <w:sz w:val="17"/>
                <w:szCs w:val="17"/>
                <w:color w:val="auto"/>
              </w:rPr>
            </w:pPr>
          </w:p>
        </w:tc>
      </w:tr>
      <w:tr>
        <w:trPr>
          <w:trHeight w:val="222"/>
        </w:trPr>
        <w:tc>
          <w:tcPr>
            <w:tcW w:w="1040" w:type="dxa"/>
            <w:vAlign w:val="bottom"/>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3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Pr>
          <w:p>
            <w:pPr>
              <w:jc w:val="center"/>
              <w:ind w:right="10"/>
              <w:spacing w:after="0"/>
              <w:rPr>
                <w:sz w:val="20"/>
                <w:szCs w:val="20"/>
                <w:color w:val="auto"/>
              </w:rPr>
            </w:pPr>
            <w:r>
              <w:rPr>
                <w:rFonts w:ascii="Arial" w:cs="Arial" w:eastAsia="Arial" w:hAnsi="Arial"/>
                <w:sz w:val="18"/>
                <w:szCs w:val="18"/>
                <w:color w:val="auto"/>
                <w:w w:val="89"/>
              </w:rPr>
              <w:t>for the quarter ended</w:t>
            </w:r>
          </w:p>
        </w:tc>
        <w:tc>
          <w:tcPr>
            <w:tcW w:w="96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7"/>
              </w:rPr>
              <w:t>June 30, 2020</w:t>
            </w:r>
          </w:p>
        </w:tc>
        <w:tc>
          <w:tcPr>
            <w:tcW w:w="96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filed August 14, 2020</w:t>
            </w:r>
          </w:p>
        </w:tc>
        <w:tc>
          <w:tcPr>
            <w:tcW w:w="960" w:type="dxa"/>
            <w:vAlign w:val="bottom"/>
          </w:tcPr>
          <w:p>
            <w:pPr>
              <w:spacing w:after="0"/>
              <w:rPr>
                <w:sz w:val="20"/>
                <w:szCs w:val="20"/>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*10.10</w:t>
            </w:r>
          </w:p>
        </w:tc>
        <w:tc>
          <w:tcPr>
            <w:tcW w:w="6560" w:type="dxa"/>
            <w:vAlign w:val="bottom"/>
            <w:gridSpan w:val="17"/>
            <w:shd w:val="clear" w:color="auto" w:fill="CCEEFF"/>
          </w:tcPr>
          <w:p>
            <w:pPr>
              <w:spacing w:after="0" w:line="176" w:lineRule="exact"/>
              <w:rPr>
                <w:rFonts w:ascii="Arial" w:cs="Arial" w:eastAsia="Arial" w:hAnsi="Arial"/>
                <w:sz w:val="18"/>
                <w:szCs w:val="18"/>
                <w:color w:val="0000EE"/>
              </w:rPr>
            </w:pPr>
            <w:hyperlink r:id="rId128">
              <w:r>
                <w:rPr>
                  <w:rFonts w:ascii="Arial" w:cs="Arial" w:eastAsia="Arial" w:hAnsi="Arial"/>
                  <w:sz w:val="18"/>
                  <w:szCs w:val="18"/>
                  <w:color w:val="0000EE"/>
                </w:rPr>
                <w:t>Weatherford International Change in Control Severance Plan.</w:t>
              </w:r>
            </w:hyperlink>
          </w:p>
        </w:tc>
        <w:tc>
          <w:tcPr>
            <w:tcW w:w="2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10.1 of the</w:t>
            </w:r>
          </w:p>
        </w:tc>
        <w:tc>
          <w:tcPr>
            <w:tcW w:w="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November 20, 2020</w:t>
            </w:r>
          </w:p>
        </w:tc>
        <w:tc>
          <w:tcPr>
            <w:tcW w:w="960" w:type="dxa"/>
            <w:vAlign w:val="bottom"/>
            <w:shd w:val="clear" w:color="auto" w:fill="CCEEFF"/>
          </w:tcPr>
          <w:p>
            <w:pPr>
              <w:spacing w:after="0"/>
              <w:rPr>
                <w:sz w:val="20"/>
                <w:szCs w:val="20"/>
                <w:color w:val="auto"/>
              </w:rPr>
            </w:pPr>
          </w:p>
        </w:tc>
      </w:tr>
      <w:tr>
        <w:trPr>
          <w:trHeight w:val="432"/>
        </w:trPr>
        <w:tc>
          <w:tcPr>
            <w:tcW w:w="10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175"/>
        </w:trPr>
        <w:tc>
          <w:tcPr>
            <w:tcW w:w="10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2"/>
              </w:rPr>
              <w:t>*10.11</w:t>
            </w:r>
          </w:p>
        </w:tc>
        <w:tc>
          <w:tcPr>
            <w:tcW w:w="6560" w:type="dxa"/>
            <w:vAlign w:val="bottom"/>
            <w:gridSpan w:val="17"/>
          </w:tcPr>
          <w:p>
            <w:pPr>
              <w:spacing w:after="0" w:line="176" w:lineRule="exact"/>
              <w:rPr>
                <w:rFonts w:ascii="Arial" w:cs="Arial" w:eastAsia="Arial" w:hAnsi="Arial"/>
                <w:sz w:val="18"/>
                <w:szCs w:val="18"/>
                <w:color w:val="0000EE"/>
              </w:rPr>
            </w:pPr>
            <w:hyperlink r:id="rId129">
              <w:r>
                <w:rPr>
                  <w:rFonts w:ascii="Arial" w:cs="Arial" w:eastAsia="Arial" w:hAnsi="Arial"/>
                  <w:sz w:val="18"/>
                  <w:szCs w:val="18"/>
                  <w:color w:val="0000EE"/>
                </w:rPr>
                <w:t>2019 Executive Bonus Plan.</w:t>
              </w:r>
            </w:hyperlink>
          </w:p>
        </w:tc>
        <w:tc>
          <w:tcPr>
            <w:tcW w:w="2680" w:type="dxa"/>
            <w:vAlign w:val="bottom"/>
          </w:tcPr>
          <w:p>
            <w:pPr>
              <w:jc w:val="center"/>
              <w:spacing w:after="0" w:line="176" w:lineRule="exact"/>
              <w:rPr>
                <w:sz w:val="20"/>
                <w:szCs w:val="20"/>
                <w:color w:val="auto"/>
              </w:rPr>
            </w:pPr>
            <w:r>
              <w:rPr>
                <w:rFonts w:ascii="Arial" w:cs="Arial" w:eastAsia="Arial" w:hAnsi="Arial"/>
                <w:sz w:val="18"/>
                <w:szCs w:val="18"/>
                <w:color w:val="auto"/>
                <w:w w:val="94"/>
              </w:rPr>
              <w:t>Exhibit 99.1 of the</w:t>
            </w:r>
          </w:p>
        </w:tc>
        <w:tc>
          <w:tcPr>
            <w:tcW w:w="960" w:type="dxa"/>
            <w:vAlign w:val="bottom"/>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Company's Current</w:t>
            </w:r>
          </w:p>
        </w:tc>
        <w:tc>
          <w:tcPr>
            <w:tcW w:w="960" w:type="dxa"/>
            <w:vAlign w:val="bottom"/>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3"/>
              </w:rPr>
              <w:t>Report on Form 8-K</w:t>
            </w:r>
          </w:p>
        </w:tc>
        <w:tc>
          <w:tcPr>
            <w:tcW w:w="96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Pr>
          <w:p>
            <w:pPr>
              <w:jc w:val="center"/>
              <w:ind w:right="10"/>
              <w:spacing w:after="0"/>
              <w:rPr>
                <w:sz w:val="20"/>
                <w:szCs w:val="20"/>
                <w:color w:val="auto"/>
              </w:rPr>
            </w:pPr>
            <w:r>
              <w:rPr>
                <w:rFonts w:ascii="Arial" w:cs="Arial" w:eastAsia="Arial" w:hAnsi="Arial"/>
                <w:sz w:val="18"/>
                <w:szCs w:val="18"/>
                <w:color w:val="auto"/>
                <w:w w:val="96"/>
              </w:rPr>
              <w:t>filed April 2, 2019</w:t>
            </w:r>
          </w:p>
        </w:tc>
        <w:tc>
          <w:tcPr>
            <w:tcW w:w="960" w:type="dxa"/>
            <w:vAlign w:val="bottom"/>
          </w:tcPr>
          <w:p>
            <w:pPr>
              <w:spacing w:after="0"/>
              <w:rPr>
                <w:sz w:val="20"/>
                <w:szCs w:val="20"/>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*10.12</w:t>
            </w:r>
          </w:p>
        </w:tc>
        <w:tc>
          <w:tcPr>
            <w:tcW w:w="6560" w:type="dxa"/>
            <w:vAlign w:val="bottom"/>
            <w:gridSpan w:val="17"/>
            <w:shd w:val="clear" w:color="auto" w:fill="CCEEFF"/>
          </w:tcPr>
          <w:p>
            <w:pPr>
              <w:spacing w:after="0" w:line="176" w:lineRule="exact"/>
              <w:rPr>
                <w:rFonts w:ascii="Arial" w:cs="Arial" w:eastAsia="Arial" w:hAnsi="Arial"/>
                <w:sz w:val="18"/>
                <w:szCs w:val="18"/>
                <w:color w:val="0000EE"/>
              </w:rPr>
            </w:pPr>
            <w:hyperlink r:id="rId130">
              <w:r>
                <w:rPr>
                  <w:rFonts w:ascii="Arial" w:cs="Arial" w:eastAsia="Arial" w:hAnsi="Arial"/>
                  <w:sz w:val="18"/>
                  <w:szCs w:val="18"/>
                  <w:color w:val="0000EE"/>
                </w:rPr>
                <w:t>Form of Retention Award.</w:t>
              </w:r>
            </w:hyperlink>
          </w:p>
        </w:tc>
        <w:tc>
          <w:tcPr>
            <w:tcW w:w="2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99.2 of the Company's</w:t>
            </w:r>
          </w:p>
        </w:tc>
        <w:tc>
          <w:tcPr>
            <w:tcW w:w="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36"/>
        </w:trPr>
        <w:tc>
          <w:tcPr>
            <w:tcW w:w="104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0000EE"/>
            </w:tcBorders>
            <w:shd w:val="clear" w:color="auto" w:fill="CCEEFF"/>
          </w:tcPr>
          <w:p>
            <w:pPr>
              <w:spacing w:after="0"/>
              <w:rPr>
                <w:sz w:val="20"/>
                <w:szCs w:val="20"/>
                <w:color w:val="auto"/>
              </w:rPr>
            </w:pPr>
          </w:p>
        </w:tc>
        <w:tc>
          <w:tcPr>
            <w:tcW w:w="98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3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68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5"/>
              </w:rPr>
              <w:t>Form 8-K filed April 2, 2019</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175"/>
        </w:trPr>
        <w:tc>
          <w:tcPr>
            <w:tcW w:w="10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2"/>
              </w:rPr>
              <w:t>*10.13</w:t>
            </w:r>
          </w:p>
        </w:tc>
        <w:tc>
          <w:tcPr>
            <w:tcW w:w="6560" w:type="dxa"/>
            <w:vAlign w:val="bottom"/>
            <w:gridSpan w:val="17"/>
          </w:tcPr>
          <w:p>
            <w:pPr>
              <w:spacing w:after="0" w:line="176" w:lineRule="exact"/>
              <w:rPr>
                <w:rFonts w:ascii="Arial" w:cs="Arial" w:eastAsia="Arial" w:hAnsi="Arial"/>
                <w:sz w:val="18"/>
                <w:szCs w:val="18"/>
                <w:color w:val="0000EE"/>
              </w:rPr>
            </w:pPr>
            <w:hyperlink r:id="rId131">
              <w:r>
                <w:rPr>
                  <w:rFonts w:ascii="Arial" w:cs="Arial" w:eastAsia="Arial" w:hAnsi="Arial"/>
                  <w:sz w:val="18"/>
                  <w:szCs w:val="18"/>
                  <w:color w:val="0000EE"/>
                </w:rPr>
                <w:t>Executive Non-Equity Incentive Compensation Plan (as Amended and Restated).</w:t>
              </w:r>
            </w:hyperlink>
          </w:p>
        </w:tc>
        <w:tc>
          <w:tcPr>
            <w:tcW w:w="2680" w:type="dxa"/>
            <w:vAlign w:val="bottom"/>
          </w:tcPr>
          <w:p>
            <w:pPr>
              <w:jc w:val="center"/>
              <w:spacing w:after="0" w:line="176" w:lineRule="exact"/>
              <w:rPr>
                <w:sz w:val="20"/>
                <w:szCs w:val="20"/>
                <w:color w:val="auto"/>
              </w:rPr>
            </w:pPr>
            <w:r>
              <w:rPr>
                <w:rFonts w:ascii="Arial" w:cs="Arial" w:eastAsia="Arial" w:hAnsi="Arial"/>
                <w:sz w:val="18"/>
                <w:szCs w:val="18"/>
                <w:color w:val="auto"/>
                <w:w w:val="94"/>
              </w:rPr>
              <w:t>Exhibit 10.2 of the</w:t>
            </w:r>
          </w:p>
        </w:tc>
        <w:tc>
          <w:tcPr>
            <w:tcW w:w="960" w:type="dxa"/>
            <w:vAlign w:val="bottom"/>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3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0"/>
              </w:rPr>
              <w:t>Company's Current</w:t>
            </w:r>
          </w:p>
        </w:tc>
        <w:tc>
          <w:tcPr>
            <w:tcW w:w="960" w:type="dxa"/>
            <w:vAlign w:val="bottom"/>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3"/>
              </w:rPr>
              <w:t>Report on Form 8-K</w:t>
            </w:r>
          </w:p>
        </w:tc>
        <w:tc>
          <w:tcPr>
            <w:tcW w:w="96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6"/>
              </w:rPr>
              <w:t>filed April 15, 2020</w:t>
            </w:r>
          </w:p>
        </w:tc>
        <w:tc>
          <w:tcPr>
            <w:tcW w:w="9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*10.14</w:t>
            </w:r>
          </w:p>
        </w:tc>
        <w:tc>
          <w:tcPr>
            <w:tcW w:w="646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Weatherford International plc Second Amended and Restated 2019 Equity Incentive Plan,</w:t>
              </w:r>
            </w:hyperlink>
          </w:p>
        </w:tc>
        <w:tc>
          <w:tcPr>
            <w:tcW w:w="24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Exhibit 10.6 of the</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File No.</w:t>
            </w:r>
          </w:p>
        </w:tc>
      </w:tr>
      <w:tr>
        <w:trPr>
          <w:trHeight w:val="196"/>
        </w:trPr>
        <w:tc>
          <w:tcPr>
            <w:tcW w:w="1040" w:type="dxa"/>
            <w:vAlign w:val="bottom"/>
            <w:shd w:val="clear" w:color="auto" w:fill="CCEEFF"/>
          </w:tcPr>
          <w:p>
            <w:pPr>
              <w:spacing w:after="0"/>
              <w:rPr>
                <w:sz w:val="17"/>
                <w:szCs w:val="17"/>
                <w:color w:val="auto"/>
              </w:rPr>
            </w:pPr>
          </w:p>
        </w:tc>
        <w:tc>
          <w:tcPr>
            <w:tcW w:w="6700" w:type="dxa"/>
            <w:vAlign w:val="bottom"/>
            <w:gridSpan w:val="12"/>
            <w:shd w:val="clear" w:color="auto" w:fill="CCEEFF"/>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dated October 30, 2020.</w:t>
              </w:r>
            </w:hyperlink>
          </w:p>
        </w:tc>
        <w:tc>
          <w:tcPr>
            <w:tcW w:w="2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Company's Quarterly</w:t>
            </w:r>
          </w:p>
        </w:tc>
        <w:tc>
          <w:tcPr>
            <w:tcW w:w="11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1-36504</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Report on Form 10-Q</w:t>
            </w:r>
          </w:p>
        </w:tc>
        <w:tc>
          <w:tcPr>
            <w:tcW w:w="1120" w:type="dxa"/>
            <w:vAlign w:val="bottom"/>
            <w:tcBorders>
              <w:top w:val="single" w:sz="8" w:color="CCEEFF"/>
            </w:tcBorders>
            <w:shd w:val="clear" w:color="auto" w:fill="CCEEFF"/>
          </w:tcPr>
          <w:p>
            <w:pPr>
              <w:spacing w:after="0"/>
              <w:rPr>
                <w:sz w:val="19"/>
                <w:szCs w:val="19"/>
                <w:color w:val="auto"/>
              </w:rPr>
            </w:pP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 the quarter ended</w:t>
            </w:r>
          </w:p>
        </w:tc>
        <w:tc>
          <w:tcPr>
            <w:tcW w:w="112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September 30, 2020 filed</w:t>
            </w:r>
          </w:p>
        </w:tc>
        <w:tc>
          <w:tcPr>
            <w:tcW w:w="11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4, 2020</w:t>
            </w:r>
          </w:p>
        </w:tc>
        <w:tc>
          <w:tcPr>
            <w:tcW w:w="1120" w:type="dxa"/>
            <w:vAlign w:val="bottom"/>
            <w:shd w:val="clear" w:color="auto" w:fill="CCEEFF"/>
          </w:tcPr>
          <w:p>
            <w:pPr>
              <w:spacing w:after="0"/>
              <w:rPr>
                <w:sz w:val="20"/>
                <w:szCs w:val="20"/>
                <w:color w:val="auto"/>
              </w:rPr>
            </w:pPr>
          </w:p>
        </w:tc>
      </w:tr>
      <w:tr>
        <w:trPr>
          <w:trHeight w:val="175"/>
        </w:trPr>
        <w:tc>
          <w:tcPr>
            <w:tcW w:w="104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*10.15</w:t>
            </w:r>
          </w:p>
        </w:tc>
        <w:tc>
          <w:tcPr>
            <w:tcW w:w="6700" w:type="dxa"/>
            <w:vAlign w:val="bottom"/>
            <w:gridSpan w:val="12"/>
          </w:tcPr>
          <w:p>
            <w:pPr>
              <w:spacing w:after="0" w:line="176" w:lineRule="exact"/>
              <w:rPr>
                <w:rFonts w:ascii="Arial" w:cs="Arial" w:eastAsia="Arial" w:hAnsi="Arial"/>
                <w:sz w:val="18"/>
                <w:szCs w:val="18"/>
                <w:color w:val="0000EE"/>
              </w:rPr>
            </w:pPr>
            <w:hyperlink r:id="rId134">
              <w:r>
                <w:rPr>
                  <w:rFonts w:ascii="Arial" w:cs="Arial" w:eastAsia="Arial" w:hAnsi="Arial"/>
                  <w:sz w:val="18"/>
                  <w:szCs w:val="18"/>
                  <w:color w:val="0000EE"/>
                </w:rPr>
                <w:t>Form of Christian A. Garcia Award Agreement.</w:t>
              </w:r>
            </w:hyperlink>
          </w:p>
        </w:tc>
        <w:tc>
          <w:tcPr>
            <w:tcW w:w="2380" w:type="dxa"/>
            <w:vAlign w:val="bottom"/>
          </w:tcPr>
          <w:p>
            <w:pPr>
              <w:jc w:val="center"/>
              <w:spacing w:after="0" w:line="176" w:lineRule="exact"/>
              <w:rPr>
                <w:sz w:val="20"/>
                <w:szCs w:val="20"/>
                <w:color w:val="auto"/>
              </w:rPr>
            </w:pPr>
            <w:r>
              <w:rPr>
                <w:rFonts w:ascii="Arial" w:cs="Arial" w:eastAsia="Arial" w:hAnsi="Arial"/>
                <w:sz w:val="18"/>
                <w:szCs w:val="18"/>
                <w:color w:val="auto"/>
                <w:w w:val="94"/>
              </w:rPr>
              <w:t>Exhibit 10.3 of the</w:t>
            </w:r>
          </w:p>
        </w:tc>
        <w:tc>
          <w:tcPr>
            <w:tcW w:w="1120" w:type="dxa"/>
            <w:vAlign w:val="bottom"/>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Pr>
          <w:p>
            <w:pPr>
              <w:spacing w:after="0"/>
              <w:rPr>
                <w:sz w:val="19"/>
                <w:szCs w:val="19"/>
                <w:color w:val="auto"/>
              </w:rPr>
            </w:pPr>
          </w:p>
        </w:tc>
        <w:tc>
          <w:tcPr>
            <w:tcW w:w="17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Pr>
          <w:p>
            <w:pPr>
              <w:ind w:left="32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6"/>
              </w:rPr>
              <w:t>filed April 15, 2020</w:t>
            </w:r>
          </w:p>
        </w:tc>
        <w:tc>
          <w:tcPr>
            <w:tcW w:w="1120" w:type="dxa"/>
            <w:vAlign w:val="bottom"/>
          </w:tcPr>
          <w:p>
            <w:pPr>
              <w:spacing w:after="0"/>
              <w:rPr>
                <w:sz w:val="20"/>
                <w:szCs w:val="20"/>
                <w:color w:val="auto"/>
              </w:rPr>
            </w:pPr>
          </w:p>
        </w:tc>
      </w:tr>
      <w:tr>
        <w:trPr>
          <w:trHeight w:val="176"/>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*10.16</w:t>
            </w:r>
          </w:p>
        </w:tc>
        <w:tc>
          <w:tcPr>
            <w:tcW w:w="6700" w:type="dxa"/>
            <w:vAlign w:val="bottom"/>
            <w:gridSpan w:val="12"/>
            <w:shd w:val="clear" w:color="auto" w:fill="CCEEFF"/>
          </w:tcPr>
          <w:p>
            <w:pPr>
              <w:spacing w:after="0" w:line="176" w:lineRule="exact"/>
              <w:rPr>
                <w:rFonts w:ascii="Arial" w:cs="Arial" w:eastAsia="Arial" w:hAnsi="Arial"/>
                <w:sz w:val="18"/>
                <w:szCs w:val="18"/>
                <w:color w:val="0000EE"/>
              </w:rPr>
            </w:pPr>
            <w:hyperlink r:id="rId135">
              <w:r>
                <w:rPr>
                  <w:rFonts w:ascii="Arial" w:cs="Arial" w:eastAsia="Arial" w:hAnsi="Arial"/>
                  <w:sz w:val="18"/>
                  <w:szCs w:val="18"/>
                  <w:color w:val="0000EE"/>
                </w:rPr>
                <w:t>Form of Restricted Share Unit Award Agreement.</w:t>
              </w:r>
            </w:hyperlink>
          </w:p>
        </w:tc>
        <w:tc>
          <w:tcPr>
            <w:tcW w:w="2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10.3 of the</w:t>
            </w:r>
          </w:p>
        </w:tc>
        <w:tc>
          <w:tcPr>
            <w:tcW w:w="11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November 20, 2020</w:t>
            </w:r>
          </w:p>
        </w:tc>
        <w:tc>
          <w:tcPr>
            <w:tcW w:w="1120" w:type="dxa"/>
            <w:vAlign w:val="bottom"/>
            <w:shd w:val="clear" w:color="auto" w:fill="CCEEFF"/>
          </w:tcPr>
          <w:p>
            <w:pPr>
              <w:spacing w:after="0"/>
              <w:rPr>
                <w:sz w:val="20"/>
                <w:szCs w:val="20"/>
                <w:color w:val="auto"/>
              </w:rPr>
            </w:pPr>
          </w:p>
        </w:tc>
      </w:tr>
      <w:tr>
        <w:trPr>
          <w:trHeight w:val="176"/>
        </w:trPr>
        <w:tc>
          <w:tcPr>
            <w:tcW w:w="104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*10.17</w:t>
            </w:r>
          </w:p>
        </w:tc>
        <w:tc>
          <w:tcPr>
            <w:tcW w:w="6700" w:type="dxa"/>
            <w:vAlign w:val="bottom"/>
            <w:gridSpan w:val="12"/>
          </w:tcPr>
          <w:p>
            <w:pPr>
              <w:spacing w:after="0" w:line="176" w:lineRule="exact"/>
              <w:rPr>
                <w:rFonts w:ascii="Arial" w:cs="Arial" w:eastAsia="Arial" w:hAnsi="Arial"/>
                <w:sz w:val="18"/>
                <w:szCs w:val="18"/>
                <w:color w:val="0000EE"/>
              </w:rPr>
            </w:pPr>
            <w:hyperlink r:id="rId136">
              <w:r>
                <w:rPr>
                  <w:rFonts w:ascii="Arial" w:cs="Arial" w:eastAsia="Arial" w:hAnsi="Arial"/>
                  <w:sz w:val="18"/>
                  <w:szCs w:val="18"/>
                  <w:color w:val="0000EE"/>
                </w:rPr>
                <w:t>Form of Performance Share Unit Award Agreement.</w:t>
              </w:r>
            </w:hyperlink>
          </w:p>
        </w:tc>
        <w:tc>
          <w:tcPr>
            <w:tcW w:w="2380" w:type="dxa"/>
            <w:vAlign w:val="bottom"/>
          </w:tcPr>
          <w:p>
            <w:pPr>
              <w:jc w:val="center"/>
              <w:spacing w:after="0" w:line="176" w:lineRule="exact"/>
              <w:rPr>
                <w:sz w:val="20"/>
                <w:szCs w:val="20"/>
                <w:color w:val="auto"/>
              </w:rPr>
            </w:pPr>
            <w:r>
              <w:rPr>
                <w:rFonts w:ascii="Arial" w:cs="Arial" w:eastAsia="Arial" w:hAnsi="Arial"/>
                <w:sz w:val="18"/>
                <w:szCs w:val="18"/>
                <w:color w:val="auto"/>
                <w:w w:val="94"/>
              </w:rPr>
              <w:t>Exhibit 10.4 of the</w:t>
            </w:r>
          </w:p>
        </w:tc>
        <w:tc>
          <w:tcPr>
            <w:tcW w:w="1120" w:type="dxa"/>
            <w:vAlign w:val="bottom"/>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Pr>
          <w:p>
            <w:pPr>
              <w:spacing w:after="0"/>
              <w:rPr>
                <w:sz w:val="19"/>
                <w:szCs w:val="19"/>
                <w:color w:val="auto"/>
              </w:rPr>
            </w:pPr>
          </w:p>
        </w:tc>
        <w:tc>
          <w:tcPr>
            <w:tcW w:w="17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Pr>
          <w:p>
            <w:pPr>
              <w:ind w:left="32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filed November 20, 2020</w:t>
            </w:r>
          </w:p>
        </w:tc>
        <w:tc>
          <w:tcPr>
            <w:tcW w:w="1120" w:type="dxa"/>
            <w:vAlign w:val="bottom"/>
          </w:tcPr>
          <w:p>
            <w:pPr>
              <w:spacing w:after="0"/>
              <w:rPr>
                <w:sz w:val="20"/>
                <w:szCs w:val="20"/>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*10.18</w:t>
            </w:r>
          </w:p>
        </w:tc>
        <w:tc>
          <w:tcPr>
            <w:tcW w:w="6700" w:type="dxa"/>
            <w:vAlign w:val="bottom"/>
            <w:gridSpan w:val="12"/>
            <w:shd w:val="clear" w:color="auto" w:fill="CCEEFF"/>
          </w:tcPr>
          <w:p>
            <w:pPr>
              <w:spacing w:after="0" w:line="176" w:lineRule="exact"/>
              <w:rPr>
                <w:rFonts w:ascii="Arial" w:cs="Arial" w:eastAsia="Arial" w:hAnsi="Arial"/>
                <w:sz w:val="18"/>
                <w:szCs w:val="18"/>
                <w:color w:val="0000EE"/>
              </w:rPr>
            </w:pPr>
            <w:hyperlink r:id="rId137">
              <w:r>
                <w:rPr>
                  <w:rFonts w:ascii="Arial" w:cs="Arial" w:eastAsia="Arial" w:hAnsi="Arial"/>
                  <w:sz w:val="18"/>
                  <w:szCs w:val="18"/>
                  <w:color w:val="0000EE"/>
                </w:rPr>
                <w:t>Form of Restricted Share Unit Award Agreement.</w:t>
              </w:r>
            </w:hyperlink>
          </w:p>
        </w:tc>
        <w:tc>
          <w:tcPr>
            <w:tcW w:w="2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10.2 of the</w:t>
            </w:r>
          </w:p>
        </w:tc>
        <w:tc>
          <w:tcPr>
            <w:tcW w:w="11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filed January 8, 2021</w:t>
            </w:r>
          </w:p>
        </w:tc>
        <w:tc>
          <w:tcPr>
            <w:tcW w:w="1120" w:type="dxa"/>
            <w:vAlign w:val="bottom"/>
            <w:shd w:val="clear" w:color="auto" w:fill="CCEEFF"/>
          </w:tcPr>
          <w:p>
            <w:pPr>
              <w:spacing w:after="0"/>
              <w:rPr>
                <w:sz w:val="20"/>
                <w:szCs w:val="20"/>
                <w:color w:val="auto"/>
              </w:rPr>
            </w:pPr>
          </w:p>
        </w:tc>
      </w:tr>
      <w:tr>
        <w:trPr>
          <w:trHeight w:val="175"/>
        </w:trPr>
        <w:tc>
          <w:tcPr>
            <w:tcW w:w="104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*10.19</w:t>
            </w:r>
          </w:p>
        </w:tc>
        <w:tc>
          <w:tcPr>
            <w:tcW w:w="6700" w:type="dxa"/>
            <w:vAlign w:val="bottom"/>
            <w:gridSpan w:val="12"/>
          </w:tcPr>
          <w:p>
            <w:pPr>
              <w:spacing w:after="0" w:line="176" w:lineRule="exact"/>
              <w:rPr>
                <w:rFonts w:ascii="Arial" w:cs="Arial" w:eastAsia="Arial" w:hAnsi="Arial"/>
                <w:sz w:val="18"/>
                <w:szCs w:val="18"/>
                <w:color w:val="0000EE"/>
              </w:rPr>
            </w:pPr>
            <w:hyperlink r:id="rId138">
              <w:r>
                <w:rPr>
                  <w:rFonts w:ascii="Arial" w:cs="Arial" w:eastAsia="Arial" w:hAnsi="Arial"/>
                  <w:sz w:val="18"/>
                  <w:szCs w:val="18"/>
                  <w:color w:val="0000EE"/>
                </w:rPr>
                <w:t>Form of Performance Share Unit Award Agreement.</w:t>
              </w:r>
            </w:hyperlink>
          </w:p>
        </w:tc>
        <w:tc>
          <w:tcPr>
            <w:tcW w:w="2380" w:type="dxa"/>
            <w:vAlign w:val="bottom"/>
          </w:tcPr>
          <w:p>
            <w:pPr>
              <w:jc w:val="center"/>
              <w:spacing w:after="0" w:line="176" w:lineRule="exact"/>
              <w:rPr>
                <w:sz w:val="20"/>
                <w:szCs w:val="20"/>
                <w:color w:val="auto"/>
              </w:rPr>
            </w:pPr>
            <w:r>
              <w:rPr>
                <w:rFonts w:ascii="Arial" w:cs="Arial" w:eastAsia="Arial" w:hAnsi="Arial"/>
                <w:sz w:val="18"/>
                <w:szCs w:val="18"/>
                <w:color w:val="auto"/>
                <w:w w:val="94"/>
              </w:rPr>
              <w:t>Exhibit 10.3 of the</w:t>
            </w:r>
          </w:p>
        </w:tc>
        <w:tc>
          <w:tcPr>
            <w:tcW w:w="1120" w:type="dxa"/>
            <w:vAlign w:val="bottom"/>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Pr>
          <w:p>
            <w:pPr>
              <w:spacing w:after="0"/>
              <w:rPr>
                <w:sz w:val="19"/>
                <w:szCs w:val="19"/>
                <w:color w:val="auto"/>
              </w:rPr>
            </w:pPr>
          </w:p>
        </w:tc>
        <w:tc>
          <w:tcPr>
            <w:tcW w:w="17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Pr>
          <w:p>
            <w:pPr>
              <w:ind w:left="32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filed January 8, 2021</w:t>
            </w:r>
          </w:p>
        </w:tc>
        <w:tc>
          <w:tcPr>
            <w:tcW w:w="1120" w:type="dxa"/>
            <w:vAlign w:val="bottom"/>
          </w:tcPr>
          <w:p>
            <w:pPr>
              <w:spacing w:after="0"/>
              <w:rPr>
                <w:sz w:val="20"/>
                <w:szCs w:val="20"/>
                <w:color w:val="auto"/>
              </w:rPr>
            </w:pPr>
          </w:p>
        </w:tc>
      </w:tr>
      <w:tr>
        <w:trPr>
          <w:trHeight w:val="176"/>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*10.20</w:t>
            </w:r>
          </w:p>
        </w:tc>
        <w:tc>
          <w:tcPr>
            <w:tcW w:w="6700" w:type="dxa"/>
            <w:vAlign w:val="bottom"/>
            <w:gridSpan w:val="12"/>
            <w:shd w:val="clear" w:color="auto" w:fill="CCEEFF"/>
          </w:tcPr>
          <w:p>
            <w:pPr>
              <w:spacing w:after="0" w:line="176" w:lineRule="exact"/>
              <w:rPr>
                <w:rFonts w:ascii="Arial" w:cs="Arial" w:eastAsia="Arial" w:hAnsi="Arial"/>
                <w:sz w:val="18"/>
                <w:szCs w:val="18"/>
                <w:color w:val="0000EE"/>
              </w:rPr>
            </w:pPr>
            <w:hyperlink r:id="rId139">
              <w:r>
                <w:rPr>
                  <w:rFonts w:ascii="Arial" w:cs="Arial" w:eastAsia="Arial" w:hAnsi="Arial"/>
                  <w:sz w:val="18"/>
                  <w:szCs w:val="18"/>
                  <w:color w:val="0000EE"/>
                </w:rPr>
                <w:t>Form of Phantom Share Unit Award Agreement.</w:t>
              </w:r>
            </w:hyperlink>
          </w:p>
        </w:tc>
        <w:tc>
          <w:tcPr>
            <w:tcW w:w="2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10.4 of the</w:t>
            </w:r>
          </w:p>
        </w:tc>
        <w:tc>
          <w:tcPr>
            <w:tcW w:w="11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filed January 8, 2021</w:t>
            </w:r>
          </w:p>
        </w:tc>
        <w:tc>
          <w:tcPr>
            <w:tcW w:w="1120" w:type="dxa"/>
            <w:vAlign w:val="bottom"/>
            <w:shd w:val="clear" w:color="auto" w:fill="CCEEFF"/>
          </w:tcPr>
          <w:p>
            <w:pPr>
              <w:spacing w:after="0"/>
              <w:rPr>
                <w:sz w:val="20"/>
                <w:szCs w:val="20"/>
                <w:color w:val="auto"/>
              </w:rPr>
            </w:pPr>
          </w:p>
        </w:tc>
      </w:tr>
      <w:tr>
        <w:trPr>
          <w:trHeight w:val="175"/>
        </w:trPr>
        <w:tc>
          <w:tcPr>
            <w:tcW w:w="104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*10.21</w:t>
            </w:r>
          </w:p>
        </w:tc>
        <w:tc>
          <w:tcPr>
            <w:tcW w:w="6700" w:type="dxa"/>
            <w:vAlign w:val="bottom"/>
            <w:gridSpan w:val="12"/>
          </w:tcPr>
          <w:p>
            <w:pPr>
              <w:spacing w:after="0" w:line="17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Amended and Restated Performance Share Unit Award Agreement - Girish K. Saligram,</w:t>
              </w:r>
            </w:hyperlink>
          </w:p>
        </w:tc>
        <w:tc>
          <w:tcPr>
            <w:tcW w:w="2380" w:type="dxa"/>
            <w:vAlign w:val="bottom"/>
          </w:tcPr>
          <w:p>
            <w:pPr>
              <w:jc w:val="center"/>
              <w:spacing w:after="0" w:line="176" w:lineRule="exact"/>
              <w:rPr>
                <w:sz w:val="20"/>
                <w:szCs w:val="20"/>
                <w:color w:val="auto"/>
              </w:rPr>
            </w:pPr>
            <w:r>
              <w:rPr>
                <w:rFonts w:ascii="Arial" w:cs="Arial" w:eastAsia="Arial" w:hAnsi="Arial"/>
                <w:sz w:val="18"/>
                <w:szCs w:val="18"/>
                <w:color w:val="auto"/>
                <w:w w:val="93"/>
              </w:rPr>
              <w:t>Exhibit 10.24 of the</w:t>
            </w:r>
          </w:p>
        </w:tc>
        <w:tc>
          <w:tcPr>
            <w:tcW w:w="1120" w:type="dxa"/>
            <w:vAlign w:val="bottom"/>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dated February 17, 2021.</w:t>
              </w:r>
            </w:hyperlink>
          </w:p>
        </w:tc>
        <w:tc>
          <w:tcPr>
            <w:tcW w:w="340" w:type="dxa"/>
            <w:vAlign w:val="bottom"/>
            <w:gridSpan w:val="2"/>
          </w:tcPr>
          <w:p>
            <w:pPr>
              <w:spacing w:after="0"/>
              <w:rPr>
                <w:sz w:val="17"/>
                <w:szCs w:val="17"/>
                <w:color w:val="auto"/>
              </w:rPr>
            </w:pPr>
          </w:p>
        </w:tc>
        <w:tc>
          <w:tcPr>
            <w:tcW w:w="2380" w:type="dxa"/>
            <w:vAlign w:val="bottom"/>
          </w:tcPr>
          <w:p>
            <w:pPr>
              <w:jc w:val="center"/>
              <w:spacing w:after="0" w:line="196" w:lineRule="exact"/>
              <w:rPr>
                <w:sz w:val="20"/>
                <w:szCs w:val="20"/>
                <w:color w:val="auto"/>
              </w:rPr>
            </w:pPr>
            <w:r>
              <w:rPr>
                <w:rFonts w:ascii="Arial" w:cs="Arial" w:eastAsia="Arial" w:hAnsi="Arial"/>
                <w:sz w:val="18"/>
                <w:szCs w:val="18"/>
                <w:color w:val="auto"/>
                <w:w w:val="91"/>
              </w:rPr>
              <w:t>Company's Annual</w:t>
            </w:r>
          </w:p>
        </w:tc>
        <w:tc>
          <w:tcPr>
            <w:tcW w:w="1120" w:type="dxa"/>
            <w:vAlign w:val="bottom"/>
          </w:tcPr>
          <w:p>
            <w:pPr>
              <w:ind w:left="320"/>
              <w:spacing w:after="0" w:line="196" w:lineRule="exact"/>
              <w:rPr>
                <w:sz w:val="20"/>
                <w:szCs w:val="20"/>
                <w:color w:val="auto"/>
              </w:rPr>
            </w:pPr>
            <w:r>
              <w:rPr>
                <w:rFonts w:ascii="Arial" w:cs="Arial" w:eastAsia="Arial" w:hAnsi="Arial"/>
                <w:sz w:val="18"/>
                <w:szCs w:val="18"/>
                <w:color w:val="auto"/>
              </w:rPr>
              <w:t>1-65304</w:t>
            </w:r>
          </w:p>
        </w:tc>
      </w:tr>
      <w:tr>
        <w:trPr>
          <w:trHeight w:val="222"/>
        </w:trPr>
        <w:tc>
          <w:tcPr>
            <w:tcW w:w="1040" w:type="dxa"/>
            <w:vAlign w:val="bottom"/>
          </w:tcPr>
          <w:p>
            <w:pPr>
              <w:spacing w:after="0"/>
              <w:rPr>
                <w:sz w:val="19"/>
                <w:szCs w:val="19"/>
                <w:color w:val="auto"/>
              </w:rPr>
            </w:pPr>
          </w:p>
        </w:tc>
        <w:tc>
          <w:tcPr>
            <w:tcW w:w="17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Report on Form 10-K</w:t>
            </w:r>
          </w:p>
        </w:tc>
        <w:tc>
          <w:tcPr>
            <w:tcW w:w="112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for the year ended</w:t>
            </w:r>
          </w:p>
        </w:tc>
        <w:tc>
          <w:tcPr>
            <w:tcW w:w="1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December 31, 2020</w:t>
            </w:r>
          </w:p>
        </w:tc>
        <w:tc>
          <w:tcPr>
            <w:tcW w:w="11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filed March 16, 2020</w:t>
            </w:r>
          </w:p>
        </w:tc>
        <w:tc>
          <w:tcPr>
            <w:tcW w:w="1120" w:type="dxa"/>
            <w:vAlign w:val="bottom"/>
          </w:tcPr>
          <w:p>
            <w:pPr>
              <w:spacing w:after="0"/>
              <w:rPr>
                <w:sz w:val="20"/>
                <w:szCs w:val="20"/>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*10.22</w:t>
            </w:r>
          </w:p>
        </w:tc>
        <w:tc>
          <w:tcPr>
            <w:tcW w:w="6700" w:type="dxa"/>
            <w:vAlign w:val="bottom"/>
            <w:gridSpan w:val="12"/>
            <w:shd w:val="clear" w:color="auto" w:fill="CCEEFF"/>
          </w:tcPr>
          <w:p>
            <w:pPr>
              <w:spacing w:after="0" w:line="176" w:lineRule="exact"/>
              <w:rPr>
                <w:rFonts w:ascii="Arial" w:cs="Arial" w:eastAsia="Arial" w:hAnsi="Arial"/>
                <w:sz w:val="18"/>
                <w:szCs w:val="18"/>
                <w:color w:val="0000EE"/>
              </w:rPr>
            </w:pPr>
            <w:hyperlink r:id="rId141">
              <w:r>
                <w:rPr>
                  <w:rFonts w:ascii="Arial" w:cs="Arial" w:eastAsia="Arial" w:hAnsi="Arial"/>
                  <w:sz w:val="18"/>
                  <w:szCs w:val="18"/>
                  <w:color w:val="0000EE"/>
                </w:rPr>
                <w:t>Weatherford International plc Short-Term Incentive Plan.</w:t>
              </w:r>
            </w:hyperlink>
          </w:p>
        </w:tc>
        <w:tc>
          <w:tcPr>
            <w:tcW w:w="2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10.1 of the</w:t>
            </w:r>
          </w:p>
        </w:tc>
        <w:tc>
          <w:tcPr>
            <w:tcW w:w="11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filed January 8, 2021</w:t>
            </w:r>
          </w:p>
        </w:tc>
        <w:tc>
          <w:tcPr>
            <w:tcW w:w="1120" w:type="dxa"/>
            <w:vAlign w:val="bottom"/>
            <w:shd w:val="clear" w:color="auto" w:fill="CCEEFF"/>
          </w:tcPr>
          <w:p>
            <w:pPr>
              <w:spacing w:after="0"/>
              <w:rPr>
                <w:sz w:val="20"/>
                <w:szCs w:val="20"/>
                <w:color w:val="auto"/>
              </w:rPr>
            </w:pPr>
          </w:p>
        </w:tc>
      </w:tr>
      <w:tr>
        <w:trPr>
          <w:trHeight w:val="175"/>
        </w:trPr>
        <w:tc>
          <w:tcPr>
            <w:tcW w:w="104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*10.23</w:t>
            </w:r>
          </w:p>
        </w:tc>
        <w:tc>
          <w:tcPr>
            <w:tcW w:w="6700" w:type="dxa"/>
            <w:vAlign w:val="bottom"/>
            <w:gridSpan w:val="12"/>
          </w:tcPr>
          <w:p>
            <w:pPr>
              <w:spacing w:after="0" w:line="176" w:lineRule="exact"/>
              <w:rPr>
                <w:rFonts w:ascii="Arial" w:cs="Arial" w:eastAsia="Arial" w:hAnsi="Arial"/>
                <w:sz w:val="18"/>
                <w:szCs w:val="18"/>
                <w:color w:val="0000EE"/>
              </w:rPr>
            </w:pPr>
            <w:hyperlink r:id="rId142">
              <w:r>
                <w:rPr>
                  <w:rFonts w:ascii="Arial" w:cs="Arial" w:eastAsia="Arial" w:hAnsi="Arial"/>
                  <w:sz w:val="18"/>
                  <w:szCs w:val="18"/>
                  <w:color w:val="0000EE"/>
                </w:rPr>
                <w:t>Weatherford International plc 2020 Long-Term Cash Incentive Plan.</w:t>
              </w:r>
            </w:hyperlink>
          </w:p>
        </w:tc>
        <w:tc>
          <w:tcPr>
            <w:tcW w:w="2380" w:type="dxa"/>
            <w:vAlign w:val="bottom"/>
          </w:tcPr>
          <w:p>
            <w:pPr>
              <w:jc w:val="center"/>
              <w:spacing w:after="0" w:line="176" w:lineRule="exact"/>
              <w:rPr>
                <w:sz w:val="20"/>
                <w:szCs w:val="20"/>
                <w:color w:val="auto"/>
              </w:rPr>
            </w:pPr>
            <w:r>
              <w:rPr>
                <w:rFonts w:ascii="Arial" w:cs="Arial" w:eastAsia="Arial" w:hAnsi="Arial"/>
                <w:sz w:val="18"/>
                <w:szCs w:val="18"/>
                <w:color w:val="auto"/>
                <w:w w:val="94"/>
              </w:rPr>
              <w:t>Exhibit 10.1 of the</w:t>
            </w:r>
          </w:p>
        </w:tc>
        <w:tc>
          <w:tcPr>
            <w:tcW w:w="1120" w:type="dxa"/>
            <w:vAlign w:val="bottom"/>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Pr>
          <w:p>
            <w:pPr>
              <w:spacing w:after="0"/>
              <w:rPr>
                <w:sz w:val="19"/>
                <w:szCs w:val="19"/>
                <w:color w:val="auto"/>
              </w:rPr>
            </w:pPr>
          </w:p>
        </w:tc>
        <w:tc>
          <w:tcPr>
            <w:tcW w:w="17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Pr>
          <w:p>
            <w:pPr>
              <w:ind w:left="32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6"/>
              </w:rPr>
              <w:t>filed April 24, 2020</w:t>
            </w:r>
          </w:p>
        </w:tc>
        <w:tc>
          <w:tcPr>
            <w:tcW w:w="1120" w:type="dxa"/>
            <w:vAlign w:val="bottom"/>
          </w:tcPr>
          <w:p>
            <w:pPr>
              <w:spacing w:after="0"/>
              <w:rPr>
                <w:sz w:val="20"/>
                <w:szCs w:val="20"/>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*10.24</w:t>
            </w:r>
          </w:p>
        </w:tc>
        <w:tc>
          <w:tcPr>
            <w:tcW w:w="6700" w:type="dxa"/>
            <w:vAlign w:val="bottom"/>
            <w:gridSpan w:val="12"/>
            <w:shd w:val="clear" w:color="auto" w:fill="CCEEFF"/>
          </w:tcPr>
          <w:p>
            <w:pPr>
              <w:spacing w:after="0" w:line="176" w:lineRule="exact"/>
              <w:rPr>
                <w:rFonts w:ascii="Arial" w:cs="Arial" w:eastAsia="Arial" w:hAnsi="Arial"/>
                <w:sz w:val="18"/>
                <w:szCs w:val="18"/>
                <w:color w:val="0000EE"/>
              </w:rPr>
            </w:pPr>
            <w:hyperlink r:id="rId143">
              <w:r>
                <w:rPr>
                  <w:rFonts w:ascii="Arial" w:cs="Arial" w:eastAsia="Arial" w:hAnsi="Arial"/>
                  <w:sz w:val="18"/>
                  <w:szCs w:val="18"/>
                  <w:color w:val="0000EE"/>
                </w:rPr>
                <w:t>Form of Long-Term Cash Incentive Plan Award Agreement.</w:t>
              </w:r>
            </w:hyperlink>
          </w:p>
        </w:tc>
        <w:tc>
          <w:tcPr>
            <w:tcW w:w="2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10.2 of the</w:t>
            </w:r>
          </w:p>
        </w:tc>
        <w:tc>
          <w:tcPr>
            <w:tcW w:w="11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filed April 24, 2020</w:t>
            </w:r>
          </w:p>
        </w:tc>
        <w:tc>
          <w:tcPr>
            <w:tcW w:w="1120" w:type="dxa"/>
            <w:vAlign w:val="bottom"/>
            <w:shd w:val="clear" w:color="auto" w:fill="CCEEFF"/>
          </w:tcPr>
          <w:p>
            <w:pPr>
              <w:spacing w:after="0"/>
              <w:rPr>
                <w:sz w:val="20"/>
                <w:szCs w:val="20"/>
                <w:color w:val="auto"/>
              </w:rPr>
            </w:pPr>
          </w:p>
        </w:tc>
      </w:tr>
      <w:tr>
        <w:trPr>
          <w:trHeight w:val="175"/>
        </w:trPr>
        <w:tc>
          <w:tcPr>
            <w:tcW w:w="104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*10.25</w:t>
            </w:r>
          </w:p>
        </w:tc>
        <w:tc>
          <w:tcPr>
            <w:tcW w:w="6700" w:type="dxa"/>
            <w:vAlign w:val="bottom"/>
            <w:gridSpan w:val="12"/>
          </w:tcPr>
          <w:p>
            <w:pPr>
              <w:spacing w:after="0" w:line="176" w:lineRule="exact"/>
              <w:rPr>
                <w:rFonts w:ascii="Arial" w:cs="Arial" w:eastAsia="Arial" w:hAnsi="Arial"/>
                <w:sz w:val="18"/>
                <w:szCs w:val="18"/>
                <w:color w:val="0000EE"/>
              </w:rPr>
            </w:pPr>
            <w:hyperlink r:id="rId144">
              <w:r>
                <w:rPr>
                  <w:rFonts w:ascii="Arial" w:cs="Arial" w:eastAsia="Arial" w:hAnsi="Arial"/>
                  <w:sz w:val="18"/>
                  <w:szCs w:val="18"/>
                  <w:color w:val="0000EE"/>
                </w:rPr>
                <w:t>Form of Long-Term Cash Incentive Plan Award Agreement.</w:t>
              </w:r>
            </w:hyperlink>
          </w:p>
        </w:tc>
        <w:tc>
          <w:tcPr>
            <w:tcW w:w="2380" w:type="dxa"/>
            <w:vAlign w:val="bottom"/>
          </w:tcPr>
          <w:p>
            <w:pPr>
              <w:jc w:val="center"/>
              <w:spacing w:after="0" w:line="176" w:lineRule="exact"/>
              <w:rPr>
                <w:sz w:val="20"/>
                <w:szCs w:val="20"/>
                <w:color w:val="auto"/>
              </w:rPr>
            </w:pPr>
            <w:r>
              <w:rPr>
                <w:rFonts w:ascii="Arial" w:cs="Arial" w:eastAsia="Arial" w:hAnsi="Arial"/>
                <w:sz w:val="18"/>
                <w:szCs w:val="18"/>
                <w:color w:val="auto"/>
                <w:w w:val="94"/>
              </w:rPr>
              <w:t>Exhibit 10.2 of the</w:t>
            </w:r>
          </w:p>
        </w:tc>
        <w:tc>
          <w:tcPr>
            <w:tcW w:w="1120" w:type="dxa"/>
            <w:vAlign w:val="bottom"/>
          </w:tcPr>
          <w:p>
            <w:pPr>
              <w:ind w:left="32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Pr>
          <w:p>
            <w:pPr>
              <w:spacing w:after="0"/>
              <w:rPr>
                <w:sz w:val="19"/>
                <w:szCs w:val="19"/>
                <w:color w:val="auto"/>
              </w:rPr>
            </w:pPr>
          </w:p>
        </w:tc>
        <w:tc>
          <w:tcPr>
            <w:tcW w:w="17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Company's Current</w:t>
            </w:r>
          </w:p>
        </w:tc>
        <w:tc>
          <w:tcPr>
            <w:tcW w:w="1120" w:type="dxa"/>
            <w:vAlign w:val="bottom"/>
          </w:tcPr>
          <w:p>
            <w:pPr>
              <w:ind w:left="32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Report on Form 8-K</w:t>
            </w:r>
          </w:p>
        </w:tc>
        <w:tc>
          <w:tcPr>
            <w:tcW w:w="11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filed November 20, 2020</w:t>
            </w:r>
          </w:p>
        </w:tc>
        <w:tc>
          <w:tcPr>
            <w:tcW w:w="1120" w:type="dxa"/>
            <w:vAlign w:val="bottom"/>
          </w:tcPr>
          <w:p>
            <w:pPr>
              <w:spacing w:after="0"/>
              <w:rPr>
                <w:sz w:val="20"/>
                <w:szCs w:val="20"/>
                <w:color w:val="auto"/>
              </w:rPr>
            </w:pPr>
          </w:p>
        </w:tc>
      </w:tr>
      <w:tr>
        <w:trPr>
          <w:trHeight w:val="648"/>
        </w:trPr>
        <w:tc>
          <w:tcPr>
            <w:tcW w:w="10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9"/>
          </w:tcPr>
          <w:p>
            <w:pPr>
              <w:ind w:left="4500"/>
              <w:spacing w:after="0"/>
              <w:rPr>
                <w:sz w:val="20"/>
                <w:szCs w:val="20"/>
                <w:color w:val="auto"/>
              </w:rPr>
            </w:pPr>
            <w:r>
              <w:rPr>
                <w:rFonts w:ascii="Arial" w:cs="Arial" w:eastAsia="Arial" w:hAnsi="Arial"/>
                <w:sz w:val="18"/>
                <w:szCs w:val="18"/>
                <w:color w:val="auto"/>
              </w:rPr>
              <w:t>65</w:t>
            </w: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88"/>
              </w:rPr>
              <w:t>10.26</w:t>
            </w:r>
          </w:p>
        </w:tc>
        <w:tc>
          <w:tcPr>
            <w:tcW w:w="6600" w:type="dxa"/>
            <w:vAlign w:val="bottom"/>
            <w:gridSpan w:val="24"/>
          </w:tcPr>
          <w:p>
            <w:pPr>
              <w:spacing w:after="0"/>
              <w:rPr>
                <w:rFonts w:ascii="Arial" w:cs="Arial" w:eastAsia="Arial" w:hAnsi="Arial"/>
                <w:sz w:val="18"/>
                <w:szCs w:val="18"/>
                <w:color w:val="0000EE"/>
              </w:rPr>
            </w:pPr>
            <w:hyperlink r:id="rId145">
              <w:r>
                <w:rPr>
                  <w:rFonts w:ascii="Arial" w:cs="Arial" w:eastAsia="Arial" w:hAnsi="Arial"/>
                  <w:sz w:val="18"/>
                  <w:szCs w:val="18"/>
                  <w:color w:val="0000EE"/>
                </w:rPr>
                <w:t>ABL Credit Agreement, dated December 13, 2019, by and among Weatherford</w:t>
              </w:r>
            </w:hyperlink>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4"/>
              </w:rPr>
              <w:t>Exhibit 10.1 of the</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3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International Ltd., Weatherford International plc, Weatherford International LLC, Wells</w:t>
              </w:r>
            </w:hyperlink>
          </w:p>
        </w:tc>
        <w:tc>
          <w:tcPr>
            <w:tcW w:w="300" w:type="dxa"/>
            <w:vAlign w:val="bottom"/>
            <w:gridSpan w:val="5"/>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0"/>
              </w:rPr>
              <w:t>Company's Current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600" w:type="dxa"/>
            <w:vAlign w:val="bottom"/>
            <w:gridSpan w:val="24"/>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Fargo Bank, N.A. and the lenders party thereto from time to time.</w:t>
              </w:r>
            </w:hyperlink>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Report on Form 8-K</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1"/>
              </w:rPr>
              <w:t>filed December 18, 2019</w:t>
            </w:r>
          </w:p>
        </w:tc>
        <w:tc>
          <w:tcPr>
            <w:tcW w:w="0" w:type="dxa"/>
            <w:vAlign w:val="bottom"/>
          </w:tcPr>
          <w:p>
            <w:pPr>
              <w:spacing w:after="0"/>
              <w:rPr>
                <w:sz w:val="1"/>
                <w:szCs w:val="1"/>
                <w:color w:val="auto"/>
              </w:rPr>
            </w:pPr>
          </w:p>
        </w:tc>
      </w:tr>
      <w:tr>
        <w:trPr>
          <w:trHeight w:val="190"/>
        </w:trPr>
        <w:tc>
          <w:tcPr>
            <w:tcW w:w="820" w:type="dxa"/>
            <w:vAlign w:val="bottom"/>
          </w:tcPr>
          <w:p>
            <w:pPr>
              <w:jc w:val="center"/>
              <w:ind w:right="250"/>
              <w:spacing w:after="0" w:line="190" w:lineRule="exact"/>
              <w:rPr>
                <w:sz w:val="20"/>
                <w:szCs w:val="20"/>
                <w:color w:val="auto"/>
              </w:rPr>
            </w:pPr>
            <w:r>
              <w:rPr>
                <w:rFonts w:ascii="Arial" w:cs="Arial" w:eastAsia="Arial" w:hAnsi="Arial"/>
                <w:sz w:val="18"/>
                <w:szCs w:val="18"/>
                <w:color w:val="auto"/>
                <w:w w:val="88"/>
              </w:rPr>
              <w:t>10.27</w:t>
            </w:r>
          </w:p>
        </w:tc>
        <w:tc>
          <w:tcPr>
            <w:tcW w:w="6600" w:type="dxa"/>
            <w:vAlign w:val="bottom"/>
            <w:gridSpan w:val="24"/>
          </w:tcPr>
          <w:p>
            <w:pPr>
              <w:spacing w:after="0" w:line="190"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LC Credit Agreement, dated December 13, 2019 (as amended by Amendment No.1, dated</w:t>
              </w:r>
            </w:hyperlink>
          </w:p>
        </w:tc>
        <w:tc>
          <w:tcPr>
            <w:tcW w:w="2420" w:type="dxa"/>
            <w:vAlign w:val="bottom"/>
          </w:tcPr>
          <w:p>
            <w:pPr>
              <w:jc w:val="center"/>
              <w:ind w:left="10"/>
              <w:spacing w:after="0" w:line="190" w:lineRule="exact"/>
              <w:rPr>
                <w:sz w:val="20"/>
                <w:szCs w:val="20"/>
                <w:color w:val="auto"/>
              </w:rPr>
            </w:pPr>
            <w:r>
              <w:rPr>
                <w:rFonts w:ascii="Arial" w:cs="Arial" w:eastAsia="Arial" w:hAnsi="Arial"/>
                <w:sz w:val="18"/>
                <w:szCs w:val="18"/>
                <w:color w:val="auto"/>
                <w:w w:val="94"/>
              </w:rPr>
              <w:t>Exhibit 10.2 of the</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4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August 28, 2020), by and among Weatherford International Ltd., Weatherford</w:t>
              </w:r>
            </w:hyperlink>
          </w:p>
        </w:tc>
        <w:tc>
          <w:tcPr>
            <w:tcW w:w="120" w:type="dxa"/>
            <w:vAlign w:val="bottom"/>
            <w:gridSpan w:val="2"/>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0"/>
              </w:rPr>
              <w:t>Company's Current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International plc, Weatherford International LLC, Deutsche Bank Trust Company</w:t>
              </w:r>
            </w:hyperlink>
          </w:p>
        </w:tc>
        <w:tc>
          <w:tcPr>
            <w:tcW w:w="740" w:type="dxa"/>
            <w:vAlign w:val="bottom"/>
            <w:gridSpan w:val="12"/>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Report on Form 8-K</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1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Americas and the lenders party thereto from time to time.</w:t>
              </w:r>
            </w:hyperlink>
          </w:p>
        </w:tc>
        <w:tc>
          <w:tcPr>
            <w:tcW w:w="2460" w:type="dxa"/>
            <w:vAlign w:val="bottom"/>
            <w:gridSpan w:val="18"/>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1"/>
              </w:rPr>
              <w:t>filed December 18, 2019</w:t>
            </w:r>
          </w:p>
        </w:tc>
        <w:tc>
          <w:tcPr>
            <w:tcW w:w="0" w:type="dxa"/>
            <w:vAlign w:val="bottom"/>
          </w:tcPr>
          <w:p>
            <w:pPr>
              <w:spacing w:after="0"/>
              <w:rPr>
                <w:sz w:val="1"/>
                <w:szCs w:val="1"/>
                <w:color w:val="auto"/>
              </w:rPr>
            </w:pPr>
          </w:p>
        </w:tc>
      </w:tr>
      <w:tr>
        <w:trPr>
          <w:trHeight w:val="196"/>
        </w:trPr>
        <w:tc>
          <w:tcPr>
            <w:tcW w:w="82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88"/>
              </w:rPr>
              <w:t>10.28</w:t>
            </w:r>
          </w:p>
        </w:tc>
        <w:tc>
          <w:tcPr>
            <w:tcW w:w="61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Amendment No. 1 to LC Credit Agreement and Amendment No. 1. To U.S. Security</w:t>
              </w:r>
            </w:hyperlink>
          </w:p>
        </w:tc>
        <w:tc>
          <w:tcPr>
            <w:tcW w:w="500" w:type="dxa"/>
            <w:vAlign w:val="bottom"/>
            <w:gridSpan w:val="10"/>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4"/>
              </w:rPr>
              <w:t>Exhibit 10.1 of the</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Agreement, dated August 28, 2020, by and among Weatherford International Ltd.,</w:t>
              </w:r>
            </w:hyperlink>
          </w:p>
        </w:tc>
        <w:tc>
          <w:tcPr>
            <w:tcW w:w="680" w:type="dxa"/>
            <w:vAlign w:val="bottom"/>
            <w:gridSpan w:val="11"/>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0"/>
              </w:rPr>
              <w:t>Company's Current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4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Weatherford International plc, Weatherford International LLC, the other guarantors of the</w:t>
              </w:r>
            </w:hyperlink>
          </w:p>
        </w:tc>
        <w:tc>
          <w:tcPr>
            <w:tcW w:w="160" w:type="dxa"/>
            <w:vAlign w:val="bottom"/>
            <w:gridSpan w:val="3"/>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Report on Form 8-K</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5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LC Credit Agreement, Deutsche Bank Trust Company Americas and the lenders under the</w:t>
              </w:r>
            </w:hyperlink>
          </w:p>
        </w:tc>
        <w:tc>
          <w:tcPr>
            <w:tcW w:w="100" w:type="dxa"/>
            <w:vAlign w:val="bottom"/>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2"/>
              </w:rPr>
              <w:t>filed August 28, 2020</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600" w:type="dxa"/>
            <w:vAlign w:val="bottom"/>
            <w:gridSpan w:val="24"/>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LC Credit Agreement.</w:t>
              </w:r>
            </w:hyperlink>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88"/>
              </w:rPr>
              <w:t>10.29</w:t>
            </w:r>
          </w:p>
        </w:tc>
        <w:tc>
          <w:tcPr>
            <w:tcW w:w="6600" w:type="dxa"/>
            <w:vAlign w:val="bottom"/>
            <w:gridSpan w:val="24"/>
          </w:tcPr>
          <w:p>
            <w:pPr>
              <w:spacing w:after="0" w:line="196" w:lineRule="exact"/>
              <w:rPr>
                <w:rFonts w:ascii="Arial" w:cs="Arial" w:eastAsia="Arial" w:hAnsi="Arial"/>
                <w:sz w:val="18"/>
                <w:szCs w:val="18"/>
                <w:color w:val="0000EE"/>
                <w:w w:val="96"/>
              </w:rPr>
            </w:pPr>
            <w:hyperlink r:id="rId148">
              <w:r>
                <w:rPr>
                  <w:rFonts w:ascii="Arial" w:cs="Arial" w:eastAsia="Arial" w:hAnsi="Arial"/>
                  <w:sz w:val="18"/>
                  <w:szCs w:val="18"/>
                  <w:color w:val="0000EE"/>
                  <w:w w:val="96"/>
                </w:rPr>
                <w:t>Intercreditor Agreement, dated December 13, 2019, by and among Wells Fargo Bank,</w:t>
              </w:r>
            </w:hyperlink>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4"/>
              </w:rPr>
              <w:t>Exhibit 10.3 of the</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2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N.A., Deutsche Bank Trust Company Americas, Weatherford International plc and the</w:t>
              </w:r>
            </w:hyperlink>
          </w:p>
        </w:tc>
        <w:tc>
          <w:tcPr>
            <w:tcW w:w="380" w:type="dxa"/>
            <w:vAlign w:val="bottom"/>
            <w:gridSpan w:val="7"/>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0"/>
              </w:rPr>
              <w:t>Company's Current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600" w:type="dxa"/>
            <w:vAlign w:val="bottom"/>
            <w:gridSpan w:val="24"/>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grantors party there to from time to time.</w:t>
              </w:r>
            </w:hyperlink>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Report on Form 8-K</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1"/>
              </w:rPr>
              <w:t>filed December 18, 2019</w:t>
            </w:r>
          </w:p>
        </w:tc>
        <w:tc>
          <w:tcPr>
            <w:tcW w:w="0" w:type="dxa"/>
            <w:vAlign w:val="bottom"/>
          </w:tcPr>
          <w:p>
            <w:pPr>
              <w:spacing w:after="0"/>
              <w:rPr>
                <w:sz w:val="1"/>
                <w:szCs w:val="1"/>
                <w:color w:val="auto"/>
              </w:rPr>
            </w:pPr>
          </w:p>
        </w:tc>
      </w:tr>
      <w:tr>
        <w:trPr>
          <w:trHeight w:val="190"/>
        </w:trPr>
        <w:tc>
          <w:tcPr>
            <w:tcW w:w="820" w:type="dxa"/>
            <w:vAlign w:val="bottom"/>
          </w:tcPr>
          <w:p>
            <w:pPr>
              <w:jc w:val="center"/>
              <w:ind w:right="250"/>
              <w:spacing w:after="0" w:line="190" w:lineRule="exact"/>
              <w:rPr>
                <w:sz w:val="20"/>
                <w:szCs w:val="20"/>
                <w:color w:val="auto"/>
              </w:rPr>
            </w:pPr>
            <w:r>
              <w:rPr>
                <w:rFonts w:ascii="Arial" w:cs="Arial" w:eastAsia="Arial" w:hAnsi="Arial"/>
                <w:sz w:val="18"/>
                <w:szCs w:val="18"/>
                <w:color w:val="auto"/>
                <w:w w:val="88"/>
              </w:rPr>
              <w:t>10.30</w:t>
            </w:r>
          </w:p>
        </w:tc>
        <w:tc>
          <w:tcPr>
            <w:tcW w:w="6600" w:type="dxa"/>
            <w:vAlign w:val="bottom"/>
            <w:gridSpan w:val="24"/>
          </w:tcPr>
          <w:p>
            <w:pPr>
              <w:spacing w:after="0" w:line="190" w:lineRule="exact"/>
              <w:rPr>
                <w:rFonts w:ascii="Arial" w:cs="Arial" w:eastAsia="Arial" w:hAnsi="Arial"/>
                <w:sz w:val="18"/>
                <w:szCs w:val="18"/>
                <w:color w:val="0000EE"/>
                <w:w w:val="97"/>
              </w:rPr>
            </w:pPr>
            <w:hyperlink r:id="rId149">
              <w:r>
                <w:rPr>
                  <w:rFonts w:ascii="Arial" w:cs="Arial" w:eastAsia="Arial" w:hAnsi="Arial"/>
                  <w:sz w:val="18"/>
                  <w:szCs w:val="18"/>
                  <w:color w:val="0000EE"/>
                  <w:w w:val="97"/>
                </w:rPr>
                <w:t>Intercreditor Agreement, dated August 28, 2020, by and among Deutsche Bank Trust</w:t>
              </w:r>
            </w:hyperlink>
          </w:p>
        </w:tc>
        <w:tc>
          <w:tcPr>
            <w:tcW w:w="2420" w:type="dxa"/>
            <w:vAlign w:val="bottom"/>
          </w:tcPr>
          <w:p>
            <w:pPr>
              <w:jc w:val="center"/>
              <w:ind w:left="10"/>
              <w:spacing w:after="0" w:line="190" w:lineRule="exact"/>
              <w:rPr>
                <w:sz w:val="20"/>
                <w:szCs w:val="20"/>
                <w:color w:val="auto"/>
              </w:rPr>
            </w:pPr>
            <w:r>
              <w:rPr>
                <w:rFonts w:ascii="Arial" w:cs="Arial" w:eastAsia="Arial" w:hAnsi="Arial"/>
                <w:sz w:val="18"/>
                <w:szCs w:val="18"/>
                <w:color w:val="auto"/>
                <w:w w:val="94"/>
              </w:rPr>
              <w:t>Exhibit 10.3 of the</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600" w:type="dxa"/>
            <w:vAlign w:val="bottom"/>
            <w:gridSpan w:val="24"/>
          </w:tcPr>
          <w:p>
            <w:pPr>
              <w:spacing w:after="0" w:line="196" w:lineRule="exact"/>
              <w:rPr>
                <w:rFonts w:ascii="Arial" w:cs="Arial" w:eastAsia="Arial" w:hAnsi="Arial"/>
                <w:sz w:val="18"/>
                <w:szCs w:val="18"/>
                <w:color w:val="0000EE"/>
                <w:w w:val="96"/>
              </w:rPr>
            </w:pPr>
            <w:hyperlink r:id="rId149">
              <w:r>
                <w:rPr>
                  <w:rFonts w:ascii="Arial" w:cs="Arial" w:eastAsia="Arial" w:hAnsi="Arial"/>
                  <w:sz w:val="18"/>
                  <w:szCs w:val="18"/>
                  <w:color w:val="0000EE"/>
                  <w:w w:val="96"/>
                </w:rPr>
                <w:t>Company Americas, Wilmington Trust National Association, BTA Institutional Services</w:t>
              </w:r>
            </w:hyperlink>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0"/>
              </w:rPr>
              <w:t>Company's Current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Australia Limited, Weatherford International plc and the grantors parties there to from</w:t>
              </w:r>
            </w:hyperlink>
          </w:p>
        </w:tc>
        <w:tc>
          <w:tcPr>
            <w:tcW w:w="160" w:type="dxa"/>
            <w:vAlign w:val="bottom"/>
            <w:tcBorders>
              <w:top w:val="single" w:sz="8" w:color="0000EE"/>
            </w:tcBorders>
            <w:gridSpan w:val="4"/>
          </w:tcPr>
          <w:p>
            <w:pPr>
              <w:spacing w:after="0"/>
              <w:rPr>
                <w:sz w:val="17"/>
                <w:szCs w:val="17"/>
                <w:color w:val="auto"/>
              </w:rPr>
            </w:pPr>
          </w:p>
        </w:tc>
        <w:tc>
          <w:tcPr>
            <w:tcW w:w="240" w:type="dxa"/>
            <w:vAlign w:val="bottom"/>
            <w:gridSpan w:val="4"/>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Report on Form 8-K</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600" w:type="dxa"/>
            <w:vAlign w:val="bottom"/>
            <w:gridSpan w:val="24"/>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time to time.</w:t>
              </w:r>
            </w:hyperlink>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2"/>
              </w:rPr>
              <w:t>filed August 28, 2020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250"/>
              <w:spacing w:after="0" w:line="196" w:lineRule="exact"/>
              <w:rPr>
                <w:sz w:val="20"/>
                <w:szCs w:val="20"/>
                <w:color w:val="auto"/>
              </w:rPr>
            </w:pPr>
            <w:r>
              <w:rPr>
                <w:rFonts w:ascii="Arial" w:cs="Arial" w:eastAsia="Arial" w:hAnsi="Arial"/>
                <w:sz w:val="18"/>
                <w:szCs w:val="18"/>
                <w:color w:val="auto"/>
                <w:w w:val="88"/>
              </w:rPr>
              <w:t>10.31</w:t>
            </w:r>
          </w:p>
        </w:tc>
        <w:tc>
          <w:tcPr>
            <w:tcW w:w="6600" w:type="dxa"/>
            <w:vAlign w:val="bottom"/>
            <w:gridSpan w:val="24"/>
          </w:tcPr>
          <w:p>
            <w:pPr>
              <w:spacing w:after="0" w:line="196" w:lineRule="exact"/>
              <w:rPr>
                <w:rFonts w:ascii="Arial" w:cs="Arial" w:eastAsia="Arial" w:hAnsi="Arial"/>
                <w:sz w:val="18"/>
                <w:szCs w:val="18"/>
                <w:color w:val="0000EE"/>
                <w:w w:val="95"/>
              </w:rPr>
            </w:pPr>
            <w:hyperlink r:id="rId115">
              <w:r>
                <w:rPr>
                  <w:rFonts w:ascii="Arial" w:cs="Arial" w:eastAsia="Arial" w:hAnsi="Arial"/>
                  <w:sz w:val="18"/>
                  <w:szCs w:val="18"/>
                  <w:color w:val="0000EE"/>
                  <w:w w:val="95"/>
                </w:rPr>
                <w:t>Warrant Agreement by and between Weatherford International plc and American Stock</w:t>
              </w:r>
            </w:hyperlink>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4"/>
              </w:rPr>
              <w:t>Exhibit 10.4 of the</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Transfer &amp; Trust Company, LLC, dated December 13, 2019.</w:t>
              </w:r>
            </w:hyperlink>
          </w:p>
        </w:tc>
        <w:tc>
          <w:tcPr>
            <w:tcW w:w="340" w:type="dxa"/>
            <w:vAlign w:val="bottom"/>
            <w:gridSpan w:val="6"/>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0"/>
              </w:rPr>
              <w:t>Company's Current</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1"/>
              </w:rPr>
              <w:t>filed December 18, 2019</w:t>
            </w:r>
          </w:p>
        </w:tc>
        <w:tc>
          <w:tcPr>
            <w:tcW w:w="0" w:type="dxa"/>
            <w:vAlign w:val="bottom"/>
          </w:tcPr>
          <w:p>
            <w:pPr>
              <w:spacing w:after="0"/>
              <w:rPr>
                <w:sz w:val="1"/>
                <w:szCs w:val="1"/>
                <w:color w:val="auto"/>
              </w:rPr>
            </w:pPr>
          </w:p>
        </w:tc>
      </w:tr>
      <w:tr>
        <w:trPr>
          <w:trHeight w:val="190"/>
        </w:trPr>
        <w:tc>
          <w:tcPr>
            <w:tcW w:w="820" w:type="dxa"/>
            <w:vAlign w:val="bottom"/>
          </w:tcPr>
          <w:p>
            <w:pPr>
              <w:jc w:val="center"/>
              <w:ind w:right="250"/>
              <w:spacing w:after="0" w:line="190" w:lineRule="exact"/>
              <w:rPr>
                <w:sz w:val="20"/>
                <w:szCs w:val="20"/>
                <w:color w:val="auto"/>
              </w:rPr>
            </w:pPr>
            <w:r>
              <w:rPr>
                <w:rFonts w:ascii="Arial" w:cs="Arial" w:eastAsia="Arial" w:hAnsi="Arial"/>
                <w:sz w:val="18"/>
                <w:szCs w:val="18"/>
                <w:color w:val="auto"/>
                <w:w w:val="88"/>
              </w:rPr>
              <w:t>10.32</w:t>
            </w:r>
          </w:p>
        </w:tc>
        <w:tc>
          <w:tcPr>
            <w:tcW w:w="6600" w:type="dxa"/>
            <w:vAlign w:val="bottom"/>
            <w:gridSpan w:val="24"/>
          </w:tcPr>
          <w:p>
            <w:pPr>
              <w:spacing w:after="0" w:line="190" w:lineRule="exact"/>
              <w:rPr>
                <w:rFonts w:ascii="Arial" w:cs="Arial" w:eastAsia="Arial" w:hAnsi="Arial"/>
                <w:sz w:val="18"/>
                <w:szCs w:val="18"/>
                <w:color w:val="0000EE"/>
                <w:w w:val="95"/>
              </w:rPr>
            </w:pPr>
            <w:hyperlink r:id="rId150">
              <w:r>
                <w:rPr>
                  <w:rFonts w:ascii="Arial" w:cs="Arial" w:eastAsia="Arial" w:hAnsi="Arial"/>
                  <w:sz w:val="18"/>
                  <w:szCs w:val="18"/>
                  <w:color w:val="0000EE"/>
                  <w:w w:val="95"/>
                </w:rPr>
                <w:t>Registration Rights Agreement, dated December 13, 2019, by and among Weatherford</w:t>
              </w:r>
            </w:hyperlink>
          </w:p>
        </w:tc>
        <w:tc>
          <w:tcPr>
            <w:tcW w:w="2420" w:type="dxa"/>
            <w:vAlign w:val="bottom"/>
          </w:tcPr>
          <w:p>
            <w:pPr>
              <w:jc w:val="center"/>
              <w:ind w:left="10"/>
              <w:spacing w:after="0" w:line="190" w:lineRule="exact"/>
              <w:rPr>
                <w:sz w:val="20"/>
                <w:szCs w:val="20"/>
                <w:color w:val="auto"/>
              </w:rPr>
            </w:pPr>
            <w:r>
              <w:rPr>
                <w:rFonts w:ascii="Arial" w:cs="Arial" w:eastAsia="Arial" w:hAnsi="Arial"/>
                <w:sz w:val="18"/>
                <w:szCs w:val="18"/>
                <w:color w:val="auto"/>
                <w:w w:val="94"/>
              </w:rPr>
              <w:t>Exhibit 10.5 of the</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International plc and certain stockholders thereto.</w:t>
              </w:r>
            </w:hyperlink>
          </w:p>
        </w:tc>
        <w:tc>
          <w:tcPr>
            <w:tcW w:w="380" w:type="dxa"/>
            <w:vAlign w:val="bottom"/>
            <w:gridSpan w:val="7"/>
          </w:tcPr>
          <w:p>
            <w:pPr>
              <w:spacing w:after="0"/>
              <w:rPr>
                <w:sz w:val="17"/>
                <w:szCs w:val="17"/>
                <w:color w:val="auto"/>
              </w:rPr>
            </w:pPr>
          </w:p>
        </w:tc>
        <w:tc>
          <w:tcPr>
            <w:tcW w:w="24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0"/>
              </w:rPr>
              <w:t>Company's Current</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0" w:type="dxa"/>
            <w:vAlign w:val="bottom"/>
          </w:tcPr>
          <w:p>
            <w:pPr>
              <w:spacing w:after="0"/>
              <w:rPr>
                <w:sz w:val="1"/>
                <w:szCs w:val="1"/>
                <w:color w:val="auto"/>
              </w:rPr>
            </w:pPr>
          </w:p>
        </w:tc>
      </w:tr>
      <w:tr>
        <w:trPr>
          <w:trHeight w:val="230"/>
        </w:trPr>
        <w:tc>
          <w:tcPr>
            <w:tcW w:w="820" w:type="dxa"/>
            <w:vAlign w:val="bottom"/>
            <w:vMerge w:val="restart"/>
          </w:tcPr>
          <w:p>
            <w:pPr>
              <w:jc w:val="center"/>
              <w:ind w:right="250"/>
              <w:spacing w:after="0"/>
              <w:rPr>
                <w:sz w:val="20"/>
                <w:szCs w:val="20"/>
                <w:color w:val="auto"/>
              </w:rPr>
            </w:pPr>
            <w:r>
              <w:rPr>
                <w:rFonts w:ascii="Arial" w:cs="Arial" w:eastAsia="Arial" w:hAnsi="Arial"/>
                <w:sz w:val="18"/>
                <w:szCs w:val="18"/>
                <w:color w:val="auto"/>
                <w:w w:val="92"/>
              </w:rPr>
              <w:t>*10.33</w:t>
            </w:r>
          </w:p>
        </w:tc>
        <w:tc>
          <w:tcPr>
            <w:tcW w:w="6600" w:type="dxa"/>
            <w:vAlign w:val="bottom"/>
            <w:gridSpan w:val="24"/>
            <w:vMerge w:val="restart"/>
          </w:tcPr>
          <w:p>
            <w:pPr>
              <w:spacing w:after="0"/>
              <w:rPr>
                <w:rFonts w:ascii="Arial" w:cs="Arial" w:eastAsia="Arial" w:hAnsi="Arial"/>
                <w:sz w:val="18"/>
                <w:szCs w:val="18"/>
                <w:color w:val="0000EE"/>
              </w:rPr>
            </w:pPr>
            <w:hyperlink r:id="rId151">
              <w:r>
                <w:rPr>
                  <w:rFonts w:ascii="Arial" w:cs="Arial" w:eastAsia="Arial" w:hAnsi="Arial"/>
                  <w:sz w:val="18"/>
                  <w:szCs w:val="18"/>
                  <w:color w:val="0000EE"/>
                </w:rPr>
                <w:t>Offer Letter to Scott C. Weatherholt, dated July 8, 2020.</w:t>
              </w:r>
            </w:hyperlink>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1"/>
              </w:rPr>
              <w:t>filed December 18, 2019</w:t>
            </w:r>
          </w:p>
        </w:tc>
        <w:tc>
          <w:tcPr>
            <w:tcW w:w="0" w:type="dxa"/>
            <w:vAlign w:val="bottom"/>
          </w:tcPr>
          <w:p>
            <w:pPr>
              <w:spacing w:after="0"/>
              <w:rPr>
                <w:sz w:val="1"/>
                <w:szCs w:val="1"/>
                <w:color w:val="auto"/>
              </w:rPr>
            </w:pPr>
          </w:p>
        </w:tc>
      </w:tr>
      <w:tr>
        <w:trPr>
          <w:trHeight w:val="175"/>
        </w:trPr>
        <w:tc>
          <w:tcPr>
            <w:tcW w:w="820" w:type="dxa"/>
            <w:vAlign w:val="bottom"/>
            <w:vMerge w:val="continue"/>
          </w:tcPr>
          <w:p>
            <w:pPr>
              <w:spacing w:after="0"/>
              <w:rPr>
                <w:sz w:val="15"/>
                <w:szCs w:val="15"/>
                <w:color w:val="auto"/>
              </w:rPr>
            </w:pPr>
          </w:p>
        </w:tc>
        <w:tc>
          <w:tcPr>
            <w:tcW w:w="6600" w:type="dxa"/>
            <w:vAlign w:val="bottom"/>
            <w:gridSpan w:val="24"/>
            <w:vMerge w:val="continue"/>
          </w:tcPr>
          <w:p>
            <w:pPr>
              <w:spacing w:after="0"/>
              <w:rPr>
                <w:sz w:val="15"/>
                <w:szCs w:val="15"/>
                <w:color w:val="auto"/>
              </w:rPr>
            </w:pPr>
          </w:p>
        </w:tc>
        <w:tc>
          <w:tcPr>
            <w:tcW w:w="242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Exhibit 10.36 of the Company's</w:t>
            </w:r>
          </w:p>
        </w:tc>
        <w:tc>
          <w:tcPr>
            <w:tcW w:w="0" w:type="dxa"/>
            <w:vAlign w:val="bottom"/>
          </w:tcPr>
          <w:p>
            <w:pPr>
              <w:spacing w:after="0"/>
              <w:rPr>
                <w:sz w:val="1"/>
                <w:szCs w:val="1"/>
                <w:color w:val="auto"/>
              </w:rPr>
            </w:pPr>
          </w:p>
        </w:tc>
      </w:tr>
      <w:tr>
        <w:trPr>
          <w:trHeight w:val="114"/>
        </w:trPr>
        <w:tc>
          <w:tcPr>
            <w:tcW w:w="820" w:type="dxa"/>
            <w:vAlign w:val="bottom"/>
          </w:tcPr>
          <w:p>
            <w:pPr>
              <w:spacing w:after="0"/>
              <w:rPr>
                <w:sz w:val="9"/>
                <w:szCs w:val="9"/>
                <w:color w:val="auto"/>
              </w:rPr>
            </w:pPr>
          </w:p>
        </w:tc>
        <w:tc>
          <w:tcPr>
            <w:tcW w:w="900" w:type="dxa"/>
            <w:vAlign w:val="bottom"/>
            <w:tcBorders>
              <w:top w:val="single" w:sz="8" w:color="0000EE"/>
            </w:tcBorders>
          </w:tcPr>
          <w:p>
            <w:pPr>
              <w:spacing w:after="0"/>
              <w:rPr>
                <w:sz w:val="9"/>
                <w:szCs w:val="9"/>
                <w:color w:val="auto"/>
              </w:rPr>
            </w:pPr>
          </w:p>
        </w:tc>
        <w:tc>
          <w:tcPr>
            <w:tcW w:w="700" w:type="dxa"/>
            <w:vAlign w:val="bottom"/>
            <w:tcBorders>
              <w:top w:val="single" w:sz="8" w:color="0000EE"/>
            </w:tcBorders>
          </w:tcPr>
          <w:p>
            <w:pPr>
              <w:spacing w:after="0"/>
              <w:rPr>
                <w:sz w:val="9"/>
                <w:szCs w:val="9"/>
                <w:color w:val="auto"/>
              </w:rPr>
            </w:pPr>
          </w:p>
        </w:tc>
        <w:tc>
          <w:tcPr>
            <w:tcW w:w="134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480" w:type="dxa"/>
            <w:vAlign w:val="bottom"/>
            <w:tcBorders>
              <w:top w:val="single" w:sz="8" w:color="0000EE"/>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3"/>
              </w:rPr>
              <w:t>Annual Report on Form 10-K/A</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3"/>
              </w:rPr>
              <w:t>filed March 18, 2021</w:t>
            </w:r>
          </w:p>
        </w:tc>
        <w:tc>
          <w:tcPr>
            <w:tcW w:w="0" w:type="dxa"/>
            <w:vAlign w:val="bottom"/>
          </w:tcPr>
          <w:p>
            <w:pPr>
              <w:spacing w:after="0"/>
              <w:rPr>
                <w:sz w:val="1"/>
                <w:szCs w:val="1"/>
                <w:color w:val="auto"/>
              </w:rPr>
            </w:pPr>
          </w:p>
        </w:tc>
      </w:tr>
      <w:tr>
        <w:trPr>
          <w:trHeight w:val="283"/>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2"/>
              </w:rPr>
              <w:t>*10.34</w:t>
            </w:r>
          </w:p>
        </w:tc>
        <w:tc>
          <w:tcPr>
            <w:tcW w:w="6600" w:type="dxa"/>
            <w:vAlign w:val="bottom"/>
            <w:gridSpan w:val="24"/>
          </w:tcPr>
          <w:p>
            <w:pPr>
              <w:spacing w:after="0"/>
              <w:rPr>
                <w:rFonts w:ascii="Arial" w:cs="Arial" w:eastAsia="Arial" w:hAnsi="Arial"/>
                <w:sz w:val="18"/>
                <w:szCs w:val="18"/>
                <w:color w:val="0000EE"/>
              </w:rPr>
            </w:pPr>
            <w:hyperlink r:id="rId152">
              <w:r>
                <w:rPr>
                  <w:rFonts w:ascii="Arial" w:cs="Arial" w:eastAsia="Arial" w:hAnsi="Arial"/>
                  <w:sz w:val="18"/>
                  <w:szCs w:val="18"/>
                  <w:color w:val="0000EE"/>
                </w:rPr>
                <w:t>LTCIP Amended Award Agreement, adopted March 17, 2021.</w:t>
              </w:r>
            </w:hyperlink>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1"/>
              </w:rPr>
              <w:t>Exhibit 10.37 of the Company's</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3"/>
              </w:rPr>
              <w:t>Annual Report on Form 10-K/A</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3"/>
              </w:rPr>
              <w:t>filed March 18, 2021</w:t>
            </w:r>
          </w:p>
        </w:tc>
        <w:tc>
          <w:tcPr>
            <w:tcW w:w="0" w:type="dxa"/>
            <w:vAlign w:val="bottom"/>
          </w:tcPr>
          <w:p>
            <w:pPr>
              <w:spacing w:after="0"/>
              <w:rPr>
                <w:sz w:val="1"/>
                <w:szCs w:val="1"/>
                <w:color w:val="auto"/>
              </w:rPr>
            </w:pPr>
          </w:p>
        </w:tc>
      </w:tr>
      <w:tr>
        <w:trPr>
          <w:trHeight w:val="326"/>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1"/>
              </w:rPr>
              <w:t>21.1</w:t>
            </w:r>
          </w:p>
        </w:tc>
        <w:tc>
          <w:tcPr>
            <w:tcW w:w="6600" w:type="dxa"/>
            <w:vAlign w:val="bottom"/>
            <w:gridSpan w:val="24"/>
          </w:tcPr>
          <w:p>
            <w:pPr>
              <w:spacing w:after="0"/>
              <w:rPr>
                <w:sz w:val="20"/>
                <w:szCs w:val="20"/>
                <w:color w:val="auto"/>
              </w:rPr>
            </w:pPr>
            <w:r>
              <w:rPr>
                <w:rFonts w:ascii="Arial" w:cs="Arial" w:eastAsia="Arial" w:hAnsi="Arial"/>
                <w:sz w:val="18"/>
                <w:szCs w:val="18"/>
                <w:u w:val="single" w:color="auto"/>
                <w:color w:val="0000EE"/>
              </w:rPr>
              <w:t>Significant Subsidiaries of Weatherford International plc.</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-5144135</wp:posOffset>
            </wp:positionV>
            <wp:extent cx="7132320" cy="548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-4046855</wp:posOffset>
            </wp:positionV>
            <wp:extent cx="7132320" cy="685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-2812415</wp:posOffset>
            </wp:positionV>
            <wp:extent cx="7132320" cy="548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-1715135</wp:posOffset>
            </wp:positionV>
            <wp:extent cx="7132320" cy="548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-617855</wp:posOffset>
            </wp:positionV>
            <wp:extent cx="7132320" cy="548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jc w:val="center"/>
        <w:ind w:left="7520"/>
        <w:spacing w:after="0"/>
        <w:rPr>
          <w:sz w:val="20"/>
          <w:szCs w:val="20"/>
          <w:color w:val="auto"/>
        </w:rPr>
      </w:pPr>
      <w:r>
        <w:rPr>
          <w:rFonts w:ascii="Arial" w:cs="Arial" w:eastAsia="Arial" w:hAnsi="Arial"/>
          <w:sz w:val="17"/>
          <w:szCs w:val="17"/>
          <w:color w:val="auto"/>
        </w:rPr>
        <w:t>Exhibit 21.1 of the Company's</w:t>
      </w:r>
    </w:p>
    <w:p>
      <w:pPr>
        <w:spacing w:after="0" w:line="19" w:lineRule="exact"/>
        <w:rPr>
          <w:sz w:val="20"/>
          <w:szCs w:val="20"/>
          <w:color w:val="auto"/>
        </w:rPr>
      </w:pPr>
    </w:p>
    <w:p>
      <w:pPr>
        <w:jc w:val="center"/>
        <w:ind w:left="7520"/>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ind w:left="7520"/>
        <w:spacing w:after="0"/>
        <w:rPr>
          <w:sz w:val="20"/>
          <w:szCs w:val="20"/>
          <w:color w:val="auto"/>
        </w:rPr>
      </w:pPr>
      <w:r>
        <w:rPr>
          <w:rFonts w:ascii="Arial" w:cs="Arial" w:eastAsia="Arial" w:hAnsi="Arial"/>
          <w:sz w:val="18"/>
          <w:szCs w:val="18"/>
          <w:color w:val="auto"/>
        </w:rPr>
        <w:t>filed February 19, 2021</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firstLine="5"/>
        <w:spacing w:after="0" w:line="342" w:lineRule="auto"/>
        <w:rPr>
          <w:sz w:val="20"/>
          <w:szCs w:val="20"/>
          <w:color w:val="auto"/>
        </w:rPr>
      </w:pPr>
      <w:r>
        <w:rPr>
          <w:rFonts w:ascii="Arial" w:cs="Arial" w:eastAsia="Arial" w:hAnsi="Arial"/>
          <w:sz w:val="16"/>
          <w:szCs w:val="16"/>
          <w:color w:val="auto"/>
        </w:rPr>
        <w:t>File No. 1-36504</w:t>
      </w:r>
    </w:p>
    <w:p>
      <w:pPr>
        <w:spacing w:after="0" w:line="340" w:lineRule="exact"/>
        <w:rPr>
          <w:sz w:val="20"/>
          <w:szCs w:val="20"/>
          <w:color w:val="auto"/>
        </w:rPr>
      </w:pPr>
    </w:p>
    <w:p>
      <w:pPr>
        <w:ind w:firstLine="5"/>
        <w:spacing w:after="0" w:line="342" w:lineRule="auto"/>
        <w:rPr>
          <w:sz w:val="20"/>
          <w:szCs w:val="20"/>
          <w:color w:val="auto"/>
        </w:rPr>
      </w:pPr>
      <w:r>
        <w:rPr>
          <w:rFonts w:ascii="Arial" w:cs="Arial" w:eastAsia="Arial" w:hAnsi="Arial"/>
          <w:sz w:val="16"/>
          <w:szCs w:val="16"/>
          <w:color w:val="auto"/>
        </w:rPr>
        <w:t>File No. 1-36504</w:t>
      </w:r>
    </w:p>
    <w:p>
      <w:pPr>
        <w:spacing w:after="0" w:line="340" w:lineRule="exact"/>
        <w:rPr>
          <w:sz w:val="20"/>
          <w:szCs w:val="20"/>
          <w:color w:val="auto"/>
        </w:rPr>
      </w:pPr>
    </w:p>
    <w:p>
      <w:pPr>
        <w:ind w:firstLine="5"/>
        <w:spacing w:after="0" w:line="342" w:lineRule="auto"/>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356" w:lineRule="exact"/>
        <w:rPr>
          <w:sz w:val="20"/>
          <w:szCs w:val="20"/>
          <w:color w:val="auto"/>
        </w:rPr>
      </w:pPr>
    </w:p>
    <w:p>
      <w:pPr>
        <w:ind w:firstLine="5"/>
        <w:spacing w:after="0" w:line="342" w:lineRule="auto"/>
        <w:rPr>
          <w:sz w:val="20"/>
          <w:szCs w:val="20"/>
          <w:color w:val="auto"/>
        </w:rPr>
      </w:pPr>
      <w:r>
        <w:rPr>
          <w:rFonts w:ascii="Arial" w:cs="Arial" w:eastAsia="Arial" w:hAnsi="Arial"/>
          <w:sz w:val="16"/>
          <w:szCs w:val="16"/>
          <w:color w:val="auto"/>
        </w:rPr>
        <w:t>File No. 1-36504</w:t>
      </w:r>
    </w:p>
    <w:p>
      <w:pPr>
        <w:spacing w:after="0" w:line="340" w:lineRule="exact"/>
        <w:rPr>
          <w:sz w:val="20"/>
          <w:szCs w:val="20"/>
          <w:color w:val="auto"/>
        </w:rPr>
      </w:pPr>
    </w:p>
    <w:p>
      <w:pPr>
        <w:ind w:firstLine="5"/>
        <w:spacing w:after="0" w:line="342" w:lineRule="auto"/>
        <w:rPr>
          <w:sz w:val="20"/>
          <w:szCs w:val="20"/>
          <w:color w:val="auto"/>
        </w:rPr>
      </w:pPr>
      <w:r>
        <w:rPr>
          <w:rFonts w:ascii="Arial" w:cs="Arial" w:eastAsia="Arial" w:hAnsi="Arial"/>
          <w:sz w:val="16"/>
          <w:szCs w:val="16"/>
          <w:color w:val="auto"/>
        </w:rPr>
        <w:t>File No. 1-36504</w:t>
      </w:r>
    </w:p>
    <w:p>
      <w:pPr>
        <w:spacing w:after="0" w:line="340" w:lineRule="exact"/>
        <w:rPr>
          <w:sz w:val="20"/>
          <w:szCs w:val="20"/>
          <w:color w:val="auto"/>
        </w:rPr>
      </w:pPr>
    </w:p>
    <w:p>
      <w:pPr>
        <w:ind w:firstLine="5"/>
        <w:spacing w:after="0" w:line="342" w:lineRule="auto"/>
        <w:rPr>
          <w:sz w:val="20"/>
          <w:szCs w:val="20"/>
          <w:color w:val="auto"/>
        </w:rPr>
      </w:pPr>
      <w:r>
        <w:rPr>
          <w:rFonts w:ascii="Arial" w:cs="Arial" w:eastAsia="Arial" w:hAnsi="Arial"/>
          <w:sz w:val="16"/>
          <w:szCs w:val="16"/>
          <w:color w:val="auto"/>
        </w:rPr>
        <w:t>File No. 1-36504</w:t>
      </w:r>
    </w:p>
    <w:p>
      <w:pPr>
        <w:spacing w:after="0" w:line="340" w:lineRule="exact"/>
        <w:rPr>
          <w:sz w:val="20"/>
          <w:szCs w:val="20"/>
          <w:color w:val="auto"/>
        </w:rPr>
      </w:pPr>
    </w:p>
    <w:p>
      <w:pPr>
        <w:ind w:firstLine="5"/>
        <w:spacing w:after="0" w:line="342" w:lineRule="auto"/>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356" w:lineRule="exact"/>
        <w:rPr>
          <w:sz w:val="20"/>
          <w:szCs w:val="20"/>
          <w:color w:val="auto"/>
        </w:rPr>
      </w:pPr>
    </w:p>
    <w:p>
      <w:pPr>
        <w:ind w:firstLine="5"/>
        <w:spacing w:after="0" w:line="342" w:lineRule="auto"/>
        <w:rPr>
          <w:sz w:val="20"/>
          <w:szCs w:val="20"/>
          <w:color w:val="auto"/>
        </w:rPr>
      </w:pPr>
      <w:r>
        <w:rPr>
          <w:rFonts w:ascii="Arial" w:cs="Arial" w:eastAsia="Arial" w:hAnsi="Arial"/>
          <w:sz w:val="16"/>
          <w:szCs w:val="16"/>
          <w:color w:val="auto"/>
        </w:rPr>
        <w:t>File No. 1-36504</w:t>
      </w:r>
    </w:p>
    <w:p>
      <w:pPr>
        <w:spacing w:after="0" w:line="124" w:lineRule="exact"/>
        <w:rPr>
          <w:sz w:val="20"/>
          <w:szCs w:val="20"/>
          <w:color w:val="auto"/>
        </w:rPr>
      </w:pPr>
    </w:p>
    <w:p>
      <w:pPr>
        <w:ind w:firstLine="5"/>
        <w:spacing w:after="0" w:line="342" w:lineRule="auto"/>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356" w:lineRule="exact"/>
        <w:rPr>
          <w:sz w:val="20"/>
          <w:szCs w:val="20"/>
          <w:color w:val="auto"/>
        </w:rPr>
      </w:pPr>
    </w:p>
    <w:p>
      <w:pPr>
        <w:ind w:firstLine="5"/>
        <w:spacing w:after="0" w:line="342" w:lineRule="auto"/>
        <w:rPr>
          <w:sz w:val="20"/>
          <w:szCs w:val="20"/>
          <w:color w:val="auto"/>
        </w:rPr>
      </w:pPr>
      <w:r>
        <w:rPr>
          <w:rFonts w:ascii="Arial" w:cs="Arial" w:eastAsia="Arial" w:hAnsi="Arial"/>
          <w:sz w:val="16"/>
          <w:szCs w:val="16"/>
          <w:color w:val="auto"/>
        </w:rPr>
        <w:t>File No. 1-36504</w:t>
      </w:r>
    </w:p>
    <w:p>
      <w:pPr>
        <w:sectPr>
          <w:pgSz w:w="11900" w:h="16838" w:orient="portrait"/>
          <w:cols w:equalWidth="0" w:num="2">
            <w:col w:w="9840" w:space="380"/>
            <w:col w:w="600"/>
          </w:cols>
          <w:pgMar w:left="540" w:top="891" w:right="539" w:bottom="1440" w:gutter="0" w:footer="0" w:header="0"/>
        </w:sectPr>
      </w:pPr>
    </w:p>
    <w:bookmarkStart w:id="69" w:name="page70"/>
    <w:bookmarkEnd w:id="69"/>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this registration statement has been signed by the following person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Signatures</w:t>
            </w:r>
          </w:p>
        </w:tc>
        <w:tc>
          <w:tcPr>
            <w:tcW w:w="3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3"/>
              </w:rPr>
              <w:t>Title</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Date</w:t>
            </w:r>
          </w:p>
        </w:tc>
        <w:tc>
          <w:tcPr>
            <w:tcW w:w="1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 Keith Jennings</w:t>
            </w:r>
          </w:p>
        </w:tc>
        <w:tc>
          <w:tcPr>
            <w:tcW w:w="3960" w:type="dxa"/>
            <w:vAlign w:val="bottom"/>
          </w:tcPr>
          <w:p>
            <w:pPr>
              <w:jc w:val="center"/>
              <w:ind w:right="150"/>
              <w:spacing w:after="0"/>
              <w:rPr>
                <w:sz w:val="20"/>
                <w:szCs w:val="20"/>
                <w:color w:val="auto"/>
              </w:rPr>
            </w:pPr>
            <w:r>
              <w:rPr>
                <w:rFonts w:ascii="Arial" w:cs="Arial" w:eastAsia="Arial" w:hAnsi="Arial"/>
                <w:sz w:val="18"/>
                <w:szCs w:val="18"/>
                <w:color w:val="auto"/>
                <w:w w:val="90"/>
              </w:rPr>
              <w:t>Executive Vice President and</w:t>
            </w:r>
          </w:p>
        </w:tc>
        <w:tc>
          <w:tcPr>
            <w:tcW w:w="1800" w:type="dxa"/>
            <w:vAlign w:val="bottom"/>
          </w:tcPr>
          <w:p>
            <w:pPr>
              <w:jc w:val="right"/>
              <w:spacing w:after="0"/>
              <w:rPr>
                <w:sz w:val="20"/>
                <w:szCs w:val="20"/>
                <w:color w:val="auto"/>
              </w:rPr>
            </w:pPr>
            <w:r>
              <w:rPr>
                <w:rFonts w:ascii="Arial" w:cs="Arial" w:eastAsia="Arial" w:hAnsi="Arial"/>
                <w:sz w:val="18"/>
                <w:szCs w:val="18"/>
                <w:color w:val="auto"/>
              </w:rPr>
              <w:t>March 29,</w:t>
            </w:r>
          </w:p>
        </w:tc>
        <w:tc>
          <w:tcPr>
            <w:tcW w:w="1660" w:type="dxa"/>
            <w:vAlign w:val="bottom"/>
          </w:tcPr>
          <w:p>
            <w:pPr>
              <w:jc w:val="right"/>
              <w:ind w:right="119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4"/>
                <w:szCs w:val="24"/>
                <w:color w:val="auto"/>
              </w:rPr>
            </w:pP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2"/>
              </w:rPr>
              <w:t>H. Keith Jennings</w:t>
            </w:r>
          </w:p>
        </w:tc>
        <w:tc>
          <w:tcPr>
            <w:tcW w:w="396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4"/>
              </w:rPr>
              <w:t>Chief Financial Officer</w:t>
            </w:r>
          </w:p>
        </w:tc>
        <w:tc>
          <w:tcPr>
            <w:tcW w:w="1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3960" w:type="dxa"/>
            <w:vAlign w:val="bottom"/>
          </w:tcPr>
          <w:p>
            <w:pPr>
              <w:jc w:val="center"/>
              <w:ind w:right="150"/>
              <w:spacing w:after="0"/>
              <w:rPr>
                <w:sz w:val="20"/>
                <w:szCs w:val="20"/>
                <w:color w:val="auto"/>
              </w:rPr>
            </w:pPr>
            <w:r>
              <w:rPr>
                <w:rFonts w:ascii="Arial" w:cs="Arial" w:eastAsia="Arial" w:hAnsi="Arial"/>
                <w:sz w:val="18"/>
                <w:szCs w:val="18"/>
                <w:color w:val="auto"/>
                <w:w w:val="94"/>
              </w:rPr>
              <w:t>(Principal Financial Officer)</w:t>
            </w:r>
          </w:p>
        </w:tc>
        <w:tc>
          <w:tcPr>
            <w:tcW w:w="1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64"/>
        </w:trPr>
        <w:tc>
          <w:tcPr>
            <w:tcW w:w="37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right"/>
              <w:ind w:right="1870"/>
              <w:spacing w:after="0"/>
              <w:rPr>
                <w:sz w:val="20"/>
                <w:szCs w:val="20"/>
                <w:color w:val="auto"/>
              </w:rPr>
            </w:pPr>
            <w:r>
              <w:rPr>
                <w:rFonts w:ascii="Arial" w:cs="Arial" w:eastAsia="Arial" w:hAnsi="Arial"/>
                <w:sz w:val="18"/>
                <w:szCs w:val="18"/>
                <w:color w:val="auto"/>
              </w:rPr>
              <w:t>67</w:t>
            </w:r>
          </w:p>
        </w:tc>
        <w:tc>
          <w:tcPr>
            <w:tcW w:w="1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upperLetter"/>
      <w:start w:val="2"/>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3"/>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5"/>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7"/>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2"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3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11" Type="http://schemas.openxmlformats.org/officeDocument/2006/relationships/hyperlink" Target="http://www.sec.gov/Archives/edgar/data/1603923/000160392321000013/wft-20201231.htm" TargetMode="External"/><Relationship Id="rId113" Type="http://schemas.openxmlformats.org/officeDocument/2006/relationships/hyperlink" Target="http://www.sec.gov/Archives/edgar/data/1603923/000110465919073841/tm1925198d1_ex3-1.htm" TargetMode="External"/><Relationship Id="rId114" Type="http://schemas.openxmlformats.org/officeDocument/2006/relationships/hyperlink" Target="http://www.sec.gov/Archives/edgar/data/1603923/000110465919073841/tm1925198d1_ex4-1.htm" TargetMode="External"/><Relationship Id="rId115" Type="http://schemas.openxmlformats.org/officeDocument/2006/relationships/hyperlink" Target="http://www.sec.gov/Archives/edgar/data/1603923/000110465919073841/tm1925198d1_ex10-4.htm" TargetMode="External"/><Relationship Id="rId116" Type="http://schemas.openxmlformats.org/officeDocument/2006/relationships/hyperlink" Target="http://www.sec.gov/Archives/edgar/data/1603923/000095014220002112/eh2001109_ex0401.htm" TargetMode="External"/><Relationship Id="rId117" Type="http://schemas.openxmlformats.org/officeDocument/2006/relationships/hyperlink" Target="http://www.sec.gov/Archives/edgar/data/1603923/000160392317000076/wftceoofferletter.htm" TargetMode="External"/><Relationship Id="rId118" Type="http://schemas.openxmlformats.org/officeDocument/2006/relationships/hyperlink" Target="http://www.sec.gov/Archives/edgar/data/1603923/000160392320000017/exhibit103offerletterb.htm" TargetMode="External"/><Relationship Id="rId119" Type="http://schemas.openxmlformats.org/officeDocument/2006/relationships/hyperlink" Target="http://www.sec.gov/Archives/edgar/data/1603923/000160392320000064/ex106letteragreement-k.htm" TargetMode="External"/><Relationship Id="rId120" Type="http://schemas.openxmlformats.org/officeDocument/2006/relationships/hyperlink" Target="http://www.sec.gov/Archives/edgar/data/1603923/000160392320000075/ex104keithjenningsoffe.htm" TargetMode="External"/><Relationship Id="rId123" Type="http://schemas.openxmlformats.org/officeDocument/2006/relationships/hyperlink" Target="http://www.sec.gov/Archives/edgar/data/1603923/000160392320000075/ex105offerlettertogiri.htm" TargetMode="External"/><Relationship Id="rId124" Type="http://schemas.openxmlformats.org/officeDocument/2006/relationships/hyperlink" Target="http://www.sec.gov/Archives/edgar/data/1603923/000160392314000013/exhibit1011deedofindemnifi.htm" TargetMode="External"/><Relationship Id="rId125" Type="http://schemas.openxmlformats.org/officeDocument/2006/relationships/hyperlink" Target="http://www.sec.gov/Archives/edgar/data/1603923/000160392314000013/exhibit1012deedofindemnifi.htm" TargetMode="External"/><Relationship Id="rId126" Type="http://schemas.openxmlformats.org/officeDocument/2006/relationships/hyperlink" Target="http://www.sec.gov/Archives/edgar/data/1603923/000160392316000287/ex101formofchangeincontrol.htm" TargetMode="External"/><Relationship Id="rId127" Type="http://schemas.openxmlformats.org/officeDocument/2006/relationships/hyperlink" Target="http://www.sec.gov/Archives/edgar/data/1603923/000160392320000064/ex107amendmenttochange.htm" TargetMode="External"/><Relationship Id="rId128" Type="http://schemas.openxmlformats.org/officeDocument/2006/relationships/hyperlink" Target="http://www.sec.gov/Archives/edgar/data/1603923/000160392320000079/ex101-weatherfordinter.htm" TargetMode="External"/><Relationship Id="rId129" Type="http://schemas.openxmlformats.org/officeDocument/2006/relationships/hyperlink" Target="http://www.sec.gov/Archives/edgar/data/1603923/000160392319000036/ex991ebp-2019executivebonu.htm" TargetMode="External"/><Relationship Id="rId130" Type="http://schemas.openxmlformats.org/officeDocument/2006/relationships/hyperlink" Target="http://www.sec.gov/Archives/edgar/data/1603923/000160392319000036/ex992ra-formofretentionbon.htm" TargetMode="External"/><Relationship Id="rId131" Type="http://schemas.openxmlformats.org/officeDocument/2006/relationships/hyperlink" Target="http://www.sec.gov/Archives/edgar/data/1603923/000110465920046579/tm2015956d1_ex10-2.htm" TargetMode="External"/><Relationship Id="rId133" Type="http://schemas.openxmlformats.org/officeDocument/2006/relationships/hyperlink" Target="http://www.sec.gov/Archives/edgar/data/1603923/000160392320000075/ex106secondamendmentto.htm" TargetMode="External"/><Relationship Id="rId134" Type="http://schemas.openxmlformats.org/officeDocument/2006/relationships/hyperlink" Target="http://www.sec.gov/Archives/edgar/data/1603923/000110465920046579/tm2015956d1_ex10-3.htm" TargetMode="External"/><Relationship Id="rId135" Type="http://schemas.openxmlformats.org/officeDocument/2006/relationships/hyperlink" Target="http://www.sec.gov/Archives/edgar/data/1603923/000160392320000079/ex103-formofrestricted.htm" TargetMode="External"/><Relationship Id="rId136" Type="http://schemas.openxmlformats.org/officeDocument/2006/relationships/hyperlink" Target="http://www.sec.gov/Archives/edgar/data/1603923/000160392320000079/ex104-formofperformanc.htm" TargetMode="External"/><Relationship Id="rId137" Type="http://schemas.openxmlformats.org/officeDocument/2006/relationships/hyperlink" Target="http://www.sec.gov/Archives/edgar/data/1603923/000095014221000038/eh210124017_ex1002.htm" TargetMode="External"/><Relationship Id="rId138" Type="http://schemas.openxmlformats.org/officeDocument/2006/relationships/hyperlink" Target="http://www.sec.gov/Archives/edgar/data/1603923/000095014221000038/eh210124017_ex1003.htm" TargetMode="External"/><Relationship Id="rId139" Type="http://schemas.openxmlformats.org/officeDocument/2006/relationships/hyperlink" Target="http://www.sec.gov/Archives/edgar/data/1603923/000095014221000038/eh210124017_ex1004.htm" TargetMode="External"/><Relationship Id="rId140" Type="http://schemas.openxmlformats.org/officeDocument/2006/relationships/hyperlink" Target="http://www.sec.gov/Archives/edgar/data/1603923/000160392321000013/exhibit1024amendedandresta.htm" TargetMode="External"/><Relationship Id="rId141" Type="http://schemas.openxmlformats.org/officeDocument/2006/relationships/hyperlink" Target="http://www.sec.gov/Archives/edgar/data/1603923/000095014221000038/eh210124017_ex1001.htm" TargetMode="External"/><Relationship Id="rId142" Type="http://schemas.openxmlformats.org/officeDocument/2006/relationships/hyperlink" Target="http://www.sec.gov/Archives/edgar/data/1603923/000160392320000025/exhibit101-weatherford.htm" TargetMode="External"/><Relationship Id="rId143" Type="http://schemas.openxmlformats.org/officeDocument/2006/relationships/hyperlink" Target="http://www.sec.gov/Archives/edgar/data/1603923/000160392320000025/exhibit102-awardagreem.htm" TargetMode="External"/><Relationship Id="rId144" Type="http://schemas.openxmlformats.org/officeDocument/2006/relationships/hyperlink" Target="http://www.sec.gov/Archives/edgar/data/1603923/000160392320000079/ex102-formoflongxtermc.htm" TargetMode="External"/><Relationship Id="rId145" Type="http://schemas.openxmlformats.org/officeDocument/2006/relationships/hyperlink" Target="http://www.sec.gov/Archives/edgar/data/1603923/000110465919073841/tm1925198d1_ex10-1.htm" TargetMode="External"/><Relationship Id="rId146" Type="http://schemas.openxmlformats.org/officeDocument/2006/relationships/hyperlink" Target="http://www.sec.gov/Archives/edgar/data/1603923/000110465919073841/tm1925198d1_ex10-2.htm" TargetMode="External"/><Relationship Id="rId147" Type="http://schemas.openxmlformats.org/officeDocument/2006/relationships/hyperlink" Target="http://www.sec.gov/Archives/edgar/data/1603923/000095014220002112/eh2001109_ex1001.htm" TargetMode="External"/><Relationship Id="rId148" Type="http://schemas.openxmlformats.org/officeDocument/2006/relationships/hyperlink" Target="http://www.sec.gov/Archives/edgar/data/1603923/000110465919073841/tm1925198d1_ex10-3.htm" TargetMode="External"/><Relationship Id="rId149" Type="http://schemas.openxmlformats.org/officeDocument/2006/relationships/hyperlink" Target="http://www.sec.gov/Archives/edgar/data/1603923/000095014220002112/eh2001109_ex1003.htm" TargetMode="External"/><Relationship Id="rId150" Type="http://schemas.openxmlformats.org/officeDocument/2006/relationships/hyperlink" Target="http://www.sec.gov/Archives/edgar/data/1603923/000110465919073841/tm1925198d1_ex10-5.htm" TargetMode="External"/><Relationship Id="rId151" Type="http://schemas.openxmlformats.org/officeDocument/2006/relationships/hyperlink" Target="http://www.sec.gov/Archives/edgar/data/1603923/000160392321000018/exhibit1036offerlettertosc.htm" TargetMode="External"/><Relationship Id="rId152" Type="http://schemas.openxmlformats.org/officeDocument/2006/relationships/hyperlink" Target="http://www.sec.gov/Archives/edgar/data/1603923/000160392321000018/exhibit1037ltcipamendedaw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2021-03-29T07:32:21Z</dcterms:created>
  <dcterms:modified xsi:type="dcterms:W3CDTF">2021-03-29T07:32:21Z</dcterms:modified>
</cp:coreProperties>
</file>