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WEATHERFORD INTERNATIONAL PLC</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BLNN369</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(SEDOL Number)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2016</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6" w:lineRule="exact"/>
        <w:rPr>
          <w:sz w:val="24"/>
          <w:szCs w:val="24"/>
          <w:color w:val="auto"/>
        </w:rPr>
      </w:pPr>
    </w:p>
    <w:p>
      <w:pPr>
        <w:ind w:right="399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ind w:right="4199"/>
        <w:spacing w:after="0" w:line="26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w:t>
      </w:r>
    </w:p>
    <w:p>
      <w:pPr>
        <w:spacing w:after="0" w:line="234"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41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SEDOL No.</w:t>
      </w:r>
      <w:r>
        <w:rPr>
          <w:sz w:val="20"/>
          <w:szCs w:val="20"/>
          <w:color w:val="auto"/>
        </w:rPr>
        <w:tab/>
      </w:r>
      <w:r>
        <w:rPr>
          <w:rFonts w:ascii="Courier New" w:cs="Courier New" w:eastAsia="Courier New" w:hAnsi="Courier New"/>
          <w:sz w:val="16"/>
          <w:szCs w:val="16"/>
          <w:color w:val="auto"/>
        </w:rPr>
        <w:t>BLNN369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9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46966963</w:t>
      </w:r>
    </w:p>
    <w:p>
      <w:pPr>
        <w:spacing w:after="0" w:line="11" w:lineRule="exact"/>
        <w:rPr>
          <w:rFonts w:ascii="Courier New" w:cs="Courier New" w:eastAsia="Courier New" w:hAnsi="Courier New"/>
          <w:sz w:val="18"/>
          <w:szCs w:val="18"/>
          <w:color w:val="auto"/>
        </w:rPr>
      </w:pPr>
    </w:p>
    <w:p>
      <w:pPr>
        <w:ind w:left="120" w:right="777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259031</w:t>
      </w:r>
    </w:p>
    <w:p>
      <w:pPr>
        <w:spacing w:after="0" w:line="11" w:lineRule="exact"/>
        <w:rPr>
          <w:rFonts w:ascii="Courier New" w:cs="Courier New" w:eastAsia="Courier New" w:hAnsi="Courier New"/>
          <w:sz w:val="18"/>
          <w:szCs w:val="18"/>
          <w:color w:val="auto"/>
        </w:rPr>
      </w:pPr>
    </w:p>
    <w:p>
      <w:pPr>
        <w:ind w:left="120" w:right="747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53684987</w:t>
      </w:r>
    </w:p>
    <w:p>
      <w:pPr>
        <w:sectPr>
          <w:pgSz w:w="11900" w:h="16848" w:orient="portrait"/>
          <w:cols w:equalWidth="0" w:num="1">
            <w:col w:w="10219"/>
          </w:cols>
          <w:pgMar w:left="240" w:top="244" w:right="1440" w:bottom="0" w:gutter="0" w:footer="0" w:header="0"/>
        </w:sectPr>
      </w:pPr>
    </w:p>
    <w:bookmarkStart w:id="1" w:name="page2"/>
    <w:bookmarkEnd w:id="1"/>
    <w:p>
      <w:pPr>
        <w:ind w:right="7259" w:firstLine="8"/>
        <w:spacing w:after="0" w:line="470" w:lineRule="auto"/>
        <w:tabs>
          <w:tab w:leader="none" w:pos="421"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259031</w:t>
      </w:r>
    </w:p>
    <w:p>
      <w:pPr>
        <w:spacing w:after="0" w:line="11" w:lineRule="exact"/>
        <w:rPr>
          <w:rFonts w:ascii="Courier New" w:cs="Courier New" w:eastAsia="Courier New" w:hAnsi="Courier New"/>
          <w:sz w:val="18"/>
          <w:szCs w:val="18"/>
          <w:color w:val="auto"/>
        </w:rPr>
      </w:pPr>
    </w:p>
    <w:p>
      <w:pPr>
        <w:ind w:left="120" w:right="3479" w:hanging="112"/>
        <w:spacing w:after="0" w:line="470"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53944018</w:t>
      </w:r>
    </w:p>
    <w:p>
      <w:pPr>
        <w:spacing w:after="0" w:line="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5.5%</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WEATHERFORD INTERNATIONAL PLC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Bahnhofstrasse 1</w:t>
      </w:r>
    </w:p>
    <w:p>
      <w:pPr>
        <w:spacing w:after="0" w:line="238" w:lineRule="auto"/>
        <w:rPr>
          <w:sz w:val="20"/>
          <w:szCs w:val="20"/>
          <w:color w:val="auto"/>
        </w:rPr>
      </w:pPr>
      <w:r>
        <w:rPr>
          <w:rFonts w:ascii="Courier New" w:cs="Courier New" w:eastAsia="Courier New" w:hAnsi="Courier New"/>
          <w:sz w:val="18"/>
          <w:szCs w:val="18"/>
          <w:color w:val="auto"/>
        </w:rPr>
        <w:t>6340 Baar Switzerland CH 6340</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37" w:lineRule="auto"/>
        <w:rPr>
          <w:sz w:val="20"/>
          <w:szCs w:val="20"/>
          <w:color w:val="auto"/>
        </w:rPr>
      </w:pPr>
      <w:r>
        <w:rPr>
          <w:rFonts w:ascii="Courier New" w:cs="Courier New" w:eastAsia="Courier New" w:hAnsi="Courier New"/>
          <w:sz w:val="18"/>
          <w:szCs w:val="18"/>
          <w:color w:val="auto"/>
        </w:rPr>
        <w:t>55 East 52nd Street</w:t>
      </w:r>
    </w:p>
    <w:p>
      <w:pPr>
        <w:spacing w:after="0" w:line="238" w:lineRule="auto"/>
        <w:rPr>
          <w:sz w:val="20"/>
          <w:szCs w:val="20"/>
          <w:color w:val="auto"/>
        </w:rPr>
      </w:pPr>
      <w:r>
        <w:rPr>
          <w:rFonts w:ascii="Courier New" w:cs="Courier New" w:eastAsia="Courier New" w:hAnsi="Courier New"/>
          <w:sz w:val="18"/>
          <w:szCs w:val="18"/>
          <w:color w:val="auto"/>
        </w:rPr>
        <w:t>New York, NY 10055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SEDOL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31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w:t>
      </w:r>
    </w:p>
    <w:p>
      <w:pPr>
        <w:sectPr>
          <w:pgSz w:w="11900" w:h="16838" w:orient="portrait"/>
          <w:cols w:equalWidth="0" w:num="1">
            <w:col w:w="10219"/>
          </w:cols>
          <w:pgMar w:left="240" w:top="142" w:right="1440" w:bottom="0" w:gutter="0" w:footer="0" w:header="0"/>
        </w:sectPr>
      </w:pPr>
    </w:p>
    <w:bookmarkStart w:id="2" w:name="page3"/>
    <w:bookmarkEnd w:id="2"/>
    <w:p>
      <w:pPr>
        <w:ind w:left="1280"/>
        <w:spacing w:after="0"/>
        <w:rPr>
          <w:sz w:val="20"/>
          <w:szCs w:val="20"/>
          <w:color w:val="auto"/>
        </w:rPr>
      </w:pPr>
      <w:r>
        <w:rPr>
          <w:rFonts w:ascii="Courier New" w:cs="Courier New" w:eastAsia="Courier New" w:hAnsi="Courier New"/>
          <w:sz w:val="18"/>
          <w:szCs w:val="18"/>
          <w:color w:val="auto"/>
        </w:rPr>
        <w:t>Rule 13d-1(b)(1)(ii)(F);</w:t>
      </w:r>
    </w:p>
    <w:p>
      <w:pPr>
        <w:spacing w:after="0" w:line="4" w:lineRule="exact"/>
        <w:rPr>
          <w:sz w:val="20"/>
          <w:szCs w:val="20"/>
          <w:color w:val="auto"/>
        </w:rPr>
      </w:pPr>
    </w:p>
    <w:p>
      <w:pPr>
        <w:ind w:left="1280" w:right="3359" w:hanging="1272"/>
        <w:spacing w:after="0" w:line="235" w:lineRule="auto"/>
        <w:tabs>
          <w:tab w:leader="none" w:pos="43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3039" w:hanging="1263"/>
        <w:spacing w:after="0" w:line="235"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7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rPr>
          <w:sz w:val="20"/>
          <w:szCs w:val="20"/>
          <w:color w:val="auto"/>
        </w:rPr>
      </w:pPr>
      <w:r>
        <w:rPr>
          <w:rFonts w:ascii="Courier New" w:cs="Courier New" w:eastAsia="Courier New" w:hAnsi="Courier New"/>
          <w:sz w:val="18"/>
          <w:szCs w:val="18"/>
          <w:color w:val="auto"/>
        </w:rPr>
        <w:t>[ ] A non-U.S. institution in accordance with</w:t>
      </w:r>
    </w:p>
    <w:p>
      <w:pPr>
        <w:ind w:left="1280"/>
        <w:spacing w:after="0" w:line="238" w:lineRule="auto"/>
        <w:rPr>
          <w:sz w:val="20"/>
          <w:szCs w:val="20"/>
          <w:color w:val="auto"/>
        </w:rPr>
      </w:pPr>
      <w:r>
        <w:rPr>
          <w:rFonts w:ascii="Courier New" w:cs="Courier New" w:eastAsia="Courier New" w:hAnsi="Courier New"/>
          <w:sz w:val="18"/>
          <w:szCs w:val="18"/>
          <w:color w:val="auto"/>
        </w:rPr>
        <w:t>Rule 240.13d-1(b)(1)(ii)(J);</w:t>
      </w:r>
    </w:p>
    <w:p>
      <w:pPr>
        <w:spacing w:after="0" w:line="5" w:lineRule="exact"/>
        <w:rPr>
          <w:sz w:val="20"/>
          <w:szCs w:val="20"/>
          <w:color w:val="auto"/>
        </w:rPr>
      </w:pPr>
    </w:p>
    <w:p>
      <w:pPr>
        <w:ind w:left="1280" w:right="3039" w:hanging="1272"/>
        <w:spacing w:after="0" w:line="235" w:lineRule="auto"/>
        <w:tabs>
          <w:tab w:leader="none" w:pos="227"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53944018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5.5%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46966963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259031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53684987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259031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7" w:lineRule="exact"/>
        <w:rPr>
          <w:sz w:val="20"/>
          <w:szCs w:val="20"/>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Various persons have the right to receive or the power to direct</w:t>
      </w:r>
    </w:p>
    <w:p>
      <w:pPr>
        <w:spacing w:after="0" w:line="238" w:lineRule="auto"/>
        <w:rPr>
          <w:sz w:val="20"/>
          <w:szCs w:val="20"/>
          <w:color w:val="auto"/>
        </w:rPr>
      </w:pPr>
      <w:r>
        <w:rPr>
          <w:rFonts w:ascii="Courier New" w:cs="Courier New" w:eastAsia="Courier New" w:hAnsi="Courier New"/>
          <w:sz w:val="18"/>
          <w:szCs w:val="18"/>
          <w:color w:val="auto"/>
        </w:rPr>
        <w:t>the receipt of dividends from, or the proceeds from the sale of</w:t>
      </w:r>
    </w:p>
    <w:p>
      <w:pPr>
        <w:spacing w:after="0"/>
        <w:rPr>
          <w:sz w:val="20"/>
          <w:szCs w:val="20"/>
          <w:color w:val="auto"/>
        </w:rPr>
      </w:pPr>
      <w:r>
        <w:rPr>
          <w:rFonts w:ascii="Courier New" w:cs="Courier New" w:eastAsia="Courier New" w:hAnsi="Courier New"/>
          <w:sz w:val="18"/>
          <w:szCs w:val="18"/>
          <w:color w:val="auto"/>
        </w:rPr>
        <w:t>the common stock of</w:t>
      </w:r>
    </w:p>
    <w:p>
      <w:pPr>
        <w:spacing w:after="0" w:line="237" w:lineRule="auto"/>
        <w:rPr>
          <w:sz w:val="20"/>
          <w:szCs w:val="20"/>
          <w:color w:val="auto"/>
        </w:rPr>
      </w:pPr>
      <w:r>
        <w:rPr>
          <w:rFonts w:ascii="Courier New" w:cs="Courier New" w:eastAsia="Courier New" w:hAnsi="Courier New"/>
          <w:sz w:val="18"/>
          <w:szCs w:val="18"/>
          <w:color w:val="auto"/>
        </w:rPr>
        <w:t>WEATHERFORD INTERNATIONAL PLC.</w:t>
      </w:r>
    </w:p>
    <w:p>
      <w:pPr>
        <w:spacing w:after="0" w:line="238" w:lineRule="auto"/>
        <w:rPr>
          <w:sz w:val="20"/>
          <w:szCs w:val="20"/>
          <w:color w:val="auto"/>
        </w:rPr>
      </w:pPr>
      <w:r>
        <w:rPr>
          <w:rFonts w:ascii="Courier New" w:cs="Courier New" w:eastAsia="Courier New" w:hAnsi="Courier New"/>
          <w:sz w:val="18"/>
          <w:szCs w:val="18"/>
          <w:color w:val="auto"/>
        </w:rPr>
        <w:t>No one person's interest in the common stock of</w:t>
      </w:r>
    </w:p>
    <w:p>
      <w:pPr>
        <w:spacing w:after="0"/>
        <w:rPr>
          <w:sz w:val="20"/>
          <w:szCs w:val="20"/>
          <w:color w:val="auto"/>
        </w:rPr>
      </w:pPr>
      <w:r>
        <w:rPr>
          <w:rFonts w:ascii="Courier New" w:cs="Courier New" w:eastAsia="Courier New" w:hAnsi="Courier New"/>
          <w:sz w:val="18"/>
          <w:szCs w:val="18"/>
          <w:color w:val="auto"/>
        </w:rPr>
        <w:t>WEATHERFORD INTERNATIONAL PLC</w:t>
      </w:r>
    </w:p>
    <w:p>
      <w:pPr>
        <w:sectPr>
          <w:pgSz w:w="11900" w:h="16838" w:orient="portrait"/>
          <w:cols w:equalWidth="0" w:num="1">
            <w:col w:w="10219"/>
          </w:cols>
          <w:pgMar w:left="240" w:top="136" w:right="1440" w:bottom="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60" w:type="dxa"/>
            <w:vAlign w:val="bottom"/>
            <w:gridSpan w:val="2"/>
          </w:tcPr>
          <w:p>
            <w:pPr>
              <w:spacing w:after="0"/>
              <w:rPr>
                <w:sz w:val="20"/>
                <w:szCs w:val="20"/>
                <w:color w:val="auto"/>
              </w:rPr>
            </w:pPr>
            <w:r>
              <w:rPr>
                <w:rFonts w:ascii="Courier New" w:cs="Courier New" w:eastAsia="Courier New" w:hAnsi="Courier New"/>
                <w:sz w:val="18"/>
                <w:szCs w:val="18"/>
                <w:color w:val="auto"/>
                <w:w w:val="96"/>
              </w:rPr>
              <w:t>If a group</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has</w:t>
            </w:r>
          </w:p>
        </w:tc>
        <w:tc>
          <w:tcPr>
            <w:tcW w:w="11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filed this</w:t>
            </w:r>
          </w:p>
        </w:tc>
        <w:tc>
          <w:tcPr>
            <w:tcW w:w="19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schedule pursuant</w:t>
            </w:r>
          </w:p>
        </w:tc>
        <w:tc>
          <w:tcPr>
            <w:tcW w:w="27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2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9"/>
              </w:rPr>
              <w:t>Item 3(j) and attach</w:t>
            </w:r>
          </w:p>
        </w:tc>
        <w:tc>
          <w:tcPr>
            <w:tcW w:w="20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an exhibit 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Item 3</w:t>
            </w:r>
          </w:p>
        </w:tc>
        <w:tc>
          <w:tcPr>
            <w:tcW w:w="16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classification</w:t>
            </w:r>
          </w:p>
        </w:tc>
        <w:tc>
          <w:tcPr>
            <w:tcW w:w="1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this</w:t>
            </w:r>
          </w:p>
        </w:tc>
        <w:tc>
          <w:tcPr>
            <w:tcW w:w="274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w w:val="99"/>
              </w:rPr>
              <w:t>schedule pursuant to Rule</w:t>
            </w:r>
          </w:p>
        </w:tc>
        <w:tc>
          <w:tcPr>
            <w:tcW w:w="17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13d-1(c) 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 identity</w:t>
            </w:r>
          </w:p>
        </w:tc>
        <w:tc>
          <w:tcPr>
            <w:tcW w:w="332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of 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93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47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spacing w:after="0" w:line="1"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2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January 30, 2017</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9" w:lineRule="exact"/>
        <w:rPr>
          <w:sz w:val="20"/>
          <w:szCs w:val="20"/>
          <w:color w:val="auto"/>
        </w:rPr>
      </w:pPr>
    </w:p>
    <w:p>
      <w:pPr>
        <w:ind w:right="3159"/>
        <w:spacing w:after="0" w:line="271"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219"/>
          </w:cols>
          <w:pgMar w:left="240" w:top="136" w:right="1440" w:bottom="335"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Subsidiary</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(Luxembourg) S.A.</w:t>
      </w:r>
    </w:p>
    <w:p>
      <w:pPr>
        <w:spacing w:after="0" w:line="238" w:lineRule="auto"/>
        <w:rPr>
          <w:sz w:val="20"/>
          <w:szCs w:val="20"/>
          <w:color w:val="auto"/>
        </w:rPr>
      </w:pPr>
      <w:r>
        <w:rPr>
          <w:rFonts w:ascii="Courier New" w:cs="Courier New" w:eastAsia="Courier New" w:hAnsi="Courier New"/>
          <w:sz w:val="18"/>
          <w:szCs w:val="18"/>
          <w:color w:val="auto"/>
        </w:rPr>
        <w:t>BlackRock (Netherlands) B.V.</w:t>
      </w:r>
    </w:p>
    <w:p>
      <w:pPr>
        <w:spacing w:after="0"/>
        <w:rPr>
          <w:sz w:val="20"/>
          <w:szCs w:val="20"/>
          <w:color w:val="auto"/>
        </w:rPr>
      </w:pPr>
      <w:r>
        <w:rPr>
          <w:rFonts w:ascii="Courier New" w:cs="Courier New" w:eastAsia="Courier New" w:hAnsi="Courier New"/>
          <w:sz w:val="18"/>
          <w:szCs w:val="18"/>
          <w:color w:val="auto"/>
        </w:rPr>
        <w:t>BlackRock Advisors (UK) Limited</w:t>
      </w:r>
    </w:p>
    <w:p>
      <w:pPr>
        <w:spacing w:after="0" w:line="237" w:lineRule="auto"/>
        <w:rPr>
          <w:sz w:val="20"/>
          <w:szCs w:val="20"/>
          <w:color w:val="auto"/>
        </w:rPr>
      </w:pPr>
      <w:r>
        <w:rPr>
          <w:rFonts w:ascii="Courier New" w:cs="Courier New" w:eastAsia="Courier New" w:hAnsi="Courier New"/>
          <w:sz w:val="18"/>
          <w:szCs w:val="18"/>
          <w:color w:val="auto"/>
        </w:rPr>
        <w:t>BlackRock Advisors, LLC</w:t>
      </w:r>
    </w:p>
    <w:p>
      <w:pPr>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spacing w:after="0"/>
        <w:rPr>
          <w:sz w:val="20"/>
          <w:szCs w:val="20"/>
          <w:color w:val="auto"/>
        </w:rPr>
      </w:pPr>
      <w:r>
        <w:rPr>
          <w:rFonts w:ascii="Courier New" w:cs="Courier New" w:eastAsia="Courier New" w:hAnsi="Courier New"/>
          <w:sz w:val="18"/>
          <w:szCs w:val="18"/>
          <w:color w:val="auto"/>
        </w:rPr>
        <w:t>BlackRock Asset Management Ireland Limited</w:t>
      </w:r>
    </w:p>
    <w:p>
      <w:pPr>
        <w:spacing w:after="0" w:line="237" w:lineRule="auto"/>
        <w:rPr>
          <w:sz w:val="20"/>
          <w:szCs w:val="20"/>
          <w:color w:val="auto"/>
        </w:rPr>
      </w:pPr>
      <w:r>
        <w:rPr>
          <w:rFonts w:ascii="Courier New" w:cs="Courier New" w:eastAsia="Courier New" w:hAnsi="Courier New"/>
          <w:sz w:val="18"/>
          <w:szCs w:val="18"/>
          <w:color w:val="auto"/>
        </w:rPr>
        <w:t>BlackRock Asset Management North Asia Limited</w:t>
      </w:r>
    </w:p>
    <w:p>
      <w:pPr>
        <w:spacing w:after="0"/>
        <w:rPr>
          <w:sz w:val="20"/>
          <w:szCs w:val="20"/>
          <w:color w:val="auto"/>
        </w:rPr>
      </w:pPr>
      <w:r>
        <w:rPr>
          <w:rFonts w:ascii="Courier New" w:cs="Courier New" w:eastAsia="Courier New" w:hAnsi="Courier New"/>
          <w:sz w:val="18"/>
          <w:szCs w:val="18"/>
          <w:color w:val="auto"/>
        </w:rPr>
        <w:t>BlackRock Asset Management Schweiz AG</w:t>
      </w:r>
    </w:p>
    <w:p>
      <w:pPr>
        <w:spacing w:after="0" w:line="237" w:lineRule="auto"/>
        <w:rPr>
          <w:sz w:val="20"/>
          <w:szCs w:val="20"/>
          <w:color w:val="auto"/>
        </w:rPr>
      </w:pPr>
      <w:r>
        <w:rPr>
          <w:rFonts w:ascii="Courier New" w:cs="Courier New" w:eastAsia="Courier New" w:hAnsi="Courier New"/>
          <w:sz w:val="18"/>
          <w:szCs w:val="18"/>
          <w:color w:val="auto"/>
        </w:rPr>
        <w:t>BlackRock Capital Management</w:t>
      </w:r>
    </w:p>
    <w:p>
      <w:pPr>
        <w:spacing w:after="0"/>
        <w:rPr>
          <w:sz w:val="20"/>
          <w:szCs w:val="20"/>
          <w:color w:val="auto"/>
        </w:rPr>
      </w:pPr>
      <w:r>
        <w:rPr>
          <w:rFonts w:ascii="Courier New" w:cs="Courier New" w:eastAsia="Courier New" w:hAnsi="Courier New"/>
          <w:sz w:val="18"/>
          <w:szCs w:val="18"/>
          <w:color w:val="auto"/>
        </w:rPr>
        <w:t>BlackRock Financial Management, Inc.</w:t>
      </w:r>
    </w:p>
    <w:p>
      <w:pPr>
        <w:spacing w:after="0" w:line="237" w:lineRule="auto"/>
        <w:rPr>
          <w:sz w:val="20"/>
          <w:szCs w:val="20"/>
          <w:color w:val="auto"/>
        </w:rPr>
      </w:pPr>
      <w:r>
        <w:rPr>
          <w:rFonts w:ascii="Courier New" w:cs="Courier New" w:eastAsia="Courier New" w:hAnsi="Courier New"/>
          <w:sz w:val="18"/>
          <w:szCs w:val="18"/>
          <w:color w:val="auto"/>
        </w:rPr>
        <w:t>BlackRock Fund Advisors</w:t>
      </w:r>
    </w:p>
    <w:p>
      <w:pPr>
        <w:spacing w:after="0" w:line="238" w:lineRule="auto"/>
        <w:rPr>
          <w:sz w:val="20"/>
          <w:szCs w:val="20"/>
          <w:color w:val="auto"/>
        </w:rPr>
      </w:pPr>
      <w:r>
        <w:rPr>
          <w:rFonts w:ascii="Courier New" w:cs="Courier New" w:eastAsia="Courier New" w:hAnsi="Courier New"/>
          <w:sz w:val="18"/>
          <w:szCs w:val="18"/>
          <w:color w:val="auto"/>
        </w:rPr>
        <w:t>BlackRock Fund Managers Ltd</w:t>
      </w:r>
    </w:p>
    <w:p>
      <w:pPr>
        <w:spacing w:after="0"/>
        <w:rPr>
          <w:sz w:val="20"/>
          <w:szCs w:val="20"/>
          <w:color w:val="auto"/>
        </w:rPr>
      </w:pPr>
      <w:r>
        <w:rPr>
          <w:rFonts w:ascii="Courier New" w:cs="Courier New" w:eastAsia="Courier New" w:hAnsi="Courier New"/>
          <w:sz w:val="18"/>
          <w:szCs w:val="18"/>
          <w:color w:val="auto"/>
        </w:rPr>
        <w:t>BlackRock Institutional Trust Company, N.A.</w:t>
      </w:r>
    </w:p>
    <w:p>
      <w:pPr>
        <w:spacing w:after="0" w:line="237" w:lineRule="auto"/>
        <w:rPr>
          <w:sz w:val="20"/>
          <w:szCs w:val="20"/>
          <w:color w:val="auto"/>
        </w:rPr>
      </w:pPr>
      <w:r>
        <w:rPr>
          <w:rFonts w:ascii="Courier New" w:cs="Courier New" w:eastAsia="Courier New" w:hAnsi="Courier New"/>
          <w:sz w:val="18"/>
          <w:szCs w:val="18"/>
          <w:color w:val="auto"/>
        </w:rPr>
        <w:t>BlackRock International Limited</w:t>
      </w:r>
    </w:p>
    <w:p>
      <w:pPr>
        <w:spacing w:after="0"/>
        <w:rPr>
          <w:sz w:val="20"/>
          <w:szCs w:val="20"/>
          <w:color w:val="auto"/>
        </w:rPr>
      </w:pPr>
      <w:r>
        <w:rPr>
          <w:rFonts w:ascii="Courier New" w:cs="Courier New" w:eastAsia="Courier New" w:hAnsi="Courier New"/>
          <w:sz w:val="18"/>
          <w:szCs w:val="18"/>
          <w:color w:val="auto"/>
        </w:rPr>
        <w:t>BlackRock Investment Management (Australia) Limited</w:t>
      </w:r>
    </w:p>
    <w:p>
      <w:pPr>
        <w:spacing w:after="0" w:line="237" w:lineRule="auto"/>
        <w:rPr>
          <w:sz w:val="20"/>
          <w:szCs w:val="20"/>
          <w:color w:val="auto"/>
        </w:rPr>
      </w:pPr>
      <w:r>
        <w:rPr>
          <w:rFonts w:ascii="Courier New" w:cs="Courier New" w:eastAsia="Courier New" w:hAnsi="Courier New"/>
          <w:sz w:val="18"/>
          <w:szCs w:val="18"/>
          <w:color w:val="auto"/>
        </w:rPr>
        <w:t>BlackRock Investment Management (UK) Ltd</w:t>
      </w:r>
    </w:p>
    <w:p>
      <w:pPr>
        <w:spacing w:after="0"/>
        <w:rPr>
          <w:sz w:val="20"/>
          <w:szCs w:val="20"/>
          <w:color w:val="auto"/>
        </w:rPr>
      </w:pPr>
      <w:r>
        <w:rPr>
          <w:rFonts w:ascii="Courier New" w:cs="Courier New" w:eastAsia="Courier New" w:hAnsi="Courier New"/>
          <w:sz w:val="18"/>
          <w:szCs w:val="18"/>
          <w:color w:val="auto"/>
        </w:rPr>
        <w:t>BlackRock Investment Management, LLC</w:t>
      </w:r>
    </w:p>
    <w:p>
      <w:pPr>
        <w:spacing w:after="0" w:line="237" w:lineRule="auto"/>
        <w:rPr>
          <w:sz w:val="20"/>
          <w:szCs w:val="20"/>
          <w:color w:val="auto"/>
        </w:rPr>
      </w:pPr>
      <w:r>
        <w:rPr>
          <w:rFonts w:ascii="Courier New" w:cs="Courier New" w:eastAsia="Courier New" w:hAnsi="Courier New"/>
          <w:sz w:val="18"/>
          <w:szCs w:val="18"/>
          <w:color w:val="auto"/>
        </w:rPr>
        <w:t>BlackRock Japan Co Ltd</w:t>
      </w:r>
    </w:p>
    <w:p>
      <w:pPr>
        <w:spacing w:after="0" w:line="238" w:lineRule="auto"/>
        <w:rPr>
          <w:sz w:val="20"/>
          <w:szCs w:val="20"/>
          <w:color w:val="auto"/>
        </w:rPr>
      </w:pPr>
      <w:r>
        <w:rPr>
          <w:rFonts w:ascii="Courier New" w:cs="Courier New" w:eastAsia="Courier New" w:hAnsi="Courier New"/>
          <w:sz w:val="18"/>
          <w:szCs w:val="18"/>
          <w:color w:val="auto"/>
        </w:rPr>
        <w:t>BlackRock Life Limited</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rPr>
          <w:sz w:val="20"/>
          <w:szCs w:val="20"/>
          <w:color w:val="auto"/>
        </w:rPr>
      </w:pPr>
      <w:r>
        <w:rPr>
          <w:rFonts w:ascii="Courier New" w:cs="Courier New" w:eastAsia="Courier New" w:hAnsi="Courier New"/>
          <w:sz w:val="18"/>
          <w:szCs w:val="18"/>
          <w:color w:val="auto"/>
        </w:rPr>
        <w:t>Schedule 13G.</w:t>
      </w:r>
    </w:p>
    <w:p>
      <w:pPr>
        <w:spacing w:after="0" w:line="237" w:lineRule="auto"/>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3679"/>
        <w:spacing w:after="0" w:line="268" w:lineRule="auto"/>
        <w:rPr>
          <w:sz w:val="20"/>
          <w:szCs w:val="20"/>
          <w:color w:val="auto"/>
        </w:rPr>
      </w:pPr>
      <w:r>
        <w:rPr>
          <w:rFonts w:ascii="Courier New" w:cs="Courier New" w:eastAsia="Courier New" w:hAnsi="Courier New"/>
          <w:sz w:val="16"/>
          <w:szCs w:val="16"/>
          <w:color w:val="auto"/>
        </w:rPr>
        <w:t>The undersigned, BLACKROCK, INC., a corporation duly organized under the laws of the State of Delaware, United States (the "Company"), does hereby make, constitute and appoint each of Matthew Mallow, Chris Meade, Howard Surloff, Dan Waltcher, Georgina Fogo, Charles Park, Enda McMahon, Carsten Otto,</w:t>
      </w:r>
    </w:p>
    <w:p>
      <w:pPr>
        <w:spacing w:after="0" w:line="1" w:lineRule="exact"/>
        <w:rPr>
          <w:sz w:val="20"/>
          <w:szCs w:val="20"/>
          <w:color w:val="auto"/>
        </w:rPr>
      </w:pPr>
    </w:p>
    <w:p>
      <w:pPr>
        <w:ind w:right="3899"/>
        <w:spacing w:after="0" w:line="268" w:lineRule="auto"/>
        <w:rPr>
          <w:sz w:val="20"/>
          <w:szCs w:val="20"/>
          <w:color w:val="auto"/>
        </w:rPr>
      </w:pPr>
      <w:r>
        <w:rPr>
          <w:rFonts w:ascii="Courier New" w:cs="Courier New" w:eastAsia="Courier New" w:hAnsi="Courier New"/>
          <w:sz w:val="16"/>
          <w:szCs w:val="16"/>
          <w:color w:val="auto"/>
        </w:rPr>
        <w:t>Con Tzatzakis, Karen Clark, Andrew Crain, Herm Howerton, David Maryles, Daniel Ronnen, John Stelley, John Ardley, Maureen Gleeson and Spencer Fleming acting severally, as its</w:t>
      </w:r>
    </w:p>
    <w:p>
      <w:pPr>
        <w:spacing w:after="0" w:line="233" w:lineRule="auto"/>
        <w:rPr>
          <w:sz w:val="20"/>
          <w:szCs w:val="20"/>
          <w:color w:val="auto"/>
        </w:rPr>
      </w:pPr>
      <w:r>
        <w:rPr>
          <w:rFonts w:ascii="Courier New" w:cs="Courier New" w:eastAsia="Courier New" w:hAnsi="Courier New"/>
          <w:sz w:val="18"/>
          <w:szCs w:val="18"/>
          <w:color w:val="auto"/>
        </w:rPr>
        <w:t>true and lawful attorneys-in-fact, for the purpose of, from time to</w:t>
      </w:r>
    </w:p>
    <w:p>
      <w:pPr>
        <w:spacing w:after="0"/>
        <w:rPr>
          <w:sz w:val="20"/>
          <w:szCs w:val="20"/>
          <w:color w:val="auto"/>
        </w:rPr>
      </w:pPr>
      <w:r>
        <w:rPr>
          <w:rFonts w:ascii="Courier New" w:cs="Courier New" w:eastAsia="Courier New" w:hAnsi="Courier New"/>
          <w:sz w:val="18"/>
          <w:szCs w:val="18"/>
          <w:color w:val="auto"/>
        </w:rPr>
        <w:t>time, executing in its name and on its behalf, whether the</w:t>
      </w:r>
    </w:p>
    <w:p>
      <w:pPr>
        <w:spacing w:after="0" w:line="237" w:lineRule="auto"/>
        <w:rPr>
          <w:sz w:val="20"/>
          <w:szCs w:val="20"/>
          <w:color w:val="auto"/>
        </w:rPr>
      </w:pPr>
      <w:r>
        <w:rPr>
          <w:rFonts w:ascii="Courier New" w:cs="Courier New" w:eastAsia="Courier New" w:hAnsi="Courier New"/>
          <w:sz w:val="18"/>
          <w:szCs w:val="18"/>
          <w:color w:val="auto"/>
        </w:rPr>
        <w:t>Company is acting individually or as representative of others,</w:t>
      </w:r>
    </w:p>
    <w:p>
      <w:pPr>
        <w:spacing w:after="0"/>
        <w:rPr>
          <w:sz w:val="20"/>
          <w:szCs w:val="20"/>
          <w:color w:val="auto"/>
        </w:rPr>
      </w:pPr>
      <w:r>
        <w:rPr>
          <w:rFonts w:ascii="Courier New" w:cs="Courier New" w:eastAsia="Courier New" w:hAnsi="Courier New"/>
          <w:sz w:val="18"/>
          <w:szCs w:val="18"/>
          <w:color w:val="auto"/>
        </w:rPr>
        <w:t>any and all documents, certificates, instruments, statements, other</w:t>
      </w:r>
    </w:p>
    <w:p>
      <w:pPr>
        <w:spacing w:after="0" w:line="237" w:lineRule="auto"/>
        <w:rPr>
          <w:sz w:val="20"/>
          <w:szCs w:val="20"/>
          <w:color w:val="auto"/>
        </w:rPr>
      </w:pPr>
      <w:r>
        <w:rPr>
          <w:rFonts w:ascii="Courier New" w:cs="Courier New" w:eastAsia="Courier New" w:hAnsi="Courier New"/>
          <w:sz w:val="18"/>
          <w:szCs w:val="18"/>
          <w:color w:val="auto"/>
        </w:rPr>
        <w:t>filings and amendments to the foregoing (collectively, "documents")</w:t>
      </w:r>
    </w:p>
    <w:p>
      <w:pPr>
        <w:spacing w:after="0"/>
        <w:rPr>
          <w:sz w:val="20"/>
          <w:szCs w:val="20"/>
          <w:color w:val="auto"/>
        </w:rPr>
      </w:pPr>
      <w:r>
        <w:rPr>
          <w:rFonts w:ascii="Courier New" w:cs="Courier New" w:eastAsia="Courier New" w:hAnsi="Courier New"/>
          <w:sz w:val="18"/>
          <w:szCs w:val="18"/>
          <w:color w:val="auto"/>
        </w:rPr>
        <w:t>determined by such person to be necessary or appropriate to</w:t>
      </w:r>
    </w:p>
    <w:p>
      <w:pPr>
        <w:spacing w:after="0" w:line="237" w:lineRule="auto"/>
        <w:rPr>
          <w:sz w:val="20"/>
          <w:szCs w:val="20"/>
          <w:color w:val="auto"/>
        </w:rPr>
      </w:pPr>
      <w:r>
        <w:rPr>
          <w:rFonts w:ascii="Courier New" w:cs="Courier New" w:eastAsia="Courier New" w:hAnsi="Courier New"/>
          <w:sz w:val="18"/>
          <w:szCs w:val="18"/>
          <w:color w:val="auto"/>
        </w:rPr>
        <w:t>comply with ownership or control-person reporting requirements</w:t>
      </w:r>
    </w:p>
    <w:p>
      <w:pPr>
        <w:spacing w:after="0"/>
        <w:rPr>
          <w:sz w:val="20"/>
          <w:szCs w:val="20"/>
          <w:color w:val="auto"/>
        </w:rPr>
      </w:pPr>
      <w:r>
        <w:rPr>
          <w:rFonts w:ascii="Courier New" w:cs="Courier New" w:eastAsia="Courier New" w:hAnsi="Courier New"/>
          <w:sz w:val="18"/>
          <w:szCs w:val="18"/>
          <w:color w:val="auto"/>
        </w:rPr>
        <w:t>imposed by any United States or non-United States governmental</w:t>
      </w:r>
    </w:p>
    <w:p>
      <w:pPr>
        <w:spacing w:after="0" w:line="3"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or regulatory authority, Including without limitation Forms 3, 4, 5, 13D, 13F, 13G and 13H and any amendments to any of the</w:t>
      </w:r>
    </w:p>
    <w:p>
      <w:pPr>
        <w:spacing w:after="0" w:line="6"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Foregoing as may be required to be filed with the Securities and Exchange Commission, and delivering, furnishing or filing any such documents with the appropriate governmental, regulatory authority or other person, and giving and granting to each such attorney-in-fact power and authority to act in the premises as fully and to all intents and purposes as the Company might or could</w:t>
      </w:r>
    </w:p>
    <w:p>
      <w:pPr>
        <w:spacing w:after="0" w:line="7"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10"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1st day of October,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10" w:lineRule="exact"/>
        <w:rPr>
          <w:sz w:val="20"/>
          <w:szCs w:val="20"/>
          <w:color w:val="auto"/>
        </w:rPr>
      </w:pPr>
    </w:p>
    <w:p>
      <w:pPr>
        <w:ind w:right="377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8th day of December, 2015.</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Chris Jones</w:t>
      </w:r>
    </w:p>
    <w:p>
      <w:pPr>
        <w:spacing w:after="0" w:line="238" w:lineRule="auto"/>
        <w:rPr>
          <w:sz w:val="20"/>
          <w:szCs w:val="20"/>
          <w:color w:val="auto"/>
        </w:rPr>
      </w:pPr>
      <w:r>
        <w:rPr>
          <w:rFonts w:ascii="Courier New" w:cs="Courier New" w:eastAsia="Courier New" w:hAnsi="Courier New"/>
          <w:sz w:val="18"/>
          <w:szCs w:val="18"/>
          <w:color w:val="auto"/>
        </w:rPr>
        <w:t>Name: Chris Jones</w:t>
      </w:r>
    </w:p>
    <w:p>
      <w:pPr>
        <w:spacing w:after="0"/>
        <w:rPr>
          <w:sz w:val="20"/>
          <w:szCs w:val="20"/>
          <w:color w:val="auto"/>
        </w:rPr>
      </w:pPr>
      <w:r>
        <w:rPr>
          <w:rFonts w:ascii="Courier New" w:cs="Courier New" w:eastAsia="Courier New" w:hAnsi="Courier New"/>
          <w:sz w:val="18"/>
          <w:szCs w:val="18"/>
          <w:color w:val="auto"/>
        </w:rPr>
        <w:t>Title: Chief Investment Officer</w:t>
      </w:r>
    </w:p>
    <w:p>
      <w:pPr>
        <w:sectPr>
          <w:pgSz w:w="11900" w:h="16838" w:orient="portrait"/>
          <w:cols w:equalWidth="0" w:num="1">
            <w:col w:w="10219"/>
          </w:cols>
          <w:pgMar w:left="240" w:top="339" w:right="1440" w:bottom="0" w:gutter="0" w:footer="0" w:header="0"/>
        </w:sectPr>
      </w:pPr>
    </w:p>
    <w:bookmarkStart w:id="5" w:name="page6"/>
    <w:bookmarkEnd w:id="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upperLetter"/>
      <w:start w:val="24"/>
    </w:lvl>
  </w:abstractNum>
  <w:abstractNum w:abstractNumId="1">
    <w:nsid w:val="46E87CCD"/>
    <w:multiLevelType w:val="hybridMultilevel"/>
    <w:lvl w:ilvl="0">
      <w:lvlJc w:val="left"/>
      <w:lvlText w:val="(%1)"/>
      <w:numFmt w:val="decimal"/>
      <w:start w:val="2"/>
    </w:lvl>
  </w:abstractNum>
  <w:abstractNum w:abstractNumId="2">
    <w:nsid w:val="3D1B58BA"/>
    <w:multiLevelType w:val="hybridMultilevel"/>
    <w:lvl w:ilvl="0">
      <w:lvlJc w:val="left"/>
      <w:lvlText w:val="(%1)"/>
      <w:numFmt w:val="decimal"/>
      <w:start w:val="5"/>
    </w:lvl>
  </w:abstractNum>
  <w:abstractNum w:abstractNumId="3">
    <w:nsid w:val="507ED7AB"/>
    <w:multiLevelType w:val="hybridMultilevel"/>
    <w:lvl w:ilvl="0">
      <w:lvlJc w:val="left"/>
      <w:lvlText w:val="(%1)"/>
      <w:numFmt w:val="decimal"/>
      <w:start w:val="8"/>
    </w:lvl>
  </w:abstractNum>
  <w:abstractNum w:abstractNumId="4">
    <w:nsid w:val="2EB141F2"/>
    <w:multiLevelType w:val="hybridMultilevel"/>
    <w:lvl w:ilvl="0">
      <w:lvlJc w:val="left"/>
      <w:lvlText w:val="(%1)"/>
      <w:numFmt w:val="decimal"/>
      <w:start w:val="12"/>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1]"/>
      <w:numFmt w:val="upperLetter"/>
      <w:start w:val="24"/>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2019-12-15T21:01:04Z</dcterms:created>
  <dcterms:modified xsi:type="dcterms:W3CDTF">2019-12-15T21:01:04Z</dcterms:modified>
</cp:coreProperties>
</file>