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7,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841" w:right="2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45" w:lineRule="exact"/>
        <w:rPr>
          <w:sz w:val="24"/>
          <w:szCs w:val="24"/>
          <w:color w:val="auto"/>
        </w:rPr>
      </w:pPr>
    </w:p>
    <w:p>
      <w:pPr>
        <w:ind w:left="138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color w:val="auto"/>
                <w:w w:val="99"/>
              </w:rPr>
              <w:t>WFTIQ</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2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previously disclosed, on September 23, 2019, Weatherford International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applied to the High Court of Ireland (the “</w:t>
      </w:r>
      <w:r>
        <w:rPr>
          <w:rFonts w:ascii="Arial" w:cs="Arial" w:eastAsia="Arial" w:hAnsi="Arial"/>
          <w:sz w:val="16"/>
          <w:szCs w:val="16"/>
          <w:b w:val="1"/>
          <w:bCs w:val="1"/>
          <w:i w:val="1"/>
          <w:iCs w:val="1"/>
          <w:color w:val="auto"/>
        </w:rPr>
        <w:t>Irish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Court</w:t>
      </w:r>
      <w:r>
        <w:rPr>
          <w:rFonts w:ascii="Arial" w:cs="Arial" w:eastAsia="Arial" w:hAnsi="Arial"/>
          <w:sz w:val="16"/>
          <w:szCs w:val="16"/>
          <w:color w:val="auto"/>
        </w:rPr>
        <w:t>”) seeking an order (i) authorizing the commencement of its scheme of arrangement in accordance with the Irish Companies Act of 2014 and (ii)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convening of meetings of certain of the Company’s creditors for the purpose of considering and approving the proposed scheme of arrangement (the “</w:t>
      </w:r>
      <w:r>
        <w:rPr>
          <w:rFonts w:ascii="Arial" w:cs="Arial" w:eastAsia="Arial" w:hAnsi="Arial"/>
          <w:sz w:val="16"/>
          <w:szCs w:val="16"/>
          <w:b w:val="1"/>
          <w:bCs w:val="1"/>
          <w:i w:val="1"/>
          <w:iCs w:val="1"/>
          <w:color w:val="auto"/>
        </w:rPr>
        <w:t>Irish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Examinership Proceeding</w:t>
      </w:r>
      <w:r>
        <w:rPr>
          <w:rFonts w:ascii="Arial" w:cs="Arial" w:eastAsia="Arial" w:hAnsi="Arial"/>
          <w:sz w:val="16"/>
          <w:szCs w:val="16"/>
          <w:color w:val="auto"/>
        </w:rPr>
        <w:t>”). In connection with the Irish Examinership Proceeding, the directors of the Company, as petitioners, were required to furnish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Irish Court with financial projections for the years 2019 through 2022 (the “</w:t>
      </w:r>
      <w:r>
        <w:rPr>
          <w:rFonts w:ascii="Arial" w:cs="Arial" w:eastAsia="Arial" w:hAnsi="Arial"/>
          <w:sz w:val="16"/>
          <w:szCs w:val="16"/>
          <w:b w:val="1"/>
          <w:bCs w:val="1"/>
          <w:i w:val="1"/>
          <w:iCs w:val="1"/>
          <w:color w:val="auto"/>
        </w:rPr>
        <w:t>Updated Projections</w:t>
      </w:r>
      <w:r>
        <w:rPr>
          <w:rFonts w:ascii="Arial" w:cs="Arial" w:eastAsia="Arial" w:hAnsi="Arial"/>
          <w:sz w:val="16"/>
          <w:szCs w:val="16"/>
          <w:color w:val="auto"/>
        </w:rPr>
        <w:t>”) that updates the financial projections previously included in the Company’s disclosure statement that was distributed in connection with its case under chapter 11 of the United States Bankruptcy Code in the U.S. Bankruptcy Court in the Southern District of Texas. Due to the fact that the Updated Projections will not be publicly available as part of the Irish Examinership Proceeding, the Company is disclosing the Updated Projections as Exhibit 99.1 to this Current Report on Form 8-K.</w:t>
      </w:r>
    </w:p>
    <w:p>
      <w:pPr>
        <w:spacing w:after="0" w:line="16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is pursuing a $600 million exit credit facility, which contemplates a combination of an ABL revolver facility, a letters of credit facility and/or a term loan. The Company believes that it remains on its previously disclosed timeline to emerge from bankruptcy in the fourth quarter of 2019.</w:t>
      </w:r>
    </w:p>
    <w:p>
      <w:pPr>
        <w:spacing w:after="0" w:line="124"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between the Company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w:t>
            </w:r>
          </w:p>
        </w:tc>
        <w:tc>
          <w:tcPr>
            <w:tcW w:w="1580" w:type="dxa"/>
            <w:vAlign w:val="bottom"/>
          </w:tcPr>
          <w:p>
            <w:pPr>
              <w:spacing w:after="0"/>
              <w:rPr>
                <w:sz w:val="18"/>
                <w:szCs w:val="18"/>
                <w:color w:val="auto"/>
              </w:rPr>
            </w:pPr>
          </w:p>
        </w:tc>
        <w:tc>
          <w:tcPr>
            <w:tcW w:w="86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w:t>
            </w:r>
          </w:p>
        </w:tc>
        <w:tc>
          <w:tcPr>
            <w:tcW w:w="1580" w:type="dxa"/>
            <w:vAlign w:val="bottom"/>
          </w:tcPr>
          <w:p>
            <w:pPr>
              <w:spacing w:after="0"/>
              <w:rPr>
                <w:sz w:val="20"/>
                <w:szCs w:val="20"/>
                <w:color w:val="auto"/>
              </w:rPr>
            </w:pPr>
          </w:p>
        </w:tc>
        <w:tc>
          <w:tcPr>
            <w:tcW w:w="8680" w:type="dxa"/>
            <w:vAlign w:val="bottom"/>
          </w:tcPr>
          <w:p>
            <w:pPr>
              <w:ind w:left="31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14"/>
                <w:szCs w:val="14"/>
                <w:color w:val="auto"/>
              </w:rPr>
            </w:pPr>
          </w:p>
        </w:tc>
        <w:tc>
          <w:tcPr>
            <w:tcW w:w="1026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Company projections.</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2019</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Christina M. Ibrahim</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Title: Executive Vice President, General Counsel, Chief Compliance</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Exhibit 99.1</w:t>
      </w:r>
    </w:p>
    <w:p>
      <w:pPr>
        <w:spacing w:after="0" w:line="2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Financial Exhibit – Revised Financial Projections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23283C"/>
        </w:rPr>
        <w:t>($ in millions)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Financial Projections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Forecast</w:t>
            </w: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Projected Income Statement</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Revenue</w:t>
            </w:r>
          </w:p>
        </w:tc>
        <w:tc>
          <w:tcPr>
            <w:tcW w:w="344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8"/>
              </w:rPr>
              <w:t>5,348</w:t>
            </w: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5,175</w:t>
            </w:r>
          </w:p>
        </w:tc>
        <w:tc>
          <w:tcPr>
            <w:tcW w:w="3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5,452</w:t>
            </w:r>
          </w:p>
        </w:tc>
        <w:tc>
          <w:tcPr>
            <w:tcW w:w="3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Cost of Inventory and Field Costs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Less: R&amp;D Costs</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Segment and Corporate G&amp;A</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Projected Cash Flow Statement</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Less: Cash Taxes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Capex</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Less: Change in NWC</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Change in Other Assets/Liabilities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Unlevered Free Cash Flow</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Cash Interest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Less: Non-Recurring</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Other Cash Flow Items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Total Change in Cash</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Beginning Cash</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Cash</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auto"/>
        </w:rPr>
        <w:t>1</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2019-12-28T05:42:16Z</dcterms:created>
  <dcterms:modified xsi:type="dcterms:W3CDTF">2019-12-28T05:42:16Z</dcterms:modified>
</cp:coreProperties>
</file>