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-224155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September 5, 2018</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Ireland</w:t>
            </w:r>
          </w:p>
        </w:tc>
        <w:tc>
          <w:tcPr>
            <w:tcW w:w="362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37"/>
        </w:trPr>
        <w:tc>
          <w:tcPr>
            <w:tcW w:w="38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38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6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460" w:type="dxa"/>
            <w:vAlign w:val="bottom"/>
            <w:tcBorders>
              <w:bottom w:val="single" w:sz="8" w:color="auto"/>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37"/>
        </w:trPr>
        <w:tc>
          <w:tcPr>
            <w:tcW w:w="768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51435</wp:posOffset>
            </wp:positionV>
            <wp:extent cx="6380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8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949" w:right="25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0" w:lineRule="exact"/>
        <w:rPr>
          <w:sz w:val="20"/>
          <w:szCs w:val="20"/>
          <w:color w:val="auto"/>
        </w:rPr>
      </w:pPr>
    </w:p>
    <w:p>
      <w:pPr>
        <w:spacing w:after="0" w:line="232"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 xml:space="preserve">On September 5, 2018 at 10:05 a.m., Central Time, Weatherford International plc will present to certain investors at the Barclays CEO Energy-Power Conference held in New York City, New York. A live audio webcast of the presentation will be available at </w:t>
      </w:r>
      <w:r>
        <w:rPr>
          <w:rFonts w:ascii="Arial" w:cs="Arial" w:eastAsia="Arial" w:hAnsi="Arial"/>
          <w:sz w:val="18"/>
          <w:szCs w:val="18"/>
          <w:u w:val="single" w:color="auto"/>
          <w:color w:val="auto"/>
        </w:rPr>
        <w:t>https://cc.talkpoint.com/barc002/090418b_as/?</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entity=1_NEJTCRC</w:t>
      </w:r>
      <w:r>
        <w:rPr>
          <w:rFonts w:ascii="Arial" w:cs="Arial" w:eastAsia="Arial" w:hAnsi="Arial"/>
          <w:sz w:val="18"/>
          <w:szCs w:val="18"/>
          <w:color w:val="auto"/>
        </w:rPr>
        <w:t xml:space="preserve"> on the date of the event. At the start of Weatherford's presentation, the presentation materials will be available on Weatherford's website at </w:t>
      </w:r>
      <w:r>
        <w:rPr>
          <w:rFonts w:ascii="Arial" w:cs="Arial" w:eastAsia="Arial" w:hAnsi="Arial"/>
          <w:sz w:val="18"/>
          <w:szCs w:val="18"/>
          <w:u w:val="single" w:color="auto"/>
          <w:color w:val="auto"/>
        </w:rPr>
        <w:t>https://www.weatherford.com/en/investor-relations/</w:t>
      </w:r>
      <w:r>
        <w:rPr>
          <w:rFonts w:ascii="Arial" w:cs="Arial" w:eastAsia="Arial" w:hAnsi="Arial"/>
          <w:sz w:val="18"/>
          <w:szCs w:val="18"/>
          <w:color w:val="auto"/>
        </w:rPr>
        <w:t xml:space="preserve"> in the Investor Presentations section. The webcast recording will be available at the same location on Weatherford's website shortly after the conference ends.</w:t>
      </w:r>
    </w:p>
    <w:p>
      <w:pPr>
        <w:spacing w:after="0" w:line="285"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ectPr>
          <w:pgSz w:w="11900" w:h="16838" w:orient="portrait"/>
          <w:cols w:equalWidth="0" w:num="1">
            <w:col w:w="11420"/>
          </w:cols>
          <w:pgMar w:left="240" w:top="918"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5, 2018</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4485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Christina M. Ibrahim</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General Counsel, Chief Compliance Officer and Corporate Secretary</w:t>
      </w:r>
    </w:p>
    <w:sectPr>
      <w:pgSz w:w="11900" w:h="16838" w:orient="portrait"/>
      <w:cols w:equalWidth="0" w:num="1">
        <w:col w:w="11240"/>
      </w:cols>
      <w:pgMar w:left="240" w:top="60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2019-12-08T10:15:07Z</dcterms:created>
  <dcterms:modified xsi:type="dcterms:W3CDTF">2019-12-08T10:15:07Z</dcterms:modified>
</cp:coreProperties>
</file>