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Mills Douglas M.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Weatherford International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WFT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VP &amp; Chief Accounting Officer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01/28/2016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4,486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6.4719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227,933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2,126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The sale reported in this Form 4 was effected pursuant to a Rule 10b5-1 trading plan adopted by the reporting person to cover his income tax obligations.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Charity R. Kohl,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9227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2019-12-24T08:44:21Z</dcterms:created>
  <dcterms:modified xsi:type="dcterms:W3CDTF">2019-12-24T08:44:21Z</dcterms:modified>
</cp:coreProperties>
</file>