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217" w:lineRule="exact"/>
        <w:rPr>
          <w:sz w:val="24"/>
          <w:szCs w:val="24"/>
          <w:color w:val="auto"/>
        </w:r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Tenth Supplemental Indenture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17, 2016, Weatherford International Ltd., a Bermuda exempted company (“Weatherford Bermuda”) and an indirect, wholly owned subsidiary of Weatherford International plc, an Irish public limited company (“Weatherford Ireland”), completed its previously announced public offering of $1.5 billion aggregate principal amount of Weatherford Bermuda’s senior notes, consisting of $750 million aggregate principal amount of 7.750% Senior Notes due 2021 (the “2021 Notes”) and $750 million aggregate principal amount of 8.250% Senior Notes due 2023 (the “2023 Notes” and, together with the 2021 Notes, the “Notes”).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were issued under an Indenture (as previously supplemented and amended, the “Base Indenture”), dated as of October 1, 2003, among Weatherford Bermuda, as issuer, Weatherford International, Inc., as guarantor, and Deutsche Bank Trustee Company Americas, as trustee (the “Trustee”), as supplemented by the Tenth Supplemental Indenture, dated as of June 17, 2016, by and among Weatherford Bermuda, as issuer, Weatherford Ireland, as guarantor, Weatherford International, LLC, a Delaware limited liability company and an indirect, wholly owned subsidiary of Weatherford Ireland and indirect subsidiary of Weatherford Bermuda (“Weatherford Delaware”), as guarantor, and the Trustee (the “Supplemental Indenture” and, together with the Base Indenture, the “Indenture”).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will pay interest semi-annually in arrears on June 15 and December 15 of each year, beginning on December 15, 2016. The 2021 Notes will mature on June 15, 2021, and the 2023 Notes will mature on June 15, 2023, in each case unless earlier repurchased or redeemed. The Notes will be fully and unconditionally guaranteed, on a senior, unsecured basis, by Weatherford Ireland and by Weatherford Delaware. We also refer to Weatherford Ireland and Weatherford Delaware together as the guarantors.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any time prior to May 15, 2021 (the “2021 Notes Par Call Date”), in the case of the 2021 Notes, or March 15, 2023 (the “2023 Notes Par Call Date” and, together with the 2021 Notes Par Call Date, the “Par Call Dates”), in the case of the 2023 Notes, Weatherford Bermuda may, on any one or more occasions, redeem all or a part of the 2021 Notes or 2023 Notes, at a redemption price equal to 100% of the principal amount of the Notes to be redeemed, plus a “make-whole” premium as of, and accrued and unpaid interest, if any, to, the date of redemption. The Notes may also be redeemed after the respective Par Call Dates at a price of 100% of the principal amount of the Notes to be redeemed, plus, in either case, accrued and unpaid interest to the redemption date. Additionally, the Notes may be redeemed in limited circumstances in connection with a change in tax law.</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If a “Change of Control Triggering Event” (as defined in the Indenture) occurs, then holders may require Weatherford Bermuda to repurchase their Notes at a cash repurchase price equal to 101% of the principal amount of the Notes to be repurchased, plus accrued and unpaid interest to the repurchase date.</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Holders’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w:t>
      </w:r>
    </w:p>
    <w:p>
      <w:pPr>
        <w:spacing w:after="0" w:line="19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 copy of the Supplemental Indenture is attached to this Current Report on Form 8-K as Exhibit 4.1 and is incorporated into this Item 1.01. The foregoing is only a brief description of the material terms of the Supplemental Indenture and does not purport to be a complete description of the rights and obligations of the parties thereunder and such description is qualified in its entirety by reference to this Exhibit.</w:t>
      </w:r>
    </w:p>
    <w:p>
      <w:pPr>
        <w:sectPr>
          <w:pgSz w:w="11900" w:h="16838" w:orient="portrait"/>
          <w:cols w:equalWidth="0" w:num="1">
            <w:col w:w="11400"/>
          </w:cols>
          <w:pgMar w:left="240" w:top="33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Opinions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legal opinions of Conyers, Dill &amp; Pearman Ltd., Latham &amp; Watkins LLP, and Matheson relating to the Notes are filed herewith as Exhibits 5.1, 5.2, and 5.3, respectively.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Notes and the Indenture set forth in Item 1.01 of this report is incorporated into this Item 2.03.</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June 17, 2016, Weatherford Ireland announced the early tender results of the previously announced offers by Weatherford Delaware and Weatherford Bermuda to purchase for cash Weatherford Delaware’s 6.35% senior notes due 2017 and Weatherford Bermuda’s 6.00% senior notes due 2018, 9.625% senior notes due 2019 and 5.125% senior notes due 2020. A copy of the press release is furnished herewith as Exhibit 99.1 and is incorporated herein by reference.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40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w w:val="97"/>
              </w:rPr>
              <w:t>Tenth Supplemental Indenture, dated as of June 17, 2016, by and among Weatherford International Ltd., as issuer, Weatherford</w:t>
            </w:r>
          </w:p>
        </w:tc>
      </w:tr>
      <w:tr>
        <w:trPr>
          <w:trHeight w:val="230"/>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w w:val="90"/>
              </w:rPr>
              <w:t>International plc, as guarantor, Weatherford International, LLC, as guarantor, and Deutsche Bank Trustee Company Americas, as trustee.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w w:val="95"/>
              </w:rPr>
              <w:t>Form of 7.750% Senior Notes due 2021 (set forth as Annex A to the Tenth Supplemental Indenture attached as Exhibit 4.1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w w:val="95"/>
              </w:rPr>
              <w:t>Form of 8.250% Senior Notes due 2023 (set forth as Annex B to the Tenth Supplemental Indenture attached as Exhibit 4.1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Opinion of Conyers, Dill &amp; Pearman Ltd.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Opinion of Matheson.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Consent of Conyers, Dill &amp; Pearman Ltd. (included in Exhibit 5.1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Consent of Latham &amp; Watkins LLP (included in Exhibit 5.2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Consent of Matheson (included in Exhibit 5.3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360" w:type="dxa"/>
            <w:vAlign w:val="bottom"/>
            <w:gridSpan w:val="2"/>
          </w:tcPr>
          <w:p>
            <w:pPr>
              <w:ind w:left="440"/>
              <w:spacing w:after="0"/>
              <w:rPr>
                <w:sz w:val="20"/>
                <w:szCs w:val="20"/>
                <w:color w:val="auto"/>
              </w:rPr>
            </w:pPr>
            <w:r>
              <w:rPr>
                <w:rFonts w:ascii="Arial" w:cs="Arial" w:eastAsia="Arial" w:hAnsi="Arial"/>
                <w:sz w:val="18"/>
                <w:szCs w:val="18"/>
                <w:color w:val="auto"/>
              </w:rPr>
              <w:t>Press release, dated June 17, 2016.</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June 17,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Krishna Shivram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8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1"/>
              </w:rPr>
              <w:t>Form of Tenth Supplemental Indenture, dated as of June 17, 2016, by and among Weatherford International Ltd., as issuer, Weatherford</w:t>
            </w:r>
          </w:p>
        </w:tc>
      </w:tr>
      <w:tr>
        <w:trPr>
          <w:trHeight w:val="230"/>
        </w:trPr>
        <w:tc>
          <w:tcPr>
            <w:tcW w:w="720" w:type="dxa"/>
            <w:vAlign w:val="bottom"/>
          </w:tcPr>
          <w:p>
            <w:pPr>
              <w:spacing w:after="0"/>
              <w:rPr>
                <w:sz w:val="20"/>
                <w:szCs w:val="20"/>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0"/>
              </w:rPr>
              <w:t>International plc, as guarantor, Weatherford International, LLC, as guarantor, and Deutsche Bank Trustee Company Americas, as trustee.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5"/>
              </w:rPr>
              <w:t>Form of 7.750% Senior Notes due 2021 (set forth as Annex A to the Tenth Supplemental Indenture attached as Exhibit 4.1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5"/>
              </w:rPr>
              <w:t>Form of 8.250% Senior Notes due 2023 (set forth as Annex B to the Tenth Supplemental Indenture attached as Exhibit 4.1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Opinion of Conyers, Dill &amp; Pearman Ltd.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Opinion of Matheson.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Consent of Conyers, Dill &amp; Pearman Ltd. (included in Exhibit 5.1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Consent of Latham &amp; Watkins LLP (included in Exhibit 5.2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Consent of Matheson (included in Exhibit 5.3 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Press release, dated June 17, 2016.</w:t>
            </w:r>
          </w:p>
        </w:tc>
      </w:tr>
    </w:tbl>
    <w:p>
      <w:pPr>
        <w:ind w:left="78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Parent Guarantor,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WEATHERFORD INTERNATIONAL,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Subsidiary Guarantor,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TENTH SUPPLEMENTAL 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June 17, 2016</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 Indenture</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dated as of October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$1,500,000,000 Aggregate Principal Amount of Securities Consisting of:</w:t>
      </w: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7.75% Senior Notes due 2021 and 8.25%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60" w:type="dxa"/>
            <w:vAlign w:val="bottom"/>
          </w:tcPr>
          <w:p>
            <w:pPr>
              <w:ind w:left="3940"/>
              <w:spacing w:after="0"/>
              <w:rPr>
                <w:sz w:val="20"/>
                <w:szCs w:val="20"/>
                <w:color w:val="auto"/>
              </w:rPr>
            </w:pPr>
            <w:r>
              <w:rPr>
                <w:rFonts w:ascii="Arial" w:cs="Arial" w:eastAsia="Arial" w:hAnsi="Arial"/>
                <w:sz w:val="18"/>
                <w:szCs w:val="18"/>
                <w:b w:val="1"/>
                <w:bCs w:val="1"/>
                <w:color w:val="auto"/>
              </w:rPr>
              <w:t>CROSS-REFERENCE TABLE</w:t>
            </w:r>
          </w:p>
        </w:tc>
        <w:tc>
          <w:tcPr>
            <w:tcW w:w="8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TIA</w:t>
            </w:r>
          </w:p>
        </w:tc>
        <w:tc>
          <w:tcPr>
            <w:tcW w:w="100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Indenture</w:t>
            </w:r>
          </w:p>
        </w:tc>
      </w:tr>
      <w:tr>
        <w:trPr>
          <w:trHeight w:val="178"/>
        </w:trPr>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c>
          <w:tcPr>
            <w:tcW w:w="100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296"/>
        </w:trPr>
        <w:tc>
          <w:tcPr>
            <w:tcW w:w="460" w:type="dxa"/>
            <w:vAlign w:val="bottom"/>
            <w:gridSpan w:val="2"/>
          </w:tcPr>
          <w:p>
            <w:pPr>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709</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(a)(2)</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709</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(a)(3)</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(a)(4)</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708</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710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713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713</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801</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802</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(d)</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803</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804</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(a)(4)</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201</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1104</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(c)(2)</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(c)(3)</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(d)</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(e)</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202</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701; 703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701</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(d)</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701</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(e)</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614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201</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(a)(1)(A)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(a)(1)(A)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612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(a)(1)(B)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613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(a)(2)</w:t>
            </w:r>
          </w:p>
        </w:tc>
        <w:tc>
          <w:tcPr>
            <w:tcW w:w="8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608</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(c)</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603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(a)(2)</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604</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(b)</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1103</w:t>
            </w:r>
          </w:p>
        </w:tc>
      </w:tr>
      <w:tr>
        <w:trPr>
          <w:trHeight w:val="230"/>
        </w:trPr>
        <w:tc>
          <w:tcPr>
            <w:tcW w:w="460" w:type="dxa"/>
            <w:vAlign w:val="bottom"/>
            <w:gridSpan w:val="2"/>
          </w:tcPr>
          <w:p>
            <w:pPr>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207</w:t>
            </w:r>
          </w:p>
        </w:tc>
      </w:tr>
      <w:tr>
        <w:trPr>
          <w:trHeight w:val="432"/>
        </w:trPr>
        <w:tc>
          <w:tcPr>
            <w:tcW w:w="10620" w:type="dxa"/>
            <w:vAlign w:val="bottom"/>
            <w:gridSpan w:val="4"/>
          </w:tcPr>
          <w:p>
            <w:pPr>
              <w:spacing w:after="0"/>
              <w:rPr>
                <w:sz w:val="20"/>
                <w:szCs w:val="20"/>
                <w:color w:val="auto"/>
              </w:rPr>
            </w:pPr>
            <w:r>
              <w:rPr>
                <w:rFonts w:ascii="Arial" w:cs="Arial" w:eastAsia="Arial" w:hAnsi="Arial"/>
                <w:sz w:val="18"/>
                <w:szCs w:val="18"/>
                <w:color w:val="auto"/>
              </w:rPr>
              <w:t>N.A. means Not Applicable</w:t>
            </w:r>
          </w:p>
        </w:tc>
        <w:tc>
          <w:tcPr>
            <w:tcW w:w="800" w:type="dxa"/>
            <w:vAlign w:val="bottom"/>
          </w:tcPr>
          <w:p>
            <w:pPr>
              <w:spacing w:after="0"/>
              <w:rPr>
                <w:sz w:val="24"/>
                <w:szCs w:val="24"/>
                <w:color w:val="auto"/>
              </w:rPr>
            </w:pPr>
          </w:p>
        </w:tc>
      </w:tr>
      <w:tr>
        <w:trPr>
          <w:trHeight w:val="459"/>
        </w:trPr>
        <w:tc>
          <w:tcPr>
            <w:tcW w:w="560" w:type="dxa"/>
            <w:vAlign w:val="bottom"/>
            <w:gridSpan w:val="3"/>
          </w:tcPr>
          <w:p>
            <w:pPr>
              <w:spacing w:after="0"/>
              <w:rPr>
                <w:sz w:val="20"/>
                <w:szCs w:val="20"/>
                <w:color w:val="auto"/>
              </w:rPr>
            </w:pPr>
            <w:r>
              <w:rPr>
                <w:rFonts w:ascii="Arial" w:cs="Arial" w:eastAsia="Arial" w:hAnsi="Arial"/>
                <w:sz w:val="18"/>
                <w:szCs w:val="18"/>
                <w:color w:val="auto"/>
                <w:w w:val="98"/>
              </w:rPr>
              <w:t>NOTE:</w:t>
            </w:r>
          </w:p>
        </w:tc>
        <w:tc>
          <w:tcPr>
            <w:tcW w:w="10060" w:type="dxa"/>
            <w:vAlign w:val="bottom"/>
          </w:tcPr>
          <w:p>
            <w:pPr>
              <w:ind w:left="580"/>
              <w:spacing w:after="0"/>
              <w:rPr>
                <w:sz w:val="20"/>
                <w:szCs w:val="20"/>
                <w:color w:val="auto"/>
              </w:rPr>
            </w:pPr>
            <w:r>
              <w:rPr>
                <w:rFonts w:ascii="Arial" w:cs="Arial" w:eastAsia="Arial" w:hAnsi="Arial"/>
                <w:sz w:val="18"/>
                <w:szCs w:val="18"/>
                <w:color w:val="auto"/>
              </w:rPr>
              <w:t>This Cross Reference Table shall not, for any purpose, be deemed to be a part of the Supplemental Indenture.</w:t>
            </w: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8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124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98"/>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ARTICLE ONE</w:t>
            </w:r>
          </w:p>
        </w:tc>
        <w:tc>
          <w:tcPr>
            <w:tcW w:w="3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6"/>
              </w:rPr>
              <w:t>APPLICATION OF SUPPLEMENTAL INDENTURE</w:t>
            </w:r>
          </w:p>
        </w:tc>
        <w:tc>
          <w:tcPr>
            <w:tcW w:w="3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7"/>
              </w:rPr>
              <w:t>AND CREATION OF THE INITIAL NOTES</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101.</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This Supplemental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102.</w:t>
            </w:r>
          </w:p>
        </w:tc>
        <w:tc>
          <w:tcPr>
            <w:tcW w:w="9780" w:type="dxa"/>
            <w:vAlign w:val="bottom"/>
          </w:tcPr>
          <w:p>
            <w:pPr>
              <w:ind w:left="320"/>
              <w:spacing w:after="0"/>
              <w:rPr>
                <w:sz w:val="20"/>
                <w:szCs w:val="20"/>
                <w:color w:val="auto"/>
              </w:rPr>
            </w:pPr>
            <w:r>
              <w:rPr>
                <w:rFonts w:ascii="Arial" w:cs="Arial" w:eastAsia="Arial" w:hAnsi="Arial"/>
                <w:sz w:val="18"/>
                <w:szCs w:val="18"/>
                <w:color w:val="auto"/>
              </w:rPr>
              <w:t>Effect of Supplemental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7"/>
              </w:rPr>
              <w:t>ARTICLE TWO</w:t>
            </w:r>
          </w:p>
        </w:tc>
        <w:tc>
          <w:tcPr>
            <w:tcW w:w="3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6"/>
              </w:rPr>
              <w:t>DEFINITIONS AND OTHER PROVISIONS</w:t>
            </w:r>
          </w:p>
        </w:tc>
        <w:tc>
          <w:tcPr>
            <w:tcW w:w="3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OF GENERAL APPLICATION</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201.</w:t>
            </w:r>
          </w:p>
        </w:tc>
        <w:tc>
          <w:tcPr>
            <w:tcW w:w="97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202.</w:t>
            </w:r>
          </w:p>
        </w:tc>
        <w:tc>
          <w:tcPr>
            <w:tcW w:w="9780" w:type="dxa"/>
            <w:vAlign w:val="bottom"/>
          </w:tcPr>
          <w:p>
            <w:pPr>
              <w:ind w:left="320"/>
              <w:spacing w:after="0"/>
              <w:rPr>
                <w:sz w:val="20"/>
                <w:szCs w:val="20"/>
                <w:color w:val="auto"/>
              </w:rPr>
            </w:pPr>
            <w:r>
              <w:rPr>
                <w:rFonts w:ascii="Arial" w:cs="Arial" w:eastAsia="Arial" w:hAnsi="Arial"/>
                <w:sz w:val="18"/>
                <w:szCs w:val="18"/>
                <w:color w:val="auto"/>
              </w:rPr>
              <w:t>Compliance Certificates and Opinions</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203.</w:t>
            </w:r>
          </w:p>
        </w:tc>
        <w:tc>
          <w:tcPr>
            <w:tcW w:w="9780" w:type="dxa"/>
            <w:vAlign w:val="bottom"/>
          </w:tcPr>
          <w:p>
            <w:pPr>
              <w:ind w:left="320"/>
              <w:spacing w:after="0"/>
              <w:rPr>
                <w:sz w:val="20"/>
                <w:szCs w:val="20"/>
                <w:color w:val="auto"/>
              </w:rPr>
            </w:pPr>
            <w:r>
              <w:rPr>
                <w:rFonts w:ascii="Arial" w:cs="Arial" w:eastAsia="Arial" w:hAnsi="Arial"/>
                <w:sz w:val="18"/>
                <w:szCs w:val="18"/>
                <w:color w:val="auto"/>
              </w:rPr>
              <w:t>Form of Documents Delivered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204.</w:t>
            </w:r>
          </w:p>
        </w:tc>
        <w:tc>
          <w:tcPr>
            <w:tcW w:w="9780" w:type="dxa"/>
            <w:vAlign w:val="bottom"/>
          </w:tcPr>
          <w:p>
            <w:pPr>
              <w:ind w:left="320"/>
              <w:spacing w:after="0"/>
              <w:rPr>
                <w:sz w:val="20"/>
                <w:szCs w:val="20"/>
                <w:color w:val="auto"/>
              </w:rPr>
            </w:pPr>
            <w:r>
              <w:rPr>
                <w:rFonts w:ascii="Arial" w:cs="Arial" w:eastAsia="Arial" w:hAnsi="Arial"/>
                <w:sz w:val="18"/>
                <w:szCs w:val="18"/>
                <w:color w:val="auto"/>
              </w:rPr>
              <w:t>Acts of Holders; Record Dates</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205.</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Notices, Etc., to Trustee, Issuer and Guarantors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206.</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 to Holders;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207.</w:t>
            </w:r>
          </w:p>
        </w:tc>
        <w:tc>
          <w:tcPr>
            <w:tcW w:w="9780" w:type="dxa"/>
            <w:vAlign w:val="bottom"/>
          </w:tcPr>
          <w:p>
            <w:pPr>
              <w:ind w:left="320"/>
              <w:spacing w:after="0"/>
              <w:rPr>
                <w:sz w:val="20"/>
                <w:szCs w:val="20"/>
                <w:color w:val="auto"/>
              </w:rPr>
            </w:pPr>
            <w:r>
              <w:rPr>
                <w:rFonts w:ascii="Arial" w:cs="Arial" w:eastAsia="Arial" w:hAnsi="Arial"/>
                <w:sz w:val="18"/>
                <w:szCs w:val="18"/>
                <w:color w:val="auto"/>
              </w:rPr>
              <w:t>Conflict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208.</w:t>
            </w:r>
          </w:p>
        </w:tc>
        <w:tc>
          <w:tcPr>
            <w:tcW w:w="9780" w:type="dxa"/>
            <w:vAlign w:val="bottom"/>
          </w:tcPr>
          <w:p>
            <w:pPr>
              <w:ind w:left="320"/>
              <w:spacing w:after="0"/>
              <w:rPr>
                <w:sz w:val="20"/>
                <w:szCs w:val="20"/>
                <w:color w:val="auto"/>
              </w:rPr>
            </w:pPr>
            <w:r>
              <w:rPr>
                <w:rFonts w:ascii="Arial" w:cs="Arial" w:eastAsia="Arial" w:hAnsi="Arial"/>
                <w:sz w:val="18"/>
                <w:szCs w:val="18"/>
                <w:color w:val="auto"/>
              </w:rPr>
              <w:t>Effect of Headings and Table of Contents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209.</w:t>
            </w:r>
          </w:p>
        </w:tc>
        <w:tc>
          <w:tcPr>
            <w:tcW w:w="97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210.</w:t>
            </w:r>
          </w:p>
        </w:tc>
        <w:tc>
          <w:tcPr>
            <w:tcW w:w="9780" w:type="dxa"/>
            <w:vAlign w:val="bottom"/>
          </w:tcPr>
          <w:p>
            <w:pPr>
              <w:ind w:left="320"/>
              <w:spacing w:after="0"/>
              <w:rPr>
                <w:sz w:val="20"/>
                <w:szCs w:val="20"/>
                <w:color w:val="auto"/>
              </w:rPr>
            </w:pPr>
            <w:r>
              <w:rPr>
                <w:rFonts w:ascii="Arial" w:cs="Arial" w:eastAsia="Arial" w:hAnsi="Arial"/>
                <w:sz w:val="18"/>
                <w:szCs w:val="18"/>
                <w:color w:val="auto"/>
              </w:rPr>
              <w:t>Separability Clause</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211.</w:t>
            </w:r>
          </w:p>
        </w:tc>
        <w:tc>
          <w:tcPr>
            <w:tcW w:w="9780" w:type="dxa"/>
            <w:vAlign w:val="bottom"/>
          </w:tcPr>
          <w:p>
            <w:pPr>
              <w:ind w:left="320"/>
              <w:spacing w:after="0"/>
              <w:rPr>
                <w:sz w:val="20"/>
                <w:szCs w:val="20"/>
                <w:color w:val="auto"/>
              </w:rPr>
            </w:pPr>
            <w:r>
              <w:rPr>
                <w:rFonts w:ascii="Arial" w:cs="Arial" w:eastAsia="Arial" w:hAnsi="Arial"/>
                <w:sz w:val="18"/>
                <w:szCs w:val="18"/>
                <w:color w:val="auto"/>
              </w:rPr>
              <w:t>Benefits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212.</w:t>
            </w:r>
          </w:p>
        </w:tc>
        <w:tc>
          <w:tcPr>
            <w:tcW w:w="9780" w:type="dxa"/>
            <w:vAlign w:val="bottom"/>
          </w:tcPr>
          <w:p>
            <w:pPr>
              <w:ind w:left="320"/>
              <w:spacing w:after="0"/>
              <w:rPr>
                <w:sz w:val="20"/>
                <w:szCs w:val="20"/>
                <w:color w:val="auto"/>
              </w:rPr>
            </w:pPr>
            <w:r>
              <w:rPr>
                <w:rFonts w:ascii="Arial" w:cs="Arial" w:eastAsia="Arial" w:hAnsi="Arial"/>
                <w:sz w:val="18"/>
                <w:szCs w:val="18"/>
                <w:color w:val="auto"/>
              </w:rPr>
              <w:t>Governing Law; Submission to Jurisdiction</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213.</w:t>
            </w:r>
          </w:p>
        </w:tc>
        <w:tc>
          <w:tcPr>
            <w:tcW w:w="9780" w:type="dxa"/>
            <w:vAlign w:val="bottom"/>
          </w:tcPr>
          <w:p>
            <w:pPr>
              <w:ind w:left="320"/>
              <w:spacing w:after="0"/>
              <w:rPr>
                <w:sz w:val="20"/>
                <w:szCs w:val="20"/>
                <w:color w:val="auto"/>
              </w:rPr>
            </w:pPr>
            <w:r>
              <w:rPr>
                <w:rFonts w:ascii="Arial" w:cs="Arial" w:eastAsia="Arial" w:hAnsi="Arial"/>
                <w:sz w:val="18"/>
                <w:szCs w:val="18"/>
                <w:color w:val="auto"/>
              </w:rPr>
              <w:t>Legal Holidays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214.</w:t>
            </w:r>
          </w:p>
        </w:tc>
        <w:tc>
          <w:tcPr>
            <w:tcW w:w="9780" w:type="dxa"/>
            <w:vAlign w:val="bottom"/>
          </w:tcPr>
          <w:p>
            <w:pPr>
              <w:ind w:left="32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215.</w:t>
            </w:r>
          </w:p>
        </w:tc>
        <w:tc>
          <w:tcPr>
            <w:tcW w:w="9780" w:type="dxa"/>
            <w:vAlign w:val="bottom"/>
          </w:tcPr>
          <w:p>
            <w:pPr>
              <w:ind w:left="320"/>
              <w:spacing w:after="0"/>
              <w:rPr>
                <w:sz w:val="20"/>
                <w:szCs w:val="20"/>
                <w:color w:val="auto"/>
              </w:rPr>
            </w:pPr>
            <w:r>
              <w:rPr>
                <w:rFonts w:ascii="Arial" w:cs="Arial" w:eastAsia="Arial" w:hAnsi="Arial"/>
                <w:sz w:val="18"/>
                <w:szCs w:val="18"/>
                <w:color w:val="auto"/>
              </w:rPr>
              <w:t>No Adverse Interpretation of Other Agreements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216.</w:t>
            </w:r>
          </w:p>
        </w:tc>
        <w:tc>
          <w:tcPr>
            <w:tcW w:w="978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217.</w:t>
            </w:r>
          </w:p>
        </w:tc>
        <w:tc>
          <w:tcPr>
            <w:tcW w:w="9780" w:type="dxa"/>
            <w:vAlign w:val="bottom"/>
          </w:tcPr>
          <w:p>
            <w:pPr>
              <w:ind w:left="320"/>
              <w:spacing w:after="0"/>
              <w:rPr>
                <w:sz w:val="20"/>
                <w:szCs w:val="20"/>
                <w:color w:val="auto"/>
              </w:rPr>
            </w:pPr>
            <w:r>
              <w:rPr>
                <w:rFonts w:ascii="Arial" w:cs="Arial" w:eastAsia="Arial" w:hAnsi="Arial"/>
                <w:sz w:val="18"/>
                <w:szCs w:val="18"/>
                <w:color w:val="auto"/>
              </w:rPr>
              <w:t>Payment in Required Currency; 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218.</w:t>
            </w:r>
          </w:p>
        </w:tc>
        <w:tc>
          <w:tcPr>
            <w:tcW w:w="9780" w:type="dxa"/>
            <w:vAlign w:val="bottom"/>
          </w:tcPr>
          <w:p>
            <w:pPr>
              <w:ind w:left="320"/>
              <w:spacing w:after="0"/>
              <w:rPr>
                <w:sz w:val="20"/>
                <w:szCs w:val="20"/>
                <w:color w:val="auto"/>
              </w:rPr>
            </w:pPr>
            <w:r>
              <w:rPr>
                <w:rFonts w:ascii="Arial" w:cs="Arial" w:eastAsia="Arial" w:hAnsi="Arial"/>
                <w:sz w:val="18"/>
                <w:szCs w:val="18"/>
                <w:color w:val="auto"/>
              </w:rPr>
              <w:t>Language of Notices, Etc.</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219.</w:t>
            </w:r>
          </w:p>
        </w:tc>
        <w:tc>
          <w:tcPr>
            <w:tcW w:w="9780" w:type="dxa"/>
            <w:vAlign w:val="bottom"/>
          </w:tcPr>
          <w:p>
            <w:pPr>
              <w:ind w:left="320"/>
              <w:spacing w:after="0"/>
              <w:rPr>
                <w:sz w:val="20"/>
                <w:szCs w:val="20"/>
                <w:color w:val="auto"/>
              </w:rPr>
            </w:pPr>
            <w:r>
              <w:rPr>
                <w:rFonts w:ascii="Arial" w:cs="Arial" w:eastAsia="Arial" w:hAnsi="Arial"/>
                <w:sz w:val="18"/>
                <w:szCs w:val="18"/>
                <w:color w:val="auto"/>
              </w:rPr>
              <w:t>Counterpart Originals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7"/>
              </w:rPr>
              <w:t>ARTICLE THREE</w:t>
            </w:r>
          </w:p>
        </w:tc>
        <w:tc>
          <w:tcPr>
            <w:tcW w:w="3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4"/>
              </w:rPr>
              <w:t>NOTE FORMS</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301.</w:t>
            </w:r>
          </w:p>
        </w:tc>
        <w:tc>
          <w:tcPr>
            <w:tcW w:w="9780" w:type="dxa"/>
            <w:vAlign w:val="bottom"/>
          </w:tcPr>
          <w:p>
            <w:pPr>
              <w:ind w:left="320"/>
              <w:spacing w:after="0"/>
              <w:rPr>
                <w:sz w:val="20"/>
                <w:szCs w:val="20"/>
                <w:color w:val="auto"/>
              </w:rPr>
            </w:pPr>
            <w:r>
              <w:rPr>
                <w:rFonts w:ascii="Arial" w:cs="Arial" w:eastAsia="Arial" w:hAnsi="Arial"/>
                <w:sz w:val="18"/>
                <w:szCs w:val="18"/>
                <w:color w:val="auto"/>
              </w:rPr>
              <w:t>Forms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302.</w:t>
            </w:r>
          </w:p>
        </w:tc>
        <w:tc>
          <w:tcPr>
            <w:tcW w:w="9780" w:type="dxa"/>
            <w:vAlign w:val="bottom"/>
          </w:tcPr>
          <w:p>
            <w:pPr>
              <w:ind w:left="320"/>
              <w:spacing w:after="0"/>
              <w:rPr>
                <w:sz w:val="20"/>
                <w:szCs w:val="20"/>
                <w:color w:val="auto"/>
              </w:rPr>
            </w:pPr>
            <w:r>
              <w:rPr>
                <w:rFonts w:ascii="Arial" w:cs="Arial" w:eastAsia="Arial" w:hAnsi="Arial"/>
                <w:sz w:val="18"/>
                <w:szCs w:val="18"/>
                <w:color w:val="auto"/>
              </w:rPr>
              <w:t>Form of Legend for Global Notes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ARTICLE FOUR</w:t>
            </w:r>
          </w:p>
        </w:tc>
        <w:tc>
          <w:tcPr>
            <w:tcW w:w="3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5"/>
              </w:rPr>
              <w:t>THE NOTES</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401.</w:t>
            </w:r>
          </w:p>
        </w:tc>
        <w:tc>
          <w:tcPr>
            <w:tcW w:w="9780" w:type="dxa"/>
            <w:vAlign w:val="bottom"/>
          </w:tcPr>
          <w:p>
            <w:pPr>
              <w:ind w:left="320"/>
              <w:spacing w:after="0"/>
              <w:rPr>
                <w:sz w:val="20"/>
                <w:szCs w:val="20"/>
                <w:color w:val="auto"/>
              </w:rPr>
            </w:pPr>
            <w:r>
              <w:rPr>
                <w:rFonts w:ascii="Arial" w:cs="Arial" w:eastAsia="Arial" w:hAnsi="Arial"/>
                <w:sz w:val="18"/>
                <w:szCs w:val="18"/>
                <w:color w:val="auto"/>
              </w:rPr>
              <w:t>Title and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402.</w:t>
            </w:r>
          </w:p>
        </w:tc>
        <w:tc>
          <w:tcPr>
            <w:tcW w:w="9780" w:type="dxa"/>
            <w:vAlign w:val="bottom"/>
          </w:tcPr>
          <w:p>
            <w:pPr>
              <w:ind w:left="320"/>
              <w:spacing w:after="0"/>
              <w:rPr>
                <w:sz w:val="20"/>
                <w:szCs w:val="20"/>
                <w:color w:val="auto"/>
              </w:rPr>
            </w:pPr>
            <w:r>
              <w:rPr>
                <w:rFonts w:ascii="Arial" w:cs="Arial" w:eastAsia="Arial" w:hAnsi="Arial"/>
                <w:sz w:val="18"/>
                <w:szCs w:val="18"/>
                <w:color w:val="auto"/>
              </w:rPr>
              <w:t>Denominations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403.</w:t>
            </w:r>
          </w:p>
        </w:tc>
        <w:tc>
          <w:tcPr>
            <w:tcW w:w="9780" w:type="dxa"/>
            <w:vAlign w:val="bottom"/>
          </w:tcPr>
          <w:p>
            <w:pPr>
              <w:ind w:left="320"/>
              <w:spacing w:after="0"/>
              <w:rPr>
                <w:sz w:val="20"/>
                <w:szCs w:val="20"/>
                <w:color w:val="auto"/>
              </w:rPr>
            </w:pPr>
            <w:r>
              <w:rPr>
                <w:rFonts w:ascii="Arial" w:cs="Arial" w:eastAsia="Arial" w:hAnsi="Arial"/>
                <w:sz w:val="18"/>
                <w:szCs w:val="18"/>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404.</w:t>
            </w:r>
          </w:p>
        </w:tc>
        <w:tc>
          <w:tcPr>
            <w:tcW w:w="9780" w:type="dxa"/>
            <w:vAlign w:val="bottom"/>
          </w:tcPr>
          <w:p>
            <w:pPr>
              <w:ind w:left="320"/>
              <w:spacing w:after="0"/>
              <w:rPr>
                <w:sz w:val="20"/>
                <w:szCs w:val="20"/>
                <w:color w:val="auto"/>
              </w:rPr>
            </w:pPr>
            <w:r>
              <w:rPr>
                <w:rFonts w:ascii="Arial" w:cs="Arial" w:eastAsia="Arial" w:hAnsi="Arial"/>
                <w:sz w:val="18"/>
                <w:szCs w:val="18"/>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405.</w:t>
            </w:r>
          </w:p>
        </w:tc>
        <w:tc>
          <w:tcPr>
            <w:tcW w:w="9780" w:type="dxa"/>
            <w:vAlign w:val="bottom"/>
          </w:tcPr>
          <w:p>
            <w:pPr>
              <w:ind w:left="320"/>
              <w:spacing w:after="0"/>
              <w:rPr>
                <w:sz w:val="20"/>
                <w:szCs w:val="20"/>
                <w:color w:val="auto"/>
              </w:rPr>
            </w:pPr>
            <w:r>
              <w:rPr>
                <w:rFonts w:ascii="Arial" w:cs="Arial" w:eastAsia="Arial" w:hAnsi="Arial"/>
                <w:sz w:val="18"/>
                <w:szCs w:val="18"/>
                <w:color w:val="auto"/>
              </w:rPr>
              <w:t>Registration, Registration of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406.</w:t>
            </w:r>
          </w:p>
        </w:tc>
        <w:tc>
          <w:tcPr>
            <w:tcW w:w="9780" w:type="dxa"/>
            <w:vAlign w:val="bottom"/>
          </w:tcPr>
          <w:p>
            <w:pPr>
              <w:ind w:left="320"/>
              <w:spacing w:after="0"/>
              <w:rPr>
                <w:sz w:val="20"/>
                <w:szCs w:val="20"/>
                <w:color w:val="auto"/>
              </w:rPr>
            </w:pPr>
            <w:r>
              <w:rPr>
                <w:rFonts w:ascii="Arial" w:cs="Arial" w:eastAsia="Arial" w:hAnsi="Arial"/>
                <w:sz w:val="18"/>
                <w:szCs w:val="18"/>
                <w:color w:val="auto"/>
              </w:rPr>
              <w:t>Mutilated, Destroyed, Lost and Stolen Notes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1240" w:type="dxa"/>
            <w:vAlign w:val="bottom"/>
          </w:tcPr>
          <w:p>
            <w:pPr>
              <w:spacing w:after="0"/>
              <w:rPr>
                <w:sz w:val="20"/>
                <w:szCs w:val="20"/>
                <w:color w:val="auto"/>
              </w:rPr>
            </w:pPr>
            <w:r>
              <w:rPr>
                <w:rFonts w:ascii="Arial" w:cs="Arial" w:eastAsia="Arial" w:hAnsi="Arial"/>
                <w:sz w:val="18"/>
                <w:szCs w:val="18"/>
                <w:color w:val="auto"/>
              </w:rPr>
              <w:t>Section 407.</w:t>
            </w:r>
          </w:p>
        </w:tc>
        <w:tc>
          <w:tcPr>
            <w:tcW w:w="9780" w:type="dxa"/>
            <w:vAlign w:val="bottom"/>
          </w:tcPr>
          <w:p>
            <w:pPr>
              <w:ind w:left="320"/>
              <w:spacing w:after="0"/>
              <w:rPr>
                <w:sz w:val="20"/>
                <w:szCs w:val="20"/>
                <w:color w:val="auto"/>
              </w:rPr>
            </w:pPr>
            <w:r>
              <w:rPr>
                <w:rFonts w:ascii="Arial" w:cs="Arial" w:eastAsia="Arial" w:hAnsi="Arial"/>
                <w:sz w:val="18"/>
                <w:szCs w:val="18"/>
                <w:color w:val="auto"/>
              </w:rPr>
              <w:t>Payment of Interest; Interest Rights Preserved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408.</w:t>
            </w:r>
          </w:p>
        </w:tc>
        <w:tc>
          <w:tcPr>
            <w:tcW w:w="9780" w:type="dxa"/>
            <w:vAlign w:val="bottom"/>
          </w:tcPr>
          <w:p>
            <w:pPr>
              <w:ind w:left="320"/>
              <w:spacing w:after="0"/>
              <w:rPr>
                <w:sz w:val="20"/>
                <w:szCs w:val="20"/>
                <w:color w:val="auto"/>
              </w:rPr>
            </w:pPr>
            <w:r>
              <w:rPr>
                <w:rFonts w:ascii="Arial" w:cs="Arial" w:eastAsia="Arial" w:hAnsi="Arial"/>
                <w:sz w:val="18"/>
                <w:szCs w:val="18"/>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409.</w:t>
            </w:r>
          </w:p>
        </w:tc>
        <w:tc>
          <w:tcPr>
            <w:tcW w:w="9780" w:type="dxa"/>
            <w:vAlign w:val="bottom"/>
          </w:tcPr>
          <w:p>
            <w:pPr>
              <w:ind w:left="320"/>
              <w:spacing w:after="0"/>
              <w:rPr>
                <w:sz w:val="20"/>
                <w:szCs w:val="20"/>
                <w:color w:val="auto"/>
              </w:rPr>
            </w:pPr>
            <w:r>
              <w:rPr>
                <w:rFonts w:ascii="Arial" w:cs="Arial" w:eastAsia="Arial" w:hAnsi="Arial"/>
                <w:sz w:val="18"/>
                <w:szCs w:val="18"/>
                <w:color w:val="auto"/>
              </w:rPr>
              <w:t>Cancellation</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780" w:type="dxa"/>
            <w:vAlign w:val="bottom"/>
          </w:tcPr>
          <w:p>
            <w:pPr>
              <w:ind w:left="320"/>
              <w:spacing w:after="0"/>
              <w:rPr>
                <w:sz w:val="20"/>
                <w:szCs w:val="20"/>
                <w:color w:val="auto"/>
              </w:rPr>
            </w:pPr>
            <w:r>
              <w:rPr>
                <w:rFonts w:ascii="Arial" w:cs="Arial" w:eastAsia="Arial" w:hAnsi="Arial"/>
                <w:sz w:val="18"/>
                <w:szCs w:val="18"/>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9"/>
              </w:rPr>
              <w:t>ARTICLE FIVE</w:t>
            </w:r>
          </w:p>
        </w:tc>
        <w:tc>
          <w:tcPr>
            <w:tcW w:w="3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6"/>
              </w:rPr>
              <w:t>SATISFACTION AND DISCHARGE</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9780" w:type="dxa"/>
            <w:vAlign w:val="bottom"/>
          </w:tcPr>
          <w:p>
            <w:pPr>
              <w:ind w:left="320"/>
              <w:spacing w:after="0"/>
              <w:rPr>
                <w:sz w:val="20"/>
                <w:szCs w:val="20"/>
                <w:color w:val="auto"/>
              </w:rPr>
            </w:pPr>
            <w:r>
              <w:rPr>
                <w:rFonts w:ascii="Arial" w:cs="Arial" w:eastAsia="Arial" w:hAnsi="Arial"/>
                <w:sz w:val="18"/>
                <w:szCs w:val="18"/>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Trust Money</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50"/>
              <w:spacing w:after="0"/>
              <w:rPr>
                <w:sz w:val="20"/>
                <w:szCs w:val="20"/>
                <w:color w:val="auto"/>
              </w:rPr>
            </w:pPr>
            <w:r>
              <w:rPr>
                <w:rFonts w:ascii="Arial" w:cs="Arial" w:eastAsia="Arial" w:hAnsi="Arial"/>
                <w:sz w:val="18"/>
                <w:szCs w:val="18"/>
                <w:color w:val="auto"/>
                <w:w w:val="98"/>
              </w:rPr>
              <w:t>ARTICLE SIX</w:t>
            </w:r>
          </w:p>
        </w:tc>
        <w:tc>
          <w:tcPr>
            <w:tcW w:w="3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5"/>
              </w:rPr>
              <w:t>REMEDIES</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978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9780" w:type="dxa"/>
            <w:vAlign w:val="bottom"/>
          </w:tcPr>
          <w:p>
            <w:pPr>
              <w:ind w:left="32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9780" w:type="dxa"/>
            <w:vAlign w:val="bottom"/>
          </w:tcPr>
          <w:p>
            <w:pPr>
              <w:ind w:left="32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978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9780" w:type="dxa"/>
            <w:vAlign w:val="bottom"/>
          </w:tcPr>
          <w:p>
            <w:pPr>
              <w:ind w:left="320"/>
              <w:spacing w:after="0"/>
              <w:rPr>
                <w:sz w:val="20"/>
                <w:szCs w:val="20"/>
                <w:color w:val="auto"/>
              </w:rPr>
            </w:pPr>
            <w:r>
              <w:rPr>
                <w:rFonts w:ascii="Arial" w:cs="Arial" w:eastAsia="Arial" w:hAnsi="Arial"/>
                <w:sz w:val="18"/>
                <w:szCs w:val="18"/>
                <w:color w:val="auto"/>
              </w:rPr>
              <w:t>Trustee May Enforce Claims Without Possession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9780" w:type="dxa"/>
            <w:vAlign w:val="bottom"/>
          </w:tcPr>
          <w:p>
            <w:pPr>
              <w:ind w:left="320"/>
              <w:spacing w:after="0"/>
              <w:rPr>
                <w:sz w:val="20"/>
                <w:szCs w:val="20"/>
                <w:color w:val="auto"/>
              </w:rPr>
            </w:pPr>
            <w:r>
              <w:rPr>
                <w:rFonts w:ascii="Arial" w:cs="Arial" w:eastAsia="Arial" w:hAnsi="Arial"/>
                <w:sz w:val="18"/>
                <w:szCs w:val="18"/>
                <w:color w:val="auto"/>
              </w:rPr>
              <w:t>Application of Money Collected</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9780" w:type="dxa"/>
            <w:vAlign w:val="bottom"/>
          </w:tcPr>
          <w:p>
            <w:pPr>
              <w:ind w:left="320"/>
              <w:spacing w:after="0"/>
              <w:rPr>
                <w:sz w:val="20"/>
                <w:szCs w:val="20"/>
                <w:color w:val="auto"/>
              </w:rPr>
            </w:pPr>
            <w:r>
              <w:rPr>
                <w:rFonts w:ascii="Arial" w:cs="Arial" w:eastAsia="Arial" w:hAnsi="Arial"/>
                <w:sz w:val="18"/>
                <w:szCs w:val="18"/>
                <w:color w:val="auto"/>
              </w:rPr>
              <w:t>Limitation on Suits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9780" w:type="dxa"/>
            <w:vAlign w:val="bottom"/>
          </w:tcPr>
          <w:p>
            <w:pPr>
              <w:ind w:left="3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9780" w:type="dxa"/>
            <w:vAlign w:val="bottom"/>
          </w:tcPr>
          <w:p>
            <w:pPr>
              <w:ind w:left="320"/>
              <w:spacing w:after="0"/>
              <w:rPr>
                <w:sz w:val="20"/>
                <w:szCs w:val="20"/>
                <w:color w:val="auto"/>
              </w:rPr>
            </w:pPr>
            <w:r>
              <w:rPr>
                <w:rFonts w:ascii="Arial" w:cs="Arial" w:eastAsia="Arial" w:hAnsi="Arial"/>
                <w:sz w:val="18"/>
                <w:szCs w:val="18"/>
                <w:color w:val="auto"/>
              </w:rPr>
              <w:t>Restoration of Rights and Remedies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9780" w:type="dxa"/>
            <w:vAlign w:val="bottom"/>
          </w:tcPr>
          <w:p>
            <w:pPr>
              <w:ind w:left="320"/>
              <w:spacing w:after="0"/>
              <w:rPr>
                <w:sz w:val="20"/>
                <w:szCs w:val="20"/>
                <w:color w:val="auto"/>
              </w:rPr>
            </w:pPr>
            <w:r>
              <w:rPr>
                <w:rFonts w:ascii="Arial" w:cs="Arial" w:eastAsia="Arial" w:hAnsi="Arial"/>
                <w:sz w:val="18"/>
                <w:szCs w:val="18"/>
                <w:color w:val="auto"/>
              </w:rPr>
              <w:t>Rights and Remedies Cumulative</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9780" w:type="dxa"/>
            <w:vAlign w:val="bottom"/>
          </w:tcPr>
          <w:p>
            <w:pPr>
              <w:ind w:left="320"/>
              <w:spacing w:after="0"/>
              <w:rPr>
                <w:sz w:val="20"/>
                <w:szCs w:val="20"/>
                <w:color w:val="auto"/>
              </w:rPr>
            </w:pPr>
            <w:r>
              <w:rPr>
                <w:rFonts w:ascii="Arial" w:cs="Arial" w:eastAsia="Arial" w:hAnsi="Arial"/>
                <w:sz w:val="18"/>
                <w:szCs w:val="18"/>
                <w:color w:val="auto"/>
              </w:rPr>
              <w:t>Delay or Omission Not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612.</w:t>
            </w:r>
          </w:p>
        </w:tc>
        <w:tc>
          <w:tcPr>
            <w:tcW w:w="9780" w:type="dxa"/>
            <w:vAlign w:val="bottom"/>
          </w:tcPr>
          <w:p>
            <w:pPr>
              <w:ind w:left="320"/>
              <w:spacing w:after="0"/>
              <w:rPr>
                <w:sz w:val="20"/>
                <w:szCs w:val="20"/>
                <w:color w:val="auto"/>
              </w:rPr>
            </w:pPr>
            <w:r>
              <w:rPr>
                <w:rFonts w:ascii="Arial" w:cs="Arial" w:eastAsia="Arial" w:hAnsi="Arial"/>
                <w:sz w:val="18"/>
                <w:szCs w:val="18"/>
                <w:color w:val="auto"/>
              </w:rPr>
              <w:t>Control by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613.</w:t>
            </w:r>
          </w:p>
        </w:tc>
        <w:tc>
          <w:tcPr>
            <w:tcW w:w="9780" w:type="dxa"/>
            <w:vAlign w:val="bottom"/>
          </w:tcPr>
          <w:p>
            <w:pPr>
              <w:ind w:left="320"/>
              <w:spacing w:after="0"/>
              <w:rPr>
                <w:sz w:val="20"/>
                <w:szCs w:val="20"/>
                <w:color w:val="auto"/>
              </w:rPr>
            </w:pPr>
            <w:r>
              <w:rPr>
                <w:rFonts w:ascii="Arial" w:cs="Arial" w:eastAsia="Arial" w:hAnsi="Arial"/>
                <w:sz w:val="18"/>
                <w:szCs w:val="18"/>
                <w:color w:val="auto"/>
              </w:rPr>
              <w:t>Waiver of Existing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614.</w:t>
            </w:r>
          </w:p>
        </w:tc>
        <w:tc>
          <w:tcPr>
            <w:tcW w:w="9780" w:type="dxa"/>
            <w:vAlign w:val="bottom"/>
          </w:tcPr>
          <w:p>
            <w:pPr>
              <w:ind w:left="320"/>
              <w:spacing w:after="0"/>
              <w:rPr>
                <w:sz w:val="20"/>
                <w:szCs w:val="20"/>
                <w:color w:val="auto"/>
              </w:rPr>
            </w:pPr>
            <w:r>
              <w:rPr>
                <w:rFonts w:ascii="Arial" w:cs="Arial" w:eastAsia="Arial" w:hAnsi="Arial"/>
                <w:sz w:val="18"/>
                <w:szCs w:val="18"/>
                <w:color w:val="auto"/>
              </w:rPr>
              <w:t>Undertaking for Costs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615.</w:t>
            </w:r>
          </w:p>
        </w:tc>
        <w:tc>
          <w:tcPr>
            <w:tcW w:w="9780" w:type="dxa"/>
            <w:vAlign w:val="bottom"/>
          </w:tcPr>
          <w:p>
            <w:pPr>
              <w:ind w:left="320"/>
              <w:spacing w:after="0"/>
              <w:rPr>
                <w:sz w:val="20"/>
                <w:szCs w:val="20"/>
                <w:color w:val="auto"/>
              </w:rPr>
            </w:pPr>
            <w:r>
              <w:rPr>
                <w:rFonts w:ascii="Arial" w:cs="Arial" w:eastAsia="Arial" w:hAnsi="Arial"/>
                <w:sz w:val="18"/>
                <w:szCs w:val="18"/>
                <w:color w:val="auto"/>
              </w:rPr>
              <w:t>Waiver of Usury, Stay or Extension Laws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240" w:type="dxa"/>
            <w:vAlign w:val="bottom"/>
          </w:tcPr>
          <w:p>
            <w:pPr>
              <w:spacing w:after="0"/>
              <w:rPr>
                <w:sz w:val="24"/>
                <w:szCs w:val="24"/>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7"/>
              </w:rPr>
              <w:t>ARTICLE SEVEN</w:t>
            </w:r>
          </w:p>
        </w:tc>
        <w:tc>
          <w:tcPr>
            <w:tcW w:w="3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80" w:type="dxa"/>
            <w:vAlign w:val="bottom"/>
          </w:tcPr>
          <w:p>
            <w:pPr>
              <w:jc w:val="center"/>
              <w:ind w:right="830"/>
              <w:spacing w:after="0"/>
              <w:rPr>
                <w:sz w:val="20"/>
                <w:szCs w:val="20"/>
                <w:color w:val="auto"/>
              </w:rPr>
            </w:pPr>
            <w:r>
              <w:rPr>
                <w:rFonts w:ascii="Arial" w:cs="Arial" w:eastAsia="Arial" w:hAnsi="Arial"/>
                <w:sz w:val="18"/>
                <w:szCs w:val="18"/>
                <w:color w:val="auto"/>
                <w:w w:val="94"/>
              </w:rPr>
              <w:t>THE TRUSTEE</w:t>
            </w:r>
          </w:p>
        </w:tc>
        <w:tc>
          <w:tcPr>
            <w:tcW w:w="3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9780" w:type="dxa"/>
            <w:vAlign w:val="bottom"/>
          </w:tcPr>
          <w:p>
            <w:pPr>
              <w:ind w:left="320"/>
              <w:spacing w:after="0"/>
              <w:rPr>
                <w:sz w:val="20"/>
                <w:szCs w:val="20"/>
                <w:color w:val="auto"/>
              </w:rPr>
            </w:pPr>
            <w:r>
              <w:rPr>
                <w:rFonts w:ascii="Arial" w:cs="Arial" w:eastAsia="Arial" w:hAnsi="Arial"/>
                <w:sz w:val="18"/>
                <w:szCs w:val="18"/>
                <w:color w:val="auto"/>
              </w:rPr>
              <w:t>Certain Duties and Responsibilities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9780" w:type="dxa"/>
            <w:vAlign w:val="bottom"/>
          </w:tcPr>
          <w:p>
            <w:pPr>
              <w:ind w:left="320"/>
              <w:spacing w:after="0"/>
              <w:rPr>
                <w:sz w:val="20"/>
                <w:szCs w:val="20"/>
                <w:color w:val="auto"/>
              </w:rPr>
            </w:pPr>
            <w:r>
              <w:rPr>
                <w:rFonts w:ascii="Arial" w:cs="Arial" w:eastAsia="Arial" w:hAnsi="Arial"/>
                <w:sz w:val="18"/>
                <w:szCs w:val="18"/>
                <w:color w:val="auto"/>
              </w:rPr>
              <w:t>Notice of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9780" w:type="dxa"/>
            <w:vAlign w:val="bottom"/>
          </w:tcPr>
          <w:p>
            <w:pPr>
              <w:ind w:left="320"/>
              <w:spacing w:after="0"/>
              <w:rPr>
                <w:sz w:val="20"/>
                <w:szCs w:val="20"/>
                <w:color w:val="auto"/>
              </w:rPr>
            </w:pPr>
            <w:r>
              <w:rPr>
                <w:rFonts w:ascii="Arial" w:cs="Arial" w:eastAsia="Arial" w:hAnsi="Arial"/>
                <w:sz w:val="18"/>
                <w:szCs w:val="18"/>
                <w:color w:val="auto"/>
              </w:rPr>
              <w:t>Certain Rights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9780" w:type="dxa"/>
            <w:vAlign w:val="bottom"/>
          </w:tcPr>
          <w:p>
            <w:pPr>
              <w:ind w:left="320"/>
              <w:spacing w:after="0"/>
              <w:rPr>
                <w:sz w:val="20"/>
                <w:szCs w:val="20"/>
                <w:color w:val="auto"/>
              </w:rPr>
            </w:pPr>
            <w:r>
              <w:rPr>
                <w:rFonts w:ascii="Arial" w:cs="Arial" w:eastAsia="Arial" w:hAnsi="Arial"/>
                <w:sz w:val="18"/>
                <w:szCs w:val="18"/>
                <w:color w:val="auto"/>
              </w:rPr>
              <w:t>Not Responsible for Recitals or Issuance of Notes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9780" w:type="dxa"/>
            <w:vAlign w:val="bottom"/>
          </w:tcPr>
          <w:p>
            <w:pPr>
              <w:ind w:left="320"/>
              <w:spacing w:after="0"/>
              <w:rPr>
                <w:sz w:val="20"/>
                <w:szCs w:val="20"/>
                <w:color w:val="auto"/>
              </w:rPr>
            </w:pPr>
            <w:r>
              <w:rPr>
                <w:rFonts w:ascii="Arial" w:cs="Arial" w:eastAsia="Arial" w:hAnsi="Arial"/>
                <w:sz w:val="18"/>
                <w:szCs w:val="18"/>
                <w:color w:val="auto"/>
              </w:rPr>
              <w:t>May Hold Notes</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9780" w:type="dxa"/>
            <w:vAlign w:val="bottom"/>
          </w:tcPr>
          <w:p>
            <w:pPr>
              <w:ind w:left="320"/>
              <w:spacing w:after="0"/>
              <w:rPr>
                <w:sz w:val="20"/>
                <w:szCs w:val="20"/>
                <w:color w:val="auto"/>
              </w:rPr>
            </w:pPr>
            <w:r>
              <w:rPr>
                <w:rFonts w:ascii="Arial" w:cs="Arial" w:eastAsia="Arial" w:hAnsi="Arial"/>
                <w:sz w:val="18"/>
                <w:szCs w:val="18"/>
                <w:color w:val="auto"/>
              </w:rPr>
              <w:t>Money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9780" w:type="dxa"/>
            <w:vAlign w:val="bottom"/>
          </w:tcPr>
          <w:p>
            <w:pPr>
              <w:ind w:left="320"/>
              <w:spacing w:after="0"/>
              <w:rPr>
                <w:sz w:val="20"/>
                <w:szCs w:val="20"/>
                <w:color w:val="auto"/>
              </w:rPr>
            </w:pPr>
            <w:r>
              <w:rPr>
                <w:rFonts w:ascii="Arial" w:cs="Arial" w:eastAsia="Arial" w:hAnsi="Arial"/>
                <w:sz w:val="18"/>
                <w:szCs w:val="18"/>
                <w:color w:val="auto"/>
              </w:rPr>
              <w:t>Compensation and Reimbursement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9780" w:type="dxa"/>
            <w:vAlign w:val="bottom"/>
          </w:tcPr>
          <w:p>
            <w:pPr>
              <w:ind w:left="320"/>
              <w:spacing w:after="0"/>
              <w:rPr>
                <w:sz w:val="20"/>
                <w:szCs w:val="20"/>
                <w:color w:val="auto"/>
              </w:rPr>
            </w:pPr>
            <w:r>
              <w:rPr>
                <w:rFonts w:ascii="Arial" w:cs="Arial" w:eastAsia="Arial" w:hAnsi="Arial"/>
                <w:sz w:val="18"/>
                <w:szCs w:val="18"/>
                <w:color w:val="auto"/>
              </w:rPr>
              <w:t>Conflicting Interests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9780" w:type="dxa"/>
            <w:vAlign w:val="bottom"/>
          </w:tcPr>
          <w:p>
            <w:pPr>
              <w:ind w:left="320"/>
              <w:spacing w:after="0"/>
              <w:rPr>
                <w:sz w:val="20"/>
                <w:szCs w:val="20"/>
                <w:color w:val="auto"/>
              </w:rPr>
            </w:pPr>
            <w:r>
              <w:rPr>
                <w:rFonts w:ascii="Arial" w:cs="Arial" w:eastAsia="Arial" w:hAnsi="Arial"/>
                <w:sz w:val="18"/>
                <w:szCs w:val="18"/>
                <w:color w:val="auto"/>
              </w:rPr>
              <w:t>Corporate Trustee Required; Eligibility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9780" w:type="dxa"/>
            <w:vAlign w:val="bottom"/>
          </w:tcPr>
          <w:p>
            <w:pPr>
              <w:ind w:left="320"/>
              <w:spacing w:after="0"/>
              <w:rPr>
                <w:sz w:val="20"/>
                <w:szCs w:val="20"/>
                <w:color w:val="auto"/>
              </w:rPr>
            </w:pPr>
            <w:r>
              <w:rPr>
                <w:rFonts w:ascii="Arial" w:cs="Arial" w:eastAsia="Arial" w:hAnsi="Arial"/>
                <w:sz w:val="18"/>
                <w:szCs w:val="18"/>
                <w:color w:val="auto"/>
              </w:rPr>
              <w:t>Resignation and Removal; Appointment of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711.</w:t>
            </w:r>
          </w:p>
        </w:tc>
        <w:tc>
          <w:tcPr>
            <w:tcW w:w="9780" w:type="dxa"/>
            <w:vAlign w:val="bottom"/>
          </w:tcPr>
          <w:p>
            <w:pPr>
              <w:ind w:left="320"/>
              <w:spacing w:after="0"/>
              <w:rPr>
                <w:sz w:val="20"/>
                <w:szCs w:val="20"/>
                <w:color w:val="auto"/>
              </w:rPr>
            </w:pPr>
            <w:r>
              <w:rPr>
                <w:rFonts w:ascii="Arial" w:cs="Arial" w:eastAsia="Arial" w:hAnsi="Arial"/>
                <w:sz w:val="18"/>
                <w:szCs w:val="18"/>
                <w:color w:val="auto"/>
              </w:rPr>
              <w:t>Acceptance of Appointment by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712.</w:t>
            </w:r>
          </w:p>
        </w:tc>
        <w:tc>
          <w:tcPr>
            <w:tcW w:w="9780" w:type="dxa"/>
            <w:vAlign w:val="bottom"/>
          </w:tcPr>
          <w:p>
            <w:pPr>
              <w:ind w:left="320"/>
              <w:spacing w:after="0"/>
              <w:rPr>
                <w:sz w:val="20"/>
                <w:szCs w:val="20"/>
                <w:color w:val="auto"/>
              </w:rPr>
            </w:pPr>
            <w:r>
              <w:rPr>
                <w:rFonts w:ascii="Arial" w:cs="Arial" w:eastAsia="Arial" w:hAnsi="Arial"/>
                <w:sz w:val="18"/>
                <w:szCs w:val="18"/>
                <w:color w:val="auto"/>
              </w:rPr>
              <w:t>Merger, Conversion, Consolidation or Succession to Business</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713.</w:t>
            </w:r>
          </w:p>
        </w:tc>
        <w:tc>
          <w:tcPr>
            <w:tcW w:w="9780" w:type="dxa"/>
            <w:vAlign w:val="bottom"/>
          </w:tcPr>
          <w:p>
            <w:pPr>
              <w:ind w:left="320"/>
              <w:spacing w:after="0"/>
              <w:rPr>
                <w:sz w:val="20"/>
                <w:szCs w:val="20"/>
                <w:color w:val="auto"/>
              </w:rPr>
            </w:pPr>
            <w:r>
              <w:rPr>
                <w:rFonts w:ascii="Arial" w:cs="Arial" w:eastAsia="Arial" w:hAnsi="Arial"/>
                <w:sz w:val="18"/>
                <w:szCs w:val="18"/>
                <w:color w:val="auto"/>
              </w:rPr>
              <w:t>Preferential Collection of Claims Against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714.</w:t>
            </w:r>
          </w:p>
        </w:tc>
        <w:tc>
          <w:tcPr>
            <w:tcW w:w="9780" w:type="dxa"/>
            <w:vAlign w:val="bottom"/>
          </w:tcPr>
          <w:p>
            <w:pPr>
              <w:ind w:left="320"/>
              <w:spacing w:after="0"/>
              <w:rPr>
                <w:sz w:val="20"/>
                <w:szCs w:val="20"/>
                <w:color w:val="auto"/>
              </w:rPr>
            </w:pPr>
            <w:r>
              <w:rPr>
                <w:rFonts w:ascii="Arial" w:cs="Arial" w:eastAsia="Arial" w:hAnsi="Arial"/>
                <w:sz w:val="18"/>
                <w:szCs w:val="18"/>
                <w:color w:val="auto"/>
              </w:rPr>
              <w:t>Appointment of Authenticating Agent</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98"/>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EIGHT</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5"/>
              </w:rPr>
              <w:t>HOLDERS’ LISTS AND REPORTS BY TRUSTEE AND ISSUER</w:t>
            </w:r>
          </w:p>
        </w:tc>
        <w:tc>
          <w:tcPr>
            <w:tcW w:w="30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801.</w:t>
            </w:r>
          </w:p>
        </w:tc>
        <w:tc>
          <w:tcPr>
            <w:tcW w:w="9740" w:type="dxa"/>
            <w:vAlign w:val="bottom"/>
          </w:tcPr>
          <w:p>
            <w:pPr>
              <w:ind w:left="280"/>
              <w:spacing w:after="0"/>
              <w:rPr>
                <w:sz w:val="20"/>
                <w:szCs w:val="20"/>
                <w:color w:val="auto"/>
              </w:rPr>
            </w:pPr>
            <w:r>
              <w:rPr>
                <w:rFonts w:ascii="Arial" w:cs="Arial" w:eastAsia="Arial" w:hAnsi="Arial"/>
                <w:sz w:val="18"/>
                <w:szCs w:val="18"/>
                <w:color w:val="auto"/>
              </w:rPr>
              <w:t>Issuer to Furnish Trustee Names and Addresses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802.</w:t>
            </w:r>
          </w:p>
        </w:tc>
        <w:tc>
          <w:tcPr>
            <w:tcW w:w="9740" w:type="dxa"/>
            <w:vAlign w:val="bottom"/>
          </w:tcPr>
          <w:p>
            <w:pPr>
              <w:ind w:left="280"/>
              <w:spacing w:after="0"/>
              <w:rPr>
                <w:sz w:val="20"/>
                <w:szCs w:val="20"/>
                <w:color w:val="auto"/>
              </w:rPr>
            </w:pPr>
            <w:r>
              <w:rPr>
                <w:rFonts w:ascii="Arial" w:cs="Arial" w:eastAsia="Arial" w:hAnsi="Arial"/>
                <w:sz w:val="18"/>
                <w:szCs w:val="18"/>
                <w:color w:val="auto"/>
              </w:rPr>
              <w:t>Preservation of Information; Communications to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803.</w:t>
            </w:r>
          </w:p>
        </w:tc>
        <w:tc>
          <w:tcPr>
            <w:tcW w:w="9740" w:type="dxa"/>
            <w:vAlign w:val="bottom"/>
          </w:tcPr>
          <w:p>
            <w:pPr>
              <w:ind w:left="280"/>
              <w:spacing w:after="0"/>
              <w:rPr>
                <w:sz w:val="20"/>
                <w:szCs w:val="20"/>
                <w:color w:val="auto"/>
              </w:rPr>
            </w:pPr>
            <w:r>
              <w:rPr>
                <w:rFonts w:ascii="Arial" w:cs="Arial" w:eastAsia="Arial" w:hAnsi="Arial"/>
                <w:sz w:val="18"/>
                <w:szCs w:val="18"/>
                <w:color w:val="auto"/>
              </w:rPr>
              <w:t>Reports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804.</w:t>
            </w:r>
          </w:p>
        </w:tc>
        <w:tc>
          <w:tcPr>
            <w:tcW w:w="9740" w:type="dxa"/>
            <w:vAlign w:val="bottom"/>
          </w:tcPr>
          <w:p>
            <w:pPr>
              <w:ind w:left="280"/>
              <w:spacing w:after="0"/>
              <w:rPr>
                <w:sz w:val="20"/>
                <w:szCs w:val="20"/>
                <w:color w:val="auto"/>
              </w:rPr>
            </w:pPr>
            <w:r>
              <w:rPr>
                <w:rFonts w:ascii="Arial" w:cs="Arial" w:eastAsia="Arial" w:hAnsi="Arial"/>
                <w:sz w:val="18"/>
                <w:szCs w:val="18"/>
                <w:color w:val="auto"/>
              </w:rPr>
              <w:t>Reports by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NINE</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5"/>
              </w:rPr>
              <w:t>CONSOLIDATION, MERGER, CONVEYANCE, TRANSFER OR LEASE</w:t>
            </w:r>
          </w:p>
        </w:tc>
        <w:tc>
          <w:tcPr>
            <w:tcW w:w="30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901.</w:t>
            </w:r>
          </w:p>
        </w:tc>
        <w:tc>
          <w:tcPr>
            <w:tcW w:w="9740" w:type="dxa"/>
            <w:vAlign w:val="bottom"/>
          </w:tcPr>
          <w:p>
            <w:pPr>
              <w:ind w:left="280"/>
              <w:spacing w:after="0"/>
              <w:rPr>
                <w:sz w:val="20"/>
                <w:szCs w:val="20"/>
                <w:color w:val="auto"/>
              </w:rPr>
            </w:pPr>
            <w:r>
              <w:rPr>
                <w:rFonts w:ascii="Arial" w:cs="Arial" w:eastAsia="Arial" w:hAnsi="Arial"/>
                <w:sz w:val="18"/>
                <w:szCs w:val="18"/>
                <w:color w:val="auto"/>
              </w:rPr>
              <w:t>Issuer and Guarantors May Consolidate, Etc., Only on Certain Terms</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902.</w:t>
            </w:r>
          </w:p>
        </w:tc>
        <w:tc>
          <w:tcPr>
            <w:tcW w:w="9740" w:type="dxa"/>
            <w:vAlign w:val="bottom"/>
          </w:tcPr>
          <w:p>
            <w:pPr>
              <w:ind w:left="280"/>
              <w:spacing w:after="0"/>
              <w:rPr>
                <w:sz w:val="20"/>
                <w:szCs w:val="20"/>
                <w:color w:val="auto"/>
              </w:rPr>
            </w:pPr>
            <w:r>
              <w:rPr>
                <w:rFonts w:ascii="Arial" w:cs="Arial" w:eastAsia="Arial" w:hAnsi="Arial"/>
                <w:sz w:val="18"/>
                <w:szCs w:val="18"/>
                <w:color w:val="auto"/>
              </w:rPr>
              <w:t>Successor Substituted</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7"/>
              </w:rPr>
              <w:t>ARTICLE TEN</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90"/>
              <w:spacing w:after="0"/>
              <w:rPr>
                <w:sz w:val="20"/>
                <w:szCs w:val="20"/>
                <w:color w:val="auto"/>
              </w:rPr>
            </w:pPr>
            <w:r>
              <w:rPr>
                <w:rFonts w:ascii="Arial" w:cs="Arial" w:eastAsia="Arial" w:hAnsi="Arial"/>
                <w:sz w:val="18"/>
                <w:szCs w:val="18"/>
                <w:color w:val="auto"/>
                <w:w w:val="96"/>
              </w:rPr>
              <w:t>SUPPLEMENTAL INDENTURES</w:t>
            </w:r>
          </w:p>
        </w:tc>
        <w:tc>
          <w:tcPr>
            <w:tcW w:w="30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1001.</w:t>
            </w: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1002.</w:t>
            </w:r>
          </w:p>
        </w:tc>
        <w:tc>
          <w:tcPr>
            <w:tcW w:w="974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1003.</w:t>
            </w:r>
          </w:p>
        </w:tc>
        <w:tc>
          <w:tcPr>
            <w:tcW w:w="9740" w:type="dxa"/>
            <w:vAlign w:val="bottom"/>
          </w:tcPr>
          <w:p>
            <w:pPr>
              <w:ind w:left="280"/>
              <w:spacing w:after="0"/>
              <w:rPr>
                <w:sz w:val="20"/>
                <w:szCs w:val="20"/>
                <w:color w:val="auto"/>
              </w:rPr>
            </w:pPr>
            <w:r>
              <w:rPr>
                <w:rFonts w:ascii="Arial" w:cs="Arial" w:eastAsia="Arial" w:hAnsi="Arial"/>
                <w:sz w:val="18"/>
                <w:szCs w:val="18"/>
                <w:color w:val="auto"/>
              </w:rPr>
              <w:t>Execution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1004.</w:t>
            </w:r>
          </w:p>
        </w:tc>
        <w:tc>
          <w:tcPr>
            <w:tcW w:w="974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1005.</w:t>
            </w:r>
          </w:p>
        </w:tc>
        <w:tc>
          <w:tcPr>
            <w:tcW w:w="9740" w:type="dxa"/>
            <w:vAlign w:val="bottom"/>
          </w:tcPr>
          <w:p>
            <w:pPr>
              <w:ind w:left="280"/>
              <w:spacing w:after="0"/>
              <w:rPr>
                <w:sz w:val="20"/>
                <w:szCs w:val="20"/>
                <w:color w:val="auto"/>
              </w:rPr>
            </w:pPr>
            <w:r>
              <w:rPr>
                <w:rFonts w:ascii="Arial" w:cs="Arial" w:eastAsia="Arial" w:hAnsi="Arial"/>
                <w:sz w:val="18"/>
                <w:szCs w:val="18"/>
                <w:color w:val="auto"/>
              </w:rPr>
              <w:t>Conformity with Trust Indenture Act</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1006.</w:t>
            </w:r>
          </w:p>
        </w:tc>
        <w:tc>
          <w:tcPr>
            <w:tcW w:w="9740" w:type="dxa"/>
            <w:vAlign w:val="bottom"/>
          </w:tcPr>
          <w:p>
            <w:pPr>
              <w:ind w:left="280"/>
              <w:spacing w:after="0"/>
              <w:rPr>
                <w:sz w:val="20"/>
                <w:szCs w:val="20"/>
                <w:color w:val="auto"/>
              </w:rPr>
            </w:pPr>
            <w:r>
              <w:rPr>
                <w:rFonts w:ascii="Arial" w:cs="Arial" w:eastAsia="Arial" w:hAnsi="Arial"/>
                <w:sz w:val="18"/>
                <w:szCs w:val="18"/>
                <w:color w:val="auto"/>
              </w:rPr>
              <w:t>Reference in Notes to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280" w:type="dxa"/>
            <w:vAlign w:val="bottom"/>
          </w:tcPr>
          <w:p>
            <w:pPr>
              <w:spacing w:after="0"/>
              <w:rPr>
                <w:sz w:val="24"/>
                <w:szCs w:val="24"/>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ARTICLE ELEVEN</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8"/>
              </w:rPr>
              <w:t>COVENANTS</w:t>
            </w:r>
          </w:p>
        </w:tc>
        <w:tc>
          <w:tcPr>
            <w:tcW w:w="30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1101.</w:t>
            </w:r>
          </w:p>
        </w:tc>
        <w:tc>
          <w:tcPr>
            <w:tcW w:w="9740" w:type="dxa"/>
            <w:vAlign w:val="bottom"/>
          </w:tcPr>
          <w:p>
            <w:pPr>
              <w:ind w:left="280"/>
              <w:spacing w:after="0"/>
              <w:rPr>
                <w:sz w:val="20"/>
                <w:szCs w:val="20"/>
                <w:color w:val="auto"/>
              </w:rPr>
            </w:pPr>
            <w:r>
              <w:rPr>
                <w:rFonts w:ascii="Arial" w:cs="Arial" w:eastAsia="Arial" w:hAnsi="Arial"/>
                <w:sz w:val="18"/>
                <w:szCs w:val="18"/>
                <w:color w:val="auto"/>
              </w:rPr>
              <w:t>Payment of Principal, Premium, Interest and Additional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1102.</w:t>
            </w:r>
          </w:p>
        </w:tc>
        <w:tc>
          <w:tcPr>
            <w:tcW w:w="974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1103.</w:t>
            </w:r>
          </w:p>
        </w:tc>
        <w:tc>
          <w:tcPr>
            <w:tcW w:w="9740" w:type="dxa"/>
            <w:vAlign w:val="bottom"/>
          </w:tcPr>
          <w:p>
            <w:pPr>
              <w:ind w:left="280"/>
              <w:spacing w:after="0"/>
              <w:rPr>
                <w:sz w:val="20"/>
                <w:szCs w:val="20"/>
                <w:color w:val="auto"/>
              </w:rPr>
            </w:pPr>
            <w:r>
              <w:rPr>
                <w:rFonts w:ascii="Arial" w:cs="Arial" w:eastAsia="Arial" w:hAnsi="Arial"/>
                <w:sz w:val="18"/>
                <w:szCs w:val="18"/>
                <w:color w:val="auto"/>
              </w:rPr>
              <w:t>Money for Notes Payments to Be Held in Trust</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1104.</w:t>
            </w:r>
          </w:p>
        </w:tc>
        <w:tc>
          <w:tcPr>
            <w:tcW w:w="9740" w:type="dxa"/>
            <w:vAlign w:val="bottom"/>
          </w:tcPr>
          <w:p>
            <w:pPr>
              <w:ind w:left="28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1105.</w:t>
            </w:r>
          </w:p>
        </w:tc>
        <w:tc>
          <w:tcPr>
            <w:tcW w:w="974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1106.</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Designation of Unrestricted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1107.</w:t>
            </w:r>
          </w:p>
        </w:tc>
        <w:tc>
          <w:tcPr>
            <w:tcW w:w="9740" w:type="dxa"/>
            <w:vAlign w:val="bottom"/>
          </w:tcPr>
          <w:p>
            <w:pPr>
              <w:ind w:left="280"/>
              <w:spacing w:after="0"/>
              <w:rPr>
                <w:sz w:val="20"/>
                <w:szCs w:val="20"/>
                <w:color w:val="auto"/>
              </w:rPr>
            </w:pPr>
            <w:r>
              <w:rPr>
                <w:rFonts w:ascii="Arial" w:cs="Arial" w:eastAsia="Arial" w:hAnsi="Arial"/>
                <w:sz w:val="18"/>
                <w:szCs w:val="18"/>
                <w:color w:val="auto"/>
              </w:rPr>
              <w:t>Purchase of Notes Upon a Change of Control</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1108.</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Additional Indebtedness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1109.</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Restricted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1110.</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Liens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1111.</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1112.</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Sale-Leaseback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1113.</w:t>
            </w:r>
          </w:p>
        </w:tc>
        <w:tc>
          <w:tcPr>
            <w:tcW w:w="9740" w:type="dxa"/>
            <w:vAlign w:val="bottom"/>
          </w:tcPr>
          <w:p>
            <w:pPr>
              <w:ind w:left="280"/>
              <w:spacing w:after="0"/>
              <w:rPr>
                <w:sz w:val="20"/>
                <w:szCs w:val="20"/>
                <w:color w:val="auto"/>
              </w:rPr>
            </w:pPr>
            <w:r>
              <w:rPr>
                <w:rFonts w:ascii="Arial" w:cs="Arial" w:eastAsia="Arial" w:hAnsi="Arial"/>
                <w:sz w:val="18"/>
                <w:szCs w:val="18"/>
                <w:color w:val="auto"/>
              </w:rPr>
              <w:t>Limitation on Affiliate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1114.</w:t>
            </w:r>
          </w:p>
        </w:tc>
        <w:tc>
          <w:tcPr>
            <w:tcW w:w="9740" w:type="dxa"/>
            <w:vAlign w:val="bottom"/>
          </w:tcPr>
          <w:p>
            <w:pPr>
              <w:ind w:left="280"/>
              <w:spacing w:after="0"/>
              <w:rPr>
                <w:sz w:val="20"/>
                <w:szCs w:val="20"/>
                <w:color w:val="auto"/>
              </w:rPr>
            </w:pPr>
            <w:r>
              <w:rPr>
                <w:rFonts w:ascii="Arial" w:cs="Arial" w:eastAsia="Arial" w:hAnsi="Arial"/>
                <w:sz w:val="18"/>
                <w:szCs w:val="18"/>
                <w:color w:val="auto"/>
              </w:rPr>
              <w:t>Additional Guarantees</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1115.</w:t>
            </w:r>
          </w:p>
        </w:tc>
        <w:tc>
          <w:tcPr>
            <w:tcW w:w="9740" w:type="dxa"/>
            <w:vAlign w:val="bottom"/>
          </w:tcPr>
          <w:p>
            <w:pPr>
              <w:ind w:left="280"/>
              <w:spacing w:after="0"/>
              <w:rPr>
                <w:sz w:val="20"/>
                <w:szCs w:val="20"/>
                <w:color w:val="auto"/>
              </w:rPr>
            </w:pPr>
            <w:r>
              <w:rPr>
                <w:rFonts w:ascii="Arial" w:cs="Arial" w:eastAsia="Arial" w:hAnsi="Arial"/>
                <w:sz w:val="18"/>
                <w:szCs w:val="18"/>
                <w:color w:val="auto"/>
              </w:rPr>
              <w:t>Covenant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1280" w:type="dxa"/>
            <w:vAlign w:val="bottom"/>
          </w:tcPr>
          <w:p>
            <w:pPr>
              <w:spacing w:after="0"/>
              <w:rPr>
                <w:sz w:val="24"/>
                <w:szCs w:val="24"/>
                <w:color w:val="auto"/>
              </w:rPr>
            </w:pPr>
          </w:p>
        </w:tc>
        <w:tc>
          <w:tcPr>
            <w:tcW w:w="9740" w:type="dxa"/>
            <w:vAlign w:val="bottom"/>
          </w:tcPr>
          <w:p>
            <w:pPr>
              <w:jc w:val="center"/>
              <w:ind w:right="890"/>
              <w:spacing w:after="0"/>
              <w:rPr>
                <w:sz w:val="20"/>
                <w:szCs w:val="20"/>
                <w:color w:val="auto"/>
              </w:rPr>
            </w:pPr>
            <w:r>
              <w:rPr>
                <w:rFonts w:ascii="Arial" w:cs="Arial" w:eastAsia="Arial" w:hAnsi="Arial"/>
                <w:sz w:val="18"/>
                <w:szCs w:val="18"/>
                <w:color w:val="auto"/>
                <w:w w:val="98"/>
              </w:rPr>
              <w:t>ARTICLE TWELVE</w:t>
            </w:r>
          </w:p>
        </w:tc>
        <w:tc>
          <w:tcPr>
            <w:tcW w:w="30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740" w:type="dxa"/>
            <w:vAlign w:val="bottom"/>
          </w:tcPr>
          <w:p>
            <w:pPr>
              <w:jc w:val="center"/>
              <w:ind w:right="870"/>
              <w:spacing w:after="0"/>
              <w:rPr>
                <w:sz w:val="20"/>
                <w:szCs w:val="20"/>
                <w:color w:val="auto"/>
              </w:rPr>
            </w:pPr>
            <w:r>
              <w:rPr>
                <w:rFonts w:ascii="Arial" w:cs="Arial" w:eastAsia="Arial" w:hAnsi="Arial"/>
                <w:sz w:val="18"/>
                <w:szCs w:val="18"/>
                <w:color w:val="auto"/>
                <w:w w:val="94"/>
              </w:rPr>
              <w:t>REDEMPTION OF NOTES</w:t>
            </w:r>
          </w:p>
        </w:tc>
        <w:tc>
          <w:tcPr>
            <w:tcW w:w="30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Section 1201.</w:t>
            </w:r>
          </w:p>
        </w:tc>
        <w:tc>
          <w:tcPr>
            <w:tcW w:w="974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1202.</w:t>
            </w:r>
          </w:p>
        </w:tc>
        <w:tc>
          <w:tcPr>
            <w:tcW w:w="9740" w:type="dxa"/>
            <w:vAlign w:val="bottom"/>
          </w:tcPr>
          <w:p>
            <w:pPr>
              <w:ind w:left="280"/>
              <w:spacing w:after="0"/>
              <w:rPr>
                <w:sz w:val="20"/>
                <w:szCs w:val="20"/>
                <w:color w:val="auto"/>
              </w:rPr>
            </w:pPr>
            <w:r>
              <w:rPr>
                <w:rFonts w:ascii="Arial" w:cs="Arial" w:eastAsia="Arial" w:hAnsi="Arial"/>
                <w:sz w:val="18"/>
                <w:szCs w:val="18"/>
                <w:color w:val="auto"/>
              </w:rPr>
              <w:t>Election to Redeem; Notice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1203.</w:t>
            </w:r>
          </w:p>
        </w:tc>
        <w:tc>
          <w:tcPr>
            <w:tcW w:w="9740" w:type="dxa"/>
            <w:vAlign w:val="bottom"/>
          </w:tcPr>
          <w:p>
            <w:pPr>
              <w:ind w:left="280"/>
              <w:spacing w:after="0"/>
              <w:rPr>
                <w:sz w:val="20"/>
                <w:szCs w:val="20"/>
                <w:color w:val="auto"/>
              </w:rPr>
            </w:pPr>
            <w:r>
              <w:rPr>
                <w:rFonts w:ascii="Arial" w:cs="Arial" w:eastAsia="Arial" w:hAnsi="Arial"/>
                <w:sz w:val="18"/>
                <w:szCs w:val="18"/>
                <w:color w:val="auto"/>
              </w:rPr>
              <w:t>Optional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6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98"/>
        </w:trPr>
        <w:tc>
          <w:tcPr>
            <w:tcW w:w="1240" w:type="dxa"/>
            <w:vAlign w:val="bottom"/>
          </w:tcPr>
          <w:p>
            <w:pPr>
              <w:spacing w:after="0"/>
              <w:rPr>
                <w:sz w:val="20"/>
                <w:szCs w:val="20"/>
                <w:color w:val="auto"/>
              </w:rPr>
            </w:pPr>
            <w:r>
              <w:rPr>
                <w:rFonts w:ascii="Arial" w:cs="Arial" w:eastAsia="Arial" w:hAnsi="Arial"/>
                <w:sz w:val="18"/>
                <w:szCs w:val="18"/>
                <w:color w:val="auto"/>
              </w:rPr>
              <w:t>Section 1204.</w:t>
            </w:r>
          </w:p>
        </w:tc>
        <w:tc>
          <w:tcPr>
            <w:tcW w:w="9740" w:type="dxa"/>
            <w:vAlign w:val="bottom"/>
          </w:tcPr>
          <w:p>
            <w:pPr>
              <w:ind w:left="220"/>
              <w:spacing w:after="0"/>
              <w:rPr>
                <w:sz w:val="20"/>
                <w:szCs w:val="20"/>
                <w:color w:val="auto"/>
              </w:rPr>
            </w:pPr>
            <w:r>
              <w:rPr>
                <w:rFonts w:ascii="Arial" w:cs="Arial" w:eastAsia="Arial" w:hAnsi="Arial"/>
                <w:sz w:val="18"/>
                <w:szCs w:val="18"/>
                <w:color w:val="auto"/>
              </w:rPr>
              <w:t>Selection by Trustee of Notes to Be Redeemed</w:t>
            </w:r>
          </w:p>
        </w:tc>
        <w:tc>
          <w:tcPr>
            <w:tcW w:w="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1205.</w:t>
            </w:r>
          </w:p>
        </w:tc>
        <w:tc>
          <w:tcPr>
            <w:tcW w:w="9740" w:type="dxa"/>
            <w:vAlign w:val="bottom"/>
          </w:tcPr>
          <w:p>
            <w:pPr>
              <w:ind w:left="220"/>
              <w:spacing w:after="0"/>
              <w:rPr>
                <w:sz w:val="20"/>
                <w:szCs w:val="20"/>
                <w:color w:val="auto"/>
              </w:rPr>
            </w:pPr>
            <w:r>
              <w:rPr>
                <w:rFonts w:ascii="Arial" w:cs="Arial" w:eastAsia="Arial" w:hAnsi="Arial"/>
                <w:sz w:val="18"/>
                <w:szCs w:val="18"/>
                <w:color w:val="auto"/>
              </w:rPr>
              <w:t>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1206.</w:t>
            </w:r>
          </w:p>
        </w:tc>
        <w:tc>
          <w:tcPr>
            <w:tcW w:w="9740" w:type="dxa"/>
            <w:vAlign w:val="bottom"/>
          </w:tcPr>
          <w:p>
            <w:pPr>
              <w:ind w:left="220"/>
              <w:spacing w:after="0"/>
              <w:rPr>
                <w:sz w:val="20"/>
                <w:szCs w:val="20"/>
                <w:color w:val="auto"/>
              </w:rPr>
            </w:pPr>
            <w:r>
              <w:rPr>
                <w:rFonts w:ascii="Arial" w:cs="Arial" w:eastAsia="Arial" w:hAnsi="Arial"/>
                <w:sz w:val="18"/>
                <w:szCs w:val="18"/>
                <w:color w:val="auto"/>
              </w:rPr>
              <w:t>Deposit of Redemption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1207.</w:t>
            </w:r>
          </w:p>
        </w:tc>
        <w:tc>
          <w:tcPr>
            <w:tcW w:w="9740" w:type="dxa"/>
            <w:vAlign w:val="bottom"/>
          </w:tcPr>
          <w:p>
            <w:pPr>
              <w:ind w:left="220"/>
              <w:spacing w:after="0"/>
              <w:rPr>
                <w:sz w:val="20"/>
                <w:szCs w:val="20"/>
                <w:color w:val="auto"/>
              </w:rPr>
            </w:pPr>
            <w:r>
              <w:rPr>
                <w:rFonts w:ascii="Arial" w:cs="Arial" w:eastAsia="Arial" w:hAnsi="Arial"/>
                <w:sz w:val="18"/>
                <w:szCs w:val="18"/>
                <w:color w:val="auto"/>
              </w:rPr>
              <w:t>Notes Payable on Redemption Date</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1208.</w:t>
            </w:r>
          </w:p>
        </w:tc>
        <w:tc>
          <w:tcPr>
            <w:tcW w:w="9740" w:type="dxa"/>
            <w:vAlign w:val="bottom"/>
          </w:tcPr>
          <w:p>
            <w:pPr>
              <w:ind w:left="220"/>
              <w:spacing w:after="0"/>
              <w:rPr>
                <w:sz w:val="20"/>
                <w:szCs w:val="20"/>
                <w:color w:val="auto"/>
              </w:rPr>
            </w:pPr>
            <w:r>
              <w:rPr>
                <w:rFonts w:ascii="Arial" w:cs="Arial" w:eastAsia="Arial" w:hAnsi="Arial"/>
                <w:sz w:val="18"/>
                <w:szCs w:val="18"/>
                <w:color w:val="auto"/>
              </w:rPr>
              <w:t>Notes Redeemed in Part</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1240" w:type="dxa"/>
            <w:vAlign w:val="bottom"/>
          </w:tcPr>
          <w:p>
            <w:pPr>
              <w:spacing w:after="0"/>
              <w:rPr>
                <w:sz w:val="24"/>
                <w:szCs w:val="24"/>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color w:val="auto"/>
                <w:w w:val="97"/>
              </w:rPr>
              <w:t>ARTICLE THIRTEEN</w:t>
            </w:r>
          </w:p>
        </w:tc>
        <w:tc>
          <w:tcPr>
            <w:tcW w:w="3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color w:val="auto"/>
                <w:w w:val="96"/>
              </w:rPr>
              <w:t>SINKING FUND; OTHER ACQUISITIONS OF NOTES</w:t>
            </w:r>
          </w:p>
        </w:tc>
        <w:tc>
          <w:tcPr>
            <w:tcW w:w="3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1301.</w:t>
            </w:r>
          </w:p>
        </w:tc>
        <w:tc>
          <w:tcPr>
            <w:tcW w:w="9740" w:type="dxa"/>
            <w:vAlign w:val="bottom"/>
          </w:tcPr>
          <w:p>
            <w:pPr>
              <w:ind w:left="220"/>
              <w:spacing w:after="0"/>
              <w:rPr>
                <w:sz w:val="20"/>
                <w:szCs w:val="20"/>
                <w:color w:val="auto"/>
              </w:rPr>
            </w:pPr>
            <w:r>
              <w:rPr>
                <w:rFonts w:ascii="Arial" w:cs="Arial" w:eastAsia="Arial" w:hAnsi="Arial"/>
                <w:sz w:val="18"/>
                <w:szCs w:val="18"/>
                <w:color w:val="auto"/>
              </w:rPr>
              <w:t>Mandatory Redemption, Etc.</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1240" w:type="dxa"/>
            <w:vAlign w:val="bottom"/>
          </w:tcPr>
          <w:p>
            <w:pPr>
              <w:spacing w:after="0"/>
              <w:rPr>
                <w:sz w:val="24"/>
                <w:szCs w:val="24"/>
                <w:color w:val="auto"/>
              </w:rPr>
            </w:pPr>
          </w:p>
        </w:tc>
        <w:tc>
          <w:tcPr>
            <w:tcW w:w="9740" w:type="dxa"/>
            <w:vAlign w:val="bottom"/>
          </w:tcPr>
          <w:p>
            <w:pPr>
              <w:jc w:val="center"/>
              <w:ind w:right="810"/>
              <w:spacing w:after="0"/>
              <w:rPr>
                <w:sz w:val="20"/>
                <w:szCs w:val="20"/>
                <w:color w:val="auto"/>
              </w:rPr>
            </w:pPr>
            <w:r>
              <w:rPr>
                <w:rFonts w:ascii="Arial" w:cs="Arial" w:eastAsia="Arial" w:hAnsi="Arial"/>
                <w:sz w:val="18"/>
                <w:szCs w:val="18"/>
                <w:color w:val="auto"/>
                <w:w w:val="95"/>
              </w:rPr>
              <w:t>ARTICLE FOURTEEN</w:t>
            </w:r>
          </w:p>
        </w:tc>
        <w:tc>
          <w:tcPr>
            <w:tcW w:w="3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color w:val="auto"/>
                <w:w w:val="97"/>
              </w:rPr>
              <w:t>LEGAL DEFEASANCE AND COVENANT DEFEASANCE</w:t>
            </w:r>
          </w:p>
        </w:tc>
        <w:tc>
          <w:tcPr>
            <w:tcW w:w="34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1401.</w:t>
            </w:r>
          </w:p>
        </w:tc>
        <w:tc>
          <w:tcPr>
            <w:tcW w:w="9740" w:type="dxa"/>
            <w:vAlign w:val="bottom"/>
          </w:tcPr>
          <w:p>
            <w:pPr>
              <w:ind w:left="220"/>
              <w:spacing w:after="0"/>
              <w:rPr>
                <w:sz w:val="20"/>
                <w:szCs w:val="20"/>
                <w:color w:val="auto"/>
              </w:rPr>
            </w:pPr>
            <w:r>
              <w:rPr>
                <w:rFonts w:ascii="Arial" w:cs="Arial" w:eastAsia="Arial" w:hAnsi="Arial"/>
                <w:sz w:val="18"/>
                <w:szCs w:val="18"/>
                <w:color w:val="auto"/>
              </w:rPr>
              <w:t>Issuer’s Option to Effect Legal Defeasance or 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1402.</w:t>
            </w:r>
          </w:p>
        </w:tc>
        <w:tc>
          <w:tcPr>
            <w:tcW w:w="9740" w:type="dxa"/>
            <w:vAlign w:val="bottom"/>
          </w:tcPr>
          <w:p>
            <w:pPr>
              <w:ind w:left="220"/>
              <w:spacing w:after="0"/>
              <w:rPr>
                <w:sz w:val="20"/>
                <w:szCs w:val="20"/>
                <w:color w:val="auto"/>
              </w:rPr>
            </w:pPr>
            <w:r>
              <w:rPr>
                <w:rFonts w:ascii="Arial" w:cs="Arial" w:eastAsia="Arial" w:hAnsi="Arial"/>
                <w:sz w:val="18"/>
                <w:szCs w:val="18"/>
                <w:color w:val="auto"/>
              </w:rPr>
              <w:t>Defeasance and Discharge</w:t>
            </w: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1403.</w:t>
            </w:r>
          </w:p>
        </w:tc>
        <w:tc>
          <w:tcPr>
            <w:tcW w:w="9740" w:type="dxa"/>
            <w:vAlign w:val="bottom"/>
          </w:tcPr>
          <w:p>
            <w:pPr>
              <w:ind w:left="220"/>
              <w:spacing w:after="0"/>
              <w:rPr>
                <w:sz w:val="20"/>
                <w:szCs w:val="20"/>
                <w:color w:val="auto"/>
              </w:rPr>
            </w:pPr>
            <w:r>
              <w:rPr>
                <w:rFonts w:ascii="Arial" w:cs="Arial" w:eastAsia="Arial" w:hAnsi="Arial"/>
                <w:sz w:val="18"/>
                <w:szCs w:val="18"/>
                <w:color w:val="auto"/>
              </w:rPr>
              <w:t>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1404.</w:t>
            </w:r>
          </w:p>
        </w:tc>
        <w:tc>
          <w:tcPr>
            <w:tcW w:w="9740" w:type="dxa"/>
            <w:vAlign w:val="bottom"/>
          </w:tcPr>
          <w:p>
            <w:pPr>
              <w:ind w:left="220"/>
              <w:spacing w:after="0"/>
              <w:rPr>
                <w:sz w:val="20"/>
                <w:szCs w:val="20"/>
                <w:color w:val="auto"/>
              </w:rPr>
            </w:pPr>
            <w:r>
              <w:rPr>
                <w:rFonts w:ascii="Arial" w:cs="Arial" w:eastAsia="Arial" w:hAnsi="Arial"/>
                <w:sz w:val="18"/>
                <w:szCs w:val="18"/>
                <w:color w:val="auto"/>
              </w:rPr>
              <w:t>Conditions to Legal Defeasance or Covenant Defeasance</w:t>
            </w:r>
          </w:p>
        </w:tc>
        <w:tc>
          <w:tcPr>
            <w:tcW w:w="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1405.</w:t>
            </w:r>
          </w:p>
        </w:tc>
        <w:tc>
          <w:tcPr>
            <w:tcW w:w="9740" w:type="dxa"/>
            <w:vAlign w:val="bottom"/>
          </w:tcPr>
          <w:p>
            <w:pPr>
              <w:ind w:left="22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1406.</w:t>
            </w:r>
          </w:p>
        </w:tc>
        <w:tc>
          <w:tcPr>
            <w:tcW w:w="974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1240" w:type="dxa"/>
            <w:vAlign w:val="bottom"/>
          </w:tcPr>
          <w:p>
            <w:pPr>
              <w:spacing w:after="0"/>
              <w:rPr>
                <w:sz w:val="24"/>
                <w:szCs w:val="24"/>
                <w:color w:val="auto"/>
              </w:rPr>
            </w:pPr>
          </w:p>
        </w:tc>
        <w:tc>
          <w:tcPr>
            <w:tcW w:w="9740" w:type="dxa"/>
            <w:vAlign w:val="bottom"/>
          </w:tcPr>
          <w:p>
            <w:pPr>
              <w:jc w:val="center"/>
              <w:ind w:right="810"/>
              <w:spacing w:after="0"/>
              <w:rPr>
                <w:sz w:val="20"/>
                <w:szCs w:val="20"/>
                <w:color w:val="auto"/>
              </w:rPr>
            </w:pPr>
            <w:r>
              <w:rPr>
                <w:rFonts w:ascii="Arial" w:cs="Arial" w:eastAsia="Arial" w:hAnsi="Arial"/>
                <w:sz w:val="18"/>
                <w:szCs w:val="18"/>
                <w:color w:val="auto"/>
                <w:w w:val="97"/>
              </w:rPr>
              <w:t>ARTICLE FIFTEEN</w:t>
            </w:r>
          </w:p>
        </w:tc>
        <w:tc>
          <w:tcPr>
            <w:tcW w:w="3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9740" w:type="dxa"/>
            <w:vAlign w:val="bottom"/>
          </w:tcPr>
          <w:p>
            <w:pPr>
              <w:jc w:val="center"/>
              <w:ind w:right="810"/>
              <w:spacing w:after="0"/>
              <w:rPr>
                <w:sz w:val="20"/>
                <w:szCs w:val="20"/>
                <w:color w:val="auto"/>
              </w:rPr>
            </w:pPr>
            <w:r>
              <w:rPr>
                <w:rFonts w:ascii="Arial" w:cs="Arial" w:eastAsia="Arial" w:hAnsi="Arial"/>
                <w:sz w:val="18"/>
                <w:szCs w:val="18"/>
                <w:color w:val="auto"/>
                <w:w w:val="96"/>
              </w:rPr>
              <w:t>GUARANTEES</w:t>
            </w:r>
          </w:p>
        </w:tc>
        <w:tc>
          <w:tcPr>
            <w:tcW w:w="34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1501.</w:t>
            </w:r>
          </w:p>
        </w:tc>
        <w:tc>
          <w:tcPr>
            <w:tcW w:w="9740" w:type="dxa"/>
            <w:vAlign w:val="bottom"/>
          </w:tcPr>
          <w:p>
            <w:pPr>
              <w:ind w:left="220"/>
              <w:spacing w:after="0"/>
              <w:rPr>
                <w:sz w:val="20"/>
                <w:szCs w:val="20"/>
                <w:color w:val="auto"/>
              </w:rPr>
            </w:pPr>
            <w:r>
              <w:rPr>
                <w:rFonts w:ascii="Arial" w:cs="Arial" w:eastAsia="Arial" w:hAnsi="Arial"/>
                <w:sz w:val="18"/>
                <w:szCs w:val="18"/>
                <w:color w:val="auto"/>
              </w:rPr>
              <w:t>Unconditional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1502.</w:t>
            </w:r>
          </w:p>
        </w:tc>
        <w:tc>
          <w:tcPr>
            <w:tcW w:w="9740" w:type="dxa"/>
            <w:vAlign w:val="bottom"/>
          </w:tcPr>
          <w:p>
            <w:pPr>
              <w:ind w:left="220"/>
              <w:spacing w:after="0"/>
              <w:rPr>
                <w:sz w:val="20"/>
                <w:szCs w:val="20"/>
                <w:color w:val="auto"/>
              </w:rPr>
            </w:pPr>
            <w:r>
              <w:rPr>
                <w:rFonts w:ascii="Arial" w:cs="Arial" w:eastAsia="Arial" w:hAnsi="Arial"/>
                <w:sz w:val="18"/>
                <w:szCs w:val="18"/>
                <w:color w:val="auto"/>
              </w:rPr>
              <w:t>Execution and Delivery of Notation of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1503.</w:t>
            </w:r>
          </w:p>
        </w:tc>
        <w:tc>
          <w:tcPr>
            <w:tcW w:w="9740" w:type="dxa"/>
            <w:vAlign w:val="bottom"/>
          </w:tcPr>
          <w:p>
            <w:pPr>
              <w:ind w:left="220"/>
              <w:spacing w:after="0"/>
              <w:rPr>
                <w:sz w:val="20"/>
                <w:szCs w:val="20"/>
                <w:color w:val="auto"/>
              </w:rPr>
            </w:pPr>
            <w:r>
              <w:rPr>
                <w:rFonts w:ascii="Arial" w:cs="Arial" w:eastAsia="Arial" w:hAnsi="Arial"/>
                <w:sz w:val="18"/>
                <w:szCs w:val="18"/>
                <w:color w:val="auto"/>
              </w:rPr>
              <w:t>Limitation on Guarantors’ Liability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1504.</w:t>
            </w:r>
          </w:p>
        </w:tc>
        <w:tc>
          <w:tcPr>
            <w:tcW w:w="9740" w:type="dxa"/>
            <w:vAlign w:val="bottom"/>
          </w:tcPr>
          <w:p>
            <w:pPr>
              <w:ind w:left="220"/>
              <w:spacing w:after="0"/>
              <w:rPr>
                <w:sz w:val="20"/>
                <w:szCs w:val="20"/>
                <w:color w:val="auto"/>
              </w:rPr>
            </w:pPr>
            <w:r>
              <w:rPr>
                <w:rFonts w:ascii="Arial" w:cs="Arial" w:eastAsia="Arial" w:hAnsi="Arial"/>
                <w:sz w:val="18"/>
                <w:szCs w:val="18"/>
                <w:color w:val="auto"/>
              </w:rPr>
              <w:t>Release of Guarantors from Guarantees</w:t>
            </w:r>
          </w:p>
        </w:tc>
        <w:tc>
          <w:tcPr>
            <w:tcW w:w="3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1505.</w:t>
            </w:r>
          </w:p>
        </w:tc>
        <w:tc>
          <w:tcPr>
            <w:tcW w:w="9740" w:type="dxa"/>
            <w:vAlign w:val="bottom"/>
          </w:tcPr>
          <w:p>
            <w:pPr>
              <w:ind w:left="220"/>
              <w:spacing w:after="0"/>
              <w:rPr>
                <w:sz w:val="20"/>
                <w:szCs w:val="20"/>
                <w:color w:val="auto"/>
              </w:rPr>
            </w:pPr>
            <w:r>
              <w:rPr>
                <w:rFonts w:ascii="Arial" w:cs="Arial" w:eastAsia="Arial" w:hAnsi="Arial"/>
                <w:sz w:val="18"/>
                <w:szCs w:val="18"/>
                <w:color w:val="auto"/>
              </w:rPr>
              <w:t>Guarantor Contribution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240" w:type="dxa"/>
            <w:vAlign w:val="bottom"/>
          </w:tcPr>
          <w:p>
            <w:pPr>
              <w:spacing w:after="0"/>
              <w:rPr>
                <w:sz w:val="24"/>
                <w:szCs w:val="24"/>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b w:val="1"/>
                <w:bCs w:val="1"/>
                <w:color w:val="auto"/>
              </w:rPr>
              <w:t>ANNEX A</w:t>
            </w:r>
          </w:p>
        </w:tc>
        <w:tc>
          <w:tcPr>
            <w:tcW w:w="340" w:type="dxa"/>
            <w:vAlign w:val="bottom"/>
          </w:tcPr>
          <w:p>
            <w:pPr>
              <w:spacing w:after="0"/>
              <w:rPr>
                <w:sz w:val="24"/>
                <w:szCs w:val="24"/>
                <w:color w:val="auto"/>
              </w:rPr>
            </w:pPr>
          </w:p>
        </w:tc>
      </w:tr>
      <w:tr>
        <w:trPr>
          <w:trHeight w:val="432"/>
        </w:trPr>
        <w:tc>
          <w:tcPr>
            <w:tcW w:w="10980" w:type="dxa"/>
            <w:vAlign w:val="bottom"/>
            <w:gridSpan w:val="2"/>
          </w:tcPr>
          <w:p>
            <w:pPr>
              <w:spacing w:after="0"/>
              <w:rPr>
                <w:sz w:val="20"/>
                <w:szCs w:val="20"/>
                <w:color w:val="auto"/>
              </w:rPr>
            </w:pPr>
            <w:r>
              <w:rPr>
                <w:rFonts w:ascii="Arial" w:cs="Arial" w:eastAsia="Arial" w:hAnsi="Arial"/>
                <w:sz w:val="18"/>
                <w:szCs w:val="18"/>
                <w:color w:val="auto"/>
              </w:rPr>
              <w:t>FORM OF 2021 NOTE</w:t>
            </w:r>
          </w:p>
        </w:tc>
        <w:tc>
          <w:tcPr>
            <w:tcW w:w="3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1240" w:type="dxa"/>
            <w:vAlign w:val="bottom"/>
          </w:tcPr>
          <w:p>
            <w:pPr>
              <w:spacing w:after="0"/>
              <w:rPr>
                <w:sz w:val="24"/>
                <w:szCs w:val="24"/>
                <w:color w:val="auto"/>
              </w:rPr>
            </w:pPr>
          </w:p>
        </w:tc>
        <w:tc>
          <w:tcPr>
            <w:tcW w:w="9740" w:type="dxa"/>
            <w:vAlign w:val="bottom"/>
          </w:tcPr>
          <w:p>
            <w:pPr>
              <w:jc w:val="center"/>
              <w:ind w:right="810"/>
              <w:spacing w:after="0"/>
              <w:rPr>
                <w:sz w:val="20"/>
                <w:szCs w:val="20"/>
                <w:color w:val="auto"/>
              </w:rPr>
            </w:pPr>
            <w:r>
              <w:rPr>
                <w:rFonts w:ascii="Arial" w:cs="Arial" w:eastAsia="Arial" w:hAnsi="Arial"/>
                <w:sz w:val="18"/>
                <w:szCs w:val="18"/>
                <w:b w:val="1"/>
                <w:bCs w:val="1"/>
                <w:color w:val="auto"/>
                <w:w w:val="98"/>
              </w:rPr>
              <w:t>ANNEX B</w:t>
            </w:r>
          </w:p>
        </w:tc>
        <w:tc>
          <w:tcPr>
            <w:tcW w:w="340" w:type="dxa"/>
            <w:vAlign w:val="bottom"/>
          </w:tcPr>
          <w:p>
            <w:pPr>
              <w:spacing w:after="0"/>
              <w:rPr>
                <w:sz w:val="24"/>
                <w:szCs w:val="24"/>
                <w:color w:val="auto"/>
              </w:rPr>
            </w:pPr>
          </w:p>
        </w:tc>
      </w:tr>
      <w:tr>
        <w:trPr>
          <w:trHeight w:val="432"/>
        </w:trPr>
        <w:tc>
          <w:tcPr>
            <w:tcW w:w="10980" w:type="dxa"/>
            <w:vAlign w:val="bottom"/>
            <w:gridSpan w:val="2"/>
          </w:tcPr>
          <w:p>
            <w:pPr>
              <w:spacing w:after="0"/>
              <w:rPr>
                <w:sz w:val="20"/>
                <w:szCs w:val="20"/>
                <w:color w:val="auto"/>
              </w:rPr>
            </w:pPr>
            <w:r>
              <w:rPr>
                <w:rFonts w:ascii="Arial" w:cs="Arial" w:eastAsia="Arial" w:hAnsi="Arial"/>
                <w:sz w:val="18"/>
                <w:szCs w:val="18"/>
                <w:color w:val="auto"/>
              </w:rPr>
              <w:t>FORM OF 2023 NOTE</w:t>
            </w:r>
          </w:p>
        </w:tc>
        <w:tc>
          <w:tcPr>
            <w:tcW w:w="34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240" w:type="dxa"/>
            <w:vAlign w:val="bottom"/>
          </w:tcPr>
          <w:p>
            <w:pPr>
              <w:spacing w:after="0"/>
              <w:rPr>
                <w:sz w:val="24"/>
                <w:szCs w:val="24"/>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b w:val="1"/>
                <w:bCs w:val="1"/>
                <w:color w:val="auto"/>
              </w:rPr>
              <w:t>ANNEX C</w:t>
            </w:r>
          </w:p>
        </w:tc>
        <w:tc>
          <w:tcPr>
            <w:tcW w:w="340" w:type="dxa"/>
            <w:vAlign w:val="bottom"/>
          </w:tcPr>
          <w:p>
            <w:pPr>
              <w:spacing w:after="0"/>
              <w:rPr>
                <w:sz w:val="24"/>
                <w:szCs w:val="24"/>
                <w:color w:val="auto"/>
              </w:rPr>
            </w:pPr>
          </w:p>
        </w:tc>
      </w:tr>
      <w:tr>
        <w:trPr>
          <w:trHeight w:val="432"/>
        </w:trPr>
        <w:tc>
          <w:tcPr>
            <w:tcW w:w="10980" w:type="dxa"/>
            <w:vAlign w:val="bottom"/>
            <w:gridSpan w:val="2"/>
          </w:tcPr>
          <w:p>
            <w:pPr>
              <w:spacing w:after="0"/>
              <w:rPr>
                <w:sz w:val="20"/>
                <w:szCs w:val="20"/>
                <w:color w:val="auto"/>
              </w:rPr>
            </w:pPr>
            <w:r>
              <w:rPr>
                <w:rFonts w:ascii="Arial" w:cs="Arial" w:eastAsia="Arial" w:hAnsi="Arial"/>
                <w:sz w:val="18"/>
                <w:szCs w:val="18"/>
                <w:color w:val="auto"/>
              </w:rPr>
              <w:t>NOTATION OF GUARANTEE</w:t>
            </w:r>
          </w:p>
        </w:tc>
        <w:tc>
          <w:tcPr>
            <w:tcW w:w="3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32"/>
        </w:trPr>
        <w:tc>
          <w:tcPr>
            <w:tcW w:w="1240" w:type="dxa"/>
            <w:vAlign w:val="bottom"/>
          </w:tcPr>
          <w:p>
            <w:pPr>
              <w:spacing w:after="0"/>
              <w:rPr>
                <w:sz w:val="24"/>
                <w:szCs w:val="24"/>
                <w:color w:val="auto"/>
              </w:rPr>
            </w:pPr>
          </w:p>
        </w:tc>
        <w:tc>
          <w:tcPr>
            <w:tcW w:w="9740" w:type="dxa"/>
            <w:vAlign w:val="bottom"/>
          </w:tcPr>
          <w:p>
            <w:pPr>
              <w:jc w:val="center"/>
              <w:ind w:right="790"/>
              <w:spacing w:after="0"/>
              <w:rPr>
                <w:sz w:val="20"/>
                <w:szCs w:val="20"/>
                <w:color w:val="auto"/>
              </w:rPr>
            </w:pPr>
            <w:r>
              <w:rPr>
                <w:rFonts w:ascii="Arial" w:cs="Arial" w:eastAsia="Arial" w:hAnsi="Arial"/>
                <w:sz w:val="18"/>
                <w:szCs w:val="18"/>
                <w:b w:val="1"/>
                <w:bCs w:val="1"/>
                <w:color w:val="auto"/>
              </w:rPr>
              <w:t>ANNEX D</w:t>
            </w:r>
          </w:p>
        </w:tc>
        <w:tc>
          <w:tcPr>
            <w:tcW w:w="340" w:type="dxa"/>
            <w:vAlign w:val="bottom"/>
          </w:tcPr>
          <w:p>
            <w:pPr>
              <w:spacing w:after="0"/>
              <w:rPr>
                <w:sz w:val="24"/>
                <w:szCs w:val="24"/>
                <w:color w:val="auto"/>
              </w:rPr>
            </w:pPr>
          </w:p>
        </w:tc>
      </w:tr>
      <w:tr>
        <w:trPr>
          <w:trHeight w:val="432"/>
        </w:trPr>
        <w:tc>
          <w:tcPr>
            <w:tcW w:w="10980" w:type="dxa"/>
            <w:vAlign w:val="bottom"/>
            <w:gridSpan w:val="2"/>
          </w:tcPr>
          <w:p>
            <w:pPr>
              <w:spacing w:after="0"/>
              <w:rPr>
                <w:sz w:val="20"/>
                <w:szCs w:val="20"/>
                <w:color w:val="auto"/>
              </w:rPr>
            </w:pPr>
            <w:r>
              <w:rPr>
                <w:rFonts w:ascii="Arial" w:cs="Arial" w:eastAsia="Arial" w:hAnsi="Arial"/>
                <w:sz w:val="18"/>
                <w:szCs w:val="18"/>
                <w:color w:val="auto"/>
              </w:rPr>
              <w:t>FORM OF SUPPLEMENTAL INDENTURE</w:t>
            </w:r>
          </w:p>
        </w:tc>
        <w:tc>
          <w:tcPr>
            <w:tcW w:w="34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365"/>
        </w:trPr>
        <w:tc>
          <w:tcPr>
            <w:tcW w:w="1240" w:type="dxa"/>
            <w:vAlign w:val="bottom"/>
          </w:tcPr>
          <w:p>
            <w:pPr>
              <w:spacing w:after="0"/>
              <w:rPr>
                <w:sz w:val="24"/>
                <w:szCs w:val="24"/>
                <w:color w:val="auto"/>
              </w:rPr>
            </w:pPr>
          </w:p>
        </w:tc>
        <w:tc>
          <w:tcPr>
            <w:tcW w:w="9740" w:type="dxa"/>
            <w:vAlign w:val="bottom"/>
          </w:tcPr>
          <w:p>
            <w:pPr>
              <w:ind w:left="4400"/>
              <w:spacing w:after="0"/>
              <w:rPr>
                <w:sz w:val="20"/>
                <w:szCs w:val="20"/>
                <w:color w:val="auto"/>
              </w:rPr>
            </w:pPr>
            <w:r>
              <w:rPr>
                <w:rFonts w:ascii="Arial" w:cs="Arial" w:eastAsia="Arial" w:hAnsi="Arial"/>
                <w:sz w:val="18"/>
                <w:szCs w:val="18"/>
                <w:color w:val="auto"/>
              </w:rPr>
              <w:t>iv</w:t>
            </w: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ind w:right="10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TENTH SUPPLEMENTAL INDENTURE </w:t>
      </w:r>
      <w:r>
        <w:rPr>
          <w:rFonts w:ascii="Arial" w:cs="Arial" w:eastAsia="Arial" w:hAnsi="Arial"/>
          <w:sz w:val="18"/>
          <w:szCs w:val="18"/>
          <w:color w:val="auto"/>
        </w:rPr>
        <w:t>(herein called this “Supplemental Indenture”), dated as of June 17, 2016, is among Weatherford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Ltd., a Bermuda exempted company (herein called the “Issuer”), Weatherford International plc, an Irish public limited company (herein called the “Parent Guarantor”), Weatherford International, LLC, a Delaware limited liability company (herein called a “Subsidiary Guarantor”), and Deutsche Bank Trust Company Americas, as Trustee (herein called the “Trustee”).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ISSUER AND THE GUARANTORS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Issuer and the Guarantors are parties to the Indenture, dated as of October 1, 2003 (herein called the “Original Indenture”), as amended and supplemented by (i) the Third Supplemental Indenture dated as of February 26, 2009, (ii) the Seventh Supplemental Indenture, dated as of March 31, 2013 and (iii) the Eighth Supplemental Indenture dated as of June 17, 2014 (the Original Indenture, as so amended and supplemented, being herein called the “Base Indenture”), which Base Indenture provides for the issuance from time to time of the Issuer’s unsecured senior debentures, notes or other evidences of indebtedness (herein called the “Securities”), to be issued in one or more series, and the guarantee by each of the Guarantors of the Securities.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Section 9.1(8) of the Base Indenture provides, among other things, that the Issuer, Guarantors and the Trustee may enter into indentures supplemental to the Base Indenture, without the consent of any Holders of Securities, to establish the form or terms of any Security as permitted by Sections 2.1 and 3.1 of the Base Indenture.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Sections 2.1 and 3.1 of the Base Indenture, the Issuer desires to execute this Supplemental Indenture to establish the form and terms, and to provide for the issuance, of two series of Securities designated as the 7.75% Senior Notes due 2021 (herein the “2021 Notes”) and the 8.25% Senior Notes due 2023 (herein called the “2023 Notes” and, together with the 2021 Notes, herein called the “Initial Notes”), in an aggregate principal amount of $1,500,000,000.</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From time to time subsequent to the Issue Date, the Issuer may, if permitted to do so pursuant to the terms of the Indenture, the Initial Notes and the terms of its other indebtedness existing on such future date, issue additional Securities of the Initial Notes of either series in accordance with this Supplemental Indenture (herein called the “Additional Notes” and, together with the Initial Notes, herein called the “Notes”), pursuant to this Supplemental Indenture. No issuance of Additional Notes shall be made unless specifically authorized and approved by Board Resolution of the Issuer and the Parent Guarantor.</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All things necessary have been done to make the Notes, when executed by the Issuer and authenticated and delivered hereunder and duly issued by the Issuer, the valid obligations of the Issuer, and all things necessary have been done to make the guarantees thereof, when the Notes have been executed by the Issuer and authenticated and delivered hereunder and duly issued by the Issuer, the valid obligations of the Guarantors. All things necessary to make this Supplemental Indenture a valid agreement of each of the Issuer and the Guarantors, in accordance with its terms, have been done.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 THIS SUPPLEMENTAL INDENTURE WITNESSETH:</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of each series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APPLICATION OF SUPPLEMENTAL INDENTURE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CREATION OF THE INITIAL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Application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any other provision of this Supplemental Indenture, the provisions of this Supplemental Indenture, including as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102 below, are expressly and solely for the benefit of the Holders of the Notes and the Guarantees and shall not apply to any other series of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be currently outstanding or may be issued hereafter under the Base Indenture. The Notes constitute a series of Securities as provided in Section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Base Indenture. Unless otherwise expressly specified, references in this Supplemental Indenture to specific Article numbers or Section numbers refer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Articles and Sections contained in this Supplemental Indenture, and not the Base Indenture or any other document.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Effect of Supplemental Indenture.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With respect to the Notes (and any Notation of Guarantee endorsed thereon) only, the Base Indenture shall be supplemented and amended pursuant to Section 9.1(8) thereof to establish the form and terms of the Notes (and any Notation of Guarantee endorsed thereon) as set forth in this Supplemental Indenture, including as follows:</w:t>
      </w:r>
    </w:p>
    <w:p>
      <w:pPr>
        <w:spacing w:after="0" w:line="87" w:lineRule="exact"/>
        <w:rPr>
          <w:sz w:val="20"/>
          <w:szCs w:val="20"/>
          <w:color w:val="auto"/>
        </w:rPr>
      </w:pPr>
    </w:p>
    <w:p>
      <w:pPr>
        <w:ind w:left="900" w:right="1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The definitions and other provisions of general application set forth in Section 1.1 of the Base Indenture are deleted and replaced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their entirety by the provisions of Section 201 of this Supplemental Indenture;</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Provisions of General Application and Security Forms</w:t>
      </w:r>
      <w:r>
        <w:rPr>
          <w:rFonts w:ascii="Arial" w:cs="Arial" w:eastAsia="Arial" w:hAnsi="Arial"/>
          <w:sz w:val="18"/>
          <w:szCs w:val="18"/>
          <w:color w:val="auto"/>
        </w:rPr>
        <w:t>. Sections 1.2 through 1.18 and Article Two of the Base Indenture are deleted and replaced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their entirety by the provisions of Articles Two and Three, respectively (other than Section 201 of this Supplemental Indenture) of this Supplemental Indenture;</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The provisions of Article Three of the Base Indenture are deleted and replaced in their entirety by the provisions of Article Four</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Supplemental Indenture;</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The provisions of Article Four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Five of this Supplemental Indenture;</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Remedies</w:t>
      </w:r>
      <w:r>
        <w:rPr>
          <w:rFonts w:ascii="Arial" w:cs="Arial" w:eastAsia="Arial" w:hAnsi="Arial"/>
          <w:sz w:val="18"/>
          <w:szCs w:val="18"/>
          <w:color w:val="auto"/>
        </w:rPr>
        <w:t>. The provisions of Article Five of the Base Indenture are deleted and replaced in their entirety by the provisions of Article Six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Trustee</w:t>
      </w:r>
      <w:r>
        <w:rPr>
          <w:rFonts w:ascii="Arial" w:cs="Arial" w:eastAsia="Arial" w:hAnsi="Arial"/>
          <w:sz w:val="18"/>
          <w:szCs w:val="18"/>
          <w:color w:val="auto"/>
        </w:rPr>
        <w:t>. The provisions of Article Six of the Base Indenture are deleted and replaced in their entirety by the provisions of Article Seven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Supplemental Indenture;</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Holders’ Lists and Reports by Trustee and Issuer</w:t>
      </w:r>
      <w:r>
        <w:rPr>
          <w:rFonts w:ascii="Arial" w:cs="Arial" w:eastAsia="Arial" w:hAnsi="Arial"/>
          <w:sz w:val="18"/>
          <w:szCs w:val="18"/>
          <w:color w:val="auto"/>
        </w:rPr>
        <w:t>. The provisions of Article Seven of the Base Indenture are deleted and replaced in their entirety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provisions of Article Eight of this Supplemental Indenture;</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Consolidation, Amalgamation, Merger and Sale</w:t>
      </w:r>
      <w:r>
        <w:rPr>
          <w:rFonts w:ascii="Arial" w:cs="Arial" w:eastAsia="Arial" w:hAnsi="Arial"/>
          <w:sz w:val="18"/>
          <w:szCs w:val="18"/>
          <w:color w:val="auto"/>
        </w:rPr>
        <w:t>. The provisions of Article Eight of the Base Indenture are deleted and replaced in their entirety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provisions of Article Nine of this Supplemental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13" w:name="page14"/>
    <w:bookmarkEnd w:id="13"/>
    <w:p>
      <w:pPr>
        <w:ind w:left="900" w:right="32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Indentures</w:t>
      </w:r>
      <w:r>
        <w:rPr>
          <w:rFonts w:ascii="Arial" w:cs="Arial" w:eastAsia="Arial" w:hAnsi="Arial"/>
          <w:sz w:val="18"/>
          <w:szCs w:val="18"/>
          <w:color w:val="auto"/>
        </w:rPr>
        <w:t>. The provisions of Article Nine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Ten of this Supplemental Indenture;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The provisions of Article Ten of the Base Indenture are deleted and replaced in their entirety by the provisions of Article Eleven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Supplemental Indenture;</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Redemption of Securities</w:t>
      </w:r>
      <w:r>
        <w:rPr>
          <w:rFonts w:ascii="Arial" w:cs="Arial" w:eastAsia="Arial" w:hAnsi="Arial"/>
          <w:sz w:val="18"/>
          <w:szCs w:val="18"/>
          <w:color w:val="auto"/>
        </w:rPr>
        <w:t>. The provisions of Article Eleven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Twelve of this Supplemental Indenture;</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Sinking Funds</w:t>
      </w:r>
      <w:r>
        <w:rPr>
          <w:rFonts w:ascii="Arial" w:cs="Arial" w:eastAsia="Arial" w:hAnsi="Arial"/>
          <w:sz w:val="18"/>
          <w:szCs w:val="18"/>
          <w:color w:val="auto"/>
        </w:rPr>
        <w:t>. The provisions of Article Twelve of the Base Indenture are deleted and replaced in their entirety by the provisions of Article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of this Supplemental Indenture.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Defeasance and Covenant Defeasance</w:t>
      </w:r>
      <w:r>
        <w:rPr>
          <w:rFonts w:ascii="Arial" w:cs="Arial" w:eastAsia="Arial" w:hAnsi="Arial"/>
          <w:sz w:val="18"/>
          <w:szCs w:val="18"/>
          <w:color w:val="auto"/>
        </w:rPr>
        <w:t>. The provisions of Article Thirteen of the Base Indenture are deleted and replaced in their entirety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Article Fourteen of this Supplemental Indenture;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Guarantee of Securities</w:t>
      </w:r>
      <w:r>
        <w:rPr>
          <w:rFonts w:ascii="Arial" w:cs="Arial" w:eastAsia="Arial" w:hAnsi="Arial"/>
          <w:sz w:val="18"/>
          <w:szCs w:val="18"/>
          <w:color w:val="auto"/>
        </w:rPr>
        <w:t>. The provisions of Article Fourteen of the Base Indenture are deleted and replaced in their entirety by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Fifteen of this Supplemental Indenture.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the extent that the provisions of this Supplemental Indenture (including those referred to in clauses (a) through (n) above) conflict with any provision of the Base Indenture, the provisions of this Supplemental Indenture shall govern and be controlling, but solely with respect to the Notes (and any Notation of Guarantee endorsed thereon).</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Supplemental Indenture, except as otherwise expressly provided or unless the context otherwise requires:</w:t>
      </w:r>
    </w:p>
    <w:p>
      <w:pPr>
        <w:spacing w:after="0" w:line="117" w:lineRule="exact"/>
        <w:rPr>
          <w:sz w:val="20"/>
          <w:szCs w:val="20"/>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in the Exchange Act or in the Securities Act, either directly or by reference therein, have the meanings assigned to them therein;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Supplemental Indenture;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the context otherwise requires, the word “will” shall be interpreted to express a command;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4" w:name="page15"/>
    <w:bookmarkEnd w:id="14"/>
    <w:p>
      <w:pPr>
        <w:ind w:left="460" w:right="70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sections of or rules under the Securities Act, Trust Indenture Act or Exchange Act will be deemed to include substitute, replacement of successor sections or rules that come into force from time to time; and</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Supplemental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Notes</w:t>
      </w:r>
      <w:r>
        <w:rPr>
          <w:rFonts w:ascii="Arial" w:cs="Arial" w:eastAsia="Arial" w:hAnsi="Arial"/>
          <w:sz w:val="18"/>
          <w:szCs w:val="18"/>
          <w:color w:val="auto"/>
        </w:rPr>
        <w:t>” has the meaning set forth in the recitals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Notes Par Call Date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w:t>
      </w:r>
      <w:r>
        <w:rPr>
          <w:rFonts w:ascii="Arial" w:cs="Arial" w:eastAsia="Arial" w:hAnsi="Arial"/>
          <w:sz w:val="18"/>
          <w:szCs w:val="18"/>
          <w:color w:val="auto"/>
        </w:rPr>
        <w:t>” has the meaning set forth in the recitals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 Par Call Date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 declaration</w:t>
      </w:r>
      <w:r>
        <w:rPr>
          <w:rFonts w:ascii="Arial" w:cs="Arial" w:eastAsia="Arial" w:hAnsi="Arial"/>
          <w:sz w:val="18"/>
          <w:szCs w:val="18"/>
          <w:color w:val="auto"/>
        </w:rPr>
        <w:t>” has the meaning specified in Section 602.</w:t>
      </w:r>
    </w:p>
    <w:p>
      <w:pPr>
        <w:spacing w:after="0" w:line="225"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Acquired Indebtedness</w:t>
      </w:r>
      <w:r>
        <w:rPr>
          <w:rFonts w:ascii="Arial" w:cs="Arial" w:eastAsia="Arial" w:hAnsi="Arial"/>
          <w:sz w:val="17"/>
          <w:szCs w:val="17"/>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204.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has the meaning indicated in the recitals to this Supplemental Indenture. Any Additional Notes of either series will be part of the same issue as the Initial Notes of the same series and will be treated as one series with such Initial Notes, including for purposes of voting, redemptions and offers to purchase.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1113.</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Banking Laws</w:t>
      </w:r>
      <w:r>
        <w:rPr>
          <w:rFonts w:ascii="Arial" w:cs="Arial" w:eastAsia="Arial" w:hAnsi="Arial"/>
          <w:sz w:val="18"/>
          <w:szCs w:val="18"/>
          <w:color w:val="auto"/>
        </w:rPr>
        <w:t>” has the meaning specified in Section 216.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Applicable Taxes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117" w:lineRule="exact"/>
        <w:rPr>
          <w:sz w:val="20"/>
          <w:szCs w:val="20"/>
          <w:color w:val="auto"/>
        </w:rPr>
      </w:pPr>
    </w:p>
    <w:p>
      <w:pPr>
        <w:jc w:val="both"/>
        <w:ind w:left="460" w:right="180" w:firstLine="443"/>
        <w:spacing w:after="0" w:line="342" w:lineRule="auto"/>
        <w:tabs>
          <w:tab w:leader="none" w:pos="115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Authenticating Agent</w:t>
      </w:r>
      <w:r>
        <w:rPr>
          <w:rFonts w:ascii="Arial" w:cs="Arial" w:eastAsia="Arial" w:hAnsi="Arial"/>
          <w:sz w:val="16"/>
          <w:szCs w:val="16"/>
          <w:color w:val="auto"/>
        </w:rPr>
        <w:t>” means any Person authorized by the Trustee pursuant to Section 714 to act on behalf of the Trustee to authenticate Notes.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of non-U.S. law for relief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Issuer or a Guarantor, the principal financial officer of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Issuer or the Guarantor, as applicable, authorized to take such action by its Board of Directors as evidenced by a Board Resolution.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6" w:name="page17"/>
    <w:bookmarkEnd w:id="16"/>
    <w:p>
      <w:pPr>
        <w:jc w:val="both"/>
        <w:ind w:right="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Capitalized Lease</w:t>
      </w:r>
      <w:r>
        <w:rPr>
          <w:rFonts w:ascii="Arial" w:cs="Arial" w:eastAsia="Arial" w:hAnsi="Arial"/>
          <w:sz w:val="16"/>
          <w:szCs w:val="16"/>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2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460" w:firstLine="443"/>
        <w:spacing w:after="0" w:line="264"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78"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(ii) are rated AAA by S&amp;P and Aaa by Moody’s and (iii) have portfolio assets of at least $5.0 billion; and</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81"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w:t>
      </w:r>
    </w:p>
    <w:p>
      <w:pPr>
        <w:spacing w:after="0" w:line="2" w:lineRule="exact"/>
        <w:rPr>
          <w:sz w:val="20"/>
          <w:szCs w:val="20"/>
          <w:color w:val="auto"/>
        </w:rPr>
      </w:pPr>
    </w:p>
    <w:p>
      <w:pPr>
        <w:ind w:right="180" w:firstLine="8"/>
        <w:spacing w:after="0" w:line="261"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amalgamation, consolidation, plan or scheme of arrangement, exchange offer,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1107.</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with respect to either series of Notes, the occurrence of both a Change of Control and a Rating Event with respect to the Notes of that series.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62" w:lineRule="exact"/>
        <w:rPr>
          <w:sz w:val="20"/>
          <w:szCs w:val="20"/>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117" w:lineRule="exact"/>
        <w:rPr>
          <w:rFonts w:ascii="Arial" w:cs="Arial" w:eastAsia="Arial" w:hAnsi="Arial"/>
          <w:sz w:val="18"/>
          <w:szCs w:val="18"/>
          <w:color w:val="auto"/>
        </w:rPr>
      </w:pPr>
    </w:p>
    <w:p>
      <w:pPr>
        <w:ind w:left="920" w:firstLine="421"/>
        <w:spacing w:after="0" w:line="277" w:lineRule="auto"/>
        <w:tabs>
          <w:tab w:leader="none" w:pos="158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8" w:name="page19"/>
    <w:bookmarkEnd w:id="18"/>
    <w:p>
      <w:pPr>
        <w:jc w:val="both"/>
        <w:ind w:left="460" w:right="160" w:firstLine="443"/>
        <w:spacing w:after="0" w:line="264" w:lineRule="auto"/>
        <w:tabs>
          <w:tab w:leader="none" w:pos="115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73" w:lineRule="exact"/>
        <w:rPr>
          <w:rFonts w:ascii="Arial" w:cs="Arial" w:eastAsia="Arial" w:hAnsi="Arial"/>
          <w:sz w:val="18"/>
          <w:szCs w:val="18"/>
          <w:color w:val="auto"/>
        </w:rPr>
      </w:pPr>
    </w:p>
    <w:p>
      <w:pPr>
        <w:jc w:val="both"/>
        <w:ind w:left="460" w:right="80" w:firstLine="443"/>
        <w:spacing w:after="0" w:line="286" w:lineRule="auto"/>
        <w:tabs>
          <w:tab w:leader="none" w:pos="11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50" w:lineRule="exact"/>
        <w:rPr>
          <w:sz w:val="20"/>
          <w:szCs w:val="20"/>
          <w:color w:val="auto"/>
        </w:rPr>
      </w:pPr>
    </w:p>
    <w:p>
      <w:pPr>
        <w:ind w:left="460" w:firstLine="443"/>
        <w:spacing w:after="0" w:line="255" w:lineRule="auto"/>
        <w:tabs>
          <w:tab w:leader="none" w:pos="11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81" w:lineRule="exact"/>
        <w:rPr>
          <w:rFonts w:ascii="Arial" w:cs="Arial" w:eastAsia="Arial" w:hAnsi="Arial"/>
          <w:sz w:val="18"/>
          <w:szCs w:val="18"/>
          <w:color w:val="auto"/>
        </w:rPr>
      </w:pPr>
    </w:p>
    <w:p>
      <w:pPr>
        <w:ind w:left="460" w:right="20" w:firstLine="443"/>
        <w:spacing w:after="0" w:line="290" w:lineRule="auto"/>
        <w:tabs>
          <w:tab w:leader="none" w:pos="11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provided, that such pro forma calculations shall be determined in good faith by a responsible financial or accounting officer of the Parent Guarantor whether or not such pro forma adjustments would be permitted under SEC rules or guidelines.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9" w:name="page20"/>
    <w:bookmarkEnd w:id="19"/>
    <w:p>
      <w:pPr>
        <w:ind w:right="6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calculating Consolidated Interest Expense for purposes of determining the denominator (but not the numerator) of this Consolidated Interest Coverage Ratio:</w:t>
      </w:r>
    </w:p>
    <w:p>
      <w:pPr>
        <w:spacing w:after="0" w:line="62" w:lineRule="exact"/>
        <w:rPr>
          <w:sz w:val="20"/>
          <w:szCs w:val="20"/>
          <w:color w:val="auto"/>
        </w:rPr>
      </w:pPr>
    </w:p>
    <w:p>
      <w:pPr>
        <w:jc w:val="both"/>
        <w:ind w:left="460" w:firstLine="443"/>
        <w:spacing w:after="0" w:line="342" w:lineRule="auto"/>
        <w:tabs>
          <w:tab w:leader="none" w:pos="11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5" w:lineRule="exact"/>
        <w:rPr>
          <w:rFonts w:ascii="Arial" w:cs="Arial" w:eastAsia="Arial" w:hAnsi="Arial"/>
          <w:sz w:val="16"/>
          <w:szCs w:val="16"/>
          <w:color w:val="auto"/>
        </w:rPr>
      </w:pPr>
    </w:p>
    <w:p>
      <w:pPr>
        <w:jc w:val="both"/>
        <w:ind w:left="460" w:right="4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73"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for any period means the sum, without duplication, of the total interest expense of the relevant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103" w:lineRule="exact"/>
        <w:rPr>
          <w:sz w:val="20"/>
          <w:szCs w:val="20"/>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0" w:name="page21"/>
    <w:bookmarkEnd w:id="20"/>
    <w:p>
      <w:pPr>
        <w:ind w:left="460" w:firstLine="443"/>
        <w:spacing w:after="0" w:line="264"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78" w:lineRule="exact"/>
        <w:rPr>
          <w:rFonts w:ascii="Arial" w:cs="Arial" w:eastAsia="Arial" w:hAnsi="Arial"/>
          <w:sz w:val="18"/>
          <w:szCs w:val="18"/>
          <w:color w:val="auto"/>
        </w:rPr>
      </w:pPr>
    </w:p>
    <w:p>
      <w:pPr>
        <w:jc w:val="both"/>
        <w:ind w:left="460" w:firstLine="443"/>
        <w:spacing w:after="0" w:line="279" w:lineRule="auto"/>
        <w:tabs>
          <w:tab w:leader="none" w:pos="11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117" w:lineRule="exact"/>
        <w:rPr>
          <w:rFonts w:ascii="Arial" w:cs="Arial" w:eastAsia="Arial" w:hAnsi="Arial"/>
          <w:sz w:val="18"/>
          <w:szCs w:val="18"/>
          <w:color w:val="auto"/>
        </w:rPr>
      </w:pPr>
    </w:p>
    <w:p>
      <w:pPr>
        <w:ind w:left="460" w:right="240" w:firstLine="443"/>
        <w:spacing w:after="0" w:line="264" w:lineRule="auto"/>
        <w:tabs>
          <w:tab w:leader="none" w:pos="11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non-cash charges or expenses with respect to the grant of stock options, restricted stock or other equity compensation awards; and</w:t>
      </w:r>
    </w:p>
    <w:p>
      <w:pPr>
        <w:spacing w:after="0" w:line="128" w:lineRule="exact"/>
        <w:rPr>
          <w:rFonts w:ascii="Arial" w:cs="Arial" w:eastAsia="Arial" w:hAnsi="Arial"/>
          <w:sz w:val="17"/>
          <w:szCs w:val="17"/>
          <w:color w:val="auto"/>
        </w:rPr>
      </w:pPr>
    </w:p>
    <w:p>
      <w:pPr>
        <w:ind w:left="1240" w:hanging="33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Tangible Assets</w:t>
      </w:r>
      <w:r>
        <w:rPr>
          <w:rFonts w:ascii="Arial" w:cs="Arial" w:eastAsia="Arial" w:hAnsi="Arial"/>
          <w:sz w:val="16"/>
          <w:szCs w:val="16"/>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1" w:name="page22"/>
    <w:bookmarkEnd w:id="21"/>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in relation to the Notes shall be administered, which office on the date hereof is located at 60 Wall Street, MS NYC60-1630, New York, New York 10005, Attention: Corporates Team – Weatherford International,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corporation</w:t>
      </w:r>
      <w:r>
        <w:rPr>
          <w:rFonts w:ascii="Arial" w:cs="Arial" w:eastAsia="Arial" w:hAnsi="Arial"/>
          <w:sz w:val="16"/>
          <w:szCs w:val="16"/>
          <w:color w:val="auto"/>
        </w:rPr>
        <w:t>” includes corporations, companies, associations, partnerships, limited partnerships, limited liability companies, joint-stock companies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Section 1108.</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2" w:name="page23"/>
    <w:bookmarkEnd w:id="2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407.</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Notes issued in whole or in part in the form of one or more Global Notes, The Depository Trust Company or any other clearing agency registered under the Exchange Act that is designated to act as successor Depositary for such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Section 1106.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Section 1106.</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Equity Interests</w:t>
      </w:r>
      <w:r>
        <w:rPr>
          <w:rFonts w:ascii="Arial" w:cs="Arial" w:eastAsia="Arial" w:hAnsi="Arial"/>
          <w:sz w:val="17"/>
          <w:szCs w:val="17"/>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1107, and such Equity Interests specifically provide that the Issuer will not repurchase or redeem any such Equity Interests pursuant to such provisions prior to the Issuer’s purchase of the Notes as required pursuant to the provisions of Section 1107.</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3" w:name="page24"/>
    <w:bookmarkEnd w:id="23"/>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601.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specified in Section 204.</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1505.</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Global Note</w:t>
      </w:r>
      <w:r>
        <w:rPr>
          <w:rFonts w:ascii="Arial" w:cs="Arial" w:eastAsia="Arial" w:hAnsi="Arial"/>
          <w:sz w:val="17"/>
          <w:szCs w:val="17"/>
          <w:color w:val="auto"/>
        </w:rPr>
        <w:t>” means a Note of either series that evidences all or part of the Notes of that series and bears the legend set forth in Section 302.</w:t>
      </w:r>
    </w:p>
    <w:p>
      <w:pPr>
        <w:spacing w:after="0" w:line="23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117" w:lineRule="exact"/>
        <w:rPr>
          <w:sz w:val="20"/>
          <w:szCs w:val="20"/>
          <w:color w:val="auto"/>
        </w:rPr>
      </w:pPr>
    </w:p>
    <w:p>
      <w:pPr>
        <w:ind w:left="460" w:right="2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non-contingent reimbursement obligations of such Person in respect of letters of credit, letters of guaranty and similar credit transactions;</w:t>
      </w:r>
    </w:p>
    <w:p>
      <w:pPr>
        <w:spacing w:after="0" w:line="140" w:lineRule="exact"/>
        <w:rPr>
          <w:rFonts w:ascii="Arial" w:cs="Arial" w:eastAsia="Arial" w:hAnsi="Arial"/>
          <w:sz w:val="16"/>
          <w:szCs w:val="16"/>
          <w:color w:val="auto"/>
        </w:rPr>
      </w:pPr>
    </w:p>
    <w:p>
      <w:pPr>
        <w:ind w:left="460" w:right="220" w:firstLine="443"/>
        <w:spacing w:after="0" w:line="286" w:lineRule="auto"/>
        <w:tabs>
          <w:tab w:leader="none" w:pos="11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57" w:lineRule="exact"/>
        <w:rPr>
          <w:rFonts w:ascii="Arial" w:cs="Arial" w:eastAsia="Arial" w:hAnsi="Arial"/>
          <w:sz w:val="17"/>
          <w:szCs w:val="17"/>
          <w:color w:val="auto"/>
        </w:rPr>
      </w:pPr>
    </w:p>
    <w:p>
      <w:pPr>
        <w:ind w:left="460" w:right="22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 Person;</w:t>
      </w:r>
    </w:p>
    <w:p>
      <w:pPr>
        <w:spacing w:after="0" w:line="140" w:lineRule="exact"/>
        <w:rPr>
          <w:rFonts w:ascii="Arial" w:cs="Arial" w:eastAsia="Arial" w:hAnsi="Arial"/>
          <w:sz w:val="16"/>
          <w:szCs w:val="16"/>
          <w:color w:val="auto"/>
        </w:rPr>
      </w:pPr>
    </w:p>
    <w:p>
      <w:pPr>
        <w:ind w:left="460" w:right="180" w:firstLine="443"/>
        <w:spacing w:after="0" w:line="264"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73"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25" w:name="page26"/>
    <w:bookmarkEnd w:id="2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the Base Indenture as amended and supplemented by this Supplemental Indenture and by any supplemental indenture thereto in respect of the Notes that may be executed and delivered by the parties thereto from time to time after the Issue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Obligations</w:t>
      </w:r>
      <w:r>
        <w:rPr>
          <w:rFonts w:ascii="Arial" w:cs="Arial" w:eastAsia="Arial" w:hAnsi="Arial"/>
          <w:sz w:val="18"/>
          <w:szCs w:val="18"/>
          <w:color w:val="auto"/>
        </w:rPr>
        <w:t>” has the meaning specified in Section 1501.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has the meaning indicated in the recitals to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or Liquidation Proceeding</w:t>
      </w:r>
      <w:r>
        <w:rPr>
          <w:rFonts w:ascii="Arial" w:cs="Arial" w:eastAsia="Arial" w:hAnsi="Arial"/>
          <w:sz w:val="18"/>
          <w:szCs w:val="18"/>
          <w:color w:val="auto"/>
        </w:rPr>
        <w:t>” has the meaning specified in Section 707.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 time.</w:t>
      </w:r>
    </w:p>
    <w:p>
      <w:pPr>
        <w:spacing w:after="0" w:line="24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 Rating</w:t>
      </w:r>
      <w:r>
        <w:rPr>
          <w:rFonts w:ascii="Arial" w:cs="Arial" w:eastAsia="Arial" w:hAnsi="Arial"/>
          <w:sz w:val="17"/>
          <w:szCs w:val="17"/>
          <w:color w:val="auto"/>
        </w:rPr>
        <w:t>” means, with respect to either series of Notes, a rating equal to or higher than Baa3 (or the equivalent under any successor ratings categories of Moody’s) by Moody’s and BBB- (or the equivalent under any successor ratings categories by S&amp;P) by S&amp;P.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117" w:lineRule="exact"/>
        <w:rPr>
          <w:sz w:val="20"/>
          <w:szCs w:val="20"/>
          <w:color w:val="auto"/>
        </w:rPr>
      </w:pPr>
    </w:p>
    <w:p>
      <w:pPr>
        <w:ind w:left="460" w:right="560" w:firstLine="443"/>
        <w:spacing w:after="0" w:line="342" w:lineRule="auto"/>
        <w:tabs>
          <w:tab w:leader="none" w:pos="115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5" w:lineRule="exact"/>
        <w:rPr>
          <w:rFonts w:ascii="Arial" w:cs="Arial" w:eastAsia="Arial" w:hAnsi="Arial"/>
          <w:sz w:val="16"/>
          <w:szCs w:val="16"/>
          <w:color w:val="auto"/>
        </w:rPr>
      </w:pPr>
    </w:p>
    <w:p>
      <w:pPr>
        <w:ind w:left="460" w:firstLine="443"/>
        <w:spacing w:after="0" w:line="308" w:lineRule="auto"/>
        <w:tabs>
          <w:tab w:leader="none" w:pos="11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4" w:right="339" w:bottom="1440" w:gutter="0" w:footer="0" w:header="0"/>
        </w:sectPr>
      </w:pPr>
    </w:p>
    <w:bookmarkStart w:id="26" w:name="page27"/>
    <w:bookmarkEnd w:id="26"/>
    <w:p>
      <w:pPr>
        <w:ind w:left="460" w:right="500" w:firstLine="443"/>
        <w:spacing w:after="0" w:line="277" w:lineRule="auto"/>
        <w:tabs>
          <w:tab w:leader="none" w:pos="1153"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items that would be classified as investments in another Person on a balance sheet of such Person prepared in accordance with GAAP;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1106.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first date on which the Notes are issued under the Indenture.</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the Person named as the “Issuer” in the first paragraph of this Supplemental Indenture until a successor Person shall have become such pursuant to the applicable provisions of the Indenture, and thereafter “Issuer” shall mean such successor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Issuer Request</w:t>
      </w:r>
      <w:r>
        <w:rPr>
          <w:rFonts w:ascii="Arial" w:cs="Arial" w:eastAsia="Arial" w:hAnsi="Arial"/>
          <w:sz w:val="17"/>
          <w:szCs w:val="17"/>
          <w:color w:val="auto"/>
        </w:rPr>
        <w:t>” or “</w:t>
      </w:r>
      <w:r>
        <w:rPr>
          <w:rFonts w:ascii="Arial" w:cs="Arial" w:eastAsia="Arial" w:hAnsi="Arial"/>
          <w:sz w:val="17"/>
          <w:szCs w:val="17"/>
          <w:i w:val="1"/>
          <w:iCs w:val="1"/>
          <w:color w:val="auto"/>
        </w:rPr>
        <w:t>Issuer Order</w:t>
      </w:r>
      <w:r>
        <w:rPr>
          <w:rFonts w:ascii="Arial" w:cs="Arial" w:eastAsia="Arial" w:hAnsi="Arial"/>
          <w:sz w:val="17"/>
          <w:szCs w:val="17"/>
          <w:color w:val="auto"/>
        </w:rPr>
        <w:t>” means a written request or order signed in the name of the Issuer by an Officer and delivered to the Trustee.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has the meaning specified in Section 217.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any mortgage, pledge, security interest, charge, lien or other encumbrance of any kind, whether or not filed, recorded or perfected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Price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117" w:lineRule="exact"/>
        <w:rPr>
          <w:sz w:val="20"/>
          <w:szCs w:val="20"/>
          <w:color w:val="auto"/>
        </w:rPr>
      </w:pPr>
    </w:p>
    <w:p>
      <w:pPr>
        <w:ind w:left="460" w:right="280" w:firstLine="443"/>
        <w:spacing w:after="0" w:line="264"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7" w:name="page28"/>
    <w:bookmarkEnd w:id="27"/>
    <w:p>
      <w:pPr>
        <w:ind w:left="460" w:right="100" w:firstLine="443"/>
        <w:spacing w:after="0" w:line="312" w:lineRule="auto"/>
        <w:tabs>
          <w:tab w:leader="none" w:pos="1153"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Notation of Guarantee</w:t>
      </w:r>
      <w:r>
        <w:rPr>
          <w:rFonts w:ascii="Arial" w:cs="Arial" w:eastAsia="Arial" w:hAnsi="Arial"/>
          <w:sz w:val="18"/>
          <w:szCs w:val="18"/>
          <w:color w:val="auto"/>
        </w:rPr>
        <w:t>” has the meaning specified in Section 1502.</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indicated in the recitals to this Supplemental Indenture and includes both the Initial Notes of each series and any Additional Notes of each series.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and who shall be reasonably acceptable to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Outstanding,</w:t>
      </w:r>
      <w:r>
        <w:rPr>
          <w:rFonts w:ascii="Arial" w:cs="Arial" w:eastAsia="Arial" w:hAnsi="Arial"/>
          <w:sz w:val="16"/>
          <w:szCs w:val="16"/>
          <w:color w:val="auto"/>
        </w:rPr>
        <w:t>” when used with respect to the Notes, means, as of the date of determination, all Notes theretofore authenticated and delivered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 except:</w:t>
      </w:r>
    </w:p>
    <w:p>
      <w:pPr>
        <w:spacing w:after="0" w:line="103" w:lineRule="exact"/>
        <w:rPr>
          <w:sz w:val="20"/>
          <w:szCs w:val="20"/>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117"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Notes are to be redeemed, notice of such redemption has been duly given pursuant to the Indenture or provision therefor satisfactory to the Trustee has been made;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Notes as to which Legal Defeasance has been effected pursuant to Section 1402; and</w:t>
      </w:r>
    </w:p>
    <w:p>
      <w:pPr>
        <w:spacing w:after="0" w:line="117" w:lineRule="exact"/>
        <w:rPr>
          <w:rFonts w:ascii="Arial" w:cs="Arial" w:eastAsia="Arial" w:hAnsi="Arial"/>
          <w:sz w:val="18"/>
          <w:szCs w:val="18"/>
          <w:color w:val="auto"/>
        </w:rPr>
      </w:pPr>
    </w:p>
    <w:p>
      <w:pPr>
        <w:jc w:val="both"/>
        <w:ind w:left="460" w:right="80" w:firstLine="443"/>
        <w:spacing w:after="0" w:line="264"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Notes which have been paid pursuant to Section 406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determining whether the Holders of the requisite principal amount of the Outstanding Notes have given, made or taken any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authorization, direction, notice, consent, waiver or other Act hereunder as of any date, Notes owned by the Issuer or any other obligor upon the Notes or any Affiliate of the Issuer or such other obligor shall be disregarded and deemed not to be Outstanding, except that, in determining whether the Trustee shall be protected in relying upon any such request, demand, authorization, direction, notice, consent, waiver or other action, only Notes which the Trustee knows to be so owned shall be so disregarded. Notes so owned which have been pledged in good faith may be regarded as Outstanding if the pledgee certifies to the Trustee that the pledgee has the right so to act with respect to such Notes and that the pledgee is not the Issuer or any other obligor upon the Notes or any Affiliate of the Issuer or of such other obligor.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refers to each of the 2021 Notes Par Call Date and the 2023 Notes Par Call Date.</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Guarantor</w:t>
      </w:r>
      <w:r>
        <w:rPr>
          <w:rFonts w:ascii="Arial" w:cs="Arial" w:eastAsia="Arial" w:hAnsi="Arial"/>
          <w:sz w:val="16"/>
          <w:szCs w:val="16"/>
          <w:color w:val="auto"/>
        </w:rPr>
        <w:t>” means the Person named as the “Parent Guarantor” in the first paragraph of this Supplemental Indenture until a successor Person shall have become such pursuant to the applicable provisions of the Indenture, and thereafter “Parent Guarantor” shall mean such successor Person.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Paying Agent</w:t>
      </w:r>
      <w:r>
        <w:rPr>
          <w:rFonts w:ascii="Arial" w:cs="Arial" w:eastAsia="Arial" w:hAnsi="Arial"/>
          <w:sz w:val="16"/>
          <w:szCs w:val="16"/>
          <w:color w:val="auto"/>
        </w:rPr>
        <w:t>” means any Person authorized by the Issuer to pay the principal of or any premium or interest on any Notes on behalf of the Issuer.</w:t>
      </w:r>
    </w:p>
    <w:p>
      <w:pPr>
        <w:spacing w:after="0" w:line="248"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Section 1108.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117" w:lineRule="exact"/>
        <w:rPr>
          <w:sz w:val="20"/>
          <w:szCs w:val="20"/>
          <w:color w:val="auto"/>
        </w:rPr>
      </w:pPr>
    </w:p>
    <w:p>
      <w:pPr>
        <w:ind w:left="460" w:right="80" w:firstLine="443"/>
        <w:spacing w:after="0" w:line="312" w:lineRule="auto"/>
        <w:tabs>
          <w:tab w:leader="none" w:pos="1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 w:name="page30"/>
    <w:bookmarkEnd w:id="29"/>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 the Parent Guarantor by any Restricted Subsidiary;</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loans and advances to directors, employees and officers of the Parent Guarantor and its Restricted Subsidiaries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8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firstLine="443"/>
        <w:spacing w:after="0" w:line="264"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trade terms may include such concessionary trade terms as the Parent Guarantor or any such Restricted Subsidiary deems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circumstances;</w:t>
      </w:r>
    </w:p>
    <w:p>
      <w:pPr>
        <w:spacing w:after="0" w:line="73" w:lineRule="exact"/>
        <w:rPr>
          <w:rFonts w:ascii="Arial" w:cs="Arial" w:eastAsia="Arial" w:hAnsi="Arial"/>
          <w:sz w:val="18"/>
          <w:szCs w:val="18"/>
          <w:color w:val="auto"/>
        </w:rPr>
      </w:pPr>
    </w:p>
    <w:p>
      <w:pPr>
        <w:ind w:right="220" w:firstLine="443"/>
        <w:spacing w:after="0" w:line="264"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73" w:lineRule="exact"/>
        <w:rPr>
          <w:rFonts w:ascii="Arial" w:cs="Arial" w:eastAsia="Arial" w:hAnsi="Arial"/>
          <w:sz w:val="18"/>
          <w:szCs w:val="18"/>
          <w:color w:val="auto"/>
        </w:rPr>
      </w:pPr>
    </w:p>
    <w:p>
      <w:pPr>
        <w:ind w:right="88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117" w:lineRule="exact"/>
        <w:rPr>
          <w:rFonts w:ascii="Arial" w:cs="Arial" w:eastAsia="Arial" w:hAnsi="Arial"/>
          <w:sz w:val="18"/>
          <w:szCs w:val="18"/>
          <w:color w:val="auto"/>
        </w:rPr>
      </w:pPr>
    </w:p>
    <w:p>
      <w:pPr>
        <w:ind w:right="160" w:firstLine="443"/>
        <w:spacing w:after="0" w:line="277" w:lineRule="auto"/>
        <w:tabs>
          <w:tab w:leader="none" w:pos="7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guarantees of Indebtedness of the Parent Guarantor or any of its Restricted Subsidiaries permitted in accordance with Section 1108;</w:t>
      </w:r>
    </w:p>
    <w:p>
      <w:pPr>
        <w:spacing w:after="0" w:line="128" w:lineRule="exact"/>
        <w:rPr>
          <w:rFonts w:ascii="Arial" w:cs="Arial" w:eastAsia="Arial" w:hAnsi="Arial"/>
          <w:sz w:val="17"/>
          <w:szCs w:val="17"/>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117" w:lineRule="exact"/>
        <w:rPr>
          <w:rFonts w:ascii="Arial" w:cs="Arial" w:eastAsia="Arial" w:hAnsi="Arial"/>
          <w:sz w:val="18"/>
          <w:szCs w:val="18"/>
          <w:color w:val="auto"/>
        </w:rPr>
      </w:pPr>
    </w:p>
    <w:p>
      <w:pPr>
        <w:ind w:right="460" w:firstLine="443"/>
        <w:spacing w:after="0" w:line="259" w:lineRule="auto"/>
        <w:tabs>
          <w:tab w:leader="none" w:pos="7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trade terms may include such concessionary trade terms as the Parent Guarantor or the applicable Restricted Subsidiary deems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under the circumstances;</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117" w:lineRule="exact"/>
        <w:rPr>
          <w:rFonts w:ascii="Arial" w:cs="Arial" w:eastAsia="Arial" w:hAnsi="Arial"/>
          <w:sz w:val="18"/>
          <w:szCs w:val="18"/>
          <w:color w:val="auto"/>
        </w:rPr>
      </w:pPr>
    </w:p>
    <w:p>
      <w:pPr>
        <w:ind w:right="320" w:firstLine="443"/>
        <w:spacing w:after="0" w:line="342" w:lineRule="auto"/>
        <w:tabs>
          <w:tab w:leader="none" w:pos="783"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(exclusive of Disqualified Equity Interests) of the Parent Guarantor;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Equity Interests will not increase the amount available for Restricted Payments under the Restricted Payments Basket;</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30" w:name="page31"/>
    <w:bookmarkEnd w:id="30"/>
    <w:p>
      <w:pPr>
        <w:ind w:left="1240" w:hanging="337"/>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consisting of the licensing or contribution of intellectual property pursuant to joint marketing arrangements with other Persons;</w:t>
      </w:r>
    </w:p>
    <w:p>
      <w:pPr>
        <w:spacing w:after="0" w:line="140" w:lineRule="exact"/>
        <w:rPr>
          <w:rFonts w:ascii="Arial" w:cs="Arial" w:eastAsia="Arial" w:hAnsi="Arial"/>
          <w:sz w:val="16"/>
          <w:szCs w:val="16"/>
          <w:color w:val="auto"/>
        </w:rPr>
      </w:pPr>
    </w:p>
    <w:p>
      <w:pPr>
        <w:ind w:left="460" w:firstLine="443"/>
        <w:spacing w:after="0" w:line="312" w:lineRule="auto"/>
        <w:tabs>
          <w:tab w:leader="none" w:pos="12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Issue Date and then outstanding, do not exceed the greater of (i) $125.0 million or (ii) 1.0% of the Parent Guarantor’s Consolidated Tangible Assets;</w:t>
      </w:r>
    </w:p>
    <w:p>
      <w:pPr>
        <w:spacing w:after="0" w:line="38" w:lineRule="exact"/>
        <w:rPr>
          <w:rFonts w:ascii="Arial" w:cs="Arial" w:eastAsia="Arial" w:hAnsi="Arial"/>
          <w:sz w:val="16"/>
          <w:szCs w:val="16"/>
          <w:color w:val="auto"/>
        </w:rPr>
      </w:pPr>
    </w:p>
    <w:p>
      <w:pPr>
        <w:ind w:left="460" w:right="500" w:firstLine="443"/>
        <w:spacing w:after="0" w:line="277" w:lineRule="auto"/>
        <w:tabs>
          <w:tab w:leader="none" w:pos="12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2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Section 1109.</w:t>
      </w:r>
    </w:p>
    <w:p>
      <w:pPr>
        <w:spacing w:after="0" w:line="17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w:t>
      </w:r>
    </w:p>
    <w:p>
      <w:pPr>
        <w:spacing w:after="0" w:line="13" w:lineRule="exact"/>
        <w:rPr>
          <w:sz w:val="20"/>
          <w:szCs w:val="20"/>
          <w:color w:val="auto"/>
        </w:rPr>
      </w:pPr>
    </w:p>
    <w:p>
      <w:pPr>
        <w:ind w:left="5620" w:right="2660" w:hanging="5612"/>
        <w:spacing w:after="0" w:line="433" w:lineRule="auto"/>
        <w:tabs>
          <w:tab w:leader="none" w:pos="3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precautionary Liens on Receivables and Receivables Related Security arising in connection with Permitted Factoring 20</w:t>
      </w:r>
    </w:p>
    <w:p>
      <w:pPr>
        <w:sectPr>
          <w:pgSz w:w="11900" w:h="16838" w:orient="portrait"/>
          <w:cols w:equalWidth="0" w:num="1">
            <w:col w:w="11400"/>
          </w:cols>
          <w:pgMar w:left="240" w:top="274" w:right="259" w:bottom="1440" w:gutter="0" w:footer="0" w:header="0"/>
        </w:sectPr>
      </w:pPr>
    </w:p>
    <w:bookmarkStart w:id="31" w:name="page32"/>
    <w:bookmarkEnd w:id="3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when used with respect to the Notes of either series, means the place or places where the principal of and any premium and interest on such Notes are payable as specified in Section 1102.</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Predecessor Note</w:t>
      </w:r>
      <w:r>
        <w:rPr>
          <w:rFonts w:ascii="Arial" w:cs="Arial" w:eastAsia="Arial" w:hAnsi="Arial"/>
          <w:sz w:val="18"/>
          <w:szCs w:val="18"/>
          <w:color w:val="auto"/>
        </w:rPr>
        <w:t>” of any particular Note means every previous Note evidencing all or a portion of the same debt as that evidenced by such particular Note; and, for the purposes of this definition, any Note authenticated and delivered under Section 406 in exchange for or in lieu of a mutilated, destroyed, lost or stolen Note shall be deemed to evidence the same debt as the mutilated, destroyed, lost or stolen Note.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 has the meaning specified in Section 212.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Prospectus Supplement</w:t>
      </w:r>
      <w:r>
        <w:rPr>
          <w:rFonts w:ascii="Arial" w:cs="Arial" w:eastAsia="Arial" w:hAnsi="Arial"/>
          <w:sz w:val="17"/>
          <w:szCs w:val="17"/>
          <w:color w:val="auto"/>
        </w:rPr>
        <w:t>” means the Issuer’s final prospectus supplement dated June 10, 2016 respecting the offering of the Initial Notes.</w:t>
      </w:r>
    </w:p>
    <w:p>
      <w:pPr>
        <w:spacing w:after="0" w:line="23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32" w:name="page33"/>
    <w:bookmarkEnd w:id="32"/>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Rating Agencies</w:t>
      </w:r>
      <w:r>
        <w:rPr>
          <w:rFonts w:ascii="Arial" w:cs="Arial" w:eastAsia="Arial" w:hAnsi="Arial"/>
          <w:sz w:val="18"/>
          <w:szCs w:val="18"/>
          <w:color w:val="auto"/>
        </w:rPr>
        <w:t>” means, with respect to each series of Notes, (1) each of Moody’s and S&amp;P and (2) if either of Moody’s or S&amp;P ceases to rate such Notes or fails to make a rating of such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with respect to either series of Notes, the rating of such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Notes is under publicly announced consideration for possible downgrade by either of the Rating Agencies).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Date,</w:t>
      </w:r>
      <w:r>
        <w:rPr>
          <w:rFonts w:ascii="Arial" w:cs="Arial" w:eastAsia="Arial" w:hAnsi="Arial"/>
          <w:sz w:val="16"/>
          <w:szCs w:val="16"/>
          <w:color w:val="auto"/>
        </w:rPr>
        <w:t>” when used with respect to any Note to be redeemed, means the date fixed for such redemption by or pursuant to the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the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Section 1106.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117" w:lineRule="exact"/>
        <w:rPr>
          <w:sz w:val="20"/>
          <w:szCs w:val="20"/>
          <w:color w:val="auto"/>
        </w:rPr>
      </w:pPr>
    </w:p>
    <w:p>
      <w:pPr>
        <w:ind w:left="460" w:firstLine="443"/>
        <w:spacing w:after="0" w:line="276" w:lineRule="auto"/>
        <w:tabs>
          <w:tab w:leader="none" w:pos="11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3" w:name="page34"/>
    <w:bookmarkEnd w:id="33"/>
    <w:p>
      <w:pPr>
        <w:jc w:val="both"/>
        <w:ind w:left="460" w:right="24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73"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as a result thereof</w:t>
      </w:r>
    </w:p>
    <w:p>
      <w:pPr>
        <w:spacing w:after="0" w:line="117" w:lineRule="exact"/>
        <w:rPr>
          <w:sz w:val="20"/>
          <w:szCs w:val="20"/>
          <w:color w:val="auto"/>
        </w:rPr>
      </w:pPr>
    </w:p>
    <w:p>
      <w:pPr>
        <w:ind w:left="460" w:firstLine="443"/>
        <w:spacing w:after="0" w:line="264"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73"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117"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Refinancing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0" w:firstLine="443"/>
        <w:spacing w:after="0" w:line="279" w:lineRule="auto"/>
        <w:tabs>
          <w:tab w:leader="none" w:pos="11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34" w:name="page35"/>
    <w:bookmarkEnd w:id="34"/>
    <w:p>
      <w:pPr>
        <w:ind w:left="460" w:right="120" w:firstLine="443"/>
        <w:spacing w:after="0" w:line="264"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1114;</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62"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for the interest payable on any Interest Payment Date on the Notes of either series means the date specified for that purpose as contemplated by Section 401.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117" w:lineRule="exact"/>
        <w:rPr>
          <w:sz w:val="20"/>
          <w:szCs w:val="20"/>
          <w:color w:val="auto"/>
        </w:rPr>
      </w:pPr>
    </w:p>
    <w:p>
      <w:pPr>
        <w:ind w:left="460" w:firstLine="443"/>
        <w:spacing w:after="0" w:line="291" w:lineRule="auto"/>
        <w:tabs>
          <w:tab w:leader="none" w:pos="115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w:t>
      </w:r>
    </w:p>
    <w:p>
      <w:pPr>
        <w:ind w:left="460" w:right="460" w:firstLine="4"/>
        <w:spacing w:after="0" w:line="261" w:lineRule="auto"/>
        <w:tabs>
          <w:tab w:leader="none" w:pos="7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withholding imposed on payments made by any Successor Parent),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Successor Parent by virtue of its:</w:t>
      </w:r>
    </w:p>
    <w:p>
      <w:pPr>
        <w:spacing w:after="0" w:line="75" w:lineRule="exact"/>
        <w:rPr>
          <w:rFonts w:ascii="Arial" w:cs="Arial" w:eastAsia="Arial" w:hAnsi="Arial"/>
          <w:sz w:val="18"/>
          <w:szCs w:val="18"/>
          <w:color w:val="auto"/>
        </w:rPr>
      </w:pPr>
    </w:p>
    <w:p>
      <w:pPr>
        <w:ind w:left="920" w:firstLine="421"/>
        <w:spacing w:after="0" w:line="277" w:lineRule="auto"/>
        <w:tabs>
          <w:tab w:leader="none" w:pos="1585" w:val="left"/>
        </w:tabs>
        <w:numPr>
          <w:ilvl w:val="2"/>
          <w:numId w:val="31"/>
        </w:numPr>
        <w:rPr>
          <w:rFonts w:ascii="Arial" w:cs="Arial" w:eastAsia="Arial" w:hAnsi="Arial"/>
          <w:sz w:val="18"/>
          <w:szCs w:val="18"/>
          <w:color w:val="auto"/>
        </w:rPr>
      </w:pPr>
      <w:r>
        <w:rPr>
          <w:rFonts w:ascii="Arial" w:cs="Arial" w:eastAsia="Arial" w:hAnsi="Arial"/>
          <w:sz w:val="18"/>
          <w:szCs w:val="18"/>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being a holding company parent, directly or indirectly, of the Parent Guarantor or any of the Parent Guarantor’s Subsidiaries;</w:t>
      </w:r>
    </w:p>
    <w:p>
      <w:pPr>
        <w:spacing w:after="0" w:line="128" w:lineRule="exact"/>
        <w:rPr>
          <w:rFonts w:ascii="Arial" w:cs="Arial" w:eastAsia="Arial" w:hAnsi="Arial"/>
          <w:sz w:val="17"/>
          <w:szCs w:val="17"/>
          <w:color w:val="auto"/>
        </w:rPr>
      </w:pPr>
    </w:p>
    <w:p>
      <w:pPr>
        <w:ind w:left="920" w:right="40" w:firstLine="421"/>
        <w:spacing w:after="0" w:line="277" w:lineRule="auto"/>
        <w:tabs>
          <w:tab w:leader="none" w:pos="1585" w:val="left"/>
        </w:tabs>
        <w:numPr>
          <w:ilvl w:val="2"/>
          <w:numId w:val="31"/>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595" w:val="left"/>
        </w:tabs>
        <w:numPr>
          <w:ilvl w:val="2"/>
          <w:numId w:val="31"/>
        </w:numPr>
        <w:rPr>
          <w:rFonts w:ascii="Arial" w:cs="Arial" w:eastAsia="Arial" w:hAnsi="Arial"/>
          <w:sz w:val="18"/>
          <w:szCs w:val="18"/>
          <w:color w:val="auto"/>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Section 1109; and</w:t>
      </w:r>
    </w:p>
    <w:p>
      <w:pPr>
        <w:spacing w:after="0" w:line="62" w:lineRule="exact"/>
        <w:rPr>
          <w:rFonts w:ascii="Arial" w:cs="Arial" w:eastAsia="Arial" w:hAnsi="Arial"/>
          <w:sz w:val="18"/>
          <w:szCs w:val="18"/>
          <w:color w:val="auto"/>
        </w:rPr>
      </w:pPr>
    </w:p>
    <w:p>
      <w:pPr>
        <w:ind w:left="460" w:right="140" w:firstLine="443"/>
        <w:spacing w:after="0" w:line="259" w:lineRule="auto"/>
        <w:tabs>
          <w:tab w:leader="none" w:pos="1153"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5" w:name="page36"/>
    <w:bookmarkEnd w:id="35"/>
    <w:p>
      <w:pPr>
        <w:ind w:left="4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 consolidated basis if Parent Guarantor and its Subsidiaries had paid tax on a consolidated, combined, group, affiliated or unitary basis on behalf of an affiliated group consisting only of Parent Guarantor and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Taxing Jurisdiction</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Life</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 has the meaning specified in Section 217.</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r>
        <w:rPr>
          <w:rFonts w:ascii="Arial" w:cs="Arial" w:eastAsia="Arial" w:hAnsi="Arial"/>
          <w:sz w:val="18"/>
          <w:szCs w:val="18"/>
          <w:i w:val="1"/>
          <w:iCs w:val="1"/>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117" w:lineRule="exact"/>
        <w:rPr>
          <w:sz w:val="20"/>
          <w:szCs w:val="20"/>
          <w:color w:val="auto"/>
        </w:rPr>
      </w:pPr>
    </w:p>
    <w:p>
      <w:pPr>
        <w:ind w:left="460" w:firstLine="443"/>
        <w:spacing w:after="0" w:line="272" w:lineRule="auto"/>
        <w:tabs>
          <w:tab w:leader="none" w:pos="11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69" w:lineRule="exact"/>
        <w:rPr>
          <w:rFonts w:ascii="Arial" w:cs="Arial" w:eastAsia="Arial" w:hAnsi="Arial"/>
          <w:sz w:val="17"/>
          <w:szCs w:val="17"/>
          <w:color w:val="auto"/>
        </w:rPr>
      </w:pPr>
    </w:p>
    <w:p>
      <w:pPr>
        <w:ind w:left="460" w:right="100" w:firstLine="443"/>
        <w:spacing w:after="0" w:line="286" w:lineRule="auto"/>
        <w:tabs>
          <w:tab w:leader="none" w:pos="11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117" w:lineRule="exact"/>
        <w:rPr>
          <w:rFonts w:ascii="Arial" w:cs="Arial" w:eastAsia="Arial" w:hAnsi="Arial"/>
          <w:sz w:val="18"/>
          <w:szCs w:val="18"/>
          <w:color w:val="auto"/>
        </w:rPr>
      </w:pPr>
    </w:p>
    <w:p>
      <w:pPr>
        <w:ind w:left="460" w:right="40" w:firstLine="443"/>
        <w:spacing w:after="0" w:line="257" w:lineRule="auto"/>
        <w:tabs>
          <w:tab w:leader="none" w:pos="11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Section 1109.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has the meaning stated in the first recital of this Supplemental Indenture and more particularly means any Securities authenticated and delivered under the Base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Register</w:t>
      </w:r>
      <w:r>
        <w:rPr>
          <w:rFonts w:ascii="Arial" w:cs="Arial" w:eastAsia="Arial" w:hAnsi="Arial"/>
          <w:sz w:val="18"/>
          <w:szCs w:val="18"/>
          <w:color w:val="auto"/>
        </w:rPr>
        <w:t>” and “</w:t>
      </w:r>
      <w:r>
        <w:rPr>
          <w:rFonts w:ascii="Arial" w:cs="Arial" w:eastAsia="Arial" w:hAnsi="Arial"/>
          <w:sz w:val="18"/>
          <w:szCs w:val="18"/>
          <w:i w:val="1"/>
          <w:iCs w:val="1"/>
          <w:color w:val="auto"/>
        </w:rPr>
        <w:t>Registrar</w:t>
      </w:r>
      <w:r>
        <w:rPr>
          <w:rFonts w:ascii="Arial" w:cs="Arial" w:eastAsia="Arial" w:hAnsi="Arial"/>
          <w:sz w:val="18"/>
          <w:szCs w:val="18"/>
          <w:color w:val="auto"/>
        </w:rPr>
        <w:t>” have the respective meanings specified in Section 405.</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Trustee pursuant to Section 407.</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1"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Standard Securitization Undertakings</w:t>
      </w:r>
      <w:r>
        <w:rPr>
          <w:rFonts w:ascii="Arial" w:cs="Arial" w:eastAsia="Arial" w:hAnsi="Arial"/>
          <w:sz w:val="16"/>
          <w:szCs w:val="16"/>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46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this Supplemental Indenture.</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the Person named as a “Subsidiary Guarantor” in the first paragraph of this Supplemental Indenture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 has the meaning set forth in Section 901.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has the meaning stated in the first recital of this Supplemental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Financial Institution</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Loan Agreement</w:t>
      </w:r>
      <w:r>
        <w:rPr>
          <w:rFonts w:ascii="Arial" w:cs="Arial" w:eastAsia="Arial" w:hAnsi="Arial"/>
          <w:sz w:val="16"/>
          <w:szCs w:val="16"/>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has the meaning specified in Section 1101.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has the meaning specified in Section 1203.</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means the Trust Indenture Act of 1939 as in force at the date as of which this Supplemental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the Trust Indenture Act of 1939 as so amended.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8" w:name="page39"/>
    <w:bookmarkEnd w:id="38"/>
    <w:p>
      <w:pPr>
        <w:ind w:right="2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Trustee</w:t>
      </w:r>
      <w:r>
        <w:rPr>
          <w:rFonts w:ascii="Arial" w:cs="Arial" w:eastAsia="Arial" w:hAnsi="Arial"/>
          <w:sz w:val="17"/>
          <w:szCs w:val="17"/>
          <w:color w:val="auto"/>
        </w:rPr>
        <w:t>” means the Person named as the “Trustee” in the first paragraph of this Supplemental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Section 1106 and (2) any Subsidiary of an Unrestricted Subsidiary. Notwithstanding the preceding, if at any time, any Unrestricted Subsidiary would fail to meet the requirements as an Unrestricted Subsidiary in Section 1106, it shall thereafter cease to be an Unrestricted Subsidiary for purposes of the Indenture.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 be given by counsel, and shall comply with the requirements of the Trust Indenture Act and any other requirements set forth in the Indenture.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certificate or opinion with respect to compliance with a condition or covenant provided for in the Indenture shall include,</w:t>
      </w:r>
    </w:p>
    <w:p>
      <w:pPr>
        <w:spacing w:after="0" w:line="117"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60" w:right="460" w:firstLine="443"/>
        <w:spacing w:after="0" w:line="277"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540" w:firstLine="443"/>
        <w:spacing w:after="0" w:line="277"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each such individual, such condition or covenant has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Acts of Holders; Record Dates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0" w:name="page41"/>
    <w:bookmarkEnd w:id="40"/>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ownership, principal amount and serial numbers of Notes held by any Person, and the date of commencement of such Person’s holding of same, shall be proved by the Security Register.</w:t>
      </w:r>
    </w:p>
    <w:p>
      <w:pPr>
        <w:spacing w:after="0" w:line="17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Issuer may not set a record date for, and the provisions of this paragraph shall not apply with respect to, the giving or making of any notice,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action shall be effective hereunder unless taken on or prior to the applicable Expiration Date by Holders of the requisite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206.</w:t>
      </w:r>
    </w:p>
    <w:p>
      <w:pPr>
        <w:spacing w:after="0" w:line="16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Trustee may set any day as a record date for the purpose of determining the Holders of Notes entitled to join in the giving or making of (i) any notice of Default, (ii) any declaration of acceleration referred to in Section 602, (iii) any request to institute proceedings referred to in Section 607(2) or</w:t>
      </w:r>
    </w:p>
    <w:p>
      <w:pPr>
        <w:ind w:right="40" w:firstLine="8"/>
        <w:spacing w:after="0" w:line="290" w:lineRule="auto"/>
        <w:tabs>
          <w:tab w:leader="none" w:pos="3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any direction referred to in Section 612.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action shall be effective hereunder unless taken on or prior to the applicable Expiration Date by Holders of the requisite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1" w:name="page42"/>
    <w:bookmarkEnd w:id="41"/>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206.</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change shall be effective unless notice of the proposed new Expiration Date is given to each other party hereto in writing, and to each Holder of Notes in the manner set forth in Section 206,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Notices, Etc., to Trustee, Issuer and Guarantors</w:t>
      </w:r>
      <w:r>
        <w:rPr>
          <w:rFonts w:ascii="Arial" w:cs="Arial" w:eastAsia="Arial" w:hAnsi="Arial"/>
          <w:sz w:val="18"/>
          <w:szCs w:val="18"/>
          <w:color w:val="auto"/>
        </w:rPr>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other Act of Holders or other document provided or permitted by the Indenture to be made upon, given or furnished to, or filed with,</w:t>
      </w:r>
    </w:p>
    <w:p>
      <w:pPr>
        <w:spacing w:after="0" w:line="62" w:lineRule="exact"/>
        <w:rPr>
          <w:sz w:val="20"/>
          <w:szCs w:val="20"/>
          <w:color w:val="auto"/>
        </w:rPr>
      </w:pPr>
    </w:p>
    <w:p>
      <w:pPr>
        <w:ind w:left="460" w:right="28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by any Holder or by the Issuer or by any Guarantor shall be sufficient for every purpose hereunder if made, given, furnished or filed in writing to or with the Trustee at its Corporate Trust Office, or</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206,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2" w:name="page43"/>
    <w:bookmarkEnd w:id="42"/>
    <w:p>
      <w:pPr>
        <w:ind w:right="3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which is required under the Trust Indenture Act to be a part of and govern the Indenture, the latter provision shall control. If any provision of the Indenture modifies or excludes any provision of the Trust Indenture Act which may be so modified or excluded, the latter provision shall be deemed to apply to the Indenture as so modified or to be excluded,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covenants and agreements in the Indenture by the Issuer, the Guarantors or the Trustee shall bind their respective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case any provision in this Supplemental Indenture or the Notes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the Notes and the Guarantees shall be governed by and construed in accordance with the laws of the State of New York.</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3" w:name="page44"/>
    <w:bookmarkEnd w:id="43"/>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212,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this Indenture.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this Indenture to the extent permitted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279"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No Personal Liability of Directors, Officers, Employees and Shareholders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4" w:name="page45"/>
    <w:bookmarkEnd w:id="44"/>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parties in order to enable the Trustee to comply with Applicable Banking Laws.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 in Required Currency; Judgment Currency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this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Language of Notices, Etc.</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parties may sign any number of copies of this Supplemental Indenture, and each party hereto may sign any number of separate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Forms Generally</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2021 Notes and the Trustee’s certificate of authentication shall be in substantially the respective forms set forth in Annex A hereto, the 2023 Notes and the Trustee’s certificate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5" w:name="page46"/>
    <w:bookmarkEnd w:id="45"/>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 shall be in substantially the respective forms set forth in Annex B hereto, and the notations of Guarantee shall be in substantially the form set forth in Annex C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88"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definitive Notes shall be printed, lithographed or engraved on steel engraved borders or may be produced in any other manner, all as determined by the officers executing such Notes, as evidenced by their execution of such Notes.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Initial Notes of each series shall be issued initially in the form of one or more Global Notes, which shall be deposited with the Trustee, as custodian for the Depositary. The aggregate principal amount of any Global Note may from time to time be increased or decreased by adjustments made on the schedule attached to such Global Note or on other records of the Trustee, acting as custodian for the Depositary.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Form of Legend for Global Notes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Global Note authenticated and delivered under the Indenture shall bear a legend in substantially the following form:</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Title and Terms</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2021 Notes shall be entitled the “7.75% Senior Notes due 2021,” and the 2023 Notes shall be entitled the “8.25% Senior Notes due 2023.” The Trustee shall authenticate the Notes to be authenticated and delivered under this Supplemental Indenture on the Issue Date in an aggregate amount equal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6" w:name="page47"/>
    <w:bookmarkEnd w:id="4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$1,500,000,000, consisting of $750,000,000 in aggregate principal amount of 2021 Notes and $750,000,000 in aggregate principal amount of 2023 Notes, upon delivery of an Issuer Order. The Trustee shall authenticate Additional Notes of either series thereafter from time to time in unlimited amount for original issue upon receipt of an Issuer Order (subject to compliance with Section 1108). Any such Issuer Order shall also specify the date on which the original issue of Notes is to be authenticated and, in relation to any Additional Notes, it shall also specify the series and the principal amount thereof to be issued and shall certify that such issuance is not prohibited by Section 1108.</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2021 Notes will mature on June 15, 2021, and the 2023 Notes will mature on June 15, 2023. Interest on the 2021 Notes will accrue at the rate of 7.75% per annum, and interest on the 2023 Notes will accrue at the rate of 8.25% per annum, and will be payable semiannually in cash on each June 15 and December 15, commencing on December 15, 2016 in the case of the Initial Notes, to the Persons who are registered Holders of Notes at the close of business on the June 1 and December 1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Notes shall be redeemable as provided in Article Twelve and subject to Legal Defeasance and Covenant Defeasance as provided in Article Fourteen. The 2021 Notes shall have such other terms as are indicated in Annex A, and the 2023 Notes shall have such other terms as are indicated in Annex 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Notes shall be issuable only in fully registered form without coupons and only in denominations of $2,000 and any integral multiple of $1,000 in excess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the Issuer elects to reproduce its corporate seal on the Notes, then such seal may be in the form of a facsimile thereof and may be impressed, affixed, imprinted or otherwise reproduced on the Notes.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any time and from time to time after the execution and delivery of this Supplemental Indenture and as provided in Section 401,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 Note shall be entitled to any benefit under the Indenture or be valid or obligatory for any purpose unless there appears on such Note a certificate of authentication substantially in the form provided for in Annex A or B, as appropriate, signed manually in the name of the Trustee by an authorized signatory, and such certificate upon any Note shall be conclusive evidence, and the only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409, for all purposes of the Indenture such Note shall be deemed never to have been authenticated and delivered hereunder and shall never be entitled to the benefits of the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and of the same series of the definitive Notes in lieu of which they are issued and with such appropriate insertions, omissions, substitutions and other variations as the Officers executing such Notes may determine, as evidenced by their execution of such Notes.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temporary Notes of either series are issued, the Issuer will cause definitive Note of the same series to be prepared without unreasonable delay. After the preparation of definitive Notes, the temporary Notes shall be exchangeable for definitive Notes upon surrender of the temporary Notes at the office or agency of the Issuer in a Place of Payment for that series, without charge to the Holder. Upon surrender for cancellation of any one or more temporary Notes, the Issuer shall execute and the Trustee shall authenticate and deliver in exchange therefor one or more definitive Notes of the same series, of any authorized denominations and of like tenor and aggregate principal amount. Until so exchanged, the temporary Notes shall in all respects be entitled to the same benefits under the Indenture as definitive Notes of the same series.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surrender for registration of transfer of any Note at the office of the Registrar, the Issuer shall execute and the Trustee shall authenticate and deliver, in the name of the designated transferee or transferees, one or more new Notes, of any authorized denominations and of like series, tenor and aggregate principal amount.</w:t>
      </w:r>
    </w:p>
    <w:p>
      <w:pPr>
        <w:spacing w:after="0" w:line="18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All Notes issued upon any registration of transfer or exchange of Notes shall be the valid obligations of the Issuer evidencing the same debt, and entitled to the same benefits under the Indenture, as the Notes surrendered upon such registration of transfer or exchange.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Every Note presented or surrendered for registration of transfer or for exchange shall (if so required by the Issuer or the Registrar) be duly endorsed, or be accompanied by a written instrument of transfer in form satisfactory to the Issuer and the Registrar duly executed, by the Holder thereof or its attorney duly authorized in writing.</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 service charge shall be made for any registration of transfer or exchange of Notes, but the Issuer may require payment of a sum sufficient to cover any Transfer Tax or other governmental taxes and fees that may be imposed by law or the Indenture in connection with any registration of transfer or exchange of Notes, other than exchanges pursuant to Section 404, 1006, 1107, 1112 or 1208 not involving any transfer.</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48" w:name="page49"/>
    <w:bookmarkEnd w:id="48"/>
    <w:p>
      <w:pPr>
        <w:jc w:val="both"/>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prior consent of the Issuer, the Registrar shall not be required (1) to register the transfer of or exchange any Notes of either series during a period of 15 days before a selection of Notes of that series for redemption under Section 1204, (2) to register the transfer of or exchange any Note so selected for redemption in whole or in part, except the unredeemed portion of any Note being redeemed in part or (3) to register the transfer or exchange of any Note between a record date and the next succeeding Interest Payment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Notes:</w:t>
      </w:r>
    </w:p>
    <w:p>
      <w:pPr>
        <w:spacing w:after="0" w:line="117" w:lineRule="exact"/>
        <w:rPr>
          <w:sz w:val="20"/>
          <w:szCs w:val="20"/>
          <w:color w:val="auto"/>
        </w:rPr>
      </w:pPr>
    </w:p>
    <w:p>
      <w:pPr>
        <w:ind w:left="460" w:right="120" w:firstLine="443"/>
        <w:spacing w:after="0" w:line="264"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Global Note authenticated under the Indenture shall be registered in the name of the Depositary designated for such Global Note or a nominee thereof and delivered to such Depositary or a nominee thereof or custodian therefor, and each such Global Note shall constitute a single Note for all purposes of the Indenture.</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any other provision in the Indenture, no Global Note may be exchanged in whole or in part for Notes registered, and no transfer of a Global Note in whole or in part may be registered, in the name of any Person other than the Depositary for such Global Note or a nominee thereof, unless (A) such Depositary (i) has notified the Issuer that it is unwilling or unable to continue as Depositary for such Global Note or (ii) has ceased to be registered as a clearing agency under the Exchange Act, and in either case the Issuer has not appointed a successor depositary within 90 days or (B) an Event of Default has occurred and is continuing and the Depositary has requested of the Issuer that the Notes be issued in physical, certificated form.</w:t>
      </w:r>
    </w:p>
    <w:p>
      <w:pPr>
        <w:spacing w:after="0" w:line="85" w:lineRule="exact"/>
        <w:rPr>
          <w:rFonts w:ascii="Arial" w:cs="Arial" w:eastAsia="Arial" w:hAnsi="Arial"/>
          <w:sz w:val="18"/>
          <w:szCs w:val="18"/>
          <w:color w:val="auto"/>
        </w:rPr>
      </w:pPr>
    </w:p>
    <w:p>
      <w:pPr>
        <w:ind w:left="460" w:right="20" w:firstLine="443"/>
        <w:spacing w:after="0" w:line="308" w:lineRule="auto"/>
        <w:tabs>
          <w:tab w:leader="none" w:pos="11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Subject to clause (2) above, any exchange of a Global Note for other Notes may be made in whole or in part, and all Notes issued in exchange for a Global Note or any portion thereof shall be registered in such names as the Depositary for such Global Note shall direct.</w:t>
      </w:r>
    </w:p>
    <w:p>
      <w:pPr>
        <w:spacing w:after="0" w:line="38" w:lineRule="exact"/>
        <w:rPr>
          <w:rFonts w:ascii="Arial" w:cs="Arial" w:eastAsia="Arial" w:hAnsi="Arial"/>
          <w:sz w:val="17"/>
          <w:szCs w:val="17"/>
          <w:color w:val="auto"/>
        </w:rPr>
      </w:pPr>
    </w:p>
    <w:p>
      <w:pPr>
        <w:ind w:left="460" w:firstLine="443"/>
        <w:spacing w:after="0" w:line="312" w:lineRule="auto"/>
        <w:tabs>
          <w:tab w:leader="none" w:pos="11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Every Note authenticated and delivered upon registration of transfer of, or in exchange for or in lieu of, a Global Note or any portion thereof, whether pursuant to this Section, Section 404, 406, 1006, 1107, 1112 or 1207 or otherwise, shall be authenticated and delivered in the form of, and shall be, a Global Note, unless such Note is registered in the name of a Person other than the Depositary for such Global Note or a nominee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Mutilated, Destroyed, Lost and Stolen Notes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any mutilated Note is surrendered to the Trustee, the Issuer shall execute and the Trustee shall authenticate and deliver in exchange therefor a new Note of like series, tenor and principal amount and bearing a number not contemporaneously outstanding.</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series, tenor and principal amount and bearing a number not contemporaneously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9" w:name="page50"/>
    <w:bookmarkEnd w:id="49"/>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such mutilated, destroyed, lost or stolen Note has become or is about to become due and payable, the Issuer in its discretion may, instead of issuing a new Note, pay such Note.</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181" w:lineRule="exact"/>
        <w:rPr>
          <w:sz w:val="20"/>
          <w:szCs w:val="20"/>
          <w:color w:val="auto"/>
        </w:rPr>
      </w:pPr>
    </w:p>
    <w:p>
      <w:pPr>
        <w:jc w:val="both"/>
        <w:ind w:right="30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Interest on any Note which is payable, and is punctually paid or duly provided for, on any Interest Payment Date shall be paid to the Person in whose name that Note (or one or more Predecessor Notes) is registered at the close of business on the Regular Record Date for such interest.</w:t>
      </w:r>
    </w:p>
    <w:p>
      <w:pPr>
        <w:spacing w:after="0" w:line="14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Any interest on any Note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 at its election in each case, as provided in clause (1) or (2) below:</w:t>
      </w:r>
    </w:p>
    <w:p>
      <w:pPr>
        <w:spacing w:after="0" w:line="73" w:lineRule="exact"/>
        <w:rPr>
          <w:sz w:val="20"/>
          <w:szCs w:val="20"/>
          <w:color w:val="auto"/>
        </w:rPr>
      </w:pPr>
    </w:p>
    <w:p>
      <w:pPr>
        <w:ind w:left="460" w:firstLine="443"/>
        <w:spacing w:after="0" w:line="286" w:lineRule="auto"/>
        <w:tabs>
          <w:tab w:leader="none" w:pos="115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Issuer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given to each Holder of Notes in the manner set forth in Section 206, not less than 10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w:t>
      </w:r>
    </w:p>
    <w:p>
      <w:pPr>
        <w:spacing w:after="0" w:line="66" w:lineRule="exact"/>
        <w:rPr>
          <w:rFonts w:ascii="Arial" w:cs="Arial" w:eastAsia="Arial" w:hAnsi="Arial"/>
          <w:sz w:val="16"/>
          <w:szCs w:val="16"/>
          <w:color w:val="auto"/>
        </w:rPr>
      </w:pPr>
    </w:p>
    <w:p>
      <w:pPr>
        <w:ind w:left="460" w:right="280" w:firstLine="443"/>
        <w:spacing w:after="0" w:line="277" w:lineRule="auto"/>
        <w:tabs>
          <w:tab w:leader="none" w:pos="11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may make payment of any Defaulted Interest on the Notes in any other lawful manner not inconsistent with the requirements of any securities exchange on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0" w:name="page51"/>
    <w:bookmarkEnd w:id="50"/>
    <w:p>
      <w:pPr>
        <w:ind w:left="46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Notes may be listed, and upon such notice as may be required by such exchange, if, after notice given by the Issuer to the Trustee of the proposed payment pursuant to this clause, such manner of payment shall be deemed practicable by the Trustee.</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407)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Indenture shall be discharged and shall cease to be of further effect with respect to either series of Notes issued thereunder, and the Trustee, upon Issuer Request and at the expense of the Issuer, shall execute proper instruments acknowledging satisfaction and discharge of the Indenture with respect to such series, when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either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1" w:name="page52"/>
    <w:bookmarkEnd w:id="51"/>
    <w:p>
      <w:pPr>
        <w:ind w:left="1500" w:right="20" w:hanging="8"/>
        <w:spacing w:after="0" w:line="259" w:lineRule="auto"/>
        <w:tabs>
          <w:tab w:leader="none" w:pos="1745" w:val="left"/>
        </w:tabs>
        <w:numPr>
          <w:ilvl w:val="2"/>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Notes of such series theretofore authenticated and delivered (other than Notes which have been destroyed, lost or stolen and which have been replaced or paid as provided in Section 406 and Notes for whose payment money has theretofore been deposited in trust or segregated and held in trust by the Issuer and thereafter repaid to the Issuer or discharged from such trust, as provided in Section 1103) have been delivered to the Trustee for cancellation; or</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such Notes not theretofore delivered to the Trustee for cancellation</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460" w:right="100" w:firstLine="443"/>
        <w:spacing w:after="0" w:line="308" w:lineRule="auto"/>
        <w:tabs>
          <w:tab w:leader="none" w:pos="11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38" w:lineRule="exact"/>
        <w:rPr>
          <w:rFonts w:ascii="Arial" w:cs="Arial" w:eastAsia="Arial" w:hAnsi="Arial"/>
          <w:sz w:val="17"/>
          <w:szCs w:val="17"/>
          <w:color w:val="auto"/>
        </w:rPr>
      </w:pPr>
    </w:p>
    <w:p>
      <w:pPr>
        <w:ind w:left="1220" w:hanging="317"/>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been called for redemption pursuant to the provisions of Article Twelve,</w:t>
      </w:r>
    </w:p>
    <w:p>
      <w:pPr>
        <w:spacing w:after="0" w:line="117"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such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50"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Issuer has paid or caused to be paid all other sums payable under the Indenture by the Issuer with respect to such series of Notes;</w:t>
      </w:r>
    </w:p>
    <w:p>
      <w:pPr>
        <w:spacing w:after="0" w:line="128" w:lineRule="exact"/>
        <w:rPr>
          <w:rFonts w:ascii="Arial" w:cs="Arial" w:eastAsia="Arial" w:hAnsi="Arial"/>
          <w:sz w:val="17"/>
          <w:szCs w:val="17"/>
          <w:color w:val="auto"/>
        </w:rPr>
      </w:pPr>
    </w:p>
    <w:p>
      <w:pPr>
        <w:ind w:left="460" w:right="44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such Notes at Stated Maturity or on the Redemption Date, as the case may be; and</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in the Indenture to the satisfaction and discharge of the Indenture with respect to such Notes have been complied with.</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Notwithstanding the satisfaction and discharge of the Indenture in respect of such Notes, the obligations of the Issuer to the Holders under Sections 405 and 406, the obligations of the Issuer to the Trustee under Section 707, the obligations of the Trustee to any Authenticating Agent under Section 714 and, if cash or U.S. Government Obligations shall have been deposited with the Trustee pursuant to subclause (b) of clause (1) of this Section, the obligations of the Trustee under Section 502 and the last paragraph of Section 1103 shall survive so long as any such Notes are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Subject to the provisions of the last paragraph of Section 1103, all cash and U.S. Government Obligations (including the proceeds thereof) deposited with the Trustee pursuant to Section 501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SIX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 “Event of Default,” wherever used herein, means any one of the following events in relation to the Notes of either series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1160" w:hanging="257"/>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failure to pay interest on any of the Notes of that series when the same becomes due and payable and the continuance of any such failure for</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30 days;</w:t>
      </w:r>
    </w:p>
    <w:p>
      <w:pPr>
        <w:spacing w:after="0" w:line="102" w:lineRule="exact"/>
        <w:rPr>
          <w:rFonts w:ascii="Arial" w:cs="Arial" w:eastAsia="Arial" w:hAnsi="Arial"/>
          <w:sz w:val="16"/>
          <w:szCs w:val="16"/>
          <w:color w:val="auto"/>
        </w:rPr>
      </w:pPr>
    </w:p>
    <w:p>
      <w:pPr>
        <w:ind w:left="46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of that series when it becomes due and payable, whether at Stated Maturity, upon redemption, required purchase, acceleration or otherwise;</w:t>
      </w:r>
    </w:p>
    <w:p>
      <w:pPr>
        <w:spacing w:after="0" w:line="62" w:lineRule="exact"/>
        <w:rPr>
          <w:rFonts w:ascii="Arial" w:cs="Arial" w:eastAsia="Arial" w:hAnsi="Arial"/>
          <w:sz w:val="18"/>
          <w:szCs w:val="18"/>
          <w:color w:val="auto"/>
        </w:rPr>
      </w:pPr>
    </w:p>
    <w:p>
      <w:pPr>
        <w:ind w:left="460" w:right="220" w:firstLine="443"/>
        <w:spacing w:after="0" w:line="308" w:lineRule="auto"/>
        <w:tabs>
          <w:tab w:leader="none" w:pos="11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failure by the Issuer or any Guarantors to comply with any of their respective agreements or covenants under Article Nine or failure by the Issuer to comply in respect of its obligations to make a Change of Control Offer for such series of Notes under Section 1107;</w:t>
      </w:r>
    </w:p>
    <w:p>
      <w:pPr>
        <w:spacing w:after="0" w:line="38" w:lineRule="exact"/>
        <w:rPr>
          <w:rFonts w:ascii="Arial" w:cs="Arial" w:eastAsia="Arial" w:hAnsi="Arial"/>
          <w:sz w:val="17"/>
          <w:szCs w:val="17"/>
          <w:color w:val="auto"/>
        </w:rPr>
      </w:pPr>
    </w:p>
    <w:p>
      <w:pPr>
        <w:ind w:left="460" w:right="120" w:firstLine="443"/>
        <w:spacing w:after="0" w:line="255"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except with respect to the covenant contained in Section 804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of that series then Outstanding, or (b) failure by the Parent Guarantor for 180 days after notice of the failure has been given to the Issuer by the Trustee or by the Holders of at least 25.0% of the aggregate principal amount of the Notes of that series then Outstanding to comply with the covenant contained in Section 804;</w:t>
      </w:r>
    </w:p>
    <w:p>
      <w:pPr>
        <w:spacing w:after="0" w:line="85" w:lineRule="exact"/>
        <w:rPr>
          <w:rFonts w:ascii="Arial" w:cs="Arial" w:eastAsia="Arial" w:hAnsi="Arial"/>
          <w:sz w:val="18"/>
          <w:szCs w:val="18"/>
          <w:color w:val="auto"/>
        </w:rPr>
      </w:pPr>
    </w:p>
    <w:p>
      <w:pPr>
        <w:ind w:left="460" w:right="240" w:firstLine="443"/>
        <w:spacing w:after="0" w:line="264"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73" w:lineRule="exact"/>
        <w:rPr>
          <w:rFonts w:ascii="Arial" w:cs="Arial" w:eastAsia="Arial" w:hAnsi="Arial"/>
          <w:sz w:val="18"/>
          <w:szCs w:val="18"/>
          <w:color w:val="auto"/>
        </w:rPr>
      </w:pPr>
    </w:p>
    <w:p>
      <w:pPr>
        <w:ind w:left="920" w:right="240" w:firstLine="421"/>
        <w:spacing w:after="0" w:line="277" w:lineRule="auto"/>
        <w:tabs>
          <w:tab w:leader="none" w:pos="15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62" w:lineRule="exact"/>
        <w:rPr>
          <w:rFonts w:ascii="Arial" w:cs="Arial" w:eastAsia="Arial" w:hAnsi="Arial"/>
          <w:sz w:val="18"/>
          <w:szCs w:val="18"/>
          <w:color w:val="auto"/>
        </w:rPr>
      </w:pPr>
    </w:p>
    <w:p>
      <w:pPr>
        <w:ind w:left="920" w:right="120" w:firstLine="421"/>
        <w:spacing w:after="0" w:line="308" w:lineRule="auto"/>
        <w:tabs>
          <w:tab w:leader="none" w:pos="1595" w:val="left"/>
        </w:tabs>
        <w:numPr>
          <w:ilvl w:val="1"/>
          <w:numId w:val="43"/>
        </w:numPr>
        <w:rPr>
          <w:rFonts w:ascii="Arial" w:cs="Arial" w:eastAsia="Arial" w:hAnsi="Arial"/>
          <w:sz w:val="17"/>
          <w:szCs w:val="17"/>
          <w:color w:val="auto"/>
        </w:rPr>
      </w:pPr>
      <w:r>
        <w:rPr>
          <w:rFonts w:ascii="Arial" w:cs="Arial" w:eastAsia="Arial" w:hAnsi="Arial"/>
          <w:sz w:val="17"/>
          <w:szCs w:val="17"/>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38"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70" w:right="299" w:bottom="1440" w:gutter="0" w:footer="0" w:header="0"/>
        </w:sectPr>
      </w:pPr>
    </w:p>
    <w:bookmarkStart w:id="53" w:name="page54"/>
    <w:bookmarkEnd w:id="53"/>
    <w:p>
      <w:pPr>
        <w:ind w:right="60" w:firstLine="443"/>
        <w:spacing w:after="0" w:line="264" w:lineRule="auto"/>
        <w:tabs>
          <w:tab w:leader="none" w:pos="693"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73" w:lineRule="exact"/>
        <w:rPr>
          <w:rFonts w:ascii="Arial" w:cs="Arial" w:eastAsia="Arial" w:hAnsi="Arial"/>
          <w:sz w:val="18"/>
          <w:szCs w:val="18"/>
          <w:color w:val="auto"/>
        </w:rPr>
      </w:pPr>
    </w:p>
    <w:p>
      <w:pPr>
        <w:jc w:val="both"/>
        <w:ind w:firstLine="443"/>
        <w:spacing w:after="0" w:line="288" w:lineRule="auto"/>
        <w:tabs>
          <w:tab w:leader="none" w:pos="693"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w:t>
      </w:r>
    </w:p>
    <w:p>
      <w:pPr>
        <w:ind w:right="180" w:firstLine="4"/>
        <w:spacing w:after="0" w:line="268" w:lineRule="auto"/>
        <w:tabs>
          <w:tab w:leader="none" w:pos="2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76" w:lineRule="exact"/>
        <w:rPr>
          <w:rFonts w:ascii="Arial" w:cs="Arial" w:eastAsia="Arial" w:hAnsi="Arial"/>
          <w:sz w:val="17"/>
          <w:szCs w:val="17"/>
          <w:color w:val="auto"/>
        </w:rPr>
      </w:pPr>
    </w:p>
    <w:p>
      <w:pPr>
        <w:ind w:firstLine="443"/>
        <w:spacing w:after="0" w:line="268" w:lineRule="auto"/>
        <w:tabs>
          <w:tab w:leader="none" w:pos="693" w:val="left"/>
        </w:tabs>
        <w:numPr>
          <w:ilvl w:val="1"/>
          <w:numId w:val="45"/>
        </w:numPr>
        <w:rPr>
          <w:rFonts w:ascii="Arial" w:cs="Arial" w:eastAsia="Arial" w:hAnsi="Arial"/>
          <w:sz w:val="17"/>
          <w:szCs w:val="17"/>
          <w:color w:val="auto"/>
        </w:rPr>
      </w:pPr>
      <w:r>
        <w:rPr>
          <w:rFonts w:ascii="Arial" w:cs="Arial" w:eastAsia="Arial" w:hAnsi="Arial"/>
          <w:sz w:val="17"/>
          <w:szCs w:val="17"/>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 or (vi) the taking of corporate action by the Parent Guarantor or a Significant Subsidiary or group of Restricted Subsidiaries that, taken together (as of the latest audited consolidated financial statements for the Parent Guarantor and its Restricted Subsidiaries) would constitute a Significant Subsidiary in furtherance of any such action; or</w:t>
      </w:r>
    </w:p>
    <w:p>
      <w:pPr>
        <w:spacing w:after="0" w:line="75" w:lineRule="exact"/>
        <w:rPr>
          <w:rFonts w:ascii="Arial" w:cs="Arial" w:eastAsia="Arial" w:hAnsi="Arial"/>
          <w:sz w:val="17"/>
          <w:szCs w:val="17"/>
          <w:color w:val="auto"/>
        </w:rPr>
      </w:pPr>
    </w:p>
    <w:p>
      <w:pPr>
        <w:ind w:right="180" w:firstLine="443"/>
        <w:spacing w:after="0" w:line="277" w:lineRule="auto"/>
        <w:tabs>
          <w:tab w:leader="none" w:pos="6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Guarantee of the Notes of that series ceases to be in full force and effect (other than in accordance with the terms of such Guarantee and the Indenture) or is declared null</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274" w:right="239" w:bottom="1440" w:gutter="0" w:footer="0" w:header="0"/>
        </w:sectPr>
      </w:pPr>
    </w:p>
    <w:bookmarkStart w:id="54" w:name="page55"/>
    <w:bookmarkEnd w:id="54"/>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 Event of Default (other than an Event of Default specified in Section 601(7) or 601(8) with respect to the Parent Guarantor) shall have occurred and be continuing with respect to a series of Notes, the Trustee, by written notice to the Issuer, or the Holders of at least 25% in aggregate principal amount of that series of Notes then Outstanding, by written notice to the Issuer and the Trustee, may declare (an “acceleration declaration”) all amounts owing under the Notes of that series to be due and payable, and upon any such declaration the aggregate principal of and accrued and unpaid interest on all of the Outstanding Notes shall become due and payable immediately. If an Event of Default specified in Section 601(7) or 601(8) occurs with respect to the Parent Guarantor, the principal of, premium, if any, and accrued and unpaid interest, if any, on all of the Outstanding Notes of both series shall become immediately due and payable, without any further action or notice to the extent permitted by law.</w:t>
      </w:r>
    </w:p>
    <w:p>
      <w:pPr>
        <w:spacing w:after="0" w:line="17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At any time after such an acceleration declaration with respect to a series of Notes occurs, but before a judgment or decree based on acceleration, the Holders of a majority in aggregate principal amount of such Notes, by written notice to the Issuer and the Trustee, may rescind and annul such acceleration declaration and its consequences if</w:t>
      </w:r>
    </w:p>
    <w:p>
      <w:pPr>
        <w:spacing w:after="0" w:line="73" w:lineRule="exact"/>
        <w:rPr>
          <w:sz w:val="20"/>
          <w:szCs w:val="20"/>
          <w:color w:val="auto"/>
        </w:rPr>
      </w:pPr>
    </w:p>
    <w:p>
      <w:pPr>
        <w:ind w:left="1140" w:hanging="237"/>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rescission would not conflict with any judgment or decree of a court of competent jurisdiction;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Issuer has paid or deposited with the Trustee a sum sufficient to pay</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overdue interest on all such Notes,</w:t>
      </w:r>
    </w:p>
    <w:p>
      <w:pPr>
        <w:spacing w:after="0" w:line="117" w:lineRule="exact"/>
        <w:rPr>
          <w:rFonts w:ascii="Arial" w:cs="Arial" w:eastAsia="Arial" w:hAnsi="Arial"/>
          <w:sz w:val="18"/>
          <w:szCs w:val="18"/>
          <w:color w:val="auto"/>
        </w:rPr>
      </w:pPr>
    </w:p>
    <w:p>
      <w:pPr>
        <w:ind w:left="920" w:right="120" w:firstLine="421"/>
        <w:spacing w:after="0" w:line="277" w:lineRule="auto"/>
        <w:tabs>
          <w:tab w:leader="none" w:pos="16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such Notes which have become due otherwise than by such acceleration declaration and any interest thereon at the rate or rates prescribed therefor in such Notes,</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prescribed therefor in such Notes, and</w:t>
      </w:r>
    </w:p>
    <w:p>
      <w:pPr>
        <w:spacing w:after="0" w:line="140" w:lineRule="exact"/>
        <w:rPr>
          <w:rFonts w:ascii="Arial" w:cs="Arial" w:eastAsia="Arial" w:hAnsi="Arial"/>
          <w:sz w:val="16"/>
          <w:szCs w:val="16"/>
          <w:color w:val="auto"/>
        </w:rPr>
      </w:pPr>
    </w:p>
    <w:p>
      <w:pPr>
        <w:ind w:left="920" w:right="320" w:firstLine="421"/>
        <w:spacing w:after="0" w:line="277" w:lineRule="auto"/>
        <w:tabs>
          <w:tab w:leader="none" w:pos="16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with respect to such Notes, other than the non-payment of the principal of, and interest on, the Notes that have become due solely by such acceleration declaration, have been cured or waived as provided in Section 613.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If an Event of Default occurs and is continuing with respect to either series of Notes, the Trustee, in its own name and as trustee of an express trust, shall be entitled and empowered to institute any action or proceedings at law or in equity for the collection of the sums so due and unpaid or enforce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55" w:name="page56"/>
    <w:bookmarkEnd w:id="55"/>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707.</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Trustee May Enforce Claims Without Possession of Notes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with respect to a series of Notes shall be applied in the following order, at the date or dates fixed by the Trustee and, in case of the distribution of such money on account of principal or any premium or interest, upon presentation of the Notes and the notation thereon of the payment if only partially paid and upon surrender thereof if fully paid:</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the Trustee under Section 707;</w:t>
      </w:r>
    </w:p>
    <w:p>
      <w:pPr>
        <w:spacing w:after="0" w:line="117" w:lineRule="exact"/>
        <w:rPr>
          <w:sz w:val="20"/>
          <w:szCs w:val="20"/>
          <w:color w:val="auto"/>
        </w:rPr>
      </w:pPr>
    </w:p>
    <w:p>
      <w:pPr>
        <w:ind w:left="460" w:right="60" w:firstLine="43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Notes of that series, ratably, without preference or priority of any kind, according to the amounts due and payable on such Notes for principal and any premium and interest, respectively;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6" w:name="page57"/>
    <w:bookmarkEnd w:id="56"/>
    <w:p>
      <w:pPr>
        <w:ind w:left="460" w:right="14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The remainder, if any, shall be paid to the Guarantors or the Issuer, as applicable, or to whomsoever may be lawfully entitled to receive the same, or as a court of competent jurisdiction may direct.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of Notes of either series may not institute any proceeding, judicial or otherwise, with respect to the Indenture or the Notes of that series, or for the appointment of a receiver or trustee, or for any other remedy hereunder, unless:</w:t>
      </w:r>
    </w:p>
    <w:p>
      <w:pPr>
        <w:spacing w:after="0" w:line="62" w:lineRule="exact"/>
        <w:rPr>
          <w:sz w:val="20"/>
          <w:szCs w:val="20"/>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that series;</w:t>
      </w:r>
    </w:p>
    <w:p>
      <w:pPr>
        <w:spacing w:after="0" w:line="117"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of that series make a written request to the Trustee to pursue the remedy;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of that series do not give the Trustee a direction that is inconsistent with the request.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Notwithstanding any other provision in the Indenture, the Holder of any Notes shall have the right, which is absolute and unconditional, to receive payment of the principal of and any premium and (subject to Section 407)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Subsidiary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the last paragraph of Section 406,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Subject to Section 703(5), the Holders of a majority in aggregate principal amount of the then Outstanding Notes of either series shall have the right to direct the time, method and place of conducting any proceeding for exercising any remedy available to the Trustee with respect to that series, or exercising any trust or power conferred on the Trustee, with respect to that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20" w:firstLine="443"/>
        <w:spacing w:after="0" w:line="264" w:lineRule="auto"/>
        <w:tabs>
          <w:tab w:leader="none" w:pos="1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73"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that is not inconsistent with any such direction received from such Holders of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Existing Defaults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Holders of a majority in aggregate principal amount of the Outstanding Notes of either series may, on behalf of the Holders of all the Notes of that series, waive any existing Default or Event of Default with respect to that series and its consequences under the Indenture, except a continuing Default or Event of Default</w:t>
      </w:r>
    </w:p>
    <w:p>
      <w:pPr>
        <w:spacing w:after="0" w:line="73" w:lineRule="exact"/>
        <w:rPr>
          <w:sz w:val="20"/>
          <w:szCs w:val="20"/>
          <w:color w:val="auto"/>
        </w:rPr>
      </w:pPr>
    </w:p>
    <w:p>
      <w:pPr>
        <w:ind w:left="460" w:right="40" w:firstLine="443"/>
        <w:spacing w:after="0" w:line="277"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such Notes (including any Note which is required to have been purchased by the Issuer pursuant to an offer to purchase by the Issuer made pursuant to the terms of the Indenture), or</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Ten cannot be modified or amended without the consent of the Holder of each Outstanding Note affected.</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this Section nor the Trust Indenture Act shall be deemed to authorize any court to require such an undertaking or to make such an assessment in any suit instituted by the 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Waiver of Usury, Stay or Extension Laws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If a default occurs hereunder with respect to either series of Notes which is known to the Trustee, the Trustee shall give the Holders of the Notes of that series notice of such default as and to the extent provided by the Trust Indenture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default of the character specified in Section 601(4) or 601(5),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701: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9" w:name="page60"/>
    <w:bookmarkEnd w:id="59"/>
    <w:p>
      <w:pPr>
        <w:ind w:right="60" w:firstLine="443"/>
        <w:spacing w:after="0" w:line="264"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firstLine="443"/>
        <w:spacing w:after="0" w:line="277"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right="160" w:firstLine="443"/>
        <w:spacing w:after="0" w:line="264"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right="920" w:firstLine="443"/>
        <w:spacing w:after="0" w:line="342" w:lineRule="auto"/>
        <w:tabs>
          <w:tab w:leader="none" w:pos="69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jc w:val="both"/>
        <w:ind w:right="140" w:firstLine="443"/>
        <w:spacing w:after="0" w:line="286" w:lineRule="auto"/>
        <w:tabs>
          <w:tab w:leader="none" w:pos="6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180" w:firstLine="443"/>
        <w:spacing w:after="0" w:line="257"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80" w:lineRule="exact"/>
        <w:rPr>
          <w:rFonts w:ascii="Arial" w:cs="Arial" w:eastAsia="Arial" w:hAnsi="Arial"/>
          <w:sz w:val="18"/>
          <w:szCs w:val="18"/>
          <w:color w:val="auto"/>
        </w:rPr>
      </w:pPr>
    </w:p>
    <w:p>
      <w:pPr>
        <w:ind w:right="240" w:firstLine="443"/>
        <w:spacing w:after="0" w:line="264"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authorized or within its rights;</w:t>
      </w:r>
    </w:p>
    <w:p>
      <w:pPr>
        <w:spacing w:after="0" w:line="117" w:lineRule="exact"/>
        <w:rPr>
          <w:rFonts w:ascii="Arial" w:cs="Arial" w:eastAsia="Arial" w:hAnsi="Arial"/>
          <w:sz w:val="18"/>
          <w:szCs w:val="18"/>
          <w:color w:val="auto"/>
        </w:rPr>
      </w:pPr>
    </w:p>
    <w:p>
      <w:pPr>
        <w:ind w:right="200" w:firstLine="443"/>
        <w:spacing w:after="0" w:line="259" w:lineRule="auto"/>
        <w:tabs>
          <w:tab w:leader="none" w:pos="6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78" w:lineRule="exact"/>
        <w:rPr>
          <w:rFonts w:ascii="Arial" w:cs="Arial" w:eastAsia="Arial" w:hAnsi="Arial"/>
          <w:sz w:val="18"/>
          <w:szCs w:val="18"/>
          <w:color w:val="auto"/>
        </w:rPr>
      </w:pPr>
    </w:p>
    <w:p>
      <w:pPr>
        <w:ind w:right="100" w:firstLine="443"/>
        <w:spacing w:after="0" w:line="264"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0"/>
          </w:cols>
          <w:pgMar w:left="700" w:top="274" w:right="239" w:bottom="1440" w:gutter="0" w:footer="0" w:header="0"/>
        </w:sectPr>
      </w:pPr>
    </w:p>
    <w:bookmarkStart w:id="60" w:name="page61"/>
    <w:bookmarkEnd w:id="60"/>
    <w:p>
      <w:pPr>
        <w:ind w:left="46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signature believed by it to be genuine and may assume that any person purporting to give receipt or advice to make any statement or execute any document in connection with the provisions hereof has been duly authorized to do so; and</w:t>
      </w:r>
    </w:p>
    <w:p>
      <w:pPr>
        <w:spacing w:after="0" w:line="62" w:lineRule="exact"/>
        <w:rPr>
          <w:sz w:val="20"/>
          <w:szCs w:val="20"/>
          <w:color w:val="auto"/>
        </w:rPr>
      </w:pPr>
    </w:p>
    <w:p>
      <w:pPr>
        <w:ind w:left="460" w:right="140" w:firstLine="443"/>
        <w:spacing w:after="0" w:line="264"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Not Responsible for Recitals or Issuance of Notes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May Hold Notes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Trustee, any Authenticating Agent, any Paying Agent, any Registrar or any other agent of the Issuer, in its individual or any other capacity, may become the owner or pledgee of Notes and, subject to Sections 708 and 713, may otherwise deal with the Issuer with the same rights it would have if it were not Trustee, Authenticating Agent, Paying Agent, Registrar or such other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agrees:</w:t>
      </w:r>
    </w:p>
    <w:p>
      <w:pPr>
        <w:spacing w:after="0" w:line="117" w:lineRule="exact"/>
        <w:rPr>
          <w:sz w:val="20"/>
          <w:szCs w:val="20"/>
          <w:color w:val="auto"/>
        </w:rPr>
      </w:pPr>
    </w:p>
    <w:p>
      <w:pPr>
        <w:ind w:left="460" w:right="200" w:firstLine="443"/>
        <w:spacing w:after="0" w:line="27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left="460" w:right="20" w:firstLine="443"/>
        <w:spacing w:after="0" w:line="312" w:lineRule="auto"/>
        <w:tabs>
          <w:tab w:leader="none" w:pos="1153"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except any such expense, disbursement or advance as may be attributable to its gross negligence or willful misconduct; and</w:t>
      </w:r>
    </w:p>
    <w:p>
      <w:pPr>
        <w:spacing w:after="0" w:line="38" w:lineRule="exact"/>
        <w:rPr>
          <w:rFonts w:ascii="Arial" w:cs="Arial" w:eastAsia="Arial" w:hAnsi="Arial"/>
          <w:sz w:val="16"/>
          <w:szCs w:val="16"/>
          <w:color w:val="auto"/>
        </w:rPr>
      </w:pPr>
    </w:p>
    <w:p>
      <w:pPr>
        <w:ind w:left="460" w:firstLine="443"/>
        <w:spacing w:after="0" w:line="257" w:lineRule="auto"/>
        <w:tabs>
          <w:tab w:leader="none" w:pos="11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When the Trustee incurs expenses or renders services after the occurrence of an Event of Default specified in paragraph (7) or (8) of Section 601 of the Indenture, such expenses and the compensation for such services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74" w:right="319" w:bottom="1440" w:gutter="0" w:footer="0" w:header="0"/>
        </w:sectPr>
      </w:pPr>
    </w:p>
    <w:bookmarkStart w:id="61" w:name="page62"/>
    <w:bookmarkEnd w:id="61"/>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w:t>
      </w:r>
    </w:p>
    <w:p>
      <w:pPr>
        <w:spacing w:after="0" w:line="2"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assignment for the benefit of creditors or any other marshaling of assets and liabilities of such Person.</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obligations of the Issuer under this Section 707 shall survive the satisfaction and discharge of this Indenture.</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To secure the Issuer’s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Conflicting Interests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 To the extent permitted by the Trust Indenture Act, the Trustee shall not be deemed to have a conflicting interest by virtue of being a trustee under the Base Indenture with respect to Securities of more than one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There shall at all times be one (and only one) Trustee hereunder with respect to the Notes.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Notes shall cease to be eligible in accordance with the provisions of this Section, it shall resign immediately in the manner and with the effect hereinafter specified in this Article.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711.</w:t>
      </w:r>
    </w:p>
    <w:p>
      <w:pPr>
        <w:spacing w:after="0" w:line="170" w:lineRule="exact"/>
        <w:rPr>
          <w:sz w:val="20"/>
          <w:szCs w:val="20"/>
          <w:color w:val="auto"/>
        </w:rPr>
      </w:pPr>
    </w:p>
    <w:p>
      <w:pPr>
        <w:ind w:right="540" w:firstLine="456"/>
        <w:spacing w:after="0" w:line="312" w:lineRule="auto"/>
        <w:rPr>
          <w:sz w:val="20"/>
          <w:szCs w:val="20"/>
          <w:color w:val="auto"/>
        </w:rPr>
      </w:pPr>
      <w:r>
        <w:rPr>
          <w:rFonts w:ascii="Arial" w:cs="Arial" w:eastAsia="Arial" w:hAnsi="Arial"/>
          <w:sz w:val="16"/>
          <w:szCs w:val="16"/>
          <w:color w:val="auto"/>
        </w:rPr>
        <w:t>The Trustee may resign at any time with respect to the Notes by giving written notice thereof to the Issuer. If the instrument of acceptance by a successor Trustee required by Section 711 shall not have been delivered to the Trustee within 30 days after the giving of such notice of resignation, the resigning Trustee may petition any court of competent jurisdiction for the appointment of a successor Trustee with respect to the Notes.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62" w:name="page63"/>
    <w:bookmarkEnd w:id="62"/>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be removed at any time by Act of the Holders of a majority in aggregate principal amount of the Outstanding Notes (voting as a single class), delivered to the Trustee and to the Issuer.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460" w:firstLine="443"/>
        <w:spacing w:after="0" w:line="277"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fail to comply with Section 708 after written request therefor by the Issuer or by any Holder who has been a bona fide Holder of a Note for at least six months;</w:t>
      </w:r>
    </w:p>
    <w:p>
      <w:pPr>
        <w:spacing w:after="0" w:line="62" w:lineRule="exact"/>
        <w:rPr>
          <w:rFonts w:ascii="Arial" w:cs="Arial" w:eastAsia="Arial" w:hAnsi="Arial"/>
          <w:sz w:val="18"/>
          <w:szCs w:val="18"/>
          <w:color w:val="auto"/>
        </w:rPr>
      </w:pPr>
    </w:p>
    <w:p>
      <w:pPr>
        <w:ind w:left="460" w:right="480" w:firstLine="443"/>
        <w:spacing w:after="0" w:line="277"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709 and shall fail to resign after written request therefor by the Issuer or by any such Holder; or</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then, in any such case, (A) the Issuer by a resolution duly passed by its Board of Directors may remove the Trustee, or (B) subject to Section 614, any Holder who has been a bona fide Holder of a Note for at least six months may, on behalf of himself and all others similarly situated, petition any court of competent jurisdiction for the removal of the Trustee with respect to all Notes and the appointment of a successor Trustee or Trustees.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or Trustees with respect to the Notes and shall comply with the applicable requirements of Section 711.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711, become the successor Trustee with respect to the Notes and to that extent supersede the successor Trustee appointed by the Issuer. If no successor Trustee with respect to the Notes shall have been so appointed by the Issuer or the Holders and accepted appointment in the manner required by Section 711, any Holder who has been a bona fide Holder of a Note for at least six months may, on behalf of himself and all others similarly situated, petition any court of competent jurisdiction for the appointment of a successor Trustee with respect to the Notes.</w:t>
      </w:r>
    </w:p>
    <w:p>
      <w:pPr>
        <w:spacing w:after="0" w:line="17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Issuer shall give notice of each resignation and each removal of the Trustee and each appointment of a successor Trustee to all Holders of Notes in the manner provided in Section 206. Each notice shall include the name of the successor Trustee and the address of its Corporate Trust Office.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3" w:name="page64"/>
    <w:bookmarkEnd w:id="63"/>
    <w:p>
      <w:pPr>
        <w:ind w:right="1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Issuer</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406, and Notes so authenticated shall be entitled to the benefits of the Indenture and shall be valid and obligatory for all purposes as if authenticated by the Trustee hereunder. Wherever reference is made in this Supplemental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64" w:name="page65"/>
    <w:bookmarkEnd w:id="64"/>
    <w:p>
      <w:pPr>
        <w:ind w:right="4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206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707.</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Issuer to Furnish Trustee Names and Addresses of Holders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will furnish or cause to be furnished to the Trustee</w:t>
      </w:r>
    </w:p>
    <w:p>
      <w:pPr>
        <w:spacing w:after="0" w:line="117" w:lineRule="exact"/>
        <w:rPr>
          <w:sz w:val="20"/>
          <w:szCs w:val="20"/>
          <w:color w:val="auto"/>
        </w:rPr>
      </w:pPr>
    </w:p>
    <w:p>
      <w:pPr>
        <w:ind w:left="460" w:right="460" w:firstLine="443"/>
        <w:spacing w:after="0" w:line="308" w:lineRule="auto"/>
        <w:tabs>
          <w:tab w:leader="none" w:pos="11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semi-annually, not later than each Interest Payment Date for the Notes of each series in each year, a list, in such form as the Trustee may reasonably require, of the names and addresses of the Holders of Notes as of the preceding Regular Record Date,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5" w:name="page66"/>
    <w:bookmarkEnd w:id="65"/>
    <w:p>
      <w:pPr>
        <w:ind w:left="460" w:right="300" w:firstLine="443"/>
        <w:spacing w:after="0" w:line="277"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such other times as the Trustee may request in writing, within 30 days after the receipt by the Issuer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801 and the names and addresses of Holders received by the Trustee in its capacity as Registrar. The Trustee may destroy any list furnished to it as provided in Section 801 upon receipt of a new list so furnished.</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Every Holder of Notes, by receiving and holding the same, agrees with the Issuer and the Trustee that neither the Issuer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Reports by Issuer</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64"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73"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Parent Guarantor were required to file such reports.</w:t>
      </w:r>
    </w:p>
    <w:p>
      <w:pPr>
        <w:spacing w:after="0" w:line="236" w:lineRule="exact"/>
        <w:rPr>
          <w:rFonts w:ascii="Arial" w:cs="Arial" w:eastAsia="Arial" w:hAnsi="Arial"/>
          <w:sz w:val="17"/>
          <w:szCs w:val="17"/>
          <w:color w:val="auto"/>
        </w:rPr>
      </w:pPr>
    </w:p>
    <w:p>
      <w:pPr>
        <w:ind w:right="60" w:firstLine="464"/>
        <w:spacing w:after="0" w:line="25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66" w:name="page67"/>
    <w:bookmarkEnd w:id="66"/>
    <w:p>
      <w:pPr>
        <w:ind w:right="40" w:firstLine="464"/>
        <w:spacing w:after="0" w:line="308" w:lineRule="auto"/>
        <w:tabs>
          <w:tab w:leader="none" w:pos="701"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reports, information and documents to the Trustee under this Section 804 is for informational purposes only and the Trustee’s receipt of the foregoing shall not constitute constructive notice of any information contained therein or determinable from information contained therein.</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Issuer and Guarantors May Consolidate, Etc., Only on Certain Terms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62" w:lineRule="exact"/>
        <w:rPr>
          <w:sz w:val="20"/>
          <w:szCs w:val="20"/>
          <w:color w:val="auto"/>
        </w:rPr>
      </w:pPr>
    </w:p>
    <w:p>
      <w:pPr>
        <w:ind w:left="460" w:right="60" w:firstLine="443"/>
        <w:spacing w:after="0" w:line="285" w:lineRule="auto"/>
        <w:tabs>
          <w:tab w:leader="none" w:pos="1153"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on the part of the Issuer to be performed or observed or</w:t>
      </w:r>
    </w:p>
    <w:p>
      <w:pPr>
        <w:spacing w:after="0" w:line="2" w:lineRule="exact"/>
        <w:rPr>
          <w:rFonts w:ascii="Arial" w:cs="Arial" w:eastAsia="Arial" w:hAnsi="Arial"/>
          <w:sz w:val="16"/>
          <w:szCs w:val="16"/>
          <w:color w:val="auto"/>
        </w:rPr>
      </w:pPr>
    </w:p>
    <w:p>
      <w:pPr>
        <w:ind w:left="460" w:right="600" w:firstLine="4"/>
        <w:spacing w:after="0" w:line="290" w:lineRule="auto"/>
        <w:tabs>
          <w:tab w:leader="none" w:pos="7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case of a Successor Person to such Guarantor, all of the obligations of such Guarantor under the Guarantee of such Guarantor and the performance or observance of every covenant of the Indenture on the part of such Guarantor to be performed or observed;</w:t>
      </w:r>
    </w:p>
    <w:p>
      <w:pPr>
        <w:spacing w:after="0" w:line="53" w:lineRule="exact"/>
        <w:rPr>
          <w:rFonts w:ascii="Arial" w:cs="Arial" w:eastAsia="Arial" w:hAnsi="Arial"/>
          <w:sz w:val="17"/>
          <w:szCs w:val="17"/>
          <w:color w:val="auto"/>
        </w:rPr>
      </w:pPr>
    </w:p>
    <w:p>
      <w:pPr>
        <w:ind w:left="1160" w:hanging="257"/>
        <w:spacing w:after="0"/>
        <w:tabs>
          <w:tab w:leader="none" w:pos="11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Default shall have occurred and be continuing; and</w:t>
      </w:r>
    </w:p>
    <w:p>
      <w:pPr>
        <w:spacing w:after="0" w:line="128" w:lineRule="exact"/>
        <w:rPr>
          <w:rFonts w:ascii="Arial" w:cs="Arial" w:eastAsia="Arial" w:hAnsi="Arial"/>
          <w:sz w:val="17"/>
          <w:szCs w:val="17"/>
          <w:color w:val="auto"/>
        </w:rPr>
      </w:pPr>
    </w:p>
    <w:p>
      <w:pPr>
        <w:ind w:left="460" w:right="80" w:firstLine="443"/>
        <w:spacing w:after="0" w:line="312" w:lineRule="auto"/>
        <w:tabs>
          <w:tab w:leader="none" w:pos="1153"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However, clause (1) of this Section 901 shall not apply in circumstances under which Section 1504 provides for the release of the Guarantee of such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901,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74" w:right="29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TEN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225"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6" w:lineRule="exact"/>
        <w:rPr>
          <w:sz w:val="20"/>
          <w:szCs w:val="20"/>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Article Nine;</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add any Guarantor or to acknowledge the release of any Guarantor from any of its obligations under its Guarantee and the other provisions of the Indenture (to the extent in accordance with the Indenture);</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contained in the Prospectus Supplement, to the extent that such provision in such “Description of Notes” was intended to be a substantially verbatim recitation of a provision of the Indenture, the Guarantees or the Notes; or</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1001 may be executed by the Issuer, the Guarantors and the Trustee without the consent of the Holders, notwithstanding any of the provisions of Section 1002.</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27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the consent of the Holders of a majority in aggregate principal amount of the Outstanding Notes of each series affected thereby (voting as a separate class), including, without limitation, consents obtained in connection with a purchase of, or tender offer or exchange offer for, the Notes, the Issuer, the Guarantors and the Trustee may amend or supplement the Indenture, the Notes or any Guarantees or, subject to Section 613,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85" w:lineRule="exact"/>
        <w:rPr>
          <w:sz w:val="20"/>
          <w:szCs w:val="20"/>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117" w:lineRule="exact"/>
        <w:rPr>
          <w:rFonts w:ascii="Arial" w:cs="Arial" w:eastAsia="Arial" w:hAnsi="Arial"/>
          <w:sz w:val="18"/>
          <w:szCs w:val="18"/>
          <w:color w:val="auto"/>
        </w:rPr>
      </w:pPr>
    </w:p>
    <w:p>
      <w:pPr>
        <w:ind w:left="460" w:right="180" w:firstLine="443"/>
        <w:spacing w:after="0" w:line="259"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Section 1107) shall not be deemed a redemption of the Notes;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reduce the percentage of Holders necessary to consent to an amendment, supplement or waiver to the Indenture, the Guarantees or the Notes;</w:t>
      </w:r>
    </w:p>
    <w:p>
      <w:pPr>
        <w:spacing w:after="0" w:line="140" w:lineRule="exact"/>
        <w:rPr>
          <w:rFonts w:ascii="Arial" w:cs="Arial" w:eastAsia="Arial" w:hAnsi="Arial"/>
          <w:sz w:val="16"/>
          <w:szCs w:val="16"/>
          <w:color w:val="auto"/>
        </w:rPr>
      </w:pPr>
    </w:p>
    <w:p>
      <w:pPr>
        <w:ind w:left="460" w:right="200" w:firstLine="443"/>
        <w:spacing w:after="0" w:line="308" w:lineRule="auto"/>
        <w:tabs>
          <w:tab w:leader="none" w:pos="1153" w:val="left"/>
        </w:tabs>
        <w:numPr>
          <w:ilvl w:val="0"/>
          <w:numId w:val="62"/>
        </w:numPr>
        <w:rPr>
          <w:rFonts w:ascii="Arial" w:cs="Arial" w:eastAsia="Arial" w:hAnsi="Arial"/>
          <w:sz w:val="17"/>
          <w:szCs w:val="17"/>
          <w:color w:val="auto"/>
        </w:rPr>
      </w:pPr>
      <w:r>
        <w:rPr>
          <w:rFonts w:ascii="Arial" w:cs="Arial" w:eastAsia="Arial" w:hAnsi="Arial"/>
          <w:sz w:val="17"/>
          <w:szCs w:val="17"/>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38" w:lineRule="exact"/>
        <w:rPr>
          <w:rFonts w:ascii="Arial" w:cs="Arial" w:eastAsia="Arial" w:hAnsi="Arial"/>
          <w:sz w:val="17"/>
          <w:szCs w:val="17"/>
          <w:color w:val="auto"/>
        </w:rPr>
      </w:pPr>
    </w:p>
    <w:p>
      <w:pPr>
        <w:ind w:left="460" w:right="4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 any change in these amendment, supplement and waiver provisions.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After an amendment or supplement under this Section 1002 becomes effective, the Issuer shall send to the Holders of each consenting series a notice briefly describing such amendment or supplement. However, the failure to give such notice to all such Holders, or any defect in the notice, will not impair or affect the validity of the amendment or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Reference in Notes to Supplemental Indentures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Payment of Principal, Premium, Interest and Additional Amounts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Issuer covenants and agrees for the benefit of the Notes that it will duly and punctually pay the principal of and any premium and interest on the Notes of each series, including any Additional Amounts, in accordance with the terms of such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88"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Issuer will pay interest (including post-petition interest in any proceeding under any applicable Federal or State bankruptcy, insolvency, reorganization or similar law) on overdue principal and premium, if any, at the interest rate specified in the Notes of each series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70" w:name="page71"/>
    <w:bookmarkEnd w:id="70"/>
    <w:p>
      <w:pPr>
        <w:ind w:right="6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payments and deliveries made by or on behalf of the Issuer or a Guarantor, or any successor to any of them, under or with respect to the Notes of each series, including, but not limited to payments of principal and interest and any payments under the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Additional Amounts will be payable:</w:t>
      </w:r>
    </w:p>
    <w:p>
      <w:pPr>
        <w:spacing w:after="0" w:line="185"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117" w:lineRule="exact"/>
        <w:rPr>
          <w:rFonts w:ascii="Arial" w:cs="Arial" w:eastAsia="Arial" w:hAnsi="Arial"/>
          <w:sz w:val="18"/>
          <w:szCs w:val="18"/>
          <w:color w:val="auto"/>
        </w:rPr>
      </w:pPr>
    </w:p>
    <w:p>
      <w:pPr>
        <w:ind w:left="920" w:right="200" w:firstLine="421"/>
        <w:spacing w:after="0" w:line="255" w:lineRule="auto"/>
        <w:tabs>
          <w:tab w:leader="none" w:pos="1555" w:val="left"/>
        </w:tabs>
        <w:numPr>
          <w:ilvl w:val="2"/>
          <w:numId w:val="63"/>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81" w:lineRule="exact"/>
        <w:rPr>
          <w:rFonts w:ascii="Arial" w:cs="Arial" w:eastAsia="Arial" w:hAnsi="Arial"/>
          <w:sz w:val="18"/>
          <w:szCs w:val="18"/>
          <w:color w:val="auto"/>
        </w:rPr>
      </w:pPr>
    </w:p>
    <w:p>
      <w:pPr>
        <w:jc w:val="both"/>
        <w:ind w:left="920" w:right="80" w:firstLine="421"/>
        <w:spacing w:after="0" w:line="259" w:lineRule="auto"/>
        <w:tabs>
          <w:tab w:leader="none" w:pos="1605"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the presentation of such Note (in cases in which presentation is required) more than 30 days after the later of the date on which the payment on such Note became due and payable pursuant to the terms thereof or was made or duly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for (except to the extent that the Holder or beneficial owner would have been entitled to Additional Amounts had the Note been presented on the last day of such 30-day period); or</w:t>
      </w:r>
    </w:p>
    <w:p>
      <w:pPr>
        <w:spacing w:after="0" w:line="78" w:lineRule="exact"/>
        <w:rPr>
          <w:rFonts w:ascii="Arial" w:cs="Arial" w:eastAsia="Arial" w:hAnsi="Arial"/>
          <w:sz w:val="18"/>
          <w:szCs w:val="18"/>
          <w:color w:val="auto"/>
        </w:rPr>
      </w:pPr>
    </w:p>
    <w:p>
      <w:pPr>
        <w:ind w:left="920" w:firstLine="421"/>
        <w:spacing w:after="0" w:line="255" w:lineRule="auto"/>
        <w:tabs>
          <w:tab w:leader="none" w:pos="1655"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71" w:name="page72"/>
    <w:bookmarkEnd w:id="71"/>
    <w:p>
      <w:pPr>
        <w:ind w:left="1160" w:hanging="25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estate, inheritance, gift, sale, transfer, personal property or similar Applicable Taxes;</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62" w:lineRule="exact"/>
        <w:rPr>
          <w:rFonts w:ascii="Arial" w:cs="Arial" w:eastAsia="Arial" w:hAnsi="Arial"/>
          <w:sz w:val="18"/>
          <w:szCs w:val="18"/>
          <w:color w:val="auto"/>
        </w:rPr>
      </w:pPr>
    </w:p>
    <w:p>
      <w:pPr>
        <w:ind w:left="460" w:right="200" w:firstLine="443"/>
        <w:spacing w:after="0" w:line="308" w:lineRule="auto"/>
        <w:tabs>
          <w:tab w:leader="none" w:pos="1153"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38" w:lineRule="exact"/>
        <w:rPr>
          <w:rFonts w:ascii="Arial" w:cs="Arial" w:eastAsia="Arial" w:hAnsi="Arial"/>
          <w:sz w:val="17"/>
          <w:szCs w:val="17"/>
          <w:color w:val="auto"/>
        </w:rPr>
      </w:pPr>
    </w:p>
    <w:p>
      <w:pPr>
        <w:ind w:left="1140" w:hanging="237"/>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225"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186" w:lineRule="exact"/>
        <w:rPr>
          <w:rFonts w:ascii="Arial" w:cs="Arial" w:eastAsia="Arial" w:hAnsi="Arial"/>
          <w:sz w:val="18"/>
          <w:szCs w:val="18"/>
          <w:color w:val="auto"/>
        </w:rPr>
      </w:pPr>
    </w:p>
    <w:p>
      <w:pPr>
        <w:ind w:right="200" w:firstLine="464"/>
        <w:spacing w:after="0" w:line="279" w:lineRule="auto"/>
        <w:tabs>
          <w:tab w:leader="none" w:pos="7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171" w:lineRule="exact"/>
        <w:rPr>
          <w:rFonts w:ascii="Arial" w:cs="Arial" w:eastAsia="Arial" w:hAnsi="Arial"/>
          <w:sz w:val="17"/>
          <w:szCs w:val="17"/>
          <w:color w:val="auto"/>
        </w:rPr>
      </w:pPr>
    </w:p>
    <w:p>
      <w:pPr>
        <w:jc w:val="both"/>
        <w:ind w:right="120" w:firstLine="464"/>
        <w:spacing w:after="0" w:line="259"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clause 1(c) of this Section 1101). For the avoidance of doubt, the indemnification provided in this paragraph shall not include any Transfer Taxes or stamp duty arising from the transfer of Notes between Holders or in the ordinary course after the Issue Date.</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after the date of the Prospectus Supplement,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2" w:name="page73"/>
    <w:bookmarkEnd w:id="72"/>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Whenever there is mentioned in the Indenture or the Notes in any context the payment of interest on any Note or any other amount payable with respect to such Note, such mention shall be deemed to include payment of Additional Amounts provided for in this Section 1101 to the extent that, in such context, Additional Amounts are, were or would be payable in respect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Deutsche Bank Trust Company Americas at its Corporate Trust Office as the Issuer’s office or agency in such city where the Notes may be presented or surrendered for payment.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Money for Notes Payments to Be Held in Trust</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73" w:name="page74"/>
    <w:bookmarkEnd w:id="73"/>
    <w:p>
      <w:pPr>
        <w:ind w:right="2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Annual Compliance Certificate; Statement by Officers as to Default</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73" w:lineRule="auto"/>
        <w:tabs>
          <w:tab w:leader="none" w:pos="7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78" w:lineRule="exact"/>
        <w:rPr>
          <w:rFonts w:ascii="Arial" w:cs="Arial" w:eastAsia="Arial" w:hAnsi="Arial"/>
          <w:sz w:val="17"/>
          <w:szCs w:val="17"/>
          <w:color w:val="auto"/>
        </w:rPr>
      </w:pPr>
    </w:p>
    <w:p>
      <w:pPr>
        <w:ind w:right="240" w:firstLine="464"/>
        <w:spacing w:after="0" w:line="308" w:lineRule="auto"/>
        <w:tabs>
          <w:tab w:leader="none" w:pos="7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1105. </w:t>
      </w:r>
      <w:r>
        <w:rPr>
          <w:rFonts w:ascii="Arial" w:cs="Arial" w:eastAsia="Arial" w:hAnsi="Arial"/>
          <w:sz w:val="18"/>
          <w:szCs w:val="18"/>
          <w:u w:val="single" w:color="auto"/>
          <w:color w:val="auto"/>
        </w:rPr>
        <w:t>Existence</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Subject to Article Nine, the Issuer and each Guarantor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Limitation on Designation of Unrestricted Subsidiaries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73" w:lineRule="exact"/>
        <w:rPr>
          <w:sz w:val="20"/>
          <w:szCs w:val="20"/>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117"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Parent Guarantor would be permitted to make, at the time of such Designation, (a) a Permitted Investment or (b) an Investment pursuant to Section 1109, in either case, in an amount (the “Designation Amount”) equal to the Fair Market Value of the Parent Guarantor’s proportionate interest in such Subsidiary on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117" w:lineRule="exact"/>
        <w:rPr>
          <w:sz w:val="20"/>
          <w:szCs w:val="20"/>
          <w:color w:val="auto"/>
        </w:rPr>
      </w:pPr>
    </w:p>
    <w:p>
      <w:pPr>
        <w:ind w:left="460" w:firstLine="443"/>
        <w:spacing w:after="0" w:line="276" w:lineRule="auto"/>
        <w:tabs>
          <w:tab w:leader="none" w:pos="115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1108;</w:t>
      </w:r>
    </w:p>
    <w:p>
      <w:pPr>
        <w:spacing w:after="0" w:line="64" w:lineRule="exact"/>
        <w:rPr>
          <w:rFonts w:ascii="Arial" w:cs="Arial" w:eastAsia="Arial" w:hAnsi="Arial"/>
          <w:sz w:val="17"/>
          <w:szCs w:val="17"/>
          <w:color w:val="auto"/>
        </w:rPr>
      </w:pPr>
    </w:p>
    <w:p>
      <w:pPr>
        <w:jc w:val="both"/>
        <w:ind w:left="460" w:right="60" w:firstLine="443"/>
        <w:spacing w:after="0" w:line="302"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46" w:lineRule="exact"/>
        <w:rPr>
          <w:rFonts w:ascii="Arial" w:cs="Arial" w:eastAsia="Arial" w:hAnsi="Arial"/>
          <w:sz w:val="16"/>
          <w:szCs w:val="16"/>
          <w:color w:val="auto"/>
        </w:rPr>
      </w:pPr>
    </w:p>
    <w:p>
      <w:pPr>
        <w:ind w:left="460" w:right="80" w:firstLine="443"/>
        <w:spacing w:after="0" w:line="255"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5" w:name="page76"/>
    <w:bookmarkEnd w:id="75"/>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1108 or the Lien is not permitted under Section 1110, the Parent Guarantor shall be in default of the applicable covenant.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 only if:</w:t>
      </w:r>
    </w:p>
    <w:p>
      <w:pPr>
        <w:spacing w:after="0" w:line="140"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Purchase of Notes Upon a Change of Control</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occurrence of a Change of Control Triggering Event with respect to either series of Notes, unless the Issuer has previously or concurrently exercised its right to redeem all of the Notes of that series under Section 1203, each Holder of Notes of such series will have the right, except as provided below, to require that the Issuer purchase all or any part (equal to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62"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117" w:lineRule="exact"/>
        <w:rPr>
          <w:rFonts w:ascii="Arial" w:cs="Arial" w:eastAsia="Arial" w:hAnsi="Arial"/>
          <w:sz w:val="18"/>
          <w:szCs w:val="18"/>
          <w:color w:val="auto"/>
        </w:rPr>
      </w:pPr>
    </w:p>
    <w:p>
      <w:pPr>
        <w:jc w:val="both"/>
        <w:ind w:left="460" w:firstLine="443"/>
        <w:spacing w:after="0" w:line="302" w:lineRule="auto"/>
        <w:tabs>
          <w:tab w:leader="none" w:pos="1153" w:val="left"/>
        </w:tabs>
        <w:numPr>
          <w:ilvl w:val="0"/>
          <w:numId w:val="70"/>
        </w:numPr>
        <w:rPr>
          <w:rFonts w:ascii="Arial" w:cs="Arial" w:eastAsia="Arial" w:hAnsi="Arial"/>
          <w:sz w:val="16"/>
          <w:szCs w:val="16"/>
          <w:color w:val="auto"/>
        </w:rPr>
      </w:pPr>
      <w:r>
        <w:rPr>
          <w:rFonts w:ascii="Arial" w:cs="Arial" w:eastAsia="Arial" w:hAnsi="Arial"/>
          <w:sz w:val="16"/>
          <w:szCs w:val="16"/>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of such series that are properly tendered by such Holder pursuant to such Change of Control Offer prior to 5:00 p.m., New York City time, on the second Business Day preceding the Change of Control Payment Date; and</w:t>
      </w:r>
    </w:p>
    <w:p>
      <w:pPr>
        <w:spacing w:after="0" w:line="46" w:lineRule="exact"/>
        <w:rPr>
          <w:rFonts w:ascii="Arial" w:cs="Arial" w:eastAsia="Arial" w:hAnsi="Arial"/>
          <w:sz w:val="16"/>
          <w:szCs w:val="16"/>
          <w:color w:val="auto"/>
        </w:rPr>
      </w:pPr>
    </w:p>
    <w:p>
      <w:pPr>
        <w:ind w:left="460" w:right="54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6" w:name="page77"/>
    <w:bookmarkEnd w:id="76"/>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460" w:right="16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1203, unless and until there is a default in the payment of the applicable Redemption Price.</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Holders of not less than 95.0% in aggregate principal amount of the Outstanding Notes of a series validly tender and do not withdraw such Notes in a Change of Control Offer and the Issuer, or any third party making a Change of Control Offer in lieu of the Issuer as described above, purchases all of the Notes of that series validly tendered and not withdrawn by such Holders, the Issuer will have the right, upon not less than 30 nor more than 60 days’ prior notice, given not more than 30 days following such purchase pursuant to the Change of Control Offer to redeem all Notes of that series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1107, the Issuer shall comply with the applicable securities laws and regulations and will not be deemed to have breached its obligations under this Section 1107 by virtue of such compliance.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77" w:name="page78"/>
    <w:bookmarkEnd w:id="77"/>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Limitation on Additional Indebtedness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The Parent Guarantor will not, and will not permit any Restricted Subsidiary to, directly or indirectly, incur any Indebtedness (including Acquired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117" w:lineRule="exact"/>
        <w:rPr>
          <w:sz w:val="20"/>
          <w:szCs w:val="20"/>
          <w:color w:val="auto"/>
        </w:rPr>
      </w:pPr>
    </w:p>
    <w:p>
      <w:pPr>
        <w:ind w:left="460" w:right="40" w:firstLine="443"/>
        <w:spacing w:after="0" w:line="259"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 (i) $2,000.0 million or (ii)17.5% of the Parent Guarantor’s Consolidated Tangible Assets determined at the time of incurrence;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under (a) the Notes issued on the Issue Date and (b) the Guarantees of the Notes;</w:t>
      </w:r>
    </w:p>
    <w:p>
      <w:pPr>
        <w:spacing w:after="0" w:line="117"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event such Indebtedness that is being guaranteed is Subordinated Indebtedness, then the related guarantee shall be subordinated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payment to the Notes or the Guarantees, as the case may be, and (b) guarantees of Indebtedness incurred by Restricted Subsidiaries that are not Guarantors;</w:t>
      </w:r>
    </w:p>
    <w:p>
      <w:pPr>
        <w:spacing w:after="0" w:line="78"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170" w:lineRule="exact"/>
        <w:rPr>
          <w:rFonts w:ascii="Arial" w:cs="Arial" w:eastAsia="Arial" w:hAnsi="Arial"/>
          <w:sz w:val="18"/>
          <w:szCs w:val="18"/>
          <w:color w:val="auto"/>
        </w:rPr>
      </w:pPr>
    </w:p>
    <w:p>
      <w:pPr>
        <w:ind w:left="460" w:right="60" w:firstLine="443"/>
        <w:spacing w:after="0" w:line="288" w:lineRule="auto"/>
        <w:tabs>
          <w:tab w:leader="none" w:pos="1153"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w:t>
      </w:r>
    </w:p>
    <w:p>
      <w:pPr>
        <w:ind w:left="460" w:right="120" w:firstLine="4"/>
        <w:spacing w:after="0" w:line="261" w:lineRule="auto"/>
        <w:tabs>
          <w:tab w:leader="none" w:pos="7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8" w:name="page79"/>
    <w:bookmarkEnd w:id="78"/>
    <w:p>
      <w:pPr>
        <w:ind w:right="40" w:firstLine="443"/>
        <w:spacing w:after="0" w:line="272" w:lineRule="auto"/>
        <w:tabs>
          <w:tab w:leader="none" w:pos="693" w:val="left"/>
        </w:tabs>
        <w:numPr>
          <w:ilvl w:val="1"/>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69" w:lineRule="exact"/>
        <w:rPr>
          <w:rFonts w:ascii="Arial" w:cs="Arial" w:eastAsia="Arial" w:hAnsi="Arial"/>
          <w:sz w:val="17"/>
          <w:szCs w:val="17"/>
          <w:color w:val="auto"/>
        </w:rPr>
      </w:pPr>
    </w:p>
    <w:p>
      <w:pPr>
        <w:ind w:right="220" w:firstLine="443"/>
        <w:spacing w:after="0" w:line="291" w:lineRule="auto"/>
        <w:tabs>
          <w:tab w:leader="none" w:pos="693" w:val="left"/>
        </w:tabs>
        <w:numPr>
          <w:ilvl w:val="1"/>
          <w:numId w:val="74"/>
        </w:numPr>
        <w:rPr>
          <w:rFonts w:ascii="Arial" w:cs="Arial" w:eastAsia="Arial" w:hAnsi="Arial"/>
          <w:sz w:val="16"/>
          <w:szCs w:val="16"/>
          <w:color w:val="auto"/>
        </w:rPr>
      </w:pPr>
      <w:r>
        <w:rPr>
          <w:rFonts w:ascii="Arial" w:cs="Arial" w:eastAsia="Arial" w:hAnsi="Arial"/>
          <w:sz w:val="16"/>
          <w:szCs w:val="16"/>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$500.0 million or</w:t>
      </w:r>
    </w:p>
    <w:p>
      <w:pPr>
        <w:ind w:left="260" w:hanging="256"/>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5.0% of the Parent Guarantor’s Consolidated Tangible Assets determined at the time of incurrence;</w:t>
      </w:r>
    </w:p>
    <w:p>
      <w:pPr>
        <w:spacing w:after="0" w:line="102" w:lineRule="exact"/>
        <w:rPr>
          <w:rFonts w:ascii="Arial" w:cs="Arial" w:eastAsia="Arial" w:hAnsi="Arial"/>
          <w:sz w:val="18"/>
          <w:szCs w:val="18"/>
          <w:color w:val="auto"/>
        </w:rPr>
      </w:pPr>
    </w:p>
    <w:p>
      <w:pPr>
        <w:ind w:right="400" w:firstLine="443"/>
        <w:spacing w:after="0" w:line="277" w:lineRule="auto"/>
        <w:tabs>
          <w:tab w:leader="none" w:pos="6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62" w:lineRule="exact"/>
        <w:rPr>
          <w:rFonts w:ascii="Arial" w:cs="Arial" w:eastAsia="Arial" w:hAnsi="Arial"/>
          <w:sz w:val="18"/>
          <w:szCs w:val="18"/>
          <w:color w:val="auto"/>
        </w:rPr>
      </w:pPr>
    </w:p>
    <w:p>
      <w:pPr>
        <w:ind w:right="80" w:firstLine="443"/>
        <w:spacing w:after="0" w:line="277" w:lineRule="auto"/>
        <w:tabs>
          <w:tab w:leader="none" w:pos="783"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62" w:lineRule="exact"/>
        <w:rPr>
          <w:rFonts w:ascii="Arial" w:cs="Arial" w:eastAsia="Arial" w:hAnsi="Arial"/>
          <w:sz w:val="18"/>
          <w:szCs w:val="18"/>
          <w:color w:val="auto"/>
        </w:rPr>
      </w:pPr>
    </w:p>
    <w:p>
      <w:pPr>
        <w:ind w:right="160" w:firstLine="443"/>
        <w:spacing w:after="0" w:line="277" w:lineRule="auto"/>
        <w:tabs>
          <w:tab w:leader="none" w:pos="7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62" w:lineRule="exact"/>
        <w:rPr>
          <w:rFonts w:ascii="Arial" w:cs="Arial" w:eastAsia="Arial" w:hAnsi="Arial"/>
          <w:sz w:val="18"/>
          <w:szCs w:val="18"/>
          <w:color w:val="auto"/>
        </w:rPr>
      </w:pPr>
    </w:p>
    <w:p>
      <w:pPr>
        <w:ind w:firstLine="443"/>
        <w:spacing w:after="0" w:line="259" w:lineRule="auto"/>
        <w:tabs>
          <w:tab w:leader="none" w:pos="783"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78" w:lineRule="exact"/>
        <w:rPr>
          <w:rFonts w:ascii="Arial" w:cs="Arial" w:eastAsia="Arial" w:hAnsi="Arial"/>
          <w:sz w:val="18"/>
          <w:szCs w:val="18"/>
          <w:color w:val="auto"/>
        </w:rPr>
      </w:pPr>
    </w:p>
    <w:p>
      <w:pPr>
        <w:ind w:right="120" w:firstLine="443"/>
        <w:spacing w:after="0" w:line="259" w:lineRule="auto"/>
        <w:tabs>
          <w:tab w:leader="none" w:pos="78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117" w:lineRule="exact"/>
        <w:rPr>
          <w:rFonts w:ascii="Arial" w:cs="Arial" w:eastAsia="Arial" w:hAnsi="Arial"/>
          <w:sz w:val="18"/>
          <w:szCs w:val="18"/>
          <w:color w:val="auto"/>
        </w:rPr>
      </w:pPr>
    </w:p>
    <w:p>
      <w:pPr>
        <w:ind w:right="220" w:firstLine="443"/>
        <w:spacing w:after="0" w:line="277" w:lineRule="auto"/>
        <w:tabs>
          <w:tab w:leader="none" w:pos="783"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 and</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80"/>
          </w:cols>
          <w:pgMar w:left="700" w:top="274" w:right="319" w:bottom="1440" w:gutter="0" w:footer="0" w:header="0"/>
        </w:sectPr>
      </w:pPr>
    </w:p>
    <w:bookmarkStart w:id="79" w:name="page80"/>
    <w:bookmarkEnd w:id="79"/>
    <w:p>
      <w:pPr>
        <w:ind w:left="460" w:firstLine="443"/>
        <w:spacing w:after="0" w:line="271" w:lineRule="auto"/>
        <w:tabs>
          <w:tab w:leader="none" w:pos="1243"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purposes of determining compliance with this Section 1108,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Section 1108;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8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0" w:name="page81"/>
    <w:bookmarkEnd w:id="80"/>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1108, the Issuer shall be in Default of this covenant).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62" w:lineRule="exact"/>
        <w:rPr>
          <w:sz w:val="20"/>
          <w:szCs w:val="20"/>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117"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73" w:lineRule="exact"/>
        <w:rPr>
          <w:rFonts w:ascii="Arial" w:cs="Arial" w:eastAsia="Arial" w:hAnsi="Arial"/>
          <w:sz w:val="18"/>
          <w:szCs w:val="18"/>
          <w:color w:val="auto"/>
        </w:rPr>
      </w:pPr>
    </w:p>
    <w:p>
      <w:pPr>
        <w:ind w:left="920" w:right="40" w:firstLine="421"/>
        <w:spacing w:after="0" w:line="259" w:lineRule="auto"/>
        <w:tabs>
          <w:tab w:leader="none" w:pos="1585" w:val="left"/>
        </w:tabs>
        <w:numPr>
          <w:ilvl w:val="2"/>
          <w:numId w:val="77"/>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78" w:lineRule="exact"/>
        <w:rPr>
          <w:rFonts w:ascii="Arial" w:cs="Arial" w:eastAsia="Arial" w:hAnsi="Arial"/>
          <w:sz w:val="18"/>
          <w:szCs w:val="18"/>
          <w:color w:val="auto"/>
        </w:rPr>
      </w:pPr>
    </w:p>
    <w:p>
      <w:pPr>
        <w:ind w:left="920" w:right="60" w:firstLine="421"/>
        <w:spacing w:after="0" w:line="284" w:lineRule="auto"/>
        <w:tabs>
          <w:tab w:leader="none" w:pos="1595" w:val="left"/>
        </w:tabs>
        <w:numPr>
          <w:ilvl w:val="2"/>
          <w:numId w:val="77"/>
        </w:numPr>
        <w:rPr>
          <w:rFonts w:ascii="Arial" w:cs="Arial" w:eastAsia="Arial" w:hAnsi="Arial"/>
          <w:sz w:val="16"/>
          <w:szCs w:val="16"/>
          <w:color w:val="auto"/>
        </w:rPr>
      </w:pPr>
      <w:r>
        <w:rPr>
          <w:rFonts w:ascii="Arial" w:cs="Arial" w:eastAsia="Arial" w:hAnsi="Arial"/>
          <w:sz w:val="16"/>
          <w:szCs w:val="16"/>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w:t>
      </w:r>
    </w:p>
    <w:p>
      <w:pPr>
        <w:spacing w:after="0" w:line="2" w:lineRule="exact"/>
        <w:rPr>
          <w:rFonts w:ascii="Arial" w:cs="Arial" w:eastAsia="Arial" w:hAnsi="Arial"/>
          <w:sz w:val="16"/>
          <w:szCs w:val="16"/>
          <w:color w:val="auto"/>
        </w:rPr>
      </w:pPr>
    </w:p>
    <w:p>
      <w:pPr>
        <w:ind w:left="920" w:right="620" w:firstLine="1"/>
        <w:spacing w:after="0" w:line="261" w:lineRule="auto"/>
        <w:tabs>
          <w:tab w:leader="none" w:pos="12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aggregate net cash proceeds, if any, received by the Parent Guarantor or any of its Restricted Subsidiaries upon any conversion or exchange described in clause (A) above, plus</w:t>
      </w:r>
    </w:p>
    <w:p>
      <w:pPr>
        <w:spacing w:after="0" w:line="75" w:lineRule="exact"/>
        <w:rPr>
          <w:rFonts w:ascii="Arial" w:cs="Arial" w:eastAsia="Arial" w:hAnsi="Arial"/>
          <w:sz w:val="18"/>
          <w:szCs w:val="18"/>
          <w:color w:val="auto"/>
        </w:rPr>
      </w:pPr>
    </w:p>
    <w:p>
      <w:pPr>
        <w:jc w:val="both"/>
        <w:ind w:left="920" w:right="120" w:firstLine="421"/>
        <w:spacing w:after="0" w:line="259" w:lineRule="auto"/>
        <w:tabs>
          <w:tab w:leader="none" w:pos="1585"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1" w:name="page82"/>
    <w:bookmarkEnd w:id="81"/>
    <w:p>
      <w:pPr>
        <w:ind w:left="460" w:right="20" w:firstLine="421"/>
        <w:spacing w:after="0" w:line="279" w:lineRule="auto"/>
        <w:tabs>
          <w:tab w:leader="none" w:pos="1135"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117" w:lineRule="exact"/>
        <w:rPr>
          <w:sz w:val="20"/>
          <w:szCs w:val="20"/>
          <w:color w:val="auto"/>
        </w:rPr>
      </w:pPr>
    </w:p>
    <w:p>
      <w:pPr>
        <w:ind w:right="160" w:firstLine="443"/>
        <w:spacing w:after="0" w:line="264" w:lineRule="auto"/>
        <w:tabs>
          <w:tab w:leader="none" w:pos="6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Restricted Payment made in exchange for, or out of the proceeds of, the substantially concurrent issuance and sale of Qualified Equity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102" w:lineRule="exact"/>
        <w:rPr>
          <w:rFonts w:ascii="Arial" w:cs="Arial" w:eastAsia="Arial" w:hAnsi="Arial"/>
          <w:sz w:val="16"/>
          <w:szCs w:val="16"/>
          <w:color w:val="auto"/>
        </w:rPr>
      </w:pPr>
    </w:p>
    <w:p>
      <w:pPr>
        <w:ind w:right="80" w:firstLine="443"/>
        <w:spacing w:after="0" w:line="264" w:lineRule="auto"/>
        <w:tabs>
          <w:tab w:leader="none" w:pos="6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1108 and the other terms of the Indenture;</w:t>
      </w:r>
    </w:p>
    <w:p>
      <w:pPr>
        <w:spacing w:after="0" w:line="73" w:lineRule="exact"/>
        <w:rPr>
          <w:rFonts w:ascii="Arial" w:cs="Arial" w:eastAsia="Arial" w:hAnsi="Arial"/>
          <w:sz w:val="18"/>
          <w:szCs w:val="18"/>
          <w:color w:val="auto"/>
        </w:rPr>
      </w:pPr>
    </w:p>
    <w:p>
      <w:pPr>
        <w:ind w:right="40" w:firstLine="443"/>
        <w:spacing w:after="0" w:line="255" w:lineRule="auto"/>
        <w:tabs>
          <w:tab w:leader="none" w:pos="6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1107;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 such covenant with respect to the Notes and has completed the repurchase or redemption of all Notes validly tendered for payment in connection with such Change of Control Offer;</w:t>
      </w:r>
    </w:p>
    <w:p>
      <w:pPr>
        <w:spacing w:after="0" w:line="85" w:lineRule="exact"/>
        <w:rPr>
          <w:rFonts w:ascii="Arial" w:cs="Arial" w:eastAsia="Arial" w:hAnsi="Arial"/>
          <w:sz w:val="18"/>
          <w:szCs w:val="18"/>
          <w:color w:val="auto"/>
        </w:rPr>
      </w:pPr>
    </w:p>
    <w:p>
      <w:pPr>
        <w:ind w:firstLine="443"/>
        <w:spacing w:after="0" w:line="270" w:lineRule="auto"/>
        <w:tabs>
          <w:tab w:leader="none" w:pos="6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in any case, that the aggregate cash consideration paid for all such redemptions, repurchases or other acquisitions or retirements shall not exceed (A) $50.0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700" w:top="274" w:right="259" w:bottom="1440" w:gutter="0" w:footer="0" w:header="0"/>
        </w:sectPr>
      </w:pPr>
    </w:p>
    <w:bookmarkStart w:id="82" w:name="page83"/>
    <w:bookmarkEnd w:id="82"/>
    <w:p>
      <w:pPr>
        <w:ind w:left="460"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Payments pursuant to this clause (5);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57" w:lineRule="exact"/>
        <w:rPr>
          <w:sz w:val="20"/>
          <w:szCs w:val="20"/>
          <w:color w:val="auto"/>
        </w:rPr>
      </w:pPr>
    </w:p>
    <w:p>
      <w:pPr>
        <w:ind w:left="460" w:firstLine="443"/>
        <w:spacing w:after="0" w:line="255"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85"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Section 1108 to the extent such dividends or distributions are included in the definition of Consolidated Interest Expense;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of Section 901;</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2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62" w:lineRule="exact"/>
        <w:rPr>
          <w:rFonts w:ascii="Arial" w:cs="Arial" w:eastAsia="Arial" w:hAnsi="Arial"/>
          <w:sz w:val="18"/>
          <w:szCs w:val="18"/>
          <w:color w:val="auto"/>
        </w:rPr>
      </w:pPr>
    </w:p>
    <w:p>
      <w:pPr>
        <w:ind w:left="460" w:right="320" w:firstLine="443"/>
        <w:spacing w:after="0" w:line="264"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2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other Restricted Payments from time to time in an aggregate amount since the Issue Date not to exceed the greater of (i) $100.0 million or (ii) 2.0% of the Parent Guarantor’s Consolidated Tangible Assets determined at the time made; or</w:t>
      </w:r>
    </w:p>
    <w:p>
      <w:pPr>
        <w:spacing w:after="0" w:line="62" w:lineRule="exact"/>
        <w:rPr>
          <w:rFonts w:ascii="Arial" w:cs="Arial" w:eastAsia="Arial" w:hAnsi="Arial"/>
          <w:sz w:val="18"/>
          <w:szCs w:val="18"/>
          <w:color w:val="auto"/>
        </w:rPr>
      </w:pPr>
    </w:p>
    <w:p>
      <w:pPr>
        <w:ind w:left="460" w:right="780" w:firstLine="443"/>
        <w:spacing w:after="0" w:line="277" w:lineRule="auto"/>
        <w:tabs>
          <w:tab w:leader="none" w:pos="12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Basket to the extent of such payment.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purposes of determining compliance with any U.S. dollar-denominated restriction on Restricted Payments denominated in a foreign currency, the U.S. dollar-equivalent amount of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 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80" w:lineRule="exact"/>
        <w:rPr>
          <w:sz w:val="20"/>
          <w:szCs w:val="20"/>
          <w:color w:val="auto"/>
        </w:rPr>
      </w:pPr>
    </w:p>
    <w:p>
      <w:pPr>
        <w:ind w:left="460" w:right="80" w:firstLine="443"/>
        <w:spacing w:after="0" w:line="342" w:lineRule="auto"/>
        <w:tabs>
          <w:tab w:leader="none" w:pos="1153" w:val="left"/>
        </w:tabs>
        <w:numPr>
          <w:ilvl w:val="1"/>
          <w:numId w:val="82"/>
        </w:numPr>
        <w:rPr>
          <w:rFonts w:ascii="Arial" w:cs="Arial" w:eastAsia="Arial" w:hAnsi="Arial"/>
          <w:sz w:val="16"/>
          <w:szCs w:val="16"/>
          <w:color w:val="auto"/>
        </w:rPr>
      </w:pPr>
      <w:r>
        <w:rPr>
          <w:rFonts w:ascii="Arial" w:cs="Arial" w:eastAsia="Arial" w:hAnsi="Arial"/>
          <w:sz w:val="16"/>
          <w:szCs w:val="16"/>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15" w:lineRule="exact"/>
        <w:rPr>
          <w:rFonts w:ascii="Arial" w:cs="Arial" w:eastAsia="Arial" w:hAnsi="Arial"/>
          <w:sz w:val="16"/>
          <w:szCs w:val="16"/>
          <w:color w:val="auto"/>
        </w:rPr>
      </w:pPr>
    </w:p>
    <w:p>
      <w:pPr>
        <w:ind w:left="1160" w:hanging="257"/>
        <w:spacing w:after="0"/>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117" w:lineRule="exact"/>
        <w:rPr>
          <w:rFonts w:ascii="Arial" w:cs="Arial" w:eastAsia="Arial" w:hAnsi="Arial"/>
          <w:sz w:val="18"/>
          <w:szCs w:val="18"/>
          <w:color w:val="auto"/>
        </w:rPr>
      </w:pPr>
    </w:p>
    <w:p>
      <w:pPr>
        <w:ind w:left="460" w:right="40" w:firstLine="443"/>
        <w:spacing w:after="0" w:line="285" w:lineRule="auto"/>
        <w:tabs>
          <w:tab w:leader="none" w:pos="1153" w:val="left"/>
        </w:tabs>
        <w:numPr>
          <w:ilvl w:val="1"/>
          <w:numId w:val="82"/>
        </w:numPr>
        <w:rPr>
          <w:rFonts w:ascii="Arial" w:cs="Arial" w:eastAsia="Arial" w:hAnsi="Arial"/>
          <w:sz w:val="16"/>
          <w:szCs w:val="16"/>
          <w:color w:val="auto"/>
        </w:rPr>
      </w:pPr>
      <w:r>
        <w:rPr>
          <w:rFonts w:ascii="Arial" w:cs="Arial" w:eastAsia="Arial" w:hAnsi="Arial"/>
          <w:sz w:val="16"/>
          <w:szCs w:val="16"/>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w:t>
      </w:r>
    </w:p>
    <w:p>
      <w:pPr>
        <w:spacing w:after="0" w:line="2" w:lineRule="exact"/>
        <w:rPr>
          <w:rFonts w:ascii="Arial" w:cs="Arial" w:eastAsia="Arial" w:hAnsi="Arial"/>
          <w:sz w:val="16"/>
          <w:szCs w:val="16"/>
          <w:color w:val="auto"/>
        </w:rPr>
      </w:pPr>
    </w:p>
    <w:p>
      <w:pPr>
        <w:jc w:val="both"/>
        <w:ind w:left="460" w:right="220" w:firstLine="4"/>
        <w:spacing w:after="0" w:line="302" w:lineRule="auto"/>
        <w:tabs>
          <w:tab w:leader="none" w:pos="7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whether or not such Lien is created within such one year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47" w:lineRule="exact"/>
        <w:rPr>
          <w:rFonts w:ascii="Arial" w:cs="Arial" w:eastAsia="Arial" w:hAnsi="Arial"/>
          <w:sz w:val="16"/>
          <w:szCs w:val="16"/>
          <w:color w:val="auto"/>
        </w:rPr>
      </w:pPr>
    </w:p>
    <w:p>
      <w:pPr>
        <w:ind w:left="460" w:firstLine="443"/>
        <w:spacing w:after="0" w:line="259" w:lineRule="auto"/>
        <w:tabs>
          <w:tab w:leader="none" w:pos="11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117" w:lineRule="exact"/>
        <w:rPr>
          <w:rFonts w:ascii="Arial" w:cs="Arial" w:eastAsia="Arial" w:hAnsi="Arial"/>
          <w:sz w:val="18"/>
          <w:szCs w:val="18"/>
          <w:color w:val="auto"/>
        </w:rPr>
      </w:pPr>
    </w:p>
    <w:p>
      <w:pPr>
        <w:ind w:left="460" w:firstLine="443"/>
        <w:spacing w:after="0" w:line="279" w:lineRule="auto"/>
        <w:tabs>
          <w:tab w:leader="none" w:pos="1153" w:val="left"/>
        </w:tabs>
        <w:numPr>
          <w:ilvl w:val="1"/>
          <w:numId w:val="83"/>
        </w:numPr>
        <w:rPr>
          <w:rFonts w:ascii="Arial" w:cs="Arial" w:eastAsia="Arial" w:hAnsi="Arial"/>
          <w:sz w:val="17"/>
          <w:szCs w:val="17"/>
          <w:color w:val="auto"/>
        </w:rPr>
      </w:pPr>
      <w:r>
        <w:rPr>
          <w:rFonts w:ascii="Arial" w:cs="Arial" w:eastAsia="Arial" w:hAnsi="Arial"/>
          <w:sz w:val="17"/>
          <w:szCs w:val="17"/>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84" w:name="page85"/>
    <w:bookmarkEnd w:id="84"/>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bond type, or (iii) securing indebtedness issued or guaranteed by the United States, any State thereof, any foreign country, or any department, agency, instrumentality or political subdivision of any such jurisdiction;</w:t>
      </w:r>
    </w:p>
    <w:p>
      <w:pPr>
        <w:spacing w:after="0" w:line="62"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117" w:lineRule="exact"/>
        <w:rPr>
          <w:rFonts w:ascii="Arial" w:cs="Arial" w:eastAsia="Arial" w:hAnsi="Arial"/>
          <w:sz w:val="18"/>
          <w:szCs w:val="18"/>
          <w:color w:val="auto"/>
        </w:rPr>
      </w:pPr>
    </w:p>
    <w:p>
      <w:pPr>
        <w:ind w:left="460" w:firstLine="443"/>
        <w:spacing w:after="0" w:line="273" w:lineRule="auto"/>
        <w:tabs>
          <w:tab w:leader="none" w:pos="11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provided, however,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Notwithstanding the foregoing provisions of this Section 1110,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w:t>
      </w:r>
    </w:p>
    <w:p>
      <w:pPr>
        <w:spacing w:after="0" w:line="2" w:lineRule="exact"/>
        <w:rPr>
          <w:sz w:val="20"/>
          <w:szCs w:val="20"/>
          <w:color w:val="auto"/>
        </w:rPr>
      </w:pPr>
    </w:p>
    <w:p>
      <w:pPr>
        <w:ind w:right="160" w:firstLine="8"/>
        <w:spacing w:after="0" w:line="261"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 (c) in the first paragraph of Section 1112) does not exceed 15% of Consolidated Net Worth, as shown on a consolidated balance sheet, as of a date not more than 150 days prior to the proposed transaction, prepared by the Parent Guarantor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Limitation on Dividends and Other Restrictions Affecting Restricted Subsidiaries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73" w:lineRule="exact"/>
        <w:rPr>
          <w:sz w:val="20"/>
          <w:szCs w:val="20"/>
          <w:color w:val="auto"/>
        </w:rPr>
      </w:pPr>
    </w:p>
    <w:p>
      <w:pPr>
        <w:ind w:left="460" w:right="240" w:firstLine="443"/>
        <w:spacing w:after="0" w:line="259" w:lineRule="auto"/>
        <w:tabs>
          <w:tab w:leader="none" w:pos="11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8"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38" w:lineRule="exact"/>
        <w:rPr>
          <w:rFonts w:ascii="Arial" w:cs="Arial" w:eastAsia="Arial" w:hAnsi="Arial"/>
          <w:sz w:val="16"/>
          <w:szCs w:val="16"/>
          <w:color w:val="auto"/>
        </w:rPr>
      </w:pPr>
    </w:p>
    <w:p>
      <w:pPr>
        <w:ind w:left="460" w:right="200" w:firstLine="443"/>
        <w:spacing w:after="0" w:line="277" w:lineRule="auto"/>
        <w:tabs>
          <w:tab w:leader="none" w:pos="11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5" w:name="page86"/>
    <w:bookmarkEnd w:id="85"/>
    <w:p>
      <w:pPr>
        <w:ind w:right="20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encumbrances or restrictions existing under agreements existing on the Issue Date (including, without limitation, the Credit Agreement and the Term Loan Agreement) as in effect on that date;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117" w:lineRule="exact"/>
        <w:rPr>
          <w:rFonts w:ascii="Arial" w:cs="Arial" w:eastAsia="Arial" w:hAnsi="Arial"/>
          <w:sz w:val="18"/>
          <w:szCs w:val="18"/>
          <w:color w:val="auto"/>
        </w:rPr>
      </w:pPr>
    </w:p>
    <w:p>
      <w:pPr>
        <w:ind w:right="240" w:firstLine="443"/>
        <w:spacing w:after="0" w:line="264"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73" w:lineRule="exact"/>
        <w:rPr>
          <w:rFonts w:ascii="Arial" w:cs="Arial" w:eastAsia="Arial" w:hAnsi="Arial"/>
          <w:sz w:val="18"/>
          <w:szCs w:val="18"/>
          <w:color w:val="auto"/>
        </w:rPr>
      </w:pPr>
    </w:p>
    <w:p>
      <w:pPr>
        <w:ind w:right="60" w:firstLine="443"/>
        <w:spacing w:after="0" w:line="259"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78" w:lineRule="exact"/>
        <w:rPr>
          <w:rFonts w:ascii="Arial" w:cs="Arial" w:eastAsia="Arial" w:hAnsi="Arial"/>
          <w:sz w:val="18"/>
          <w:szCs w:val="18"/>
          <w:color w:val="auto"/>
        </w:rPr>
      </w:pPr>
    </w:p>
    <w:p>
      <w:pPr>
        <w:ind w:firstLine="443"/>
        <w:spacing w:after="0" w:line="276"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117" w:lineRule="exact"/>
        <w:rPr>
          <w:rFonts w:ascii="Arial" w:cs="Arial" w:eastAsia="Arial" w:hAnsi="Arial"/>
          <w:sz w:val="18"/>
          <w:szCs w:val="18"/>
          <w:color w:val="auto"/>
        </w:rPr>
      </w:pPr>
    </w:p>
    <w:p>
      <w:pPr>
        <w:ind w:right="60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62" w:lineRule="exact"/>
        <w:rPr>
          <w:rFonts w:ascii="Arial" w:cs="Arial" w:eastAsia="Arial" w:hAnsi="Arial"/>
          <w:sz w:val="18"/>
          <w:szCs w:val="18"/>
          <w:color w:val="auto"/>
        </w:rPr>
      </w:pPr>
    </w:p>
    <w:p>
      <w:pPr>
        <w:ind w:right="34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Section 1110 that limit the right of the debtor to dispose of the assets securing such Indebtedness;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117" w:lineRule="exact"/>
        <w:rPr>
          <w:rFonts w:ascii="Arial" w:cs="Arial" w:eastAsia="Arial" w:hAnsi="Arial"/>
          <w:sz w:val="18"/>
          <w:szCs w:val="18"/>
          <w:color w:val="auto"/>
        </w:rPr>
      </w:pPr>
    </w:p>
    <w:p>
      <w:pPr>
        <w:ind w:right="20" w:firstLine="443"/>
        <w:spacing w:after="0" w:line="293" w:lineRule="auto"/>
        <w:tabs>
          <w:tab w:leader="none" w:pos="7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20"/>
          </w:cols>
          <w:pgMar w:left="700" w:top="274" w:right="279" w:bottom="1440" w:gutter="0" w:footer="0" w:header="0"/>
        </w:sectPr>
      </w:pPr>
    </w:p>
    <w:bookmarkStart w:id="86" w:name="page87"/>
    <w:bookmarkEnd w:id="86"/>
    <w:p>
      <w:pPr>
        <w:ind w:left="460" w:firstLine="443"/>
        <w:spacing w:after="0" w:line="264" w:lineRule="auto"/>
        <w:tabs>
          <w:tab w:leader="none" w:pos="123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Purchase Money Indebtedness and any Refinancing Indebtedness in respect thereof incurred in compliance with Section 1108 that imposes restrictions of the nature described in clause (c) above on the assets acquired;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62" w:lineRule="exact"/>
        <w:rPr>
          <w:rFonts w:ascii="Arial" w:cs="Arial" w:eastAsia="Arial" w:hAnsi="Arial"/>
          <w:sz w:val="18"/>
          <w:szCs w:val="18"/>
          <w:color w:val="auto"/>
        </w:rPr>
      </w:pPr>
    </w:p>
    <w:p>
      <w:pPr>
        <w:ind w:left="460" w:right="280" w:firstLine="443"/>
        <w:spacing w:after="0" w:line="25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80" w:lineRule="exact"/>
        <w:rPr>
          <w:rFonts w:ascii="Arial" w:cs="Arial" w:eastAsia="Arial" w:hAnsi="Arial"/>
          <w:sz w:val="18"/>
          <w:szCs w:val="18"/>
          <w:color w:val="auto"/>
        </w:rPr>
      </w:pPr>
    </w:p>
    <w:p>
      <w:pPr>
        <w:ind w:left="460" w:firstLine="443"/>
        <w:spacing w:after="0" w:line="25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80"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Section 1109;</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117" w:lineRule="exact"/>
        <w:rPr>
          <w:rFonts w:ascii="Arial" w:cs="Arial" w:eastAsia="Arial" w:hAnsi="Arial"/>
          <w:sz w:val="18"/>
          <w:szCs w:val="18"/>
          <w:color w:val="auto"/>
        </w:rPr>
      </w:pPr>
    </w:p>
    <w:p>
      <w:pPr>
        <w:ind w:left="460" w:right="740" w:firstLine="443"/>
        <w:spacing w:after="0" w:line="277" w:lineRule="auto"/>
        <w:tabs>
          <w:tab w:leader="none" w:pos="12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supermajority voting requirements existing under corporate charters, by-laws, stockholders agreements and similar documents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Limitation on Sale-Leaseback Transactions</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 Person (other than the Parent Guarantor or a Restricted Subsidiary) unless:</w:t>
      </w:r>
    </w:p>
    <w:p>
      <w:pPr>
        <w:spacing w:after="0" w:line="62" w:lineRule="exact"/>
        <w:rPr>
          <w:sz w:val="20"/>
          <w:szCs w:val="20"/>
          <w:color w:val="auto"/>
        </w:rPr>
      </w:pPr>
    </w:p>
    <w:p>
      <w:pPr>
        <w:ind w:left="460" w:right="100" w:firstLine="443"/>
        <w:spacing w:after="0" w:line="312" w:lineRule="auto"/>
        <w:tabs>
          <w:tab w:leader="none" w:pos="1143" w:val="left"/>
        </w:tabs>
        <w:numPr>
          <w:ilvl w:val="0"/>
          <w:numId w:val="89"/>
        </w:numPr>
        <w:rPr>
          <w:rFonts w:ascii="Arial" w:cs="Arial" w:eastAsia="Arial" w:hAnsi="Arial"/>
          <w:sz w:val="16"/>
          <w:szCs w:val="16"/>
          <w:color w:val="auto"/>
        </w:rPr>
      </w:pPr>
      <w:r>
        <w:rPr>
          <w:rFonts w:ascii="Arial" w:cs="Arial" w:eastAsia="Arial" w:hAnsi="Arial"/>
          <w:sz w:val="16"/>
          <w:szCs w:val="16"/>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Section 1110 without equally and ratably securing the Notes pursuant to such covenant;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74" w:right="279" w:bottom="1440" w:gutter="0" w:footer="0" w:header="0"/>
        </w:sectPr>
      </w:pPr>
    </w:p>
    <w:bookmarkStart w:id="87" w:name="page88"/>
    <w:bookmarkEnd w:id="87"/>
    <w:p>
      <w:pPr>
        <w:ind w:left="460" w:right="140" w:firstLine="443"/>
        <w:spacing w:after="0" w:line="273" w:lineRule="auto"/>
        <w:tabs>
          <w:tab w:leader="none" w:pos="1153"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0" w:lineRule="exact"/>
        <w:rPr>
          <w:rFonts w:ascii="Arial" w:cs="Arial" w:eastAsia="Arial" w:hAnsi="Arial"/>
          <w:sz w:val="17"/>
          <w:szCs w:val="17"/>
          <w:color w:val="auto"/>
        </w:rPr>
      </w:pPr>
    </w:p>
    <w:p>
      <w:pPr>
        <w:ind w:left="460" w:firstLine="443"/>
        <w:spacing w:after="0" w:line="272" w:lineRule="auto"/>
        <w:tabs>
          <w:tab w:leader="none" w:pos="1143" w:val="left"/>
        </w:tabs>
        <w:numPr>
          <w:ilvl w:val="0"/>
          <w:numId w:val="90"/>
        </w:numPr>
        <w:rPr>
          <w:rFonts w:ascii="Arial" w:cs="Arial" w:eastAsia="Arial" w:hAnsi="Arial"/>
          <w:sz w:val="17"/>
          <w:szCs w:val="17"/>
          <w:color w:val="auto"/>
        </w:rPr>
      </w:pPr>
      <w:r>
        <w:rPr>
          <w:rFonts w:ascii="Arial" w:cs="Arial" w:eastAsia="Arial" w:hAnsi="Arial"/>
          <w:sz w:val="17"/>
          <w:szCs w:val="17"/>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Limitation on Affiliate Transactions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$50.0 million (an “Affiliate Transaction”), unless:</w:t>
      </w:r>
    </w:p>
    <w:p>
      <w:pPr>
        <w:spacing w:after="0" w:line="147" w:lineRule="exact"/>
        <w:rPr>
          <w:sz w:val="20"/>
          <w:szCs w:val="20"/>
          <w:color w:val="auto"/>
        </w:rPr>
      </w:pPr>
    </w:p>
    <w:p>
      <w:pPr>
        <w:ind w:right="60" w:firstLine="464"/>
        <w:spacing w:after="0" w:line="302" w:lineRule="auto"/>
        <w:tabs>
          <w:tab w:leader="none" w:pos="71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54"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restrictions shall not apply to:</w:t>
      </w:r>
    </w:p>
    <w:p>
      <w:pPr>
        <w:spacing w:after="0" w:line="117"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transactions to the extent between or among (a) the Parent Guarantor and one or more Restricted Subsidiaries or (b) Restricted Subsidiaries;</w:t>
      </w:r>
    </w:p>
    <w:p>
      <w:pPr>
        <w:spacing w:after="0" w:line="140" w:lineRule="exact"/>
        <w:rPr>
          <w:rFonts w:ascii="Arial" w:cs="Arial" w:eastAsia="Arial" w:hAnsi="Arial"/>
          <w:sz w:val="16"/>
          <w:szCs w:val="16"/>
          <w:color w:val="auto"/>
        </w:rPr>
      </w:pPr>
    </w:p>
    <w:p>
      <w:pPr>
        <w:ind w:left="460" w:right="20" w:firstLine="443"/>
        <w:spacing w:after="0" w:line="259" w:lineRule="auto"/>
        <w:tabs>
          <w:tab w:leader="none" w:pos="1153"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8" w:name="page89"/>
    <w:bookmarkEnd w:id="88"/>
    <w:p>
      <w:pPr>
        <w:ind w:right="20" w:firstLine="443"/>
        <w:spacing w:after="0" w:line="277" w:lineRule="auto"/>
        <w:tabs>
          <w:tab w:leader="none" w:pos="693"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Investments (other than those made under clause (1) of such definition) or Restricted Payments which are made in accordance with Section 1109;</w:t>
      </w:r>
    </w:p>
    <w:p>
      <w:pPr>
        <w:spacing w:after="0" w:line="62" w:lineRule="exact"/>
        <w:rPr>
          <w:rFonts w:ascii="Arial" w:cs="Arial" w:eastAsia="Arial" w:hAnsi="Arial"/>
          <w:sz w:val="18"/>
          <w:szCs w:val="18"/>
          <w:color w:val="auto"/>
        </w:rPr>
      </w:pPr>
    </w:p>
    <w:p>
      <w:pPr>
        <w:jc w:val="both"/>
        <w:ind w:right="300" w:firstLine="443"/>
        <w:spacing w:after="0" w:line="342" w:lineRule="auto"/>
        <w:tabs>
          <w:tab w:leader="none" w:pos="69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5" w:lineRule="exact"/>
        <w:rPr>
          <w:rFonts w:ascii="Arial" w:cs="Arial" w:eastAsia="Arial" w:hAnsi="Arial"/>
          <w:sz w:val="16"/>
          <w:szCs w:val="16"/>
          <w:color w:val="auto"/>
        </w:rPr>
      </w:pPr>
    </w:p>
    <w:p>
      <w:pPr>
        <w:ind w:right="440" w:firstLine="443"/>
        <w:spacing w:after="0" w:line="342" w:lineRule="auto"/>
        <w:tabs>
          <w:tab w:leader="none" w:pos="693"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5" w:lineRule="exact"/>
        <w:rPr>
          <w:rFonts w:ascii="Arial" w:cs="Arial" w:eastAsia="Arial" w:hAnsi="Arial"/>
          <w:sz w:val="16"/>
          <w:szCs w:val="16"/>
          <w:color w:val="auto"/>
        </w:rPr>
      </w:pPr>
    </w:p>
    <w:p>
      <w:pPr>
        <w:ind w:right="100" w:firstLine="443"/>
        <w:spacing w:after="0" w:line="257" w:lineRule="auto"/>
        <w:tabs>
          <w:tab w:leader="none" w:pos="6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80" w:lineRule="exact"/>
        <w:rPr>
          <w:rFonts w:ascii="Arial" w:cs="Arial" w:eastAsia="Arial" w:hAnsi="Arial"/>
          <w:sz w:val="18"/>
          <w:szCs w:val="18"/>
          <w:color w:val="auto"/>
        </w:rPr>
      </w:pPr>
    </w:p>
    <w:p>
      <w:pPr>
        <w:ind w:right="240" w:firstLine="443"/>
        <w:spacing w:after="0" w:line="277" w:lineRule="auto"/>
        <w:tabs>
          <w:tab w:leader="none" w:pos="6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117"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117" w:lineRule="exact"/>
        <w:rPr>
          <w:rFonts w:ascii="Arial" w:cs="Arial" w:eastAsia="Arial" w:hAnsi="Arial"/>
          <w:sz w:val="18"/>
          <w:szCs w:val="18"/>
          <w:color w:val="auto"/>
        </w:rPr>
      </w:pPr>
    </w:p>
    <w:p>
      <w:pPr>
        <w:ind w:firstLine="443"/>
        <w:spacing w:after="0" w:line="312" w:lineRule="auto"/>
        <w:tabs>
          <w:tab w:leader="none" w:pos="783"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director shall abstain from voting as a director of the Parent Guarantor on any matter involving such other Person; and</w:t>
      </w:r>
    </w:p>
    <w:p>
      <w:pPr>
        <w:spacing w:after="0" w:line="38" w:lineRule="exact"/>
        <w:rPr>
          <w:rFonts w:ascii="Arial" w:cs="Arial" w:eastAsia="Arial" w:hAnsi="Arial"/>
          <w:sz w:val="16"/>
          <w:szCs w:val="16"/>
          <w:color w:val="auto"/>
        </w:rPr>
      </w:pPr>
    </w:p>
    <w:p>
      <w:pPr>
        <w:ind w:left="780" w:hanging="337"/>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00"/>
          </w:cols>
          <w:pgMar w:left="700" w:top="274" w:right="29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1114. </w:t>
      </w:r>
      <w:r>
        <w:rPr>
          <w:rFonts w:ascii="Arial" w:cs="Arial" w:eastAsia="Arial" w:hAnsi="Arial"/>
          <w:sz w:val="18"/>
          <w:szCs w:val="18"/>
          <w:u w:val="single" w:color="auto"/>
          <w:color w:val="auto"/>
        </w:rPr>
        <w:t>Additional Guarantees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If, after the Issue Date,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of Annex D pursuant to which such Restricted Subsidiary shall become a Guarantor with respect to the Notes, upon the terms and subject to the release provisions and other limitations in Article Fifteen.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Covenant Termination</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Following the first date that the Notes of either series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provisions of Sections 1106, 1108, 1109, 1111 and 1113.</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After the foregoing covenants have been terminated, the Issuer may not designate any of its Subsidiaries as Unrestricted Subsidiaries pursuant to the second sentence of the definition of “Unrestricted Subsidiary.”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shall be redeemable at the election of the Issuer in accordance with their terms and in accordance with this Article.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case of any redemption of less than all Notes of either series, the Issuer shall, at least 5 Business Days prior to the last date a notice of redemption may be provided to Holders under Section 1205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464"/>
        <w:spacing w:after="0" w:line="279" w:lineRule="auto"/>
        <w:tabs>
          <w:tab w:leader="none" w:pos="701"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any time on or after, in the case of the 2021 Notes, May 15, 2021 (the “2021 Notes Par Call Date”) or, in the case of the 2023 Notes, March 15, 2023 (the “2023 Notes Par Call Date”), the Notes of such series will be redeemable, at the Issuer’s option, at any time in whole, or from time to time in part, at a price equal to 100% of the principal amount of the Notes to be redeemed, plus, in either case, accrued and unpaid interest to the Redemption Date (subject to the right of Holders on the relevant record date to receive interest due on the relevant interest payment date).</w:t>
      </w:r>
    </w:p>
    <w:p>
      <w:pPr>
        <w:spacing w:after="0" w:line="171" w:lineRule="exact"/>
        <w:rPr>
          <w:rFonts w:ascii="Arial" w:cs="Arial" w:eastAsia="Arial" w:hAnsi="Arial"/>
          <w:sz w:val="17"/>
          <w:szCs w:val="17"/>
          <w:color w:val="auto"/>
        </w:rPr>
      </w:pPr>
    </w:p>
    <w:p>
      <w:pPr>
        <w:ind w:right="300" w:firstLine="464"/>
        <w:spacing w:after="0" w:line="277"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any time prior to, in the case of the 2021 Notes, the 2021 Notes Par Call Date or, in the case of the 2023 Notes, the 2023 Notes Par Call Date, each such series of Notes will be redeemable, 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90" w:name="page91"/>
    <w:bookmarkEnd w:id="9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option, at any time in whole, or from time to time in part, at a Redemption Price equal to the greater of: (1) 100% of the principal amount of the Notes to be redeemed; or (2) 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2021 Notes Par Call Date in the case of the 2021 Notes, and the 2023 Notes Par Call Date in the case of the 2023 Notes, discounted to the Redemption Date on a semi-annual basis (assuming a 360-day year consisting of twelve 30-day months) at the applicable Treasury Yield plus 50 basis points for the 2021 Notes and 50 basis points for the 2023 Notes (the “Make-Whole Price”); plus, in either case, accrued and unpaid interest to the Redemption Date (subject to the right of Holders on the relevant record date to receive interest due on the relevant interest payment date). The actual Redemption Price payable pursuant to this Section 1203(b) will be calculated and certified to the Trustee and the Issuer by the Independent Investment Banker. For purposes of determining such optional Redemption Price, the following definitions are applicable:</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“Treasury Yield” means, with respect to any Redemption Date applicable to the Notes of either series,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“Comparable Treasury Issue” means the United States Treasury security selected by the Independent Investment Banker as having a maturity comparable to the remaining term of the Notes to be redeemed, calculated as if the maturity date of the 2021 Notes were the 2021 Notes Par Call Date and as if the maturity date of the 2023 Notes were the 2023 Notes Par Call Date, as the case may be (the “Remaining Life”), that would be utilized, at the time of selection and in accordance with customary financial practice, in pricing new issues of corporate debt securities of comparable maturity to the Remaining Life of the Notes to be redeemed;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maturity is within three months before or after the applicable Par Call Date for such Notes,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“Independent Investment Banker” means any of Deutsche Bank Securities Inc. and Wells Fargo Securities, LLC and their respective successors or, if neither such firm is willing and able to select the applicable Comparable Treasury Issue, an independent investment banking institution of national standing appointed by the Issuer.</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“Comparable Treasury Price”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“Reference Treasury Dealer” means each of Deutsche Bank Securities Inc. and Wells Fargo Securities, LLC so long as it is a primary U.S. Government securities dealer in the United States (a “Primary Treasury Dealer”) at the relevant time and, if it is not then a Primary Treasury Dealer, then a Primary Treasury Dealer selected by it, and in each case their respective successors, plus at least two other Primary Treasury Dealers selected by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not be a Primary Treasury Dealer at such time and shall fail to select a Primary Treasury Dealer, then the Issuer will</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 therefor another Primary Treasury Dealer.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91" w:name="page92"/>
    <w:bookmarkEnd w:id="9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Quotations” means, with respect to each Reference Treasury Dealer and any Redemption Date for the Notes, an average, as determined by an Independent Investment Banker, of the bid and asked prices for the Comparable Treasury Issue for the Notes (expressed in each case as a percentage of its principal amount) quoted in writing to an Independent Investment Banker by such Reference Treasury Dealer at 5:00 p.m., New York City time, on the third business day preceding such Redemption Date.</w:t>
      </w:r>
    </w:p>
    <w:p>
      <w:pPr>
        <w:spacing w:after="0" w:line="187" w:lineRule="exact"/>
        <w:rPr>
          <w:sz w:val="20"/>
          <w:szCs w:val="20"/>
          <w:color w:val="auto"/>
        </w:rPr>
      </w:pPr>
    </w:p>
    <w:p>
      <w:pPr>
        <w:ind w:right="60" w:firstLine="464"/>
        <w:spacing w:after="0" w:line="277" w:lineRule="auto"/>
        <w:tabs>
          <w:tab w:leader="none" w:pos="7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Notes may be redeemed, as a whole, following certain Change of Control Offers pursuant to Section 1107, at the Redemption Price and subject to the conditions set forth in such Section.</w:t>
      </w:r>
    </w:p>
    <w:p>
      <w:pPr>
        <w:spacing w:after="0" w:line="170" w:lineRule="exact"/>
        <w:rPr>
          <w:rFonts w:ascii="Arial" w:cs="Arial" w:eastAsia="Arial" w:hAnsi="Arial"/>
          <w:sz w:val="18"/>
          <w:szCs w:val="18"/>
          <w:color w:val="auto"/>
        </w:rPr>
      </w:pPr>
    </w:p>
    <w:p>
      <w:pPr>
        <w:ind w:right="120" w:firstLine="464"/>
        <w:spacing w:after="0" w:line="289" w:lineRule="auto"/>
        <w:tabs>
          <w:tab w:leader="none" w:pos="7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Prior to the Stated Maturity of the Notes of either series, if the Issuer or a Guarantor has, or on the next Interest Payment Date would, become obligated to pay to the Holder or beneficial owner of any Note of that series Additional Amounts as a result of any change or amendment on or after the date of the Prospectus Supplement in the laws or any rules or regulations of a Relevant Taxing Jurisdiction or any change on or after the date of the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then the Issuer may, at its option, redeem all, but not less than all, of the Note of that series, for cash at a Redemption Price equal to 100% of the principal amount thereof, together with accrued and unpaid interest, if any, to the Redemption Date. The Redemption Date will be a Business Day of the Issuer’s choosing that is no more than 60, nor less than 30, calendar days after the date the related redemption notice is sent pursuant to Section 1205.</w:t>
      </w:r>
    </w:p>
    <w:p>
      <w:pPr>
        <w:spacing w:after="0" w:line="166" w:lineRule="exact"/>
        <w:rPr>
          <w:rFonts w:ascii="Arial" w:cs="Arial" w:eastAsia="Arial" w:hAnsi="Arial"/>
          <w:sz w:val="16"/>
          <w:szCs w:val="16"/>
          <w:color w:val="auto"/>
        </w:rPr>
      </w:pPr>
    </w:p>
    <w:p>
      <w:pPr>
        <w:jc w:val="both"/>
        <w:ind w:right="40" w:firstLine="464"/>
        <w:spacing w:after="0" w:line="312" w:lineRule="auto"/>
        <w:tabs>
          <w:tab w:leader="none" w:pos="701"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46" w:lineRule="exact"/>
        <w:rPr>
          <w:rFonts w:ascii="Arial" w:cs="Arial" w:eastAsia="Arial" w:hAnsi="Arial"/>
          <w:sz w:val="16"/>
          <w:szCs w:val="16"/>
          <w:color w:val="auto"/>
        </w:rPr>
      </w:pPr>
    </w:p>
    <w:p>
      <w:pPr>
        <w:ind w:right="600" w:firstLine="464"/>
        <w:spacing w:after="0" w:line="308" w:lineRule="auto"/>
        <w:tabs>
          <w:tab w:leader="none" w:pos="681"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46" w:lineRule="exact"/>
        <w:rPr>
          <w:rFonts w:ascii="Arial" w:cs="Arial" w:eastAsia="Arial" w:hAnsi="Arial"/>
          <w:sz w:val="17"/>
          <w:szCs w:val="17"/>
          <w:color w:val="auto"/>
        </w:rPr>
      </w:pPr>
    </w:p>
    <w:p>
      <w:pPr>
        <w:jc w:val="both"/>
        <w:ind w:right="180" w:firstLine="464"/>
        <w:spacing w:after="0" w:line="264" w:lineRule="auto"/>
        <w:tabs>
          <w:tab w:leader="none" w:pos="7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1203,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Selection by Trustee of Notes to Be Redeemed</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In the event that less than all of the Notes of either series are to be redeemed at any time pursuant to an optional redemption, the Trustee will select the Notes of that series for redemption in compliance with the requirements of the principal national securities exchange, if any, on which such Notes are listed or, if such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Notes of a principal amount of $2,000 in original principal amount or less shall be redeemed in part.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92" w:name="page93"/>
    <w:bookmarkEnd w:id="92"/>
    <w:p>
      <w:pPr>
        <w:ind w:right="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each Holder of Notes to be redeemed, at its address appearing in the Security Register, except that redemption notices may be sent more than 60 days prior to a Redemption Date if the notice is issued in connection with a Legal Defeasance or Covenant Defeasance of the Notes or a satisfaction and discharge of the Indenture pursuant to Article Five.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Redemption Price, if then determined and otherwise the manner of calculation thereof,</w:t>
      </w:r>
    </w:p>
    <w:p>
      <w:pPr>
        <w:spacing w:after="0" w:line="117"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less than all the Outstanding Notes are to be redeemed, the identification (and, in the case of partial redemption of any such Notes, the principal amounts) of the particular Notes to be redeemed,</w:t>
      </w:r>
    </w:p>
    <w:p>
      <w:pPr>
        <w:spacing w:after="0" w:line="62"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Note be redeemed and that interest thereon will cease to accrue on and after said date,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place or places where each such Note is to be surrendered for payment of the Redemption Price,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CUSIP/ISIN numbers of the Notes;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conditions precedent for the redemption or notice of redemption.</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11:00 a.m., New York City time, on any Redemption Date, the Issuer shall deposit with the Trustee or with a Paying Agent (or, if the Issuer or a Subsidiary is acting as its own Paying Agent, segregate and hold in trust as provided in Section 1103) an amount of money sufficient to pay the Redemption Price of, and (except if the Redemption Date shall be an Interest Payment Date) accrued interest on, all the Notes which are to be redeemed on that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1207. </w:t>
      </w:r>
      <w:r>
        <w:rPr>
          <w:rFonts w:ascii="Arial" w:cs="Arial" w:eastAsia="Arial" w:hAnsi="Arial"/>
          <w:sz w:val="18"/>
          <w:szCs w:val="18"/>
          <w:u w:val="single" w:color="auto"/>
          <w:color w:val="auto"/>
        </w:rPr>
        <w:t>Notes Payable on Redemption Date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1203(e).</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series and tenor, and of any authorized denomination as requested by such Holder, in aggregate principal amount equal to and in exchange for the unredeemed portion of the principal of the Note so surrendered.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 OTHER ACQUISITIONS OF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Mandatory Redemption, Etc.</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Issuer will not be required to make mandatory redemption or sinking fund payments with respect to the Notes. The Issuer may purchase Notes in the market from time to time in its discretion.</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Issuer’s Option to Effect Legal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Issuer may elect, at its option at any time, to have Section 1402 or Section 1403 applied to the Notes of either series, upon compliance with the conditions set forth below in this Article. Any such election shall be evidenced in or pursuant to a Board Resolution delivered to the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Upon the Issuer’s exercise of its option to have this Section applied to the Notes of either series, the Issuer and the Guarantors shall be deemed to have been discharged from their respective obligations hereunder with respect to such series of Notes as provided in this Section on and after the date the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274" w:right="299" w:bottom="1440" w:gutter="0" w:footer="0" w:header="0"/>
        </w:sectPr>
      </w:pPr>
    </w:p>
    <w:bookmarkStart w:id="94" w:name="page95"/>
    <w:bookmarkEnd w:id="9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set forth in Section 1404 are satisfied (hereinafter called “Legal Defeasance”). For this purpose, such Legal Defeasance means that the Issuer and the Guarantors shall be deemed to have paid and discharged the entire indebtedness represented by such Notes and the related Guarantees and to have satisfied all their other respective obligations under the Indenture with respect to such Notes (and the Trustee, upon Issuer Request and at the expense of the Issuer, shall execute proper instruments acknowledging the same), and the Indenture shall cease to be of further effect as to all Outstanding Notes of that series and all related Guarantees, except as to the following, which shall survive until otherwise terminated or discharged hereunder: (1) the rights of Holders of the Notes of that series to receive, solely from the trust fund described in Section 1404 and as more fully set forth in such Section, payments in respect of the principal of, and interest and premium, if any, on, the Notes when payments are due, (2) the Issuer’s obligations with respect to such Notes under Sections 404, 405, 406, 1102, 1103 and 1104(a)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1402, the payment of the defeased Notes may not be accelerated pursuant to Section 602 because of an Event of Default. Subject to compliance with this Article, the Issuer may exercise its option (if any) to have this Section applied to any Notes of a series notwithstanding the prior exercise of its option (if any) to have Section 1403 applied to the Notes of that series.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Upon the Issuer’s exercise of its option to have this Section applied to the Notes of either series, (1) the Issuer shall be released from its obligations under Section 901(3), Section 1106, Sections 1107 through 1115, inclusive, with respect to such series; (2) the occurrence of any event specified in Sections 601(3) (with respect only to the obligation under Section 901(3)), 601(4), 601(5), 601(6), 601(7) (with respect only to Significant Subsidiaries) or 601(8) (with respect only to Significant Subsidiaries), 601(9) and 601(10) shall be deemed not to be or to result in a Default or an Event of Default with respect to such Notes, and (3) the related Guarantees shall be automatically released, in each case as provided in this Section on and after the date the conditions set forth in Section 1404 are satisfied (hereinafter called “Covenant Defeasance”). For this purpose, such Covenant Defeasance means that, with respect to such series of Notes,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 with respect to such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Legal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shall be the conditions to the application of Section 1402 or 1403 to either series of Notes:</w:t>
      </w:r>
    </w:p>
    <w:p>
      <w:pPr>
        <w:spacing w:after="0" w:line="117" w:lineRule="exact"/>
        <w:rPr>
          <w:sz w:val="20"/>
          <w:szCs w:val="20"/>
          <w:color w:val="auto"/>
        </w:rPr>
      </w:pPr>
    </w:p>
    <w:p>
      <w:pPr>
        <w:ind w:left="460" w:right="160" w:firstLine="443"/>
        <w:spacing w:after="0" w:line="257" w:lineRule="auto"/>
        <w:tabs>
          <w:tab w:leader="none" w:pos="11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of such series on the stated date for payment thereof or on the applicable Redemption Date, as the case may be,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95" w:name="page96"/>
    <w:bookmarkEnd w:id="95"/>
    <w:p>
      <w:pPr>
        <w:ind w:left="1160" w:hanging="257"/>
        <w:spacing w:after="0"/>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Legal Defeasance, the Issuer shall have delivered to the Trustee an Opinion of Counsel in the United States confirming that:</w:t>
      </w:r>
    </w:p>
    <w:p>
      <w:pPr>
        <w:spacing w:after="0" w:line="140" w:lineRule="exact"/>
        <w:rPr>
          <w:rFonts w:ascii="Arial" w:cs="Arial" w:eastAsia="Arial" w:hAnsi="Arial"/>
          <w:sz w:val="16"/>
          <w:szCs w:val="16"/>
          <w:color w:val="auto"/>
        </w:rPr>
      </w:pPr>
    </w:p>
    <w:p>
      <w:pPr>
        <w:ind w:left="1580" w:hanging="239"/>
        <w:spacing w:after="0"/>
        <w:tabs>
          <w:tab w:leader="none" w:pos="1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117"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in either case to the effect that, and based thereon such Opinion of Counsel shall confirm that, the Holders of the Outstanding Note of such series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39" w:lineRule="exact"/>
        <w:rPr>
          <w:sz w:val="20"/>
          <w:szCs w:val="20"/>
          <w:color w:val="auto"/>
        </w:rPr>
      </w:pPr>
    </w:p>
    <w:p>
      <w:pPr>
        <w:ind w:left="460" w:right="220" w:firstLine="443"/>
        <w:spacing w:after="0" w:line="279" w:lineRule="auto"/>
        <w:tabs>
          <w:tab w:leader="none" w:pos="1153"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of such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63" w:lineRule="exact"/>
        <w:rPr>
          <w:rFonts w:ascii="Arial" w:cs="Arial" w:eastAsia="Arial" w:hAnsi="Arial"/>
          <w:sz w:val="17"/>
          <w:szCs w:val="17"/>
          <w:color w:val="auto"/>
        </w:rPr>
      </w:pPr>
    </w:p>
    <w:p>
      <w:pPr>
        <w:ind w:left="460" w:right="18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Default with respect to such Notes shall have occurred and be continuing on the date of such deposit (other than a Default resulting from the borrowing of funds to be applied to such deposit and the grant of any Lien securing such borrowings),</w:t>
      </w:r>
    </w:p>
    <w:p>
      <w:pPr>
        <w:spacing w:after="0" w:line="62" w:lineRule="exact"/>
        <w:rPr>
          <w:rFonts w:ascii="Arial" w:cs="Arial" w:eastAsia="Arial" w:hAnsi="Arial"/>
          <w:sz w:val="18"/>
          <w:szCs w:val="18"/>
          <w:color w:val="auto"/>
        </w:rPr>
      </w:pPr>
    </w:p>
    <w:p>
      <w:pPr>
        <w:jc w:val="both"/>
        <w:ind w:left="460" w:right="420" w:firstLine="443"/>
        <w:spacing w:after="0" w:line="312"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 or replaced) to which the Parent Guarantor or any of its Subsidiaries is a party or by which the Parent Guarantor or any of its Subsidiaries is bound,</w:t>
      </w:r>
    </w:p>
    <w:p>
      <w:pPr>
        <w:spacing w:after="0" w:line="38" w:lineRule="exact"/>
        <w:rPr>
          <w:rFonts w:ascii="Arial" w:cs="Arial" w:eastAsia="Arial" w:hAnsi="Arial"/>
          <w:sz w:val="16"/>
          <w:szCs w:val="16"/>
          <w:color w:val="auto"/>
        </w:rPr>
      </w:pPr>
    </w:p>
    <w:p>
      <w:pPr>
        <w:ind w:left="460" w:right="200" w:firstLine="443"/>
        <w:spacing w:after="0" w:line="342"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5" w:lineRule="exact"/>
        <w:rPr>
          <w:rFonts w:ascii="Arial" w:cs="Arial" w:eastAsia="Arial" w:hAnsi="Arial"/>
          <w:sz w:val="16"/>
          <w:szCs w:val="16"/>
          <w:color w:val="auto"/>
        </w:rPr>
      </w:pPr>
    </w:p>
    <w:p>
      <w:pPr>
        <w:ind w:left="460" w:right="320" w:firstLine="443"/>
        <w:spacing w:after="0" w:line="277"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Deposited Money and U.S. Government Obligations to Be Held in Trust; 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Subject to the provisions of the last paragraph of Section 1103, all money and U.S. Government Obligations (including the proceeds thereof) deposited with the Trustee pursuant to Section 1404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6" w:name="page97"/>
    <w:bookmarkEnd w:id="96"/>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shall pay and indemnify the Trustee against any tax, fee or other charge imposed on or assessed against the U.S. Government Obligations deposited pursuant to Section 1404 or the principal and interest received in respect thereof other than any such tax, fee or other charge which by law is for the account of the Holders of Outstanding Notes.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Anything in this Article to the contrary notwithstanding, the Trustee shall deliver or pay to the Issuer from time to time upon Issuer Request any money or U.S. Government Obligations held by it as provided in Section 1404 with respect to any Notes which, in the opinion of a nationally recognized firm of independent public accountants expressed in a written certification thereof delivered to the Trustee, are in excess of the amount thereof which would then be required to be deposited to effect the Legal Defeasance or Covenant Defeasance, as the case may be, with respect to such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such Notes from which the Issuer has been discharged or released pursuant to Section 1402 or 1403 shall be revived and reinstated as though no deposit had occurred pursuant to this Article with respect to such Notes, until such time as the Trustee or Paying Agent is permitted to apply all money held in trust pursuant to Section 1405 with respect to such Notes in accordance with this Article;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Issuer makes any payment of principal of or any premium or interest on any such Note following such reinstatement of its obligations, the Issuer shall be subrogated to the rights (if any) of the Holders of such Notes to receive such payment from the money so held in trust.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Unconditional Guarantee</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1" w:lineRule="auto"/>
        <w:tabs>
          <w:tab w:leader="none" w:pos="7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value received, each of the Guarantors hereby fully, irrevocably, unconditionally and absolutely guarantees to the Holders and to the Trustee the due and punctual payment of the principal of, and premium, if any, and interest on the Notes of each series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1503.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178" w:lineRule="exact"/>
        <w:rPr>
          <w:rFonts w:ascii="Arial" w:cs="Arial" w:eastAsia="Arial" w:hAnsi="Arial"/>
          <w:sz w:val="17"/>
          <w:szCs w:val="17"/>
          <w:color w:val="auto"/>
        </w:rPr>
      </w:pPr>
    </w:p>
    <w:p>
      <w:pPr>
        <w:ind w:right="200" w:firstLine="464"/>
        <w:spacing w:after="0" w:line="293" w:lineRule="auto"/>
        <w:tabs>
          <w:tab w:leader="none" w:pos="71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97" w:name="page98"/>
    <w:bookmarkEnd w:id="9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607, by the Holders, on the terms and conditions set forth in the Indenture, directly against such Guarantor to enforce its Guarantee without first proceeding against the Issuer or any other Guarantor.</w:t>
      </w:r>
    </w:p>
    <w:p>
      <w:pPr>
        <w:spacing w:after="0" w:line="189" w:lineRule="exact"/>
        <w:rPr>
          <w:sz w:val="20"/>
          <w:szCs w:val="20"/>
          <w:color w:val="auto"/>
        </w:rPr>
      </w:pPr>
    </w:p>
    <w:p>
      <w:pPr>
        <w:ind w:right="80" w:firstLine="464"/>
        <w:spacing w:after="0" w:line="291" w:lineRule="auto"/>
        <w:tabs>
          <w:tab w:leader="none" w:pos="70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w:t>
      </w:r>
    </w:p>
    <w:p>
      <w:pPr>
        <w:ind w:firstLine="8"/>
        <w:spacing w:after="0" w:line="284" w:lineRule="auto"/>
        <w:tabs>
          <w:tab w:leader="none" w:pos="29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 (J) any other circumstances (other than payment in full or discharge of all amounts guaranteed pursuant to the Guarantees) which might otherwise constitute a legal or equitable discharge of a surety or guarantor.</w:t>
      </w:r>
    </w:p>
    <w:p>
      <w:pPr>
        <w:spacing w:after="0" w:line="391" w:lineRule="exact"/>
        <w:rPr>
          <w:rFonts w:ascii="Arial" w:cs="Arial" w:eastAsia="Arial" w:hAnsi="Arial"/>
          <w:sz w:val="16"/>
          <w:szCs w:val="16"/>
          <w:color w:val="auto"/>
        </w:rPr>
      </w:pPr>
    </w:p>
    <w:p>
      <w:pPr>
        <w:ind w:right="100" w:firstLine="464"/>
        <w:spacing w:after="0" w:line="271" w:lineRule="auto"/>
        <w:tabs>
          <w:tab w:leader="none" w:pos="71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8" w:name="page99"/>
    <w:bookmarkEnd w:id="98"/>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70" w:lineRule="exact"/>
        <w:rPr>
          <w:sz w:val="20"/>
          <w:szCs w:val="20"/>
          <w:color w:val="auto"/>
        </w:rPr>
      </w:pPr>
    </w:p>
    <w:p>
      <w:pPr>
        <w:jc w:val="both"/>
        <w:ind w:right="360" w:firstLine="464"/>
        <w:spacing w:after="0" w:line="312" w:lineRule="auto"/>
        <w:tabs>
          <w:tab w:leader="none" w:pos="70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46" w:lineRule="exact"/>
        <w:rPr>
          <w:rFonts w:ascii="Arial" w:cs="Arial" w:eastAsia="Arial" w:hAnsi="Arial"/>
          <w:sz w:val="16"/>
          <w:szCs w:val="16"/>
          <w:color w:val="auto"/>
        </w:rPr>
      </w:pPr>
    </w:p>
    <w:p>
      <w:pPr>
        <w:ind w:firstLine="464"/>
        <w:spacing w:after="0" w:line="255" w:lineRule="auto"/>
        <w:tabs>
          <w:tab w:leader="none" w:pos="68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no failure to exercise and no delay in exercising, on the part of the Trustee or the Holders, any right, power, privilege or remedy under this Article Fifteen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Fifteen shall limit the right of the Trustee or the Holders to take any action to accelerate the maturity of the Notes pursuant to Article Six or to pursue any other rights or remedies hereunder or under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Execution and Delivery of Notation of Guarantee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further evidence its Guarantee set forth in Section 1501, each of the Guarantors hereby agrees that a notation relating to such Guarantee, substantially in the form attached hereto as Annex C (a “Notation of Guarantee”), may be endorsed on each Note entitled to the benefits of its Guarantee that is authenticated and delivered by the Trustee. The Notation of Guarantee may be executed by either manual or facsimile signature of an Officer of such Guarantor, or in the case of a Guarantor that is a partnership, an Officer of the general partner of such Guarantor. Each of the Guarantors hereby agrees that its Guarantee shall remain in full force and effect notwithstanding any failure to endorse on each Note a notation relating to its Guarantee. If any Officer of the Guarantor, or in the case of a Guarantor that is a partnership, any Officer of the general partner of such Guarantor, whose signature is on the Indenture or a Notation of Guarantee no longer holds that office at the time the Trustee authenticates such Note or at any time thereafter, the Guarantee of such Note shall be valid nevertheless. The delivery of any Note by the Trustee, after the authentication thereof hereunder, shall constitute due delivery of the Guarantees set forth in the Indenture on behalf of the Guarantors.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Limitation on Guarantors’ Liability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1504. </w:t>
      </w:r>
      <w:r>
        <w:rPr>
          <w:rFonts w:ascii="Arial" w:cs="Arial" w:eastAsia="Arial" w:hAnsi="Arial"/>
          <w:sz w:val="18"/>
          <w:szCs w:val="18"/>
          <w:u w:val="single" w:color="auto"/>
          <w:color w:val="auto"/>
        </w:rPr>
        <w:t>Release of Guarantors from Guarantees</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64" w:lineRule="auto"/>
        <w:tabs>
          <w:tab w:leader="none" w:pos="70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 other provisions of the Indenture, the Guarantee of any Guarantor shall be released upon the terms and subject to the conditions set forth in this Section 1504. A Guarantor shall be released automatically from its obligations under its Guarantee and its other obligations under the Indenture upon: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920" w:right="60" w:firstLine="421"/>
        <w:spacing w:after="0" w:line="264" w:lineRule="auto"/>
        <w:tabs>
          <w:tab w:leader="none" w:pos="1585"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73" w:lineRule="exact"/>
        <w:rPr>
          <w:rFonts w:ascii="Arial" w:cs="Arial" w:eastAsia="Arial" w:hAnsi="Arial"/>
          <w:sz w:val="18"/>
          <w:szCs w:val="18"/>
          <w:color w:val="auto"/>
        </w:rPr>
      </w:pPr>
    </w:p>
    <w:p>
      <w:pPr>
        <w:jc w:val="both"/>
        <w:ind w:left="920" w:right="580" w:firstLine="421"/>
        <w:spacing w:after="0" w:line="286" w:lineRule="auto"/>
        <w:tabs>
          <w:tab w:leader="none" w:pos="1595" w:val="left"/>
        </w:tabs>
        <w:numPr>
          <w:ilvl w:val="2"/>
          <w:numId w:val="105"/>
        </w:numPr>
        <w:rPr>
          <w:rFonts w:ascii="Arial" w:cs="Arial" w:eastAsia="Arial" w:hAnsi="Arial"/>
          <w:sz w:val="17"/>
          <w:szCs w:val="17"/>
          <w:color w:val="auto"/>
        </w:rPr>
      </w:pPr>
      <w:r>
        <w:rPr>
          <w:rFonts w:ascii="Arial" w:cs="Arial" w:eastAsia="Arial" w:hAnsi="Arial"/>
          <w:sz w:val="17"/>
          <w:szCs w:val="17"/>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57" w:lineRule="exact"/>
        <w:rPr>
          <w:rFonts w:ascii="Arial" w:cs="Arial" w:eastAsia="Arial" w:hAnsi="Arial"/>
          <w:sz w:val="17"/>
          <w:szCs w:val="17"/>
          <w:color w:val="auto"/>
        </w:rPr>
      </w:pPr>
    </w:p>
    <w:p>
      <w:pPr>
        <w:ind w:left="1580" w:hanging="239"/>
        <w:spacing w:after="0"/>
        <w:tabs>
          <w:tab w:leader="none" w:pos="15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117" w:lineRule="exact"/>
        <w:rPr>
          <w:rFonts w:ascii="Arial" w:cs="Arial" w:eastAsia="Arial" w:hAnsi="Arial"/>
          <w:sz w:val="18"/>
          <w:szCs w:val="18"/>
          <w:color w:val="auto"/>
        </w:rPr>
      </w:pPr>
    </w:p>
    <w:p>
      <w:pPr>
        <w:ind w:left="920" w:right="240" w:firstLine="421"/>
        <w:spacing w:after="0" w:line="277" w:lineRule="auto"/>
        <w:tabs>
          <w:tab w:leader="none" w:pos="1595"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Section 1114 is no longer outstanding;</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Legal Defeasance or Covenant Defeasance or satisfaction and discharge of the Indenture as provided in Article Five; or</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xml:space="preserve">liquidation and 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or Event of Default has occurred that is continuing; and</w:t>
      </w:r>
    </w:p>
    <w:p>
      <w:pPr>
        <w:spacing w:after="0" w:line="117" w:lineRule="exact"/>
        <w:rPr>
          <w:rFonts w:ascii="Arial" w:cs="Arial" w:eastAsia="Arial" w:hAnsi="Arial"/>
          <w:sz w:val="18"/>
          <w:szCs w:val="18"/>
          <w:color w:val="auto"/>
        </w:rPr>
      </w:pPr>
    </w:p>
    <w:p>
      <w:pPr>
        <w:ind w:left="460" w:right="160" w:firstLine="443"/>
        <w:spacing w:after="0" w:line="342" w:lineRule="auto"/>
        <w:tabs>
          <w:tab w:leader="none" w:pos="115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Issuer delivering to the Trustee an Officer’s Certificate and an Opinion of Counsel to the effect that all conditions precedent provided for in this Section 1504 relating to the release of such Guarantor’s Guarantee and its other obligations under the Indenture have been complied with.</w:t>
      </w:r>
    </w:p>
    <w:p>
      <w:pPr>
        <w:spacing w:after="0" w:line="123" w:lineRule="exact"/>
        <w:rPr>
          <w:rFonts w:ascii="Arial" w:cs="Arial" w:eastAsia="Arial" w:hAnsi="Arial"/>
          <w:sz w:val="16"/>
          <w:szCs w:val="16"/>
          <w:color w:val="auto"/>
        </w:rPr>
      </w:pPr>
    </w:p>
    <w:p>
      <w:pPr>
        <w:ind w:right="180" w:firstLine="464"/>
        <w:spacing w:after="0" w:line="264"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181" w:lineRule="exact"/>
        <w:rPr>
          <w:rFonts w:ascii="Arial" w:cs="Arial" w:eastAsia="Arial" w:hAnsi="Arial"/>
          <w:sz w:val="18"/>
          <w:szCs w:val="18"/>
          <w:color w:val="auto"/>
        </w:rPr>
      </w:pPr>
    </w:p>
    <w:p>
      <w:pPr>
        <w:ind w:firstLine="464"/>
        <w:spacing w:after="0" w:line="277" w:lineRule="auto"/>
        <w:tabs>
          <w:tab w:leader="none" w:pos="7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Guarantor not released in accordance with the provisions of the Indenture will remain liable for the full amount of principal of (and premium, if any, on) and interest on the Notes as provided in this Article Fifteen, subject to the limitations of Section 1503.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1505. </w:t>
      </w:r>
      <w:r>
        <w:rPr>
          <w:rFonts w:ascii="Arial" w:cs="Arial" w:eastAsia="Arial" w:hAnsi="Arial"/>
          <w:sz w:val="18"/>
          <w:szCs w:val="18"/>
          <w:u w:val="single" w:color="auto"/>
          <w:color w:val="auto"/>
        </w:rPr>
        <w:t>Guarantor Contribution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hereby accepts the trusts in the Indenture upon the terms and conditions herein set forth.</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240" w:top="274" w:right="5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Supplemental Indenture to be duly executed as of the day and year first above written.</w:t>
      </w:r>
    </w:p>
    <w:p>
      <w:pPr>
        <w:spacing w:after="0" w:line="27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 Irish public limited company</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as Trustee</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N</w:t>
      </w:r>
      <w:r>
        <w:rPr>
          <w:rFonts w:ascii="Arial" w:cs="Arial" w:eastAsia="Arial" w:hAnsi="Arial"/>
          <w:sz w:val="15"/>
          <w:szCs w:val="15"/>
          <w:color w:val="auto"/>
        </w:rPr>
        <w:t>ATIONAL</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Irina Golovashchuk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Jeffrey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Jeffrey Schoenfeld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860"/>
          </w:cols>
          <w:pgMar w:left="700" w:top="27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947075 AJ6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US947075AJ68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7.75% Senior Note due 2021</w:t>
      </w:r>
    </w:p>
    <w:p>
      <w:pPr>
        <w:spacing w:after="0" w:line="252" w:lineRule="exact"/>
        <w:rPr>
          <w:sz w:val="20"/>
          <w:szCs w:val="20"/>
          <w:color w:val="auto"/>
        </w:rPr>
      </w:pPr>
    </w:p>
    <w:p>
      <w:pPr>
        <w:spacing w:after="0"/>
        <w:tabs>
          <w:tab w:leader="none" w:pos="107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Weatherford International Ltd., a Bermuda exempted company (herein called the “Issuer,” which term includes any successor Person under the</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Indenture hereinafter referred to), for value received, hereby promises to pay to , or registered assigns, the principal sum of U.S. dollars on June 15, 2021, [</w:t>
      </w:r>
      <w:r>
        <w:rPr>
          <w:rFonts w:ascii="Arial" w:cs="Arial" w:eastAsia="Arial" w:hAnsi="Arial"/>
          <w:sz w:val="17"/>
          <w:szCs w:val="17"/>
          <w:i w:val="1"/>
          <w:iCs w:val="1"/>
          <w:color w:val="auto"/>
        </w:rPr>
        <w:t>if this Note is a Global Note, insert</w:t>
      </w:r>
      <w:r>
        <w:rPr>
          <w:rFonts w:ascii="Arial" w:cs="Arial" w:eastAsia="Arial" w:hAnsi="Arial"/>
          <w:sz w:val="17"/>
          <w:szCs w:val="17"/>
          <w:color w:val="auto"/>
        </w:rPr>
        <w:t xml:space="preserve"> – or such greater or lesser amount as may be indicated on the Schedule of Exchanges of Interests in the Global Note attached hereto,] and to pay interest thereon from June 17, 2016 or from the most recent Interest Payment Date to which interest has been paid or duly provided for, semi-annually on June 15 and December 15 in each year, commencing December 15, 2016, at the rate of 7.75% per annum, until the principal hereof is paid or made available for payment, and to pay interest on any overdue principal hereof or installment of interest hereon at the same rate, to the extent lawful,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8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the Issuer, payment of interest may be made by check mailed to the address of the Person entitled thereto as such address shall appear in the Security Register.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03" w:name="page104"/>
    <w:bookmarkEnd w:id="10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60"/>
          </w:cols>
          <w:pgMar w:left="240" w:top="274" w:right="399"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duly executed by its undersigned officer.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7.75% Senior Notes due 2021 referred to in the within-mentioned Indenture.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 xml:space="preserve">DEUTSCHE BANK TRUST COMPANY AMERICAS, </w:t>
      </w:r>
      <w:r>
        <w:rPr>
          <w:rFonts w:ascii="Arial" w:cs="Arial" w:eastAsia="Arial" w:hAnsi="Arial"/>
          <w:sz w:val="17"/>
          <w:szCs w:val="17"/>
          <w:i w:val="1"/>
          <w:iCs w:val="1"/>
          <w:color w:val="auto"/>
        </w:rPr>
        <w:t>As</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20"/>
          </w:cols>
          <w:pgMar w:left="240" w:top="274"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Note is one of a duly authorized series of Securities of the Issuer (herein called the “Notes”), issued under an Indenture, dated as of October 1, 2003 (the “Original Indenture”), as amended and supplemented by (i) the Third Supplemental Indenture dated as of February 26, 2009, (ii) the Seventh Supplemental Indenture, dated as of March 31, 2013, (iii) the Eighth Supplemental Indenture dated as of June 17, 2014 and (iv) the Tenth Supplemental Indenture (herein so called) dated as of June 17, 2016 (the Base Indenture, as so amended and supplemented, being herein called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$750.0 million but subject to re-opening as provided in the Supplemental Indenture.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At any time or from time to time on or after May 15, 2021 (the “2021 Notes Par Call Date”), the Issuer, at its option, may redeem the Notes, in whole or in part, upon prior notice as provided in the Indenture, at a Redemption Price equal to 100.0% of the principal amount of the Notes to be redeemed, together with accrued and unpaid interest thereon, if any, to the Redemption Date (subject to the right of Holders on the relevant record date to receive interest due on the relevant Interest Payment Date), as provided in Section 1203(a) of the Indenture in relation to the Notes.</w:t>
      </w:r>
    </w:p>
    <w:p>
      <w:pPr>
        <w:spacing w:after="0" w:line="17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Notes may also be redeemed, in whole or in part, at any time or from time to time prior to the 2021 Notes Par Call Date at the option of the Issuer, upon prior notice as provided in the Indenture, at a Redemption Price equal to the greater of 100.0% of the principal amount of the Notes redeemed or the Make-Whole Price (as determined in accordance with Section 1203(b) of the Indenture), plus accrued and unpaid interest, if any, to, the applicable Redemption Date (subject to the right of Holders on the relevant record date to receive interest due on the relevant Interest Payment Date).</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Notes may also be redeemed, as a whole, at the Issuer’s option, following certain changes in tax law or Change of Control Offers, at the respective Redemption Prices and subject to the conditions set forth in Sections 1203(d) and 1107 of the Indenture,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notice of redemption may, at the Issuer’s discretion, be subject to one or more conditions precedent specified in such notice of redemption.</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of this series and the 2023 Notes affected thereby (voting as a separate series). The Indenture also contains provisions permitting the Holders of specified percentages in aggregate principal amount of the Outstanding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74" w:right="239" w:bottom="1440" w:gutter="0" w:footer="0" w:header="0"/>
        </w:sectPr>
      </w:pPr>
    </w:p>
    <w:bookmarkStart w:id="106" w:name="page107"/>
    <w:bookmarkEnd w:id="10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If an Event of Default with respect to the Notes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5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other governmental taxes and fees required by law or permitted by the Indenture.</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74" w:right="279" w:bottom="1440" w:gutter="0" w:footer="0" w:header="0"/>
        </w:sectPr>
      </w:pPr>
    </w:p>
    <w:bookmarkStart w:id="107" w:name="page108"/>
    <w:bookmarkEnd w:id="10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terms used in this Note which are defined in the Indenture but not defined herein shall have the meanings assigned to them in the Indenture.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the Guarantees and the Indenture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274" w:right="359" w:bottom="1440" w:gutter="0" w:footer="0" w:header="0"/>
        </w:sectPr>
      </w:pPr>
    </w:p>
    <w:bookmarkStart w:id="108" w:name="page109"/>
    <w:bookmarkEnd w:id="108"/>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transfer this Note on the books of the Issuer. The agent may substitute another to act for him.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(Sign exactly as your name appears on the face</w:t>
      </w:r>
    </w:p>
    <w:p>
      <w:pPr>
        <w:spacing w:after="0" w:line="4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of this Note)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2109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5580" w:right="819" w:hanging="5572"/>
        <w:spacing w:after="0" w:line="449" w:lineRule="auto"/>
        <w:tabs>
          <w:tab w:leader="none" w:pos="46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ectPr>
          <w:pgSz w:w="11900" w:h="16838" w:orient="portrait"/>
          <w:cols w:equalWidth="0" w:num="1">
            <w:col w:w="10219"/>
          </w:cols>
          <w:pgMar w:left="240" w:top="270" w:right="1440" w:bottom="1440" w:gutter="0" w:footer="0" w:header="0"/>
        </w:sectPr>
      </w:pPr>
    </w:p>
    <w:bookmarkStart w:id="109" w:name="page110"/>
    <w:bookmarkEnd w:id="109"/>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want to elect to have this Note purchased by the Issuer pursuant to Section 1107 or Section 1112 of the Indenture, check the appropriate box below:</w:t>
      </w:r>
    </w:p>
    <w:p>
      <w:pPr>
        <w:spacing w:after="0" w:line="138" w:lineRule="exact"/>
        <w:rPr>
          <w:sz w:val="20"/>
          <w:szCs w:val="20"/>
          <w:color w:val="auto"/>
        </w:rPr>
      </w:pPr>
    </w:p>
    <w:p>
      <w:pPr>
        <w:ind w:left="4060"/>
        <w:spacing w:after="0" w:line="207" w:lineRule="exact"/>
        <w:tabs>
          <w:tab w:leader="none" w:pos="6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1107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1112</w:t>
      </w:r>
    </w:p>
    <w:p>
      <w:pPr>
        <w:spacing w:after="0" w:line="2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1107 or Section 1112 of the Indenture, state the amount you elect to have purchased:</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-10160</wp:posOffset>
            </wp:positionV>
            <wp:extent cx="571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14605</wp:posOffset>
            </wp:positionV>
            <wp:extent cx="19640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14605</wp:posOffset>
            </wp:positionV>
            <wp:extent cx="16205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2109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5580" w:right="2040" w:hanging="5572"/>
        <w:spacing w:after="0" w:line="449" w:lineRule="auto"/>
        <w:tabs>
          <w:tab w:leader="none" w:pos="2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ectPr>
          <w:pgSz w:w="11900" w:h="16838" w:orient="portrait"/>
          <w:cols w:equalWidth="0" w:num="1">
            <w:col w:w="11200"/>
          </w:cols>
          <w:pgMar w:left="240" w:top="270" w:right="459" w:bottom="1440" w:gutter="0" w:footer="0" w:header="0"/>
        </w:sectPr>
      </w:pPr>
    </w:p>
    <w:bookmarkStart w:id="110" w:name="page111"/>
    <w:bookmarkEnd w:id="110"/>
    <w:p>
      <w:pPr>
        <w:ind w:left="3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7"/>
          <w:szCs w:val="17"/>
          <w:color w:val="auto"/>
        </w:rPr>
        <w:t xml:space="preserve"> E</w:t>
      </w:r>
      <w:r>
        <w:rPr>
          <w:rFonts w:ascii="Arial" w:cs="Arial" w:eastAsia="Arial" w:hAnsi="Arial"/>
          <w:sz w:val="14"/>
          <w:szCs w:val="14"/>
          <w:color w:val="auto"/>
        </w:rPr>
        <w:t>XCHANGES OF</w:t>
      </w:r>
      <w:r>
        <w:rPr>
          <w:rFonts w:ascii="Arial" w:cs="Arial" w:eastAsia="Arial" w:hAnsi="Arial"/>
          <w:sz w:val="17"/>
          <w:szCs w:val="17"/>
          <w:color w:val="auto"/>
        </w:rPr>
        <w:t xml:space="preserve"> I</w:t>
      </w:r>
      <w:r>
        <w:rPr>
          <w:rFonts w:ascii="Arial" w:cs="Arial" w:eastAsia="Arial" w:hAnsi="Arial"/>
          <w:sz w:val="14"/>
          <w:szCs w:val="14"/>
          <w:color w:val="auto"/>
        </w:rPr>
        <w:t>NTERESTS IN THE</w:t>
      </w:r>
      <w:r>
        <w:rPr>
          <w:rFonts w:ascii="Arial" w:cs="Arial" w:eastAsia="Arial" w:hAnsi="Arial"/>
          <w:sz w:val="17"/>
          <w:szCs w:val="17"/>
          <w:color w:val="auto"/>
        </w:rPr>
        <w:t xml:space="preserve"> G</w:t>
      </w:r>
      <w:r>
        <w:rPr>
          <w:rFonts w:ascii="Arial" w:cs="Arial" w:eastAsia="Arial" w:hAnsi="Arial"/>
          <w:sz w:val="14"/>
          <w:szCs w:val="14"/>
          <w:color w:val="auto"/>
        </w:rPr>
        <w:t>LOBAL</w:t>
      </w:r>
      <w:r>
        <w:rPr>
          <w:rFonts w:ascii="Arial" w:cs="Arial" w:eastAsia="Arial" w:hAnsi="Arial"/>
          <w:sz w:val="17"/>
          <w:szCs w:val="17"/>
          <w:color w:val="auto"/>
        </w:rPr>
        <w:t xml:space="preserve"> N</w:t>
      </w:r>
      <w:r>
        <w:rPr>
          <w:rFonts w:ascii="Arial" w:cs="Arial" w:eastAsia="Arial" w:hAnsi="Arial"/>
          <w:sz w:val="14"/>
          <w:szCs w:val="14"/>
          <w:color w:val="auto"/>
        </w:rPr>
        <w:t>OTE</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exchanges of a part of this Global Note for other Notes have been made:</w:t>
      </w:r>
    </w:p>
    <w:p>
      <w:pPr>
        <w:sectPr>
          <w:pgSz w:w="11900" w:h="16838" w:orient="portrait"/>
          <w:cols w:equalWidth="0" w:num="1">
            <w:col w:w="11420"/>
          </w:cols>
          <w:pgMar w:left="240" w:top="274" w:right="239" w:bottom="1440" w:gutter="0" w:footer="0" w:header="0"/>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Amount of decrease</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color w:val="auto"/>
                <w:w w:val="91"/>
              </w:rPr>
              <w:t>Date of Exchange</w:t>
            </w:r>
          </w:p>
        </w:tc>
        <w:tc>
          <w:tcPr>
            <w:tcW w:w="20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7"/>
              </w:rPr>
              <w:t>in Principal Amount</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vMerge w:val="continue"/>
          </w:tcPr>
          <w:p>
            <w:pPr>
              <w:spacing w:after="0"/>
              <w:rPr>
                <w:sz w:val="13"/>
                <w:szCs w:val="13"/>
                <w:color w:val="auto"/>
              </w:rPr>
            </w:pPr>
          </w:p>
        </w:tc>
        <w:tc>
          <w:tcPr>
            <w:tcW w:w="204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5"/>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2"/>
          </w:tcPr>
          <w:p>
            <w:pPr>
              <w:jc w:val="center"/>
              <w:ind w:right="1180"/>
              <w:spacing w:after="0"/>
              <w:rPr>
                <w:sz w:val="20"/>
                <w:szCs w:val="20"/>
                <w:color w:val="auto"/>
              </w:rPr>
            </w:pPr>
            <w:r>
              <w:rPr>
                <w:rFonts w:ascii="Arial" w:cs="Arial" w:eastAsia="Arial" w:hAnsi="Arial"/>
                <w:sz w:val="14"/>
                <w:szCs w:val="14"/>
                <w:color w:val="auto"/>
                <w:w w:val="97"/>
              </w:rPr>
              <w:t>Principal Amount of</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9"/>
        </w:trPr>
        <w:tc>
          <w:tcPr>
            <w:tcW w:w="236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4"/>
              </w:rPr>
              <w:t>Amount of increase</w:t>
            </w:r>
          </w:p>
        </w:tc>
        <w:tc>
          <w:tcPr>
            <w:tcW w:w="244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4"/>
              </w:rPr>
              <w:t>this Global Note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authorized signatory</w:t>
            </w:r>
          </w:p>
        </w:tc>
      </w:tr>
      <w:tr>
        <w:trPr>
          <w:trHeight w:val="149"/>
        </w:trPr>
        <w:tc>
          <w:tcPr>
            <w:tcW w:w="236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7"/>
              </w:rPr>
              <w:t>in Principal Amount</w:t>
            </w:r>
          </w:p>
        </w:tc>
        <w:tc>
          <w:tcPr>
            <w:tcW w:w="244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7"/>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6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 (or increase)</w:t>
            </w:r>
          </w:p>
        </w:tc>
        <w:tc>
          <w:tcPr>
            <w:tcW w:w="1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-8255</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266065</wp:posOffset>
            </wp:positionV>
            <wp:extent cx="72466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540385</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98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420"/>
          </w:cols>
          <w:pgMar w:left="240" w:top="274" w:right="23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947075 AK3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US947075AK32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8.25% Senior Note due 2023</w:t>
      </w:r>
    </w:p>
    <w:p>
      <w:pPr>
        <w:spacing w:after="0" w:line="252" w:lineRule="exact"/>
        <w:rPr>
          <w:sz w:val="20"/>
          <w:szCs w:val="20"/>
          <w:color w:val="auto"/>
        </w:rPr>
      </w:pPr>
    </w:p>
    <w:p>
      <w:pPr>
        <w:spacing w:after="0"/>
        <w:tabs>
          <w:tab w:leader="none" w:pos="107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Weatherford International Ltd., a Bermuda exempted company (herein called the “Issuer,” which term includes any successor Person under the</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Indenture hereinafter referred to), for value received, hereby promises to pay to , or registered assigns, the principal sum of U.S. dollars on June 15, 2023, [</w:t>
      </w:r>
      <w:r>
        <w:rPr>
          <w:rFonts w:ascii="Arial" w:cs="Arial" w:eastAsia="Arial" w:hAnsi="Arial"/>
          <w:sz w:val="17"/>
          <w:szCs w:val="17"/>
          <w:i w:val="1"/>
          <w:iCs w:val="1"/>
          <w:color w:val="auto"/>
        </w:rPr>
        <w:t>if this Note is a Global Note, insert</w:t>
      </w:r>
      <w:r>
        <w:rPr>
          <w:rFonts w:ascii="Arial" w:cs="Arial" w:eastAsia="Arial" w:hAnsi="Arial"/>
          <w:sz w:val="17"/>
          <w:szCs w:val="17"/>
          <w:color w:val="auto"/>
        </w:rPr>
        <w:t xml:space="preserve"> – or such greater or lesser amount as may be indicated on the Schedule of Exchanges of Interests in the Global Note attached hereto,] and to pay interest thereon from June 17, 2016 or from the most recent Interest Payment Date to which interest has been paid or duly provided for, semi-annually on June 15 and December 15 in each year, commencing December 15, 2016, at the rate of 8.25% per annum, until the principal hereof is paid or made available for payment, and to pay interest on any overdue principal hereof or installment of interest hereon at the same rate, to the extent lawful,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June 1 or December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18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the Issuer, payment of interest may be made by check mailed to the address of the Person entitled thereto as such address shall appear in the Security Register.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12" w:name="page113"/>
    <w:bookmarkEnd w:id="11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60"/>
          </w:cols>
          <w:pgMar w:left="240" w:top="274" w:right="39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duly executed by its undersigned officer.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8.25% Senior Notes due 2023 referred to in the within-mentioned Indenture.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 xml:space="preserve">DEUTSCHE BANK TRUST COMPANY AMERICAS, </w:t>
      </w:r>
      <w:r>
        <w:rPr>
          <w:rFonts w:ascii="Arial" w:cs="Arial" w:eastAsia="Arial" w:hAnsi="Arial"/>
          <w:sz w:val="17"/>
          <w:szCs w:val="17"/>
          <w:i w:val="1"/>
          <w:iCs w:val="1"/>
          <w:color w:val="auto"/>
        </w:rPr>
        <w:t>As</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20"/>
          </w:cols>
          <w:pgMar w:left="240" w:top="274"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Note is one of a duly authorized series of Securities of the Issuer (herein called the “Notes”), issued under an Indenture, dated as of October 1, 2003 (the “Original Indenture”), as amended and supplemented by (i) the Third Supplemental Indenture dated as of February 26, 2009, (ii) the Seventh Supplemental Indenture, dated as of March 31, 2013, (iii) the Eighth Supplemental Indenture dated as of June 17, 2014 and (iv) the Tenth Supplemental Indenture (herein so called) dated as of June 17, 2016 (the Base Indenture, as so amended and supplemented, being herein called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$750.0 million but subject to re-opening as provided in the Supplemental Indenture.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At any time or from time to time on or after March 15, 2023 (the “2023 Notes Par Call Date”), the Issuer, at its option, may redeem the Notes, in whole or in part, upon prior notice as provided in the Indenture, at a Redemption Price equal to 100.0% of the principal amount of the Notes to be redeemed, together with accrued and unpaid interest thereon, if any, to the Redemption Date (subject to the right of Holders on the relevant record date to receive interest due on the relevant Interest Payment Date), as provided in Section 1203(a) of the Indenture in relation to the Notes.</w:t>
      </w:r>
    </w:p>
    <w:p>
      <w:pPr>
        <w:spacing w:after="0" w:line="17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Notes may also be redeemed, in whole or in part, at any time or from time to time prior to the 2023 Notes Par Call Date at the option of the Issuer, upon prior notice as provided in the Indenture, at a Redemption Price equal to the greater of 100.0% of the principal amount of the Notes redeemed or the Make-Whole Price (as determined in accordance with Section 1203(b) of the Indenture), plus accrued and unpaid interest, if any, to, the applicable Redemption Date (subject to the right of Holders on the relevant record date to receive interest due on the relevant Interest Payment Date).</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Notes may also be redeemed, as a whole, at the Issuer’s option, following certain changes in tax law or Change of Control Offers, at the respective Redemption Prices and subject to the conditions set forth in Sections 1203(d) and 1107 of the Indenture,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notice of redemption may, at the Issuer’s discretion, be subject to one or more conditions precedent specified in such notice of redemption.</w:t>
      </w:r>
    </w:p>
    <w:p>
      <w:pPr>
        <w:spacing w:after="0" w:line="23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of this series and the 2021 Notes affected thereby (voting as a separate series). The Indenture also contains provisions permitting the Holders of specified percentages in aggregate principal amount of the Outstanding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74" w:right="239" w:bottom="1440" w:gutter="0" w:footer="0" w:header="0"/>
        </w:sectPr>
      </w:pPr>
    </w:p>
    <w:bookmarkStart w:id="115" w:name="page116"/>
    <w:bookmarkEnd w:id="11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If an Event of Default with respect to the Notes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9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5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other governmental taxes and fees required by law or permitted by the Indenture.</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 director, officer, employee, incorporator or shareholder of the Issuer or any Guarantor, as such, shall have any liability for any indebtedness, obligations or liabilities of the Issuer under the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274" w:right="279" w:bottom="1440" w:gutter="0" w:footer="0" w:header="0"/>
        </w:sectPr>
      </w:pPr>
    </w:p>
    <w:bookmarkStart w:id="116" w:name="page117"/>
    <w:bookmarkEnd w:id="11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terms used in this Note which are defined in the Indenture but not defined herein shall have the meanings assigned to them in the Indenture.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the Guarantees and the Indenture shall be governed by and construed in accordance with the laws of the State of New York.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00"/>
          </w:cols>
          <w:pgMar w:left="240" w:top="274" w:right="359" w:bottom="1440" w:gutter="0" w:footer="0" w:header="0"/>
        </w:sectPr>
      </w:pPr>
    </w:p>
    <w:bookmarkStart w:id="117" w:name="page118"/>
    <w:bookmarkEnd w:id="117"/>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assign this Note, fill in the form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transfer this Note on the books of the Issuer. The agent may substitute another to act for him.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(Sign exactly as your name appears on the face</w:t>
      </w:r>
    </w:p>
    <w:p>
      <w:pPr>
        <w:spacing w:after="0" w:line="4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of this Note)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2109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5580" w:right="819" w:hanging="5572"/>
        <w:spacing w:after="0" w:line="449" w:lineRule="auto"/>
        <w:tabs>
          <w:tab w:leader="none" w:pos="455" w:val="left"/>
        </w:tabs>
        <w:numPr>
          <w:ilvl w:val="0"/>
          <w:numId w:val="111"/>
        </w:numPr>
        <w:rPr>
          <w:rFonts w:ascii="Arial" w:cs="Arial" w:eastAsia="Arial" w:hAnsi="Arial"/>
          <w:sz w:val="15"/>
          <w:szCs w:val="15"/>
          <w:color w:val="auto"/>
        </w:rPr>
      </w:pPr>
      <w:r>
        <w:rPr>
          <w:rFonts w:ascii="Arial" w:cs="Arial" w:eastAsia="Arial" w:hAnsi="Arial"/>
          <w:sz w:val="18"/>
          <w:szCs w:val="18"/>
          <w:color w:val="auto"/>
        </w:rPr>
        <w:t>Participant in a recognized Signature Guarantee Medallion Program (or other signature guarantor acceptable to the Trustee). B-7</w:t>
      </w:r>
    </w:p>
    <w:p>
      <w:pPr>
        <w:sectPr>
          <w:pgSz w:w="11900" w:h="16838" w:orient="portrait"/>
          <w:cols w:equalWidth="0" w:num="1">
            <w:col w:w="10219"/>
          </w:cols>
          <w:pgMar w:left="240" w:top="270" w:right="1440" w:bottom="1440" w:gutter="0" w:footer="0" w:header="0"/>
        </w:sectPr>
      </w:pPr>
    </w:p>
    <w:bookmarkStart w:id="118" w:name="page119"/>
    <w:bookmarkEnd w:id="118"/>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want to elect to have this Note purchased by the Issuer pursuant to Section 1107 or Section 1112 of the Indenture, check the appropriate box below:</w:t>
      </w:r>
    </w:p>
    <w:p>
      <w:pPr>
        <w:spacing w:after="0" w:line="138" w:lineRule="exact"/>
        <w:rPr>
          <w:sz w:val="20"/>
          <w:szCs w:val="20"/>
          <w:color w:val="auto"/>
        </w:rPr>
      </w:pPr>
    </w:p>
    <w:p>
      <w:pPr>
        <w:ind w:left="4060"/>
        <w:spacing w:after="0" w:line="207" w:lineRule="exact"/>
        <w:tabs>
          <w:tab w:leader="none" w:pos="6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1107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1112</w:t>
      </w:r>
    </w:p>
    <w:p>
      <w:pPr>
        <w:spacing w:after="0" w:line="2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1107 or Section 1112 of the Indenture, state the amount you elect to have purchased:</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-10160</wp:posOffset>
            </wp:positionV>
            <wp:extent cx="571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14605</wp:posOffset>
            </wp:positionV>
            <wp:extent cx="19640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14605</wp:posOffset>
            </wp:positionV>
            <wp:extent cx="16205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14605</wp:posOffset>
            </wp:positionV>
            <wp:extent cx="2109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5580" w:right="2040" w:hanging="5572"/>
        <w:spacing w:after="0" w:line="449" w:lineRule="auto"/>
        <w:tabs>
          <w:tab w:leader="none" w:pos="2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B-8</w:t>
      </w:r>
    </w:p>
    <w:p>
      <w:pPr>
        <w:sectPr>
          <w:pgSz w:w="11900" w:h="16838" w:orient="portrait"/>
          <w:cols w:equalWidth="0" w:num="1">
            <w:col w:w="11200"/>
          </w:cols>
          <w:pgMar w:left="240" w:top="270" w:right="459" w:bottom="1440" w:gutter="0" w:footer="0" w:header="0"/>
        </w:sectPr>
      </w:pPr>
    </w:p>
    <w:bookmarkStart w:id="119" w:name="page120"/>
    <w:bookmarkEnd w:id="119"/>
    <w:p>
      <w:pPr>
        <w:ind w:left="32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 OF</w:t>
      </w:r>
      <w:r>
        <w:rPr>
          <w:rFonts w:ascii="Arial" w:cs="Arial" w:eastAsia="Arial" w:hAnsi="Arial"/>
          <w:sz w:val="17"/>
          <w:szCs w:val="17"/>
          <w:color w:val="auto"/>
        </w:rPr>
        <w:t xml:space="preserve"> E</w:t>
      </w:r>
      <w:r>
        <w:rPr>
          <w:rFonts w:ascii="Arial" w:cs="Arial" w:eastAsia="Arial" w:hAnsi="Arial"/>
          <w:sz w:val="14"/>
          <w:szCs w:val="14"/>
          <w:color w:val="auto"/>
        </w:rPr>
        <w:t>XCHANGES OF</w:t>
      </w:r>
      <w:r>
        <w:rPr>
          <w:rFonts w:ascii="Arial" w:cs="Arial" w:eastAsia="Arial" w:hAnsi="Arial"/>
          <w:sz w:val="17"/>
          <w:szCs w:val="17"/>
          <w:color w:val="auto"/>
        </w:rPr>
        <w:t xml:space="preserve"> I</w:t>
      </w:r>
      <w:r>
        <w:rPr>
          <w:rFonts w:ascii="Arial" w:cs="Arial" w:eastAsia="Arial" w:hAnsi="Arial"/>
          <w:sz w:val="14"/>
          <w:szCs w:val="14"/>
          <w:color w:val="auto"/>
        </w:rPr>
        <w:t>NTERESTS IN THE</w:t>
      </w:r>
      <w:r>
        <w:rPr>
          <w:rFonts w:ascii="Arial" w:cs="Arial" w:eastAsia="Arial" w:hAnsi="Arial"/>
          <w:sz w:val="17"/>
          <w:szCs w:val="17"/>
          <w:color w:val="auto"/>
        </w:rPr>
        <w:t xml:space="preserve"> G</w:t>
      </w:r>
      <w:r>
        <w:rPr>
          <w:rFonts w:ascii="Arial" w:cs="Arial" w:eastAsia="Arial" w:hAnsi="Arial"/>
          <w:sz w:val="14"/>
          <w:szCs w:val="14"/>
          <w:color w:val="auto"/>
        </w:rPr>
        <w:t>LOBAL</w:t>
      </w:r>
      <w:r>
        <w:rPr>
          <w:rFonts w:ascii="Arial" w:cs="Arial" w:eastAsia="Arial" w:hAnsi="Arial"/>
          <w:sz w:val="17"/>
          <w:szCs w:val="17"/>
          <w:color w:val="auto"/>
        </w:rPr>
        <w:t xml:space="preserve"> N</w:t>
      </w:r>
      <w:r>
        <w:rPr>
          <w:rFonts w:ascii="Arial" w:cs="Arial" w:eastAsia="Arial" w:hAnsi="Arial"/>
          <w:sz w:val="14"/>
          <w:szCs w:val="14"/>
          <w:color w:val="auto"/>
        </w:rPr>
        <w:t>OTE</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exchanges of a part of this Global Note for other Notes have been made:</w:t>
      </w:r>
    </w:p>
    <w:p>
      <w:pPr>
        <w:sectPr>
          <w:pgSz w:w="11900" w:h="16838" w:orient="portrait"/>
          <w:cols w:equalWidth="0" w:num="1">
            <w:col w:w="11420"/>
          </w:cols>
          <w:pgMar w:left="240" w:top="274" w:right="239" w:bottom="1440" w:gutter="0" w:footer="0" w:header="0"/>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Amount of decrease</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color w:val="auto"/>
                <w:w w:val="91"/>
              </w:rPr>
              <w:t>Date of Exchange</w:t>
            </w:r>
          </w:p>
        </w:tc>
        <w:tc>
          <w:tcPr>
            <w:tcW w:w="20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7"/>
              </w:rPr>
              <w:t>in Principal Amount</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vMerge w:val="continue"/>
          </w:tcPr>
          <w:p>
            <w:pPr>
              <w:spacing w:after="0"/>
              <w:rPr>
                <w:sz w:val="13"/>
                <w:szCs w:val="13"/>
                <w:color w:val="auto"/>
              </w:rPr>
            </w:pPr>
          </w:p>
        </w:tc>
        <w:tc>
          <w:tcPr>
            <w:tcW w:w="204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color w:val="auto"/>
                <w:w w:val="95"/>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gridSpan w:val="2"/>
          </w:tcPr>
          <w:p>
            <w:pPr>
              <w:jc w:val="center"/>
              <w:ind w:right="1180"/>
              <w:spacing w:after="0"/>
              <w:rPr>
                <w:sz w:val="20"/>
                <w:szCs w:val="20"/>
                <w:color w:val="auto"/>
              </w:rPr>
            </w:pPr>
            <w:r>
              <w:rPr>
                <w:rFonts w:ascii="Arial" w:cs="Arial" w:eastAsia="Arial" w:hAnsi="Arial"/>
                <w:sz w:val="14"/>
                <w:szCs w:val="14"/>
                <w:color w:val="auto"/>
                <w:w w:val="97"/>
              </w:rPr>
              <w:t>Principal Amount of</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Signature of</w:t>
            </w:r>
          </w:p>
        </w:tc>
      </w:tr>
      <w:tr>
        <w:trPr>
          <w:trHeight w:val="149"/>
        </w:trPr>
        <w:tc>
          <w:tcPr>
            <w:tcW w:w="236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4"/>
              </w:rPr>
              <w:t>Amount of increase</w:t>
            </w:r>
          </w:p>
        </w:tc>
        <w:tc>
          <w:tcPr>
            <w:tcW w:w="244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4"/>
              </w:rPr>
              <w:t>this Global Note</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authorized signatory</w:t>
            </w:r>
          </w:p>
        </w:tc>
      </w:tr>
      <w:tr>
        <w:trPr>
          <w:trHeight w:val="149"/>
        </w:trPr>
        <w:tc>
          <w:tcPr>
            <w:tcW w:w="236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7"/>
              </w:rPr>
              <w:t>in Principal Amount</w:t>
            </w:r>
          </w:p>
        </w:tc>
        <w:tc>
          <w:tcPr>
            <w:tcW w:w="2440" w:type="dxa"/>
            <w:vAlign w:val="bottom"/>
            <w:gridSpan w:val="2"/>
          </w:tcPr>
          <w:p>
            <w:pPr>
              <w:jc w:val="center"/>
              <w:ind w:right="1180"/>
              <w:spacing w:after="0" w:line="149" w:lineRule="exact"/>
              <w:rPr>
                <w:sz w:val="20"/>
                <w:szCs w:val="20"/>
                <w:color w:val="auto"/>
              </w:rPr>
            </w:pPr>
            <w:r>
              <w:rPr>
                <w:rFonts w:ascii="Arial" w:cs="Arial" w:eastAsia="Arial" w:hAnsi="Arial"/>
                <w:sz w:val="14"/>
                <w:szCs w:val="14"/>
                <w:color w:val="auto"/>
                <w:w w:val="97"/>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6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 this Global Note</w:t>
            </w:r>
          </w:p>
        </w:tc>
        <w:tc>
          <w:tcPr>
            <w:tcW w:w="1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 (or increase)</w:t>
            </w:r>
          </w:p>
        </w:tc>
        <w:tc>
          <w:tcPr>
            <w:tcW w:w="1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-8255</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266065</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540385</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720"/>
            <w:col w:w="598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B-9</w:t>
      </w:r>
    </w:p>
    <w:p>
      <w:pPr>
        <w:sectPr>
          <w:pgSz w:w="11900" w:h="16838" w:orient="portrait"/>
          <w:cols w:equalWidth="0" w:num="1">
            <w:col w:w="11420"/>
          </w:cols>
          <w:pgMar w:left="240" w:top="274" w:right="2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NOTATION OF GUARANTEE</w:t>
      </w:r>
    </w:p>
    <w:p>
      <w:pPr>
        <w:spacing w:after="0" w:line="2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Each of the undersigned Guarantors (which term includes any successor Person under the Indenture (as defined below)), has fully and unconditionally guaranteed, to the extent set forth in Article Fifteen of the Tenth Supplemental Indenture (herein so called) dated as of June 17, 2016, among Weatherford International Ltd., as issuer, the Guarantors named therein and Deutsche Bank Trust Company Americas, as Trustee, to the Indenture, dated as of October 1, 2003, as previously amended and supplemented by (i) the Third Supplemental Indenture dated as of February 26, 2009, (ii) the Seventh Supplemental Indenture, dated as of March 31, 2013, and (iii) the Eighth Supplemental Indenture dated as of June 17, 2014, the due and punctual payment of the principal of, and premium, if any, and interest on, the Issuer’s [7.75% Senior Notes due 2021/8.25% Senior Notes due 2023 – </w:t>
      </w:r>
      <w:r>
        <w:rPr>
          <w:rFonts w:ascii="Arial" w:cs="Arial" w:eastAsia="Arial" w:hAnsi="Arial"/>
          <w:sz w:val="16"/>
          <w:szCs w:val="16"/>
          <w:i w:val="1"/>
          <w:iCs w:val="1"/>
          <w:color w:val="auto"/>
        </w:rPr>
        <w:t>delete the reference to one series as</w:t>
      </w:r>
      <w:r>
        <w:rPr>
          <w:rFonts w:ascii="Arial" w:cs="Arial" w:eastAsia="Arial" w:hAnsi="Arial"/>
          <w:sz w:val="16"/>
          <w:szCs w:val="16"/>
          <w:color w:val="auto"/>
        </w:rPr>
        <w:t xml:space="preserve"> </w:t>
      </w:r>
      <w:r>
        <w:rPr>
          <w:rFonts w:ascii="Arial" w:cs="Arial" w:eastAsia="Arial" w:hAnsi="Arial"/>
          <w:sz w:val="16"/>
          <w:szCs w:val="16"/>
          <w:i w:val="1"/>
          <w:iCs w:val="1"/>
          <w:color w:val="auto"/>
        </w:rPr>
        <w:t>appropriate</w:t>
      </w:r>
      <w:r>
        <w:rPr>
          <w:rFonts w:ascii="Arial" w:cs="Arial" w:eastAsia="Arial" w:hAnsi="Arial"/>
          <w:sz w:val="16"/>
          <w:szCs w:val="16"/>
          <w:color w:val="auto"/>
        </w:rPr>
        <w:t>] and all other amounts due and payable by the Issuer under the Tenth Supplemental Indenture.</w:t>
      </w:r>
    </w:p>
    <w:p>
      <w:pPr>
        <w:spacing w:after="0" w:line="16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obligations of the Guarantors to the Holders of Notes and to the Trustee pursuant to the Guarantees and the Indenture are expressly set forth in Article Fifteen of the Tenth Supplemental Indenture, and reference is hereby made to the Tenth Supplemental Indenture for the precise terms of the Guarantees and the conditions upon which they may be released.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of the Guarantors has caused this notation to be duly executed.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Other Subsidiary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DELIVERED BY FUTURE SUBSIDIARY GUARANTORS</w:t>
      </w:r>
    </w:p>
    <w:p>
      <w:pPr>
        <w:spacing w:after="0" w:line="21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This Supplemental Indenture (this “</w:t>
      </w:r>
      <w:r>
        <w:rPr>
          <w:rFonts w:ascii="Arial" w:cs="Arial" w:eastAsia="Arial" w:hAnsi="Arial"/>
          <w:sz w:val="16"/>
          <w:szCs w:val="16"/>
          <w:i w:val="1"/>
          <w:iCs w:val="1"/>
          <w:color w:val="auto"/>
        </w:rPr>
        <w:t>Supplemental Indenture</w:t>
      </w:r>
      <w:r>
        <w:rPr>
          <w:rFonts w:ascii="Arial" w:cs="Arial" w:eastAsia="Arial" w:hAnsi="Arial"/>
          <w:sz w:val="16"/>
          <w:szCs w:val="16"/>
          <w:color w:val="auto"/>
        </w:rPr>
        <w:t xml:space="preserve">”), dated as of , 20 , is among [Name of Future Subsidiary Guarantor(s)] (the </w:t>
      </w:r>
      <w:r>
        <w:rPr>
          <w:rFonts w:ascii="Arial" w:cs="Arial" w:eastAsia="Arial" w:hAnsi="Arial"/>
          <w:sz w:val="16"/>
          <w:szCs w:val="16"/>
          <w:i w:val="1"/>
          <w:iCs w:val="1"/>
          <w:color w:val="auto"/>
        </w:rPr>
        <w:t xml:space="preserve">“New </w:t>
      </w:r>
      <w:r>
        <w:rPr>
          <w:rFonts w:ascii="Arial" w:cs="Arial" w:eastAsia="Arial" w:hAnsi="Arial"/>
          <w:sz w:val="16"/>
          <w:szCs w:val="16"/>
          <w:color w:val="auto"/>
        </w:rPr>
        <w:t>S</w:t>
      </w:r>
      <w:r>
        <w:rPr>
          <w:rFonts w:ascii="Arial" w:cs="Arial" w:eastAsia="Arial" w:hAnsi="Arial"/>
          <w:sz w:val="16"/>
          <w:szCs w:val="16"/>
          <w:i w:val="1"/>
          <w:iCs w:val="1"/>
          <w:color w:val="auto"/>
        </w:rPr>
        <w:t>ubsidiary Guarantor</w:t>
      </w:r>
      <w:r>
        <w:rPr>
          <w:rFonts w:ascii="Arial" w:cs="Arial" w:eastAsia="Arial" w:hAnsi="Arial"/>
          <w:sz w:val="16"/>
          <w:szCs w:val="16"/>
          <w:color w:val="auto"/>
        </w:rPr>
        <w:t>”), a subsidiary of Weatherford International plc, an Irish public limited company [or its permitted successor] (the “</w:t>
      </w:r>
      <w:r>
        <w:rPr>
          <w:rFonts w:ascii="Arial" w:cs="Arial" w:eastAsia="Arial" w:hAnsi="Arial"/>
          <w:sz w:val="16"/>
          <w:szCs w:val="16"/>
          <w:i w:val="1"/>
          <w:iCs w:val="1"/>
          <w:color w:val="auto"/>
        </w:rPr>
        <w:t>Parent Guarantor</w:t>
      </w:r>
      <w:r>
        <w:rPr>
          <w:rFonts w:ascii="Arial" w:cs="Arial" w:eastAsia="Arial" w:hAnsi="Arial"/>
          <w:sz w:val="16"/>
          <w:szCs w:val="16"/>
          <w:color w:val="auto"/>
        </w:rPr>
        <w:t>”), Weatherford International, LLC, a Delaware limited liability company (“</w:t>
      </w:r>
      <w:r>
        <w:rPr>
          <w:rFonts w:ascii="Arial" w:cs="Arial" w:eastAsia="Arial" w:hAnsi="Arial"/>
          <w:sz w:val="16"/>
          <w:szCs w:val="16"/>
          <w:i w:val="1"/>
          <w:iCs w:val="1"/>
          <w:color w:val="auto"/>
        </w:rPr>
        <w:t>Weatherford Delaware</w:t>
      </w:r>
      <w:r>
        <w:rPr>
          <w:rFonts w:ascii="Arial" w:cs="Arial" w:eastAsia="Arial" w:hAnsi="Arial"/>
          <w:sz w:val="16"/>
          <w:szCs w:val="16"/>
          <w:color w:val="auto"/>
        </w:rPr>
        <w:t>”), each other existing Subsidiary Guarantor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Indenture referred to herein), Weatherford International Ltd., a Bermuda exempted company (the “</w:t>
      </w:r>
      <w:r>
        <w:rPr>
          <w:rFonts w:ascii="Arial" w:cs="Arial" w:eastAsia="Arial" w:hAnsi="Arial"/>
          <w:sz w:val="16"/>
          <w:szCs w:val="16"/>
          <w:i w:val="1"/>
          <w:iCs w:val="1"/>
          <w:color w:val="auto"/>
        </w:rPr>
        <w:t>Issuer</w:t>
      </w:r>
      <w:r>
        <w:rPr>
          <w:rFonts w:ascii="Arial" w:cs="Arial" w:eastAsia="Arial" w:hAnsi="Arial"/>
          <w:sz w:val="16"/>
          <w:szCs w:val="16"/>
          <w:color w:val="auto"/>
        </w:rPr>
        <w:t>”), the Parent Guarantor and Deutsche Bank Trust Company Americas, as trustee under the Indenture referred to herein (the “</w:t>
      </w:r>
      <w:r>
        <w:rPr>
          <w:rFonts w:ascii="Arial" w:cs="Arial" w:eastAsia="Arial" w:hAnsi="Arial"/>
          <w:sz w:val="16"/>
          <w:szCs w:val="16"/>
          <w:i w:val="1"/>
          <w:iCs w:val="1"/>
          <w:color w:val="auto"/>
        </w:rPr>
        <w:t>Trustee</w:t>
      </w:r>
      <w:r>
        <w:rPr>
          <w:rFonts w:ascii="Arial" w:cs="Arial" w:eastAsia="Arial" w:hAnsi="Arial"/>
          <w:sz w:val="16"/>
          <w:szCs w:val="16"/>
          <w:color w:val="auto"/>
        </w:rPr>
        <w:t>”). The New Subsidiary Guarantor and the existing Subsidiary Guarantors are sometimes referred to collectively herein as the “Subsidiary Guarantors,” or individually as a “Subsidiary Guarantor.”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WHEREAS, the Issuer, the Parent Guarantor, Weatherford Delaware and the Trustee are parties to an Indenture, dated as of October 1, 2003, as amended and supplemented by (i) the Third Supplemental Indenture dated as of February 26, 2009, (ii) the Seventh Supplemental Indenture, dated as of March 31, 2013, (iii) the Eighth Supplemental Indenture dated as of June 17, 2014 and (iv) the Tenth Supplemental Indenture (herein so called) dated as of June 17, 2016 relating to the 7.75% Senior Notes due 2021 and the 8.25% Senior Notes due 2023 (collectively, the “</w:t>
      </w:r>
      <w:r>
        <w:rPr>
          <w:rFonts w:ascii="Arial" w:cs="Arial" w:eastAsia="Arial" w:hAnsi="Arial"/>
          <w:sz w:val="16"/>
          <w:szCs w:val="16"/>
          <w:i w:val="1"/>
          <w:iCs w:val="1"/>
          <w:color w:val="auto"/>
        </w:rPr>
        <w:t>Notes</w:t>
      </w:r>
      <w:r>
        <w:rPr>
          <w:rFonts w:ascii="Arial" w:cs="Arial" w:eastAsia="Arial" w:hAnsi="Arial"/>
          <w:sz w:val="16"/>
          <w:szCs w:val="16"/>
          <w:color w:val="auto"/>
        </w:rPr>
        <w:t>”) of the Issuer;</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WHEREAS, Section 1114 of the Tenth Supplemental Indenture obligates the Issuer to cause certain Restricted Subsidiaries to become Subsidiary Guarantors by executing a supplemental indenture as provided in such Section; and</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WHEREAS, pursuant to Section 1001 of the Tenth Supplemental Indenture, the Issuer, the Parent Guarantor, the Subsidiary Guarantors and the Trustee are authorized to execute and deliver this Supplemental Indenture to amend or supplement the Indenture without the consent of any Holder;</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NOW, THEREFORE, to comply with the provisions of the Tenth Supplemental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Securities as follows:</w:t>
      </w:r>
    </w:p>
    <w:p>
      <w:pPr>
        <w:spacing w:after="0" w:line="166" w:lineRule="exact"/>
        <w:rPr>
          <w:sz w:val="20"/>
          <w:szCs w:val="20"/>
          <w:color w:val="auto"/>
        </w:rPr>
      </w:pPr>
    </w:p>
    <w:p>
      <w:pPr>
        <w:ind w:right="700" w:firstLine="464"/>
        <w:spacing w:after="0" w:line="277" w:lineRule="auto"/>
        <w:tabs>
          <w:tab w:leader="none" w:pos="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APITALIZED</w:t>
      </w:r>
      <w:r>
        <w:rPr>
          <w:rFonts w:ascii="Arial" w:cs="Arial" w:eastAsia="Arial" w:hAnsi="Arial"/>
          <w:sz w:val="18"/>
          <w:szCs w:val="18"/>
          <w:color w:val="auto"/>
        </w:rPr>
        <w:t xml:space="preserve"> T</w:t>
      </w:r>
      <w:r>
        <w:rPr>
          <w:rFonts w:ascii="Arial" w:cs="Arial" w:eastAsia="Arial" w:hAnsi="Arial"/>
          <w:sz w:val="15"/>
          <w:szCs w:val="15"/>
          <w:color w:val="auto"/>
        </w:rPr>
        <w:t>ERMS</w:t>
      </w:r>
      <w:r>
        <w:rPr>
          <w:rFonts w:ascii="Arial" w:cs="Arial" w:eastAsia="Arial" w:hAnsi="Arial"/>
          <w:sz w:val="18"/>
          <w:szCs w:val="18"/>
          <w:color w:val="auto"/>
        </w:rPr>
        <w:t>. Capitalized terms used herein without definition shall have the meanings assigned to them in the Tenth Supplemental Indenture.</w:t>
      </w:r>
    </w:p>
    <w:p>
      <w:pPr>
        <w:spacing w:after="0" w:line="170" w:lineRule="exact"/>
        <w:rPr>
          <w:rFonts w:ascii="Arial" w:cs="Arial" w:eastAsia="Arial" w:hAnsi="Arial"/>
          <w:sz w:val="18"/>
          <w:szCs w:val="18"/>
          <w:color w:val="auto"/>
        </w:rPr>
      </w:pPr>
    </w:p>
    <w:p>
      <w:pPr>
        <w:ind w:right="20" w:firstLine="464"/>
        <w:spacing w:after="0" w:line="257" w:lineRule="auto"/>
        <w:tabs>
          <w:tab w:leader="none" w:pos="6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GREEMENT TO</w:t>
      </w:r>
      <w:r>
        <w:rPr>
          <w:rFonts w:ascii="Arial" w:cs="Arial" w:eastAsia="Arial" w:hAnsi="Arial"/>
          <w:sz w:val="18"/>
          <w:szCs w:val="18"/>
          <w:color w:val="auto"/>
        </w:rPr>
        <w:t xml:space="preserve"> G</w:t>
      </w:r>
      <w:r>
        <w:rPr>
          <w:rFonts w:ascii="Arial" w:cs="Arial" w:eastAsia="Arial" w:hAnsi="Arial"/>
          <w:sz w:val="15"/>
          <w:szCs w:val="15"/>
          <w:color w:val="auto"/>
        </w:rPr>
        <w:t>UARANTEE</w:t>
      </w:r>
      <w:r>
        <w:rPr>
          <w:rFonts w:ascii="Arial" w:cs="Arial" w:eastAsia="Arial" w:hAnsi="Arial"/>
          <w:sz w:val="18"/>
          <w:szCs w:val="18"/>
          <w:color w:val="auto"/>
        </w:rPr>
        <w:t>. The New Subsidiary Guarantor hereby agrees, jointly and severally, with the Parent Guarantor and all other Subsidiary Guarantors, to fully and unconditionally guarantee to each Holder and to the Trustee the Indenture Obligations, to the extent set forth in Article Fifteen of the Tenth Supplemental Indenture and subject to the provisions thereof. The obligations of the Subsidiary Guarantors to the Holders of Notes and to the Trustee pursuant to the Subsidiary Guarantees are expressly set forth in Article Fifteen of the Tenth Supplemental Indenture, and reference is hereby made to such Article for the precise terms of the Subsidiary Guarantees.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22" w:name="page123"/>
    <w:bookmarkEnd w:id="122"/>
    <w:p>
      <w:pPr>
        <w:ind w:left="-220" w:right="220" w:firstLine="464"/>
        <w:spacing w:after="0" w:line="277" w:lineRule="auto"/>
        <w:tabs>
          <w:tab w:leader="none" w:pos="4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YORK LAW TO GOVERN. THE LAWS OF THE STATE OF NEW YORK SHALL GOVERN AND BE USED TO CONSTRUE AND ENFORCE THIS SUPPLEMENTAL INDENTURE.</w:t>
      </w:r>
    </w:p>
    <w:p>
      <w:pPr>
        <w:spacing w:after="0" w:line="170" w:lineRule="exact"/>
        <w:rPr>
          <w:rFonts w:ascii="Arial" w:cs="Arial" w:eastAsia="Arial" w:hAnsi="Arial"/>
          <w:sz w:val="18"/>
          <w:szCs w:val="18"/>
          <w:color w:val="auto"/>
        </w:rPr>
      </w:pPr>
    </w:p>
    <w:p>
      <w:pPr>
        <w:jc w:val="both"/>
        <w:ind w:left="-220" w:firstLine="464"/>
        <w:spacing w:after="0" w:line="264" w:lineRule="auto"/>
        <w:tabs>
          <w:tab w:leader="none" w:pos="4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81" w:lineRule="exact"/>
        <w:rPr>
          <w:rFonts w:ascii="Arial" w:cs="Arial" w:eastAsia="Arial" w:hAnsi="Arial"/>
          <w:sz w:val="18"/>
          <w:szCs w:val="18"/>
          <w:color w:val="auto"/>
        </w:rPr>
      </w:pPr>
    </w:p>
    <w:p>
      <w:pPr>
        <w:ind w:left="420" w:hanging="176"/>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FFECT OF</w:t>
      </w:r>
      <w:r>
        <w:rPr>
          <w:rFonts w:ascii="Arial" w:cs="Arial" w:eastAsia="Arial" w:hAnsi="Arial"/>
          <w:sz w:val="18"/>
          <w:szCs w:val="18"/>
          <w:color w:val="auto"/>
        </w:rPr>
        <w:t xml:space="preserve"> H</w:t>
      </w:r>
      <w:r>
        <w:rPr>
          <w:rFonts w:ascii="Arial" w:cs="Arial" w:eastAsia="Arial" w:hAnsi="Arial"/>
          <w:sz w:val="15"/>
          <w:szCs w:val="15"/>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220" w:right="140" w:firstLine="464"/>
        <w:spacing w:after="0" w:line="259" w:lineRule="auto"/>
        <w:tabs>
          <w:tab w:leader="none" w:pos="4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HE</w:t>
      </w:r>
      <w:r>
        <w:rPr>
          <w:rFonts w:ascii="Arial" w:cs="Arial" w:eastAsia="Arial" w:hAnsi="Arial"/>
          <w:sz w:val="18"/>
          <w:szCs w:val="18"/>
          <w:color w:val="auto"/>
        </w:rPr>
        <w:t xml:space="preserve"> T</w:t>
      </w:r>
      <w:r>
        <w:rPr>
          <w:rFonts w:ascii="Arial" w:cs="Arial" w:eastAsia="Arial" w:hAnsi="Arial"/>
          <w:sz w:val="15"/>
          <w:szCs w:val="15"/>
          <w:color w:val="auto"/>
        </w:rPr>
        <w:t>RUSTEE</w:t>
      </w:r>
      <w:r>
        <w:rPr>
          <w:rFonts w:ascii="Arial" w:cs="Arial" w:eastAsia="Arial" w:hAnsi="Arial"/>
          <w:sz w:val="18"/>
          <w:szCs w:val="18"/>
          <w:color w:val="auto"/>
        </w:rPr>
        <w:t>.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80"/>
          </w:cols>
          <w:pgMar w:left="460" w:top="274" w:right="459" w:bottom="1440" w:gutter="0" w:footer="0" w:header="0"/>
        </w:sectPr>
      </w:pPr>
    </w:p>
    <w:bookmarkStart w:id="123" w:name="page124"/>
    <w:bookmarkEnd w:id="12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460"/>
        <w:spacing w:after="0"/>
        <w:tabs>
          <w:tab w:leader="none" w:pos="1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[OTHER SUBSIDIARY GUARANTORS]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N</w:t>
      </w:r>
      <w:r>
        <w:rPr>
          <w:rFonts w:ascii="Arial" w:cs="Arial" w:eastAsia="Arial" w:hAnsi="Arial"/>
          <w:sz w:val="15"/>
          <w:szCs w:val="15"/>
          <w:color w:val="auto"/>
        </w:rPr>
        <w:t>ATIONAL</w:t>
      </w:r>
      <w:r>
        <w:rPr>
          <w:rFonts w:ascii="Arial" w:cs="Arial" w:eastAsia="Arial" w:hAnsi="Arial"/>
          <w:sz w:val="18"/>
          <w:szCs w:val="18"/>
          <w:color w:val="auto"/>
        </w:rPr>
        <w:t xml:space="preserve"> T</w:t>
      </w:r>
      <w:r>
        <w:rPr>
          <w:rFonts w:ascii="Arial" w:cs="Arial" w:eastAsia="Arial" w:hAnsi="Arial"/>
          <w:sz w:val="15"/>
          <w:szCs w:val="15"/>
          <w:color w:val="auto"/>
        </w:rPr>
        <w:t>RUST</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40"/>
          </w:cols>
          <w:pgMar w:left="240" w:top="274" w:right="5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492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432"/>
        </w:trPr>
        <w:tc>
          <w:tcPr>
            <w:tcW w:w="6500" w:type="dxa"/>
            <w:vAlign w:val="bottom"/>
          </w:tcPr>
          <w:p>
            <w:pPr>
              <w:spacing w:after="0"/>
              <w:rPr>
                <w:sz w:val="20"/>
                <w:szCs w:val="20"/>
                <w:color w:val="auto"/>
              </w:rPr>
            </w:pPr>
            <w:r>
              <w:rPr>
                <w:rFonts w:ascii="Arial" w:cs="Arial" w:eastAsia="Arial" w:hAnsi="Arial"/>
                <w:sz w:val="18"/>
                <w:szCs w:val="18"/>
                <w:color w:val="auto"/>
              </w:rPr>
              <w:t>17 June 2016</w:t>
            </w:r>
          </w:p>
        </w:tc>
        <w:tc>
          <w:tcPr>
            <w:tcW w:w="4920" w:type="dxa"/>
            <w:vAlign w:val="bottom"/>
          </w:tcPr>
          <w:p>
            <w:pPr>
              <w:spacing w:after="0"/>
              <w:rPr>
                <w:sz w:val="24"/>
                <w:szCs w:val="24"/>
                <w:color w:val="auto"/>
              </w:rPr>
            </w:pPr>
          </w:p>
        </w:tc>
      </w:tr>
      <w:tr>
        <w:trPr>
          <w:trHeight w:val="445"/>
        </w:trPr>
        <w:tc>
          <w:tcPr>
            <w:tcW w:w="6500" w:type="dxa"/>
            <w:vAlign w:val="bottom"/>
          </w:tcPr>
          <w:p>
            <w:pPr>
              <w:spacing w:after="0"/>
              <w:rPr>
                <w:sz w:val="20"/>
                <w:szCs w:val="20"/>
                <w:color w:val="auto"/>
              </w:rPr>
            </w:pPr>
            <w:r>
              <w:rPr>
                <w:rFonts w:ascii="Arial" w:cs="Arial" w:eastAsia="Arial" w:hAnsi="Arial"/>
                <w:sz w:val="18"/>
                <w:szCs w:val="18"/>
                <w:color w:val="auto"/>
              </w:rPr>
              <w:t>Weatherford International Ltd.</w:t>
            </w:r>
          </w:p>
        </w:tc>
        <w:tc>
          <w:tcPr>
            <w:tcW w:w="4920" w:type="dxa"/>
            <w:vAlign w:val="bottom"/>
          </w:tcPr>
          <w:p>
            <w:pPr>
              <w:jc w:val="right"/>
              <w:ind w:right="10"/>
              <w:spacing w:after="0"/>
              <w:rPr>
                <w:sz w:val="20"/>
                <w:szCs w:val="20"/>
                <w:color w:val="auto"/>
              </w:rPr>
            </w:pPr>
            <w:r>
              <w:rPr>
                <w:rFonts w:ascii="Arial" w:cs="Arial" w:eastAsia="Arial" w:hAnsi="Arial"/>
                <w:sz w:val="18"/>
                <w:szCs w:val="18"/>
                <w:color w:val="auto"/>
              </w:rPr>
              <w:t>Matter No.:354415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2000 St. James Place</w:t>
            </w:r>
          </w:p>
        </w:tc>
        <w:tc>
          <w:tcPr>
            <w:tcW w:w="4920" w:type="dxa"/>
            <w:vAlign w:val="bottom"/>
          </w:tcPr>
          <w:p>
            <w:pPr>
              <w:jc w:val="right"/>
              <w:ind w:right="10"/>
              <w:spacing w:after="0"/>
              <w:rPr>
                <w:sz w:val="20"/>
                <w:szCs w:val="20"/>
                <w:color w:val="auto"/>
              </w:rPr>
            </w:pPr>
            <w:r>
              <w:rPr>
                <w:rFonts w:ascii="Arial" w:cs="Arial" w:eastAsia="Arial" w:hAnsi="Arial"/>
                <w:sz w:val="18"/>
                <w:szCs w:val="18"/>
                <w:color w:val="auto"/>
              </w:rPr>
              <w:t>Doc Ref: legal11260240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Houston, Texas 77056</w:t>
            </w:r>
          </w:p>
        </w:tc>
        <w:tc>
          <w:tcPr>
            <w:tcW w:w="4920" w:type="dxa"/>
            <w:vAlign w:val="bottom"/>
          </w:tcPr>
          <w:p>
            <w:pPr>
              <w:spacing w:after="0"/>
              <w:rPr>
                <w:sz w:val="18"/>
                <w:szCs w:val="18"/>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U.S.A.</w:t>
            </w:r>
          </w:p>
        </w:tc>
        <w:tc>
          <w:tcPr>
            <w:tcW w:w="4920" w:type="dxa"/>
            <w:vAlign w:val="bottom"/>
          </w:tcPr>
          <w:p>
            <w:pPr>
              <w:jc w:val="right"/>
              <w:ind w:right="10"/>
              <w:spacing w:after="0"/>
              <w:rPr>
                <w:sz w:val="20"/>
                <w:szCs w:val="20"/>
                <w:color w:val="auto"/>
              </w:rPr>
            </w:pPr>
            <w:r>
              <w:rPr>
                <w:rFonts w:ascii="Arial" w:cs="Arial" w:eastAsia="Arial" w:hAnsi="Arial"/>
                <w:sz w:val="18"/>
                <w:szCs w:val="18"/>
                <w:color w:val="auto"/>
              </w:rPr>
              <w:t>1 441 2787974</w:t>
            </w:r>
          </w:p>
        </w:tc>
      </w:tr>
      <w:tr>
        <w:trPr>
          <w:trHeight w:val="230"/>
        </w:trPr>
        <w:tc>
          <w:tcPr>
            <w:tcW w:w="6500" w:type="dxa"/>
            <w:vAlign w:val="bottom"/>
          </w:tcPr>
          <w:p>
            <w:pPr>
              <w:spacing w:after="0"/>
              <w:rPr>
                <w:sz w:val="20"/>
                <w:szCs w:val="20"/>
                <w:color w:val="auto"/>
              </w:rPr>
            </w:pPr>
          </w:p>
        </w:tc>
        <w:tc>
          <w:tcPr>
            <w:tcW w:w="4920" w:type="dxa"/>
            <w:vAlign w:val="bottom"/>
          </w:tcPr>
          <w:p>
            <w:pPr>
              <w:jc w:val="right"/>
              <w:ind w:right="10"/>
              <w:spacing w:after="0"/>
              <w:rPr>
                <w:sz w:val="20"/>
                <w:szCs w:val="20"/>
                <w:color w:val="auto"/>
              </w:rPr>
            </w:pPr>
            <w:r>
              <w:rPr>
                <w:rFonts w:ascii="Arial" w:cs="Arial" w:eastAsia="Arial" w:hAnsi="Arial"/>
                <w:sz w:val="18"/>
                <w:szCs w:val="18"/>
                <w:color w:val="auto"/>
              </w:rPr>
              <w:t>ciara.brady@conyersdill.com</w:t>
            </w:r>
          </w:p>
        </w:tc>
      </w:tr>
      <w:tr>
        <w:trPr>
          <w:trHeight w:val="446"/>
        </w:trPr>
        <w:tc>
          <w:tcPr>
            <w:tcW w:w="6500" w:type="dxa"/>
            <w:vAlign w:val="bottom"/>
          </w:tcPr>
          <w:p>
            <w:pPr>
              <w:spacing w:after="0"/>
              <w:rPr>
                <w:sz w:val="20"/>
                <w:szCs w:val="20"/>
                <w:color w:val="auto"/>
              </w:rPr>
            </w:pPr>
            <w:r>
              <w:rPr>
                <w:rFonts w:ascii="Arial" w:cs="Arial" w:eastAsia="Arial" w:hAnsi="Arial"/>
                <w:sz w:val="18"/>
                <w:szCs w:val="18"/>
                <w:color w:val="auto"/>
              </w:rPr>
              <w:t>Dear Sirs</w:t>
            </w:r>
          </w:p>
        </w:tc>
        <w:tc>
          <w:tcPr>
            <w:tcW w:w="4920" w:type="dxa"/>
            <w:vAlign w:val="bottom"/>
          </w:tcPr>
          <w:p>
            <w:pPr>
              <w:spacing w:after="0"/>
              <w:rPr>
                <w:sz w:val="24"/>
                <w:szCs w:val="24"/>
                <w:color w:val="auto"/>
              </w:rPr>
            </w:pPr>
          </w:p>
        </w:tc>
      </w:tr>
      <w:tr>
        <w:trPr>
          <w:trHeight w:val="432"/>
        </w:trPr>
        <w:tc>
          <w:tcPr>
            <w:tcW w:w="6500" w:type="dxa"/>
            <w:vAlign w:val="bottom"/>
          </w:tcPr>
          <w:p>
            <w:pPr>
              <w:spacing w:after="0"/>
              <w:rPr>
                <w:sz w:val="20"/>
                <w:szCs w:val="20"/>
                <w:color w:val="auto"/>
              </w:rPr>
            </w:pPr>
            <w:r>
              <w:rPr>
                <w:rFonts w:ascii="Arial" w:cs="Arial" w:eastAsia="Arial" w:hAnsi="Arial"/>
                <w:sz w:val="18"/>
                <w:szCs w:val="18"/>
                <w:b w:val="1"/>
                <w:bCs w:val="1"/>
                <w:color w:val="auto"/>
              </w:rPr>
              <w:t>Weatherford International Ltd. (the “Company”)</w:t>
            </w:r>
          </w:p>
        </w:tc>
        <w:tc>
          <w:tcPr>
            <w:tcW w:w="49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special legal counsel in Bermuda to the Company, a Bermuda exempted company, in connection with its offer and sale of up to</w:t>
      </w:r>
    </w:p>
    <w:p>
      <w:pPr>
        <w:spacing w:after="0" w:line="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US$1,500,000,000 aggregate principal amount of senior notes consisting of US$750,000,000 aggregate principal amount of 7.750% senior notes due 2021 (the “2021 Notes”) and US$750,000,000 aggregate principal amount of 8.250% senior notes due 2023 (the “2023 Notes” and together with the 2021 Notes, the “Notes”) under the registration statement on Form S-3 (Registration No. 333-194431) filed with the U.S. Securities and Exchange Commission (the “Commission”) on 7 March 2014 as amended by a Post-Effective Amendment No. 1 filed with the Commission on 17 June 2014 (the “Registration Statement”) and the prospectus supplement thereto dated 10 June 2016 relating to the registration, under the U.S. Securities Act of 1933, as amended, (the “Securities Act”), and the offering by the Company of the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electronic copies of the following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the Registration Statement;</w:t>
      </w:r>
    </w:p>
    <w:p>
      <w:pPr>
        <w:sectPr>
          <w:pgSz w:w="11900" w:h="16838" w:orient="portrait"/>
          <w:cols w:equalWidth="0" w:num="1">
            <w:col w:w="11420"/>
          </w:cols>
          <w:pgMar w:left="240" w:top="121" w:right="239" w:bottom="1440" w:gutter="0" w:footer="0" w:header="0"/>
        </w:sectPr>
      </w:pPr>
    </w:p>
    <w:bookmarkStart w:id="125" w:name="page126"/>
    <w:bookmarkEnd w:id="125"/>
    <w:p>
      <w:pPr>
        <w:ind w:right="540" w:firstLine="8"/>
        <w:spacing w:after="0" w:line="277" w:lineRule="auto"/>
        <w:tabs>
          <w:tab w:leader="none" w:pos="2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base prospectus dated 17 June 2014 forming part of the Registration Statement and filed with the Commission on 17 June 2014 (the “Base Prospectus”);</w:t>
      </w:r>
    </w:p>
    <w:p>
      <w:pPr>
        <w:spacing w:after="0" w:line="170" w:lineRule="exact"/>
        <w:rPr>
          <w:rFonts w:ascii="Arial" w:cs="Arial" w:eastAsia="Arial" w:hAnsi="Arial"/>
          <w:sz w:val="18"/>
          <w:szCs w:val="18"/>
          <w:color w:val="auto"/>
        </w:rPr>
      </w:pPr>
    </w:p>
    <w:p>
      <w:pPr>
        <w:ind w:right="100" w:firstLine="8"/>
        <w:spacing w:after="0" w:line="277" w:lineRule="auto"/>
        <w:tabs>
          <w:tab w:leader="none" w:pos="3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final prospectus supplement forming part of the Registration Statement dated 10 June 2016 and filed with the Commission on 13 June 2016 (the “Final Prospectus”);</w:t>
      </w:r>
    </w:p>
    <w:p>
      <w:pPr>
        <w:spacing w:after="0" w:line="170" w:lineRule="exact"/>
        <w:rPr>
          <w:rFonts w:ascii="Arial" w:cs="Arial" w:eastAsia="Arial" w:hAnsi="Arial"/>
          <w:sz w:val="18"/>
          <w:szCs w:val="18"/>
          <w:color w:val="auto"/>
        </w:rPr>
      </w:pPr>
    </w:p>
    <w:p>
      <w:pPr>
        <w:ind w:right="100" w:firstLine="8"/>
        <w:spacing w:after="0" w:line="277" w:lineRule="auto"/>
        <w:tabs>
          <w:tab w:leader="none" w:pos="30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indenture among the Company, Weatherford International, Inc., a Delaware corporation, and Deutsche Bank Trust Company Americas as trustee (the “Trustee”) dated as of 1 October 2003 (the “Original Indenture”);</w:t>
      </w:r>
    </w:p>
    <w:p>
      <w:pPr>
        <w:spacing w:after="0" w:line="170" w:lineRule="exact"/>
        <w:rPr>
          <w:rFonts w:ascii="Arial" w:cs="Arial" w:eastAsia="Arial" w:hAnsi="Arial"/>
          <w:sz w:val="18"/>
          <w:szCs w:val="18"/>
          <w:color w:val="auto"/>
        </w:rPr>
      </w:pPr>
    </w:p>
    <w:p>
      <w:pPr>
        <w:ind w:right="140" w:firstLine="8"/>
        <w:spacing w:after="0" w:line="264"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tenth supplemental indenture to the Indenture among the Company, Weatherford International, LLC, a Delaware limited liability company, Weatherford International plc, an Irish public limited company, and the Trustee dated as of 17 June 2016 (the “Tenth Supplemental Indenture”, together with the Original Indenture, the “Indenture”);</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form of the 2021 Notes attached to the Tenth Supplemental Indenture;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form of the 2023 Notes attached to the Tenth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documents listed in items (iv) through (vii) above are herein sometimes collectively referred to as the “Documents” and the documents listed in items</w:t>
      </w:r>
    </w:p>
    <w:p>
      <w:pPr>
        <w:spacing w:after="0" w:line="46" w:lineRule="exact"/>
        <w:rPr>
          <w:sz w:val="20"/>
          <w:szCs w:val="20"/>
          <w:color w:val="auto"/>
        </w:rPr>
      </w:pPr>
    </w:p>
    <w:p>
      <w:pPr>
        <w:ind w:right="260" w:firstLine="8"/>
        <w:spacing w:after="0" w:line="254" w:lineRule="auto"/>
        <w:tabs>
          <w:tab w:leader="none" w:pos="2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through (iii) above are herein sometimes collectively referred to as the “Disclosure Documents”. Each of the terms “Registration Statement”, “2021 Notes”, “2023 Notes”, “Notes”, “Base Prospectus”, “Final Prospectus”, “Original Indenture”, “Indenture”, “Tenth Supplemental Indenture”, “Documents” and “Disclosure Documents” does not include any other instrument or agreement whether or not specifically referred to therein or attached as an exhibit or schedule thereto.</w:t>
      </w:r>
    </w:p>
    <w:p>
      <w:pPr>
        <w:spacing w:after="0" w:line="19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have also reviewed the memorandum of association and the bye-laws of the Company, each certified by the Assistant Secretary of the Company on 17 June 2016, extracts of minutes of meetings of the board of directors of the Company (the “Board”) held on 3 September 2003, 9 May 2006 and 30 May 2016 and written resolutions of the Board dated 8 June 2016, each certified by the Assistant Secretary of the Company on 17 June 2016, (collectively, the “Resolutions”), and such other documents and made such enquiries as to questions of law as we have deemed necessary in order to render the opinion set forth below.</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6" w:name="page127"/>
    <w:bookmarkEnd w:id="1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 has been examined by us in draft or unexecuted form, it will be or has been executed and/or filed in the form of that draft or unexecuted form, and where a number of drafts of a document have been examined by us all changes thereto have been marked or otherwise drawn to our attention, (c) the capacity, power and authority of each of the parties to the Documents, other than the Company, to enter into and perform its respective obligations under the Documents, (d) the due execution and delivery of the Indenture by each of the parties thereto, other than the Company, and the physical delivery thereof by the Company with an intention to be bound thereby, (e) the due execution and delivery of the Notes by each of the parties thereto, (f) the due authentication of the Notes by the Trustee, (g) the accuracy and completeness of all factual representations made in the Disclosure Documents and the Documents and other documents reviewed by us, (h) that the Resolutions were passed at one or more duly convened, constituted and quorate meetings or by unanimous written resolutions, remain in full force and effect and have not been rescinded or amended, (i) that the Company is entering into the Documents pursuant to its business of acting as a holding company, (j) that there is no provision of the law of any jurisdiction, other than Bermuda, which would have any implication in relation to the opinions expressed herein, (k) the validity and binding effect under the laws of the State of New York (the “Foreign Laws”) of the Documents in accordance with their respective terms, (l) the validity and binding effect under the Foreign Laws of the submission by the Company pursuant to the Indenture to the jurisdiction of any federal or state court located in the Borough of Manhattan in the City of New York, New York, (m) that none of the parties to the Documents carries on business from premises in Bermuda at which it employs staff and pays salaries and other expenses, (n) at the time of issue of the Notes, the Bermuda Monetary Authority will not have revoked or amended its general permissions dated 1 June 2005, (o) that no Notes will be issued or transferred to persons deemed resident of Bermuda for exchange control purposes, and (p) that on the date of entering into the Documents, including issuing the Notes, the Company is and after entering into the Documents and issuing the Notes will be able to pay its liabilities as they become due.</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term “enforceable” as used in this opinion means that an obligation is of a type which the courts of Bermuda enforce. It does not mean that those obligations will be enforced in all circumstances in accordance with the terms of the Documents. In particular, the obligations of the Company under the Documents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whether or not it was applying the Foreign Laws,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express no opinion as to the enforceability of any provision of the Documents which provides for the payment of a specified rate of interest on the amount of a judgment after the date of judgment or which purports to fetter the statutory powers of the Company.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Notes by the Company and is not to be relied upon in respect of any other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225" w:lineRule="exact"/>
        <w:rPr>
          <w:sz w:val="20"/>
          <w:szCs w:val="20"/>
          <w:color w:val="auto"/>
        </w:rPr>
      </w:pPr>
    </w:p>
    <w:p>
      <w:pPr>
        <w:ind w:right="140" w:firstLine="8"/>
        <w:spacing w:after="0" w:line="264"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taken all corporate action required to authorise its execution, delivery and performance of the Documents.</w:t>
      </w:r>
    </w:p>
    <w:p>
      <w:pPr>
        <w:spacing w:after="0" w:line="225" w:lineRule="exact"/>
        <w:rPr>
          <w:rFonts w:ascii="Arial" w:cs="Arial" w:eastAsia="Arial" w:hAnsi="Arial"/>
          <w:sz w:val="18"/>
          <w:szCs w:val="18"/>
          <w:color w:val="auto"/>
        </w:rPr>
      </w:pPr>
    </w:p>
    <w:p>
      <w:pPr>
        <w:ind w:right="340" w:firstLine="8"/>
        <w:spacing w:after="0" w:line="264"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the due execution, delivery and issuance of the Notes and payment of the consideration therefor in accordance with the Indenture and as contemplated by the Registration Statement, such Notes will constitute valid, binding and enforceable obligations of the Company in accordance with the terms thereof.</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Final Prospectus Supplement forming a part of the Registration Statement. In giving this consent, we do not admit that we are experts within the meaning of Section 11 of the Securities Act or that we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8" w:name="page129"/>
    <w:bookmarkEnd w:id="12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in the category of persons whose consent is required under section 7 of the Securities Act or the rules and regulations of the Commission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Conyers Dill &amp; Pearman Limited</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129" w:name="page130"/>
    <w:bookmarkEnd w:id="129"/>
    <w:p>
      <w:pPr>
        <w:ind w:left="105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-713105</wp:posOffset>
            </wp:positionV>
            <wp:extent cx="211836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183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No. 333-194431;</w:t>
      </w:r>
    </w:p>
    <w:p>
      <w:pPr>
        <w:spacing w:after="0" w:line="23" w:lineRule="exact"/>
        <w:rPr>
          <w:sz w:val="20"/>
          <w:szCs w:val="20"/>
          <w:color w:val="auto"/>
        </w:rPr>
      </w:pPr>
    </w:p>
    <w:p>
      <w:pPr>
        <w:ind w:left="920" w:right="1040"/>
        <w:spacing w:after="0" w:line="261" w:lineRule="auto"/>
        <w:rPr>
          <w:sz w:val="20"/>
          <w:szCs w:val="20"/>
          <w:color w:val="auto"/>
        </w:rPr>
      </w:pPr>
      <w:r>
        <w:rPr>
          <w:rFonts w:ascii="Arial" w:cs="Arial" w:eastAsia="Arial" w:hAnsi="Arial"/>
          <w:sz w:val="18"/>
          <w:szCs w:val="18"/>
          <w:color w:val="auto"/>
        </w:rPr>
        <w:t>$1.5 Billion Aggregate Principal Amount of 7.750% Senior Notes due 2021 and 8.250% Senior Notes due 2023</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811 Main Street, Suite 3700</w:t>
      </w:r>
    </w:p>
    <w:p>
      <w:pPr>
        <w:spacing w:after="0" w:line="221" w:lineRule="auto"/>
        <w:rPr>
          <w:sz w:val="20"/>
          <w:szCs w:val="20"/>
          <w:color w:val="auto"/>
        </w:rPr>
      </w:pPr>
      <w:r>
        <w:rPr>
          <w:rFonts w:ascii="Arial" w:cs="Arial" w:eastAsia="Arial" w:hAnsi="Arial"/>
          <w:sz w:val="14"/>
          <w:szCs w:val="14"/>
          <w:color w:val="auto"/>
        </w:rPr>
        <w:t>Houston, TX 77002</w:t>
      </w:r>
    </w:p>
    <w:p>
      <w:pPr>
        <w:ind w:right="380"/>
        <w:spacing w:after="0" w:line="237" w:lineRule="auto"/>
        <w:rPr>
          <w:sz w:val="20"/>
          <w:szCs w:val="20"/>
          <w:color w:val="auto"/>
        </w:rPr>
      </w:pPr>
      <w:r>
        <w:rPr>
          <w:rFonts w:ascii="Arial" w:cs="Arial" w:eastAsia="Arial" w:hAnsi="Arial"/>
          <w:sz w:val="14"/>
          <w:szCs w:val="14"/>
          <w:color w:val="auto"/>
        </w:rPr>
        <w:t>Tel: +1.713.546.5400 Fax: +1.713.546.5401 www.lw.com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Moscow</w:t>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Munich</w:t>
      </w:r>
    </w:p>
    <w:p>
      <w:pPr>
        <w:spacing w:after="0" w:line="221" w:lineRule="auto"/>
        <w:tabs>
          <w:tab w:leader="none" w:pos="112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New Jersey</w:t>
      </w:r>
    </w:p>
    <w:p>
      <w:pPr>
        <w:spacing w:after="0" w:line="221" w:lineRule="auto"/>
        <w:tabs>
          <w:tab w:leader="none" w:pos="112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tabs>
          <w:tab w:leader="none" w:pos="112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2"/>
          <w:szCs w:val="12"/>
          <w:color w:val="auto"/>
        </w:rPr>
        <w:t>Orange County</w:t>
      </w:r>
    </w:p>
    <w:p>
      <w:pPr>
        <w:spacing w:after="0"/>
        <w:tabs>
          <w:tab w:leader="none" w:pos="112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4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221" w:lineRule="auto"/>
        <w:tabs>
          <w:tab w:leader="none" w:pos="112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Rome</w:t>
      </w:r>
    </w:p>
    <w:p>
      <w:pPr>
        <w:spacing w:after="0" w:line="221" w:lineRule="auto"/>
        <w:tabs>
          <w:tab w:leader="none" w:pos="112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222" w:lineRule="auto"/>
        <w:tabs>
          <w:tab w:leader="none" w:pos="112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tabs>
          <w:tab w:leader="none" w:pos="112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222" w:lineRule="auto"/>
        <w:tabs>
          <w:tab w:leader="none" w:pos="112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221" w:lineRule="auto"/>
        <w:tabs>
          <w:tab w:leader="none" w:pos="112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line="4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Washington, D.C.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Milan</w:t>
      </w:r>
    </w:p>
    <w:p>
      <w:pPr>
        <w:spacing w:after="0" w:line="1167" w:lineRule="exact"/>
        <w:rPr>
          <w:sz w:val="20"/>
          <w:szCs w:val="20"/>
          <w:color w:val="auto"/>
        </w:rPr>
      </w:pPr>
    </w:p>
    <w:p>
      <w:pPr>
        <w:sectPr>
          <w:pgSz w:w="11900" w:h="16838" w:orient="portrait"/>
          <w:cols w:equalWidth="0" w:num="2">
            <w:col w:w="7740" w:space="720"/>
            <w:col w:w="29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acted as special counsel to Weatherford International plc, an Irish public limited company (“</w:t>
      </w:r>
      <w:r>
        <w:rPr>
          <w:rFonts w:ascii="Arial" w:cs="Arial" w:eastAsia="Arial" w:hAnsi="Arial"/>
          <w:sz w:val="16"/>
          <w:szCs w:val="16"/>
          <w:b w:val="1"/>
          <w:bCs w:val="1"/>
          <w:i w:val="1"/>
          <w:iCs w:val="1"/>
          <w:color w:val="auto"/>
        </w:rPr>
        <w:t>Weatherford Ireland</w:t>
      </w:r>
      <w:r>
        <w:rPr>
          <w:rFonts w:ascii="Arial" w:cs="Arial" w:eastAsia="Arial" w:hAnsi="Arial"/>
          <w:sz w:val="16"/>
          <w:szCs w:val="16"/>
          <w:color w:val="auto"/>
        </w:rPr>
        <w:t>”), in connection with the issuance by Weatherford International Ltd., a Bermuda exempted company and an indirect subsidiary of Weatherford Ireland (“</w:t>
      </w:r>
      <w:r>
        <w:rPr>
          <w:rFonts w:ascii="Arial" w:cs="Arial" w:eastAsia="Arial" w:hAnsi="Arial"/>
          <w:sz w:val="16"/>
          <w:szCs w:val="16"/>
          <w:b w:val="1"/>
          <w:bCs w:val="1"/>
          <w:i w:val="1"/>
          <w:iCs w:val="1"/>
          <w:color w:val="auto"/>
        </w:rPr>
        <w:t>Weatherford Bermuda</w:t>
      </w:r>
      <w:r>
        <w:rPr>
          <w:rFonts w:ascii="Arial" w:cs="Arial" w:eastAsia="Arial" w:hAnsi="Arial"/>
          <w:sz w:val="16"/>
          <w:szCs w:val="16"/>
          <w:color w:val="auto"/>
        </w:rPr>
        <w:t>”), of $1,500,000,000 aggregate principal amount of Weatherford Bermuda’s senior notes, consisting of $750,000,000 aggregate principal amount of 7.750% Senior Notes due 2021 and $750,000,000 aggregate principal amount of 8.250% Senior Notes due 2023 (collectively,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and the guarantees of the Notes (the “</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by Weatherford Ireland and Weatherford International, LLC, a Delaware limited liability company and indirect subsidiary of Weatherford Ireland (“</w:t>
      </w:r>
      <w:r>
        <w:rPr>
          <w:rFonts w:ascii="Arial" w:cs="Arial" w:eastAsia="Arial" w:hAnsi="Arial"/>
          <w:sz w:val="16"/>
          <w:szCs w:val="16"/>
          <w:b w:val="1"/>
          <w:bCs w:val="1"/>
          <w:i w:val="1"/>
          <w:iCs w:val="1"/>
          <w:color w:val="auto"/>
        </w:rPr>
        <w:t>Weatherford Delaware</w:t>
      </w:r>
      <w:r>
        <w:rPr>
          <w:rFonts w:ascii="Arial" w:cs="Arial" w:eastAsia="Arial" w:hAnsi="Arial"/>
          <w:sz w:val="16"/>
          <w:szCs w:val="16"/>
          <w:color w:val="auto"/>
        </w:rPr>
        <w:t>” and, together with Weatherford Ireland,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and, together with Weatherford Ireland and Weatherford Bermuda, the “</w:t>
      </w:r>
      <w:r>
        <w:rPr>
          <w:rFonts w:ascii="Arial" w:cs="Arial" w:eastAsia="Arial" w:hAnsi="Arial"/>
          <w:sz w:val="16"/>
          <w:szCs w:val="16"/>
          <w:b w:val="1"/>
          <w:bCs w:val="1"/>
          <w:i w:val="1"/>
          <w:iCs w:val="1"/>
          <w:color w:val="auto"/>
        </w:rPr>
        <w:t>Weatherford Parties</w:t>
      </w:r>
      <w:r>
        <w:rPr>
          <w:rFonts w:ascii="Arial" w:cs="Arial" w:eastAsia="Arial" w:hAnsi="Arial"/>
          <w:sz w:val="16"/>
          <w:szCs w:val="16"/>
          <w:color w:val="auto"/>
        </w:rPr>
        <w:t>”), pursuant to the Indenture (the “</w:t>
      </w:r>
      <w:r>
        <w:rPr>
          <w:rFonts w:ascii="Arial" w:cs="Arial" w:eastAsia="Arial" w:hAnsi="Arial"/>
          <w:sz w:val="16"/>
          <w:szCs w:val="16"/>
          <w:b w:val="1"/>
          <w:bCs w:val="1"/>
          <w:i w:val="1"/>
          <w:iCs w:val="1"/>
          <w:color w:val="auto"/>
        </w:rPr>
        <w:t>Base Indenture</w:t>
      </w:r>
      <w:r>
        <w:rPr>
          <w:rFonts w:ascii="Arial" w:cs="Arial" w:eastAsia="Arial" w:hAnsi="Arial"/>
          <w:sz w:val="16"/>
          <w:szCs w:val="16"/>
          <w:color w:val="auto"/>
        </w:rPr>
        <w:t>”), dated as of October 1, 2003, by and among Weatherford Bermuda, as issuer, Weatherford International, Inc., a Delaware corporation, as guarantor, and Deutsche Bank Trust Company Americas,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as amended and supplemented by that certain Supplemental Indenture No. 3 (the “</w:t>
      </w:r>
      <w:r>
        <w:rPr>
          <w:rFonts w:ascii="Arial" w:cs="Arial" w:eastAsia="Arial" w:hAnsi="Arial"/>
          <w:sz w:val="16"/>
          <w:szCs w:val="16"/>
          <w:b w:val="1"/>
          <w:bCs w:val="1"/>
          <w:i w:val="1"/>
          <w:iCs w:val="1"/>
          <w:color w:val="auto"/>
        </w:rPr>
        <w:t>Third Supplemental Indenture</w:t>
      </w:r>
      <w:r>
        <w:rPr>
          <w:rFonts w:ascii="Arial" w:cs="Arial" w:eastAsia="Arial" w:hAnsi="Arial"/>
          <w:sz w:val="16"/>
          <w:szCs w:val="16"/>
          <w:color w:val="auto"/>
        </w:rPr>
        <w:t>”), dated as of February 26, 2009, that certain Supplemental Indenture No. 7 (the “</w:t>
      </w:r>
      <w:r>
        <w:rPr>
          <w:rFonts w:ascii="Arial" w:cs="Arial" w:eastAsia="Arial" w:hAnsi="Arial"/>
          <w:sz w:val="16"/>
          <w:szCs w:val="16"/>
          <w:b w:val="1"/>
          <w:bCs w:val="1"/>
          <w:i w:val="1"/>
          <w:iCs w:val="1"/>
          <w:color w:val="auto"/>
        </w:rPr>
        <w:t>Seventh Supplemental Indenture</w:t>
      </w:r>
      <w:r>
        <w:rPr>
          <w:rFonts w:ascii="Arial" w:cs="Arial" w:eastAsia="Arial" w:hAnsi="Arial"/>
          <w:sz w:val="16"/>
          <w:szCs w:val="16"/>
          <w:color w:val="auto"/>
        </w:rPr>
        <w:t>”), dated as of March 31, 2013, that certain Supplemental Indenture No. 8 (the “</w:t>
      </w:r>
      <w:r>
        <w:rPr>
          <w:rFonts w:ascii="Arial" w:cs="Arial" w:eastAsia="Arial" w:hAnsi="Arial"/>
          <w:sz w:val="16"/>
          <w:szCs w:val="16"/>
          <w:b w:val="1"/>
          <w:bCs w:val="1"/>
          <w:i w:val="1"/>
          <w:iCs w:val="1"/>
          <w:color w:val="auto"/>
        </w:rPr>
        <w:t>Eighth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June 17, 2014, and that certain Supplemental Indenture No. 10 (the “</w:t>
      </w:r>
      <w:r>
        <w:rPr>
          <w:rFonts w:ascii="Arial" w:cs="Arial" w:eastAsia="Arial" w:hAnsi="Arial"/>
          <w:sz w:val="16"/>
          <w:szCs w:val="16"/>
          <w:b w:val="1"/>
          <w:bCs w:val="1"/>
          <w:i w:val="1"/>
          <w:iCs w:val="1"/>
          <w:color w:val="auto"/>
        </w:rPr>
        <w:t>Tenth Supplemental Indenture</w:t>
      </w:r>
      <w:r>
        <w:rPr>
          <w:rFonts w:ascii="Arial" w:cs="Arial" w:eastAsia="Arial" w:hAnsi="Arial"/>
          <w:sz w:val="16"/>
          <w:szCs w:val="16"/>
          <w:color w:val="auto"/>
        </w:rPr>
        <w:t>”), dated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17, 2016, by and among Weatherford Bermuda, as issuer, Weatherford Ireland, as guarantor, Weatherford Delaware, as guarantor, and the Trustee (the Base Indenture, together with the Third Supplemental Indenture, the Seventh Supplemental Indenture, the Eighth Supplemental Indenture, and the Tenth Supplemental Indenture,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setting forth the terms of the Notes and the Guarantees, and pursuant to a registration statement on Form S-3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March 7,</w:t>
      </w:r>
    </w:p>
    <w:p>
      <w:pPr>
        <w:sectPr>
          <w:pgSz w:w="11900" w:h="16838" w:orient="portrait"/>
          <w:cols w:equalWidth="0" w:num="1">
            <w:col w:w="11420"/>
          </w:cols>
          <w:pgMar w:left="240" w:top="121" w:right="2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17,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490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2014, as amended by Post-Effective Amendment No. 1 filed with the Commission on June 17, 2014 (Registration No. 333-194431) (as so filed and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 base prospectus, dated June 17, 2014, included 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 preliminary prospectus supplement, dated June 8, 2016, filed with the Commission pursuant to Rule 424(b) under the Act (such preliminary prospectus supplement, together with the Base Prospectus, the “</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 and a prospectus supplement, dated June 10, 2016, filed with the Commission pursuant to Rule 424(b) under the Act (such prospectus supplement,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This opinion is being furnished in connection with the requirements of Item 601(b)(5) of Regulation S-K under the Act, and no opinion is expressed herein as to any matter pertaining to the contents of the Registration Statement, the Preliminary Prospectus or the Prospectus, other than as expressly stated herein with respect to the issue of the Notes and the Guarantees.</w:t>
      </w:r>
    </w:p>
    <w:p>
      <w:pPr>
        <w:spacing w:after="0" w:line="19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such counsel, we have examined such matters of fact and questions of law as we have considered appropriate for purposes of this letter. With your consent, we have relied upon certificates and other assurances of officers of the Weatherford Parties and others as to factual matters without having independently verified such factual matters. We are opining herein as to the internal laws of the State of New York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 Various matters concerning the laws of Ireland are addressed in the opinion of Matheson, which has been separately provided to you. Various matters concerning the laws of Bermuda are addressed in the opinion of Conyers Dill &amp; Pearman Ltd., which has been separately provided to you. We express no opinion with respect to those matters herein, and, to the extent such matters are necessary to the conclusions expressed herein, we have, with your consent, assumed such matters.</w:t>
      </w:r>
    </w:p>
    <w:p>
      <w:pPr>
        <w:spacing w:after="0" w:line="16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Notes have been duly executed, issued, and authenticated in accordance with the terms of the Indenture and delivered against payment therefor in the circumstances contemplated by the Underwriting Agreement, dated June 10, 2016, by and among Deutsche Bank Securities Inc. and Wells Fargo Securities, LLC, as representatives of the several underwriters party thereto, and the Weatherford Parties, the Guarantee of Weatherford Delaware will have been duly authorized by all necessary limited liability company action of Weatherford Delaware and the Notes and the Guarantees will be the legally valid and binding obligations of Weatherford Bermuda and the Guarantors, respectively, enforceable against Weatherford Bermuda and the Guarantors in accordance with their respective terms.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w:t>
      </w:r>
    </w:p>
    <w:p>
      <w:pPr>
        <w:sectPr>
          <w:pgSz w:w="11900" w:h="16838" w:orient="portrait"/>
          <w:cols w:equalWidth="0" w:num="1">
            <w:col w:w="11380"/>
          </w:cols>
          <w:pgMar w:left="240" w:top="270" w:right="2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June 17,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4907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indemnification or contribution is contrary to public policy; and (iv) we express no opinion as to (a) any provision for liquidated damages, default interest, late charges, monetary penalties, prepayment or make-whole premiums or other economic remedies to the extent such provisions are deemed to constitute a penalty, (b) consents to, or restrictions upon, governing law, jurisdiction, venue, arbitration, remedies, or judicial relief, (c) the waiver of rights or defenses;</w:t>
      </w:r>
    </w:p>
    <w:p>
      <w:pPr>
        <w:ind w:right="120" w:firstLine="8"/>
        <w:spacing w:after="0" w:line="281" w:lineRule="auto"/>
        <w:tabs>
          <w:tab w:leader="none" w:pos="2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provision requiring the payment of attorneys’ fees, where such payment is contrary to law or public policy; (e) any provision permitting, upon acceleration of any indebtedness, collection of that portion of the stated principal amount thereof which might be determined to constitute unearned interest thereon; (f) provisions purporting to waive modifications of any guaranteed obligation to the extent such modification constitutes a novation; (g) provisions purporting to make a guarantor primarily liable rather than as a surety; (h) advance waivers of claims, defenses, rights granted by law, or notice, opportunity for hearing, evidentiary requirements, statutes of limitation, trial by jury or at law, or other procedural rights; (i) waivers of broadly or vaguely stated rights;</w:t>
      </w:r>
    </w:p>
    <w:p>
      <w:pPr>
        <w:spacing w:after="0" w:line="3" w:lineRule="exact"/>
        <w:rPr>
          <w:rFonts w:ascii="Arial" w:cs="Arial" w:eastAsia="Arial" w:hAnsi="Arial"/>
          <w:sz w:val="16"/>
          <w:szCs w:val="16"/>
          <w:color w:val="auto"/>
        </w:rPr>
      </w:pPr>
    </w:p>
    <w:p>
      <w:pPr>
        <w:ind w:left="220" w:hanging="212"/>
        <w:spacing w:after="0"/>
        <w:tabs>
          <w:tab w:leader="none" w:pos="2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provisions for exclusivity, election or cumulation of rights or remedies; (k) provisions authorizing or validating conclusive or discretionary determinations;</w:t>
      </w:r>
    </w:p>
    <w:p>
      <w:pPr>
        <w:spacing w:after="0" w:line="32" w:lineRule="exact"/>
        <w:rPr>
          <w:rFonts w:ascii="Arial" w:cs="Arial" w:eastAsia="Arial" w:hAnsi="Arial"/>
          <w:sz w:val="16"/>
          <w:szCs w:val="16"/>
          <w:color w:val="auto"/>
        </w:rPr>
      </w:pPr>
    </w:p>
    <w:p>
      <w:pPr>
        <w:ind w:right="120" w:firstLine="8"/>
        <w:spacing w:after="0" w:line="261" w:lineRule="auto"/>
        <w:tabs>
          <w:tab w:leader="none" w:pos="2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grants of setoff rights; (m) proxies, powers and trusts; (n) provisions prohibiting, restricting, or requiring consent to assignment or transfer of any right or property; and (o) the severability, if invalid, of provisions to the foregoing effect.</w:t>
      </w:r>
    </w:p>
    <w:p>
      <w:pPr>
        <w:spacing w:after="0" w:line="184"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With your consent, we have assumed (a) that the Indenture, the Guarantees, and the Notes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have been duly authorized, executed and delivered by the parties thereto other than Weatherford Delaware, (b) that the Documents constitute legally valid and binding obligations of the parties thereto other than the Weatherford Parties, enforceable against each of them in accordance with their respective terms, and (c) that the status of the Documents as legally valid and binding obligations of the parties is not affected by any (i) breaches of, or defaults under, agreements or instruments,</w:t>
      </w:r>
    </w:p>
    <w:p>
      <w:pPr>
        <w:spacing w:after="0" w:line="2" w:lineRule="exact"/>
        <w:rPr>
          <w:sz w:val="20"/>
          <w:szCs w:val="20"/>
          <w:color w:val="auto"/>
        </w:rPr>
      </w:pPr>
    </w:p>
    <w:p>
      <w:pPr>
        <w:ind w:right="140" w:firstLine="8"/>
        <w:spacing w:after="0" w:line="261" w:lineRule="auto"/>
        <w:tabs>
          <w:tab w:leader="none" w:pos="2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violations of statutes, rules, regulations or court or governmental orders, or (iii) failures to obtain required consents, approvals or authorizations from, or make required registrations, declarations or filings with, governmental authorities.</w:t>
      </w:r>
    </w:p>
    <w:p>
      <w:pPr>
        <w:spacing w:after="0" w:line="1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Weatherford Ireland’s Form 8-K dated June 17, 2016 and to the reference to our firm contained in the Preliminary Prospectus and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380"/>
          </w:cols>
          <w:pgMar w:left="240" w:top="270" w:right="27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tcPr>
          <w:p>
            <w:pPr>
              <w:jc w:val="right"/>
              <w:spacing w:after="0"/>
              <w:rPr>
                <w:sz w:val="20"/>
                <w:szCs w:val="20"/>
                <w:color w:val="auto"/>
              </w:rPr>
            </w:pPr>
            <w:r>
              <w:rPr>
                <w:rFonts w:ascii="Arial" w:cs="Arial" w:eastAsia="Arial" w:hAnsi="Arial"/>
                <w:sz w:val="18"/>
                <w:szCs w:val="18"/>
                <w:b w:val="1"/>
                <w:bCs w:val="1"/>
                <w:color w:val="auto"/>
              </w:rPr>
              <w:t>Exhibit 5.3</w:t>
            </w:r>
          </w:p>
        </w:tc>
      </w:tr>
      <w:tr>
        <w:trPr>
          <w:trHeight w:val="445"/>
        </w:trPr>
        <w:tc>
          <w:tcPr>
            <w:tcW w:w="3960" w:type="dxa"/>
            <w:vAlign w:val="bottom"/>
          </w:tcPr>
          <w:p>
            <w:pPr>
              <w:spacing w:after="0"/>
              <w:rPr>
                <w:sz w:val="24"/>
                <w:szCs w:val="24"/>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Solicitors</w:t>
            </w:r>
          </w:p>
        </w:tc>
      </w:tr>
      <w:tr>
        <w:trPr>
          <w:trHeight w:val="216"/>
        </w:trPr>
        <w:tc>
          <w:tcPr>
            <w:tcW w:w="3960" w:type="dxa"/>
            <w:vAlign w:val="bottom"/>
          </w:tcPr>
          <w:p>
            <w:pPr>
              <w:spacing w:after="0"/>
              <w:rPr>
                <w:sz w:val="18"/>
                <w:szCs w:val="18"/>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70 Sir John Rogerson’s Quay</w:t>
            </w:r>
          </w:p>
        </w:tc>
      </w:tr>
      <w:tr>
        <w:trPr>
          <w:trHeight w:val="216"/>
        </w:trPr>
        <w:tc>
          <w:tcPr>
            <w:tcW w:w="3960" w:type="dxa"/>
            <w:vAlign w:val="bottom"/>
          </w:tcPr>
          <w:p>
            <w:pPr>
              <w:spacing w:after="0"/>
              <w:rPr>
                <w:sz w:val="18"/>
                <w:szCs w:val="18"/>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Dublin 2 Ireland</w:t>
            </w:r>
          </w:p>
        </w:tc>
      </w:tr>
      <w:tr>
        <w:trPr>
          <w:trHeight w:val="230"/>
        </w:trPr>
        <w:tc>
          <w:tcPr>
            <w:tcW w:w="3960" w:type="dxa"/>
            <w:vAlign w:val="bottom"/>
          </w:tcPr>
          <w:p>
            <w:pPr>
              <w:spacing w:after="0"/>
              <w:rPr>
                <w:sz w:val="20"/>
                <w:szCs w:val="20"/>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D02 R269</w:t>
            </w:r>
          </w:p>
        </w:tc>
      </w:tr>
      <w:tr>
        <w:trPr>
          <w:trHeight w:val="445"/>
        </w:trPr>
        <w:tc>
          <w:tcPr>
            <w:tcW w:w="3960" w:type="dxa"/>
            <w:vAlign w:val="bottom"/>
          </w:tcPr>
          <w:p>
            <w:pPr>
              <w:spacing w:after="0"/>
              <w:rPr>
                <w:sz w:val="24"/>
                <w:szCs w:val="24"/>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T +353 1 232 2000</w:t>
            </w:r>
          </w:p>
        </w:tc>
      </w:tr>
      <w:tr>
        <w:trPr>
          <w:trHeight w:val="216"/>
        </w:trPr>
        <w:tc>
          <w:tcPr>
            <w:tcW w:w="3960" w:type="dxa"/>
            <w:vAlign w:val="bottom"/>
          </w:tcPr>
          <w:p>
            <w:pPr>
              <w:spacing w:after="0"/>
              <w:rPr>
                <w:sz w:val="18"/>
                <w:szCs w:val="18"/>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F +353 1 232 3333</w:t>
            </w:r>
          </w:p>
        </w:tc>
      </w:tr>
      <w:tr>
        <w:trPr>
          <w:trHeight w:val="216"/>
        </w:trPr>
        <w:tc>
          <w:tcPr>
            <w:tcW w:w="3960" w:type="dxa"/>
            <w:vAlign w:val="bottom"/>
          </w:tcPr>
          <w:p>
            <w:pPr>
              <w:spacing w:after="0"/>
              <w:rPr>
                <w:sz w:val="18"/>
                <w:szCs w:val="18"/>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W www.matheson.com</w:t>
            </w:r>
          </w:p>
        </w:tc>
      </w:tr>
      <w:tr>
        <w:trPr>
          <w:trHeight w:val="230"/>
        </w:trPr>
        <w:tc>
          <w:tcPr>
            <w:tcW w:w="3960" w:type="dxa"/>
            <w:vAlign w:val="bottom"/>
          </w:tcPr>
          <w:p>
            <w:pPr>
              <w:spacing w:after="0"/>
              <w:rPr>
                <w:sz w:val="20"/>
                <w:szCs w:val="20"/>
                <w:color w:val="auto"/>
              </w:rPr>
            </w:pPr>
          </w:p>
        </w:tc>
        <w:tc>
          <w:tcPr>
            <w:tcW w:w="7460" w:type="dxa"/>
            <w:vAlign w:val="bottom"/>
          </w:tcPr>
          <w:p>
            <w:pPr>
              <w:jc w:val="right"/>
              <w:ind w:right="3430"/>
              <w:spacing w:after="0"/>
              <w:rPr>
                <w:sz w:val="20"/>
                <w:szCs w:val="20"/>
                <w:color w:val="auto"/>
              </w:rPr>
            </w:pPr>
            <w:r>
              <w:rPr>
                <w:rFonts w:ascii="Arial" w:cs="Arial" w:eastAsia="Arial" w:hAnsi="Arial"/>
                <w:sz w:val="18"/>
                <w:szCs w:val="18"/>
                <w:color w:val="auto"/>
              </w:rPr>
              <w:t>DX 2 Dublin</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Weatherford International plc</w:t>
            </w:r>
          </w:p>
        </w:tc>
        <w:tc>
          <w:tcPr>
            <w:tcW w:w="7460" w:type="dxa"/>
            <w:vAlign w:val="bottom"/>
          </w:tcPr>
          <w:p>
            <w:pPr>
              <w:spacing w:after="0"/>
              <w:rPr>
                <w:sz w:val="24"/>
                <w:szCs w:val="24"/>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Banhofstrasse 1</w:t>
            </w:r>
          </w:p>
        </w:tc>
        <w:tc>
          <w:tcPr>
            <w:tcW w:w="746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6340 Baar</w:t>
            </w:r>
          </w:p>
        </w:tc>
        <w:tc>
          <w:tcPr>
            <w:tcW w:w="746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Switzerland</w:t>
            </w:r>
          </w:p>
        </w:tc>
        <w:tc>
          <w:tcPr>
            <w:tcW w:w="7460" w:type="dxa"/>
            <w:vAlign w:val="bottom"/>
          </w:tcPr>
          <w:p>
            <w:pPr>
              <w:spacing w:after="0"/>
              <w:rPr>
                <w:sz w:val="20"/>
                <w:szCs w:val="20"/>
                <w:color w:val="auto"/>
              </w:rPr>
            </w:pP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Our Ref</w:t>
            </w:r>
          </w:p>
        </w:tc>
        <w:tc>
          <w:tcPr>
            <w:tcW w:w="7460" w:type="dxa"/>
            <w:vAlign w:val="bottom"/>
          </w:tcPr>
          <w:p>
            <w:pPr>
              <w:jc w:val="right"/>
              <w:spacing w:after="0"/>
              <w:rPr>
                <w:sz w:val="20"/>
                <w:szCs w:val="20"/>
                <w:color w:val="auto"/>
              </w:rPr>
            </w:pPr>
            <w:r>
              <w:rPr>
                <w:rFonts w:ascii="Arial" w:cs="Arial" w:eastAsia="Arial" w:hAnsi="Arial"/>
                <w:sz w:val="18"/>
                <w:szCs w:val="18"/>
                <w:color w:val="auto"/>
              </w:rPr>
              <w:t>17 June 2016</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FBO/GB 661725.19</w:t>
            </w:r>
          </w:p>
        </w:tc>
        <w:tc>
          <w:tcPr>
            <w:tcW w:w="7460" w:type="dxa"/>
            <w:vAlign w:val="bottom"/>
          </w:tcPr>
          <w:p>
            <w:pPr>
              <w:spacing w:after="0"/>
              <w:rPr>
                <w:sz w:val="20"/>
                <w:szCs w:val="20"/>
                <w:color w:val="auto"/>
              </w:rPr>
            </w:pP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Dear Sirs</w:t>
            </w:r>
          </w:p>
        </w:tc>
        <w:tc>
          <w:tcPr>
            <w:tcW w:w="7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-2649220</wp:posOffset>
            </wp:positionV>
            <wp:extent cx="1646555" cy="10204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46555" cy="10204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on behalf of Weatherford International public limited company, a public limited company incorporated under the laws of Ireland with company number 540406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 post-effective amendment No. 1 to the registration statement on Form S-3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filed by the Company pursuant to the Securities Act of 1933 of the United States of America,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and Exchange Commission of the United States of America (the “</w:t>
      </w:r>
      <w:r>
        <w:rPr>
          <w:rFonts w:ascii="Arial" w:cs="Arial" w:eastAsia="Arial" w:hAnsi="Arial"/>
          <w:sz w:val="17"/>
          <w:szCs w:val="17"/>
          <w:b w:val="1"/>
          <w:bCs w:val="1"/>
          <w:color w:val="auto"/>
        </w:rPr>
        <w:t>SEC</w:t>
      </w:r>
      <w:r>
        <w:rPr>
          <w:rFonts w:ascii="Arial" w:cs="Arial" w:eastAsia="Arial" w:hAnsi="Arial"/>
          <w:sz w:val="17"/>
          <w:szCs w:val="17"/>
          <w:color w:val="auto"/>
        </w:rPr>
        <w:t>”), the related prospectus dated 17 June 2014 included in the Registration Statement (the “</w:t>
      </w:r>
      <w:r>
        <w:rPr>
          <w:rFonts w:ascii="Arial" w:cs="Arial" w:eastAsia="Arial" w:hAnsi="Arial"/>
          <w:sz w:val="17"/>
          <w:szCs w:val="17"/>
          <w:b w:val="1"/>
          <w:bCs w:val="1"/>
          <w:color w:val="auto"/>
        </w:rPr>
        <w:t>Base Prospectus</w:t>
      </w:r>
      <w:r>
        <w:rPr>
          <w:rFonts w:ascii="Arial" w:cs="Arial" w:eastAsia="Arial" w:hAnsi="Arial"/>
          <w:sz w:val="17"/>
          <w:szCs w:val="17"/>
          <w:color w:val="auto"/>
        </w:rPr>
        <w:t>”), the prospectus supplement filed with the SEC on June 13, 2016 relating to the proposed offering and sale by Weatherford International Ltd., a Bermuda exempted company (“</w:t>
      </w:r>
      <w:r>
        <w:rPr>
          <w:rFonts w:ascii="Arial" w:cs="Arial" w:eastAsia="Arial" w:hAnsi="Arial"/>
          <w:sz w:val="17"/>
          <w:szCs w:val="17"/>
          <w:b w:val="1"/>
          <w:bCs w:val="1"/>
          <w:color w:val="auto"/>
        </w:rPr>
        <w:t>Weatherford Bermuda</w:t>
      </w:r>
      <w:r>
        <w:rPr>
          <w:rFonts w:ascii="Arial" w:cs="Arial" w:eastAsia="Arial" w:hAnsi="Arial"/>
          <w:sz w:val="17"/>
          <w:szCs w:val="17"/>
          <w:color w:val="auto"/>
        </w:rPr>
        <w:t>”) of US$1,500,000,000 aggregate principal amount of senior notes of Weatherford Bermuda, consisting of US$750,000,000 aggregate principal amount of 7.750% senior notes due 2021 (the “2021 notes”) and US$750,000,000 aggregate principal amount of 8.250% senior notes due 2023 (the “2023 notes”, and together with the 2021 notes, the “</w:t>
      </w:r>
      <w:r>
        <w:rPr>
          <w:rFonts w:ascii="Arial" w:cs="Arial" w:eastAsia="Arial" w:hAnsi="Arial"/>
          <w:sz w:val="17"/>
          <w:szCs w:val="17"/>
          <w:b w:val="1"/>
          <w:bCs w:val="1"/>
          <w:color w:val="auto"/>
        </w:rPr>
        <w:t>Weatherford Bermuda Notes</w:t>
      </w:r>
      <w:r>
        <w:rPr>
          <w:rFonts w:ascii="Arial" w:cs="Arial" w:eastAsia="Arial" w:hAnsi="Arial"/>
          <w:sz w:val="17"/>
          <w:szCs w:val="17"/>
          <w:color w:val="auto"/>
        </w:rPr>
        <w: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xml:space="preserve">” and, together with the </w:t>
      </w:r>
      <w:r>
        <w:rPr>
          <w:rFonts w:ascii="Arial" w:cs="Arial" w:eastAsia="Arial" w:hAnsi="Arial"/>
          <w:sz w:val="17"/>
          <w:szCs w:val="17"/>
          <w:b w:val="1"/>
          <w:bCs w:val="1"/>
          <w:color w:val="auto"/>
        </w:rPr>
        <w:t>Base Prospectus</w:t>
      </w:r>
      <w:r>
        <w:rPr>
          <w:rFonts w:ascii="Arial" w:cs="Arial" w:eastAsia="Arial" w:hAnsi="Arial"/>
          <w:sz w:val="17"/>
          <w:szCs w:val="17"/>
          <w:color w:val="auto"/>
        </w:rPr>
        <w:t>, the “</w:t>
      </w:r>
      <w:r>
        <w:rPr>
          <w:rFonts w:ascii="Arial" w:cs="Arial" w:eastAsia="Arial" w:hAnsi="Arial"/>
          <w:sz w:val="17"/>
          <w:szCs w:val="17"/>
          <w:b w:val="1"/>
          <w:bCs w:val="1"/>
          <w:color w:val="auto"/>
        </w:rPr>
        <w:t>Prospectus</w:t>
      </w:r>
      <w:r>
        <w:rPr>
          <w:rFonts w:ascii="Arial" w:cs="Arial" w:eastAsia="Arial" w:hAnsi="Arial"/>
          <w:sz w:val="17"/>
          <w:szCs w:val="17"/>
          <w:color w:val="auto"/>
        </w:rPr>
        <w:t>”), fully and unconditionally guaranteed by the Company under the terms of the Indenture (as defined below) and an underwriting agreement dated 10 June 2016 between the Company and the Underwriters (as defined therein)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Weatherford Bermuda Notes are, or will, be issued under an indenture dated 1 October 2003, as supplemented by supplemental indentures dated</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25 March 2008, 8 January 2009, 26 February 2009, 23 September 2010, 4 April 2012, 14 August 2012, 31 March 2013, 17 June 2014, 7 June 2016 and 17 June 2016 (the 17 June 2016 supplemental indenture being the “</w:t>
      </w:r>
      <w:r>
        <w:rPr>
          <w:rFonts w:ascii="Arial" w:cs="Arial" w:eastAsia="Arial" w:hAnsi="Arial"/>
          <w:sz w:val="18"/>
          <w:szCs w:val="18"/>
          <w:b w:val="1"/>
          <w:bCs w:val="1"/>
          <w:color w:val="auto"/>
        </w:rPr>
        <w:t>Tenth Supplemental Indenture</w:t>
      </w:r>
      <w:r>
        <w:rPr>
          <w:rFonts w:ascii="Arial" w:cs="Arial" w:eastAsia="Arial" w:hAnsi="Arial"/>
          <w:sz w:val="18"/>
          <w:szCs w:val="18"/>
          <w:color w:val="auto"/>
        </w:rPr>
        <w:t>”), to which Weatherford Bermuda, as issuer, the Company and Weatherford International, LLC a Delaware limited liability company, as guarantors, and Deutsche Bank Trust Company Americas, as trustee, are party (together the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146685</wp:posOffset>
            </wp:positionV>
            <wp:extent cx="5162550" cy="7372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62550" cy="7372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182880</wp:posOffset>
            </wp:positionV>
            <wp:extent cx="131191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The Registration Statement, the Prospectus, the Underwriting Agreement and the Indenture are collectively referred to herein as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38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131"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final form of the Prospectus Supplement and a copy of the Underwriting Agreement, sent to us in a pdf attachment to email;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copy of the Indenture (including the Tenth Supplemental Indenture), sent to us in a pdf attachment to email;</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Company (as set out in Exhibit 3.1 to the Company’s Current Report on Form 8-K filed with the SEC on 17 June 2014);</w:t>
      </w:r>
    </w:p>
    <w:p>
      <w:pPr>
        <w:spacing w:after="0" w:line="75"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copy minutes of a meeting of the board of directors’ of the Company held on 9 June 2016, certified by an assistant secretary of the Company to be a true and complete copy of those minutes of the meeting and that the resolutions contained therein have not since been amended or rescinded;</w:t>
      </w:r>
    </w:p>
    <w:p>
      <w:pPr>
        <w:spacing w:after="0" w:line="29"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copy unanimous resolutions in writing of the board of directors’ of the Company approved, adopted and executed on 8 June 2016, certified by an assistant secretary of the Company to be a true and complete copy of those resolutions of the board and that the resolutions contained therein have not since been amended or rescinded other than as set out in the resolutions contained in the minutes of a meeting of the board of directors’ of the Company referred to in the preceding sub-paragraph (d);</w:t>
      </w:r>
    </w:p>
    <w:p>
      <w:pPr>
        <w:spacing w:after="0" w:line="92" w:lineRule="exact"/>
        <w:rPr>
          <w:rFonts w:ascii="Arial" w:cs="Arial" w:eastAsia="Arial" w:hAnsi="Arial"/>
          <w:sz w:val="18"/>
          <w:szCs w:val="18"/>
          <w:color w:val="auto"/>
        </w:rPr>
      </w:pPr>
    </w:p>
    <w:p>
      <w:pPr>
        <w:jc w:val="both"/>
        <w:ind w:left="900" w:right="180" w:hanging="446"/>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copy minutes of a meeting of the board of directors’ of the Company held on 1 June 2016, certified by an assistant secretary of the Company to be a true and complete copy of those minutes of the meeting and that the resolution contained therein has not since been amended or rescinded;</w:t>
      </w:r>
    </w:p>
    <w:p>
      <w:pPr>
        <w:spacing w:after="0" w:line="29"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on 30 May 2016, certified by an assistant secretary of the Company to be a true and complete copy of those resolutions of the board and that the resolutions contained therein have not since been amended or rescinded other than as set out in: (i) the resolution contained in the minutes of a meeting of the board of directors’ of the Company referred to in the preceding sub-paragraph (f); (ii) the resolutions contained in the resolutions of the board of directors’ of the Company referred to in the preceding sub-paragraph (e); and (iii) the resolutions contained in the minutes of a meeting of the board of directors’ of the Company referred to in the preceding sub-paragraph (d);</w:t>
      </w:r>
    </w:p>
    <w:p>
      <w:pPr>
        <w:spacing w:after="0" w:line="94" w:lineRule="exact"/>
        <w:rPr>
          <w:rFonts w:ascii="Arial" w:cs="Arial" w:eastAsia="Arial" w:hAnsi="Arial"/>
          <w:sz w:val="18"/>
          <w:szCs w:val="18"/>
          <w:color w:val="auto"/>
        </w:rPr>
      </w:pPr>
    </w:p>
    <w:p>
      <w:pPr>
        <w:ind w:left="900" w:right="200" w:hanging="446"/>
        <w:spacing w:after="0" w:line="282"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certificate of an assistant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 certifying the matters referred to in the preceding sub-paragraphs (d), (e), (f) and (g);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34" w:right="259" w:bottom="1440" w:gutter="0" w:footer="0" w:header="0"/>
        </w:sectPr>
      </w:pPr>
    </w:p>
    <w:bookmarkStart w:id="134" w:name="page135"/>
    <w:bookmarkEnd w:id="134"/>
    <w:p>
      <w:pPr>
        <w:ind w:left="900" w:right="22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183515</wp:posOffset>
            </wp:positionV>
            <wp:extent cx="131191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an email transmission copy of the results of searches made on 17 June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87" w:lineRule="exact"/>
        <w:rPr>
          <w:sz w:val="20"/>
          <w:szCs w:val="20"/>
          <w:color w:val="auto"/>
        </w:rPr>
      </w:pPr>
    </w:p>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t>1.3</w:t>
        <w:tab/>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87"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1.4</w:t>
        <w:tab/>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1.5</w:t>
        <w:tab/>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87" w:lineRule="exact"/>
        <w:rPr>
          <w:sz w:val="20"/>
          <w:szCs w:val="20"/>
          <w:color w:val="auto"/>
        </w:rPr>
      </w:pPr>
    </w:p>
    <w:p>
      <w:pPr>
        <w:ind w:left="460" w:right="580" w:hanging="445"/>
        <w:spacing w:after="0" w:line="264" w:lineRule="auto"/>
        <w:tabs>
          <w:tab w:leader="none" w:pos="440" w:val="left"/>
        </w:tabs>
        <w:rPr>
          <w:sz w:val="20"/>
          <w:szCs w:val="20"/>
          <w:color w:val="auto"/>
        </w:rPr>
      </w:pPr>
      <w:r>
        <w:rPr>
          <w:rFonts w:ascii="Arial" w:cs="Arial" w:eastAsia="Arial" w:hAnsi="Arial"/>
          <w:sz w:val="18"/>
          <w:szCs w:val="18"/>
          <w:color w:val="auto"/>
        </w:rPr>
        <w:t>1.6</w:t>
        <w:tab/>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87" w:lineRule="exact"/>
        <w:rPr>
          <w:sz w:val="20"/>
          <w:szCs w:val="20"/>
          <w:color w:val="auto"/>
        </w:rPr>
      </w:pPr>
    </w:p>
    <w:p>
      <w:pPr>
        <w:ind w:left="460" w:right="20" w:hanging="445"/>
        <w:spacing w:after="0" w:line="293" w:lineRule="auto"/>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This opinion is delivered in connection with the filing of the Prospectus Supplement with the SEC and is strictly limited to the matters stated herein and does not extend to, and is not to be read as extending by implication to, any other matter. We hereby consent to the filing of this opinion as an exhibit to the Prospectus Supplement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Prospectus Supplement and is not to be use, circulated, quoted or otherwise referred to for any other purpose without our express written consent.</w:t>
      </w:r>
    </w:p>
    <w:p>
      <w:pPr>
        <w:spacing w:after="0" w:line="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37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8" w:right="239" w:bottom="1440" w:gutter="0" w:footer="0" w:header="0"/>
        </w:sectPr>
      </w:pPr>
    </w:p>
    <w:bookmarkStart w:id="135" w:name="page136"/>
    <w:bookmarkEnd w:id="135"/>
    <w:p>
      <w:pPr>
        <w:ind w:left="446" w:hanging="446"/>
        <w:spacing w:after="0"/>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183515</wp:posOffset>
            </wp:positionV>
            <wp:extent cx="131191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the genuineness of the signatures and seals on all original and copy documents which we have examined;</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minutes referred to in paragraph 1.2(d) above, and examined for the purposes of this opinion, were duly passed and adopted at a meeting of the said board of directors, that meeting was properly convened, constituted and held and that the said resolutions have not since been amended or rescinded;</w:t>
      </w:r>
    </w:p>
    <w:p>
      <w:pPr>
        <w:spacing w:after="0" w:line="86"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resolutions referred to in paragraph 1.2(e) above, and examined for the purposes of this opinion, were duly approved, adopted and executed by all of the directors of the Company and that the said resolutions have not since been amended or rescinded other than as set out in the resolutions contained in the minutes of a meeting of the board of directors’ of the Company referred to in paragraph 1.2(d) above;</w:t>
      </w:r>
    </w:p>
    <w:p>
      <w:pPr>
        <w:spacing w:after="0" w:line="92" w:lineRule="exact"/>
        <w:rPr>
          <w:rFonts w:ascii="Arial" w:cs="Arial" w:eastAsia="Arial" w:hAnsi="Arial"/>
          <w:sz w:val="18"/>
          <w:szCs w:val="18"/>
          <w:color w:val="auto"/>
        </w:rPr>
      </w:pPr>
    </w:p>
    <w:p>
      <w:pPr>
        <w:ind w:left="446" w:right="100" w:hanging="446"/>
        <w:spacing w:after="0" w:line="264"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the resolution passed by the board of directors of the Company described in the minutes referred to in paragraph 1.2(f) above, and examined for the purposes of this opinion, was duly passed and adopted at a meeting of the said board of directors, that meeting was properly convened, constituted and held and that the said resolution has not since been amended or rescinded;</w:t>
      </w:r>
    </w:p>
    <w:p>
      <w:pPr>
        <w:spacing w:after="0" w:line="86"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the resolutions passed by the board of directors of the Company described in the minutes referred to in paragraph 1.2(g) above, and examined for the purposes of this opinion, were duly passed and adopted at a meeting of the said board of directors, that meeting was properly convened, constituted and held and that the said resolutions have not since been amended or rescinded other than as set out in: (i) the resolution contained in the minutes of a meeting of the board of directors’ of the Company referred to in 1.2(f) above; (ii) the resolutions contained in the resolutions of the board of directors’ of the Company referred to in 1.2(e) above; and (iii) the resolutions contained in the minutes of a meeting of the board of directors’ of the Company referred to in 1.2(d) above;</w:t>
      </w:r>
    </w:p>
    <w:p>
      <w:pPr>
        <w:spacing w:after="0" w:line="98"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at the time of the allotment and issuance of any Weatherford Bermuda Notes, the Prospectus and the Registration Statement will be effective and continue to be effective;</w:t>
      </w:r>
    </w:p>
    <w:p>
      <w:pPr>
        <w:spacing w:after="0" w:line="75" w:lineRule="exact"/>
        <w:rPr>
          <w:rFonts w:ascii="Arial" w:cs="Arial" w:eastAsia="Arial" w:hAnsi="Arial"/>
          <w:sz w:val="18"/>
          <w:szCs w:val="18"/>
          <w:color w:val="auto"/>
        </w:rPr>
      </w:pPr>
    </w:p>
    <w:p>
      <w:pPr>
        <w:ind w:left="446" w:right="480" w:hanging="446"/>
        <w:spacing w:after="0" w:line="277"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the Documents and all deeds, instruments, assignments, agreements and other documents in relation to the matters contemplated by the Documents and / or this opinion are:</w:t>
      </w:r>
    </w:p>
    <w:p>
      <w:pPr>
        <w:spacing w:after="0" w:line="75" w:lineRule="exact"/>
        <w:rPr>
          <w:rFonts w:ascii="Arial" w:cs="Arial" w:eastAsia="Arial" w:hAnsi="Arial"/>
          <w:sz w:val="18"/>
          <w:szCs w:val="18"/>
          <w:color w:val="auto"/>
        </w:rPr>
      </w:pPr>
    </w:p>
    <w:p>
      <w:pPr>
        <w:ind w:left="1026" w:right="140" w:hanging="567"/>
        <w:spacing w:after="0" w:line="277" w:lineRule="auto"/>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within the capacity and powers of, have been validly authorised, executed and delivered by and are valid, legal, binding and enforceable obligations of the parties thereto; and</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are not subject to avoidance by any person,</w:t>
      </w:r>
    </w:p>
    <w:p>
      <w:pPr>
        <w:spacing w:after="0" w:line="117" w:lineRule="exact"/>
        <w:rPr>
          <w:sz w:val="20"/>
          <w:szCs w:val="20"/>
          <w:color w:val="auto"/>
        </w:rPr>
      </w:pPr>
    </w:p>
    <w:p>
      <w:pPr>
        <w:ind w:left="466" w:right="360"/>
        <w:spacing w:after="0" w:line="277" w:lineRule="auto"/>
        <w:rPr>
          <w:sz w:val="20"/>
          <w:szCs w:val="20"/>
          <w:color w:val="auto"/>
        </w:rPr>
      </w:pPr>
      <w:r>
        <w:rPr>
          <w:rFonts w:ascii="Arial" w:cs="Arial" w:eastAsia="Arial" w:hAnsi="Arial"/>
          <w:sz w:val="18"/>
          <w:szCs w:val="18"/>
          <w:color w:val="auto"/>
        </w:rPr>
        <w:t>under all applicable laws and in all applicable jurisdictions other than (in the case of the Company) the laws of Ireland and the jurisdiction of Ireland;</w:t>
      </w:r>
    </w:p>
    <w:p>
      <w:pPr>
        <w:spacing w:after="0" w:line="76" w:lineRule="exact"/>
        <w:rPr>
          <w:sz w:val="20"/>
          <w:szCs w:val="20"/>
          <w:color w:val="auto"/>
        </w:rPr>
      </w:pPr>
    </w:p>
    <w:p>
      <w:pPr>
        <w:ind w:left="446" w:right="220" w:hanging="446"/>
        <w:spacing w:after="0" w:line="277" w:lineRule="auto"/>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Weatherford Bermuda Notes will be made, effected and conducted in accordance with and will not violate: (i) the</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638" w:right="239" w:bottom="1440" w:gutter="0" w:footer="0" w:header="0"/>
        </w:sectPr>
      </w:pPr>
    </w:p>
    <w:bookmarkStart w:id="136" w:name="page137"/>
    <w:bookmarkEnd w:id="136"/>
    <w:p>
      <w:pPr>
        <w:ind w:left="466"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183515</wp:posOffset>
            </wp:positionV>
            <wp:extent cx="131191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84" w:lineRule="exact"/>
        <w:rPr>
          <w:sz w:val="20"/>
          <w:szCs w:val="20"/>
          <w:color w:val="auto"/>
        </w:rPr>
      </w:pPr>
    </w:p>
    <w:p>
      <w:pPr>
        <w:ind w:left="446" w:right="20" w:hanging="446"/>
        <w:spacing w:after="0" w:line="290"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that, at the time of the issuance and sale of any Weatherford Bermuda Notes: (i) the Registration Statement and the Prospectus will be effective and continue to be effective; (ii) the sale of and payment for any Weatherford Bermuda Notes will be in accordance with the Registration Statement, the Underwriting Agreement and the Prospectus (including the prospectus set forth in the Registration Statement and any applicable supplements and amendments thereto); (iii) in any underwritten offering, a definitive purchase, underwriting or similar agreement with respect to any Weatherford Bermuda Notes will be duly authorised and validly executed and delivered by the Company and the other parties thereto; and (iv) the issuance and sale (including the marketing) of any Weatherford Bermuda Notes will not violate the Company’s memorandum and articles of association, any applicable law or any requirement or restriction imposed by any court or governmental body having jurisdiction over the Company or result in a default under or breach of any agreement or instrument binding on the Company;</w:t>
      </w:r>
    </w:p>
    <w:p>
      <w:pPr>
        <w:spacing w:after="0" w:line="71" w:lineRule="exact"/>
        <w:rPr>
          <w:rFonts w:ascii="Arial" w:cs="Arial" w:eastAsia="Arial" w:hAnsi="Arial"/>
          <w:sz w:val="16"/>
          <w:szCs w:val="16"/>
          <w:color w:val="auto"/>
        </w:rPr>
      </w:pPr>
    </w:p>
    <w:p>
      <w:pPr>
        <w:ind w:left="446" w:right="120" w:hanging="446"/>
        <w:spacing w:after="0" w:line="312" w:lineRule="auto"/>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that the Company has not, by virtue of the Documents, given, nor shall it give, directly or indirectly, and whether by means of a loan, guarantee, the provision of security or otherwise, any financial assistance whether for the purpose of an acquisition (whether by subscription, purchase, exchange or otherwise) made or to be made by any person of or for any shares in itself or where it is a subsidiary in its holding company;</w:t>
      </w:r>
    </w:p>
    <w:p>
      <w:pPr>
        <w:spacing w:after="0" w:line="52" w:lineRule="exact"/>
        <w:rPr>
          <w:rFonts w:ascii="Arial" w:cs="Arial" w:eastAsia="Arial" w:hAnsi="Arial"/>
          <w:sz w:val="16"/>
          <w:szCs w:val="16"/>
          <w:color w:val="auto"/>
        </w:rPr>
      </w:pPr>
    </w:p>
    <w:p>
      <w:pPr>
        <w:ind w:left="446" w:right="40" w:hanging="446"/>
        <w:spacing w:after="0" w:line="286" w:lineRule="auto"/>
        <w:tabs>
          <w:tab w:leader="none" w:pos="44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that the Company has not given, nor shall it give, directly or indirectly, and whether by means of a loan, guarantee, the provision of security or otherwise, any financial assistance whether for the purpose of an acquisition (whether by subscription, purchase, exchange or otherwise) made or to be made by any person of or for any shares in itself or where it is a subsidiary in its holding company;</w:t>
      </w:r>
    </w:p>
    <w:p>
      <w:pPr>
        <w:spacing w:after="0" w:line="70" w:lineRule="exact"/>
        <w:rPr>
          <w:rFonts w:ascii="Arial" w:cs="Arial" w:eastAsia="Arial" w:hAnsi="Arial"/>
          <w:sz w:val="17"/>
          <w:szCs w:val="17"/>
          <w:color w:val="auto"/>
        </w:rPr>
      </w:pPr>
    </w:p>
    <w:p>
      <w:pPr>
        <w:ind w:left="446" w:hanging="446"/>
        <w:spacing w:after="0" w:line="277"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insofar as any of the Documents fall to be performed in any jurisdiction other than Ireland its performance will not be illegal or ineffective by virtue of the laws of that jurisdiction;</w:t>
      </w:r>
    </w:p>
    <w:p>
      <w:pPr>
        <w:spacing w:after="0" w:line="71" w:lineRule="exact"/>
        <w:rPr>
          <w:rFonts w:ascii="Arial" w:cs="Arial" w:eastAsia="Arial" w:hAnsi="Arial"/>
          <w:sz w:val="18"/>
          <w:szCs w:val="18"/>
          <w:color w:val="auto"/>
        </w:rPr>
      </w:pPr>
    </w:p>
    <w:p>
      <w:pPr>
        <w:ind w:left="446" w:right="80" w:hanging="446"/>
        <w:spacing w:after="0" w:line="266"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the Company and Weatherford Bermuda together comprise a “group” for the purposes of section 243 of the Companies Act 2014 (the “</w:t>
      </w:r>
      <w:r>
        <w:rPr>
          <w:rFonts w:ascii="Arial" w:cs="Arial" w:eastAsia="Arial" w:hAnsi="Arial"/>
          <w:sz w:val="18"/>
          <w:szCs w:val="18"/>
          <w:b w:val="1"/>
          <w:bCs w:val="1"/>
          <w:color w:val="auto"/>
        </w:rPr>
        <w:t>2014</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that any person that subsequently becomes an issuer or guarantor under the Indenture or whose obligations are guaranteed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will also be, and continue to be, a member of such group;</w:t>
      </w:r>
    </w:p>
    <w:p>
      <w:pPr>
        <w:spacing w:after="0" w:line="8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638" w:right="259" w:bottom="1440" w:gutter="0" w:footer="0" w:header="0"/>
        </w:sectPr>
      </w:pPr>
    </w:p>
    <w:bookmarkStart w:id="137" w:name="page138"/>
    <w:bookmarkEnd w:id="137"/>
    <w:p>
      <w:pPr>
        <w:ind w:left="446" w:right="28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182880</wp:posOffset>
            </wp:positionV>
            <wp:extent cx="131191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the accuracy and completeness as to factual matters of the representations and warranties of the Company contained in the Documents and the accuracy of the Certificate;</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Documents or in any way bear upon, or are inconsistent with, the contents of this opinion;</w:t>
      </w:r>
    </w:p>
    <w:p>
      <w:pPr>
        <w:spacing w:after="0" w:line="75"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Prospectus and the Registration Statement and the execution and delivery by the Company of the Indenture and the Underwriting Agreement,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92"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Indenture and the Underwriting Agreement and their respective officers, employees, agents and advisers;</w:t>
      </w:r>
    </w:p>
    <w:p>
      <w:pPr>
        <w:spacing w:after="0" w:line="75"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92"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at the time of the allotment of any Weatherford Bermuda Notes: (i) the Company and Weatherford Bermuda will be fully solvent; (ii) the Company would not, as a consequence of doing any act or thing which any of the Documents contemplate, permit or require the Company to do, be insolvent; and (iii) Weatherford Bermuda would not, as a consequence of doing any act or thing which any of the Documents contemplate, permit or require the Company to do, be insolvent;</w:t>
      </w:r>
    </w:p>
    <w:p>
      <w:pPr>
        <w:spacing w:after="0" w:line="92" w:lineRule="exact"/>
        <w:rPr>
          <w:rFonts w:ascii="Arial" w:cs="Arial" w:eastAsia="Arial" w:hAnsi="Arial"/>
          <w:sz w:val="18"/>
          <w:szCs w:val="18"/>
          <w:color w:val="auto"/>
        </w:rPr>
      </w:pPr>
    </w:p>
    <w:p>
      <w:pPr>
        <w:ind w:left="446" w:right="80" w:hanging="446"/>
        <w:spacing w:after="0" w:line="293"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(i) the Company was, and will be, fully solvent (A) at the time of, and immediately after, the filing of the Prospectus and the Registration Statement, (B) at the time of, and immediately after, the execution and delivery of the Indenture and the Underwriting Agreement and (C) at the date hereof; (ii) the Company would not, as a consequence of doing any act or thing which any of the Documents contemplate, permit or require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70" w:lineRule="exact"/>
        <w:rPr>
          <w:rFonts w:ascii="Arial" w:cs="Arial" w:eastAsia="Arial" w:hAnsi="Arial"/>
          <w:sz w:val="16"/>
          <w:szCs w:val="16"/>
          <w:color w:val="auto"/>
        </w:rPr>
      </w:pPr>
    </w:p>
    <w:p>
      <w:pPr>
        <w:ind w:left="446" w:right="380" w:hanging="446"/>
        <w:spacing w:after="0" w:line="277" w:lineRule="auto"/>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638" w:right="239" w:bottom="1440" w:gutter="0" w:footer="0" w:header="0"/>
        </w:sectPr>
      </w:pPr>
    </w:p>
    <w:bookmarkStart w:id="138" w:name="page139"/>
    <w:bookmarkEnd w:id="138"/>
    <w:p>
      <w:pPr>
        <w:ind w:left="452" w:hanging="452"/>
        <w:spacing w:after="0"/>
        <w:tabs>
          <w:tab w:leader="none" w:pos="452"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182880</wp:posOffset>
            </wp:positionV>
            <wp:extent cx="131191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Opinion</w:t>
      </w:r>
    </w:p>
    <w:p>
      <w:pPr>
        <w:spacing w:after="0" w:line="121" w:lineRule="exact"/>
        <w:rPr>
          <w:rFonts w:ascii="Arial" w:cs="Arial" w:eastAsia="Arial" w:hAnsi="Arial"/>
          <w:sz w:val="18"/>
          <w:szCs w:val="18"/>
          <w:color w:val="auto"/>
        </w:rPr>
      </w:pPr>
    </w:p>
    <w:p>
      <w:pPr>
        <w:ind w:left="452" w:right="80"/>
        <w:spacing w:after="0" w:line="277"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 and</w:t>
      </w:r>
    </w:p>
    <w:p>
      <w:pPr>
        <w:spacing w:after="0" w:line="130"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guarantee of the Weatherford Bermuda Notes provided for under the Indenture has been duly authorised by the Company and constitutes a legal, valid and binding obligation of the Company.</w:t>
      </w:r>
    </w:p>
    <w:p>
      <w:pPr>
        <w:spacing w:after="0" w:line="315" w:lineRule="exact"/>
        <w:rPr>
          <w:sz w:val="20"/>
          <w:szCs w:val="20"/>
          <w:color w:val="auto"/>
        </w:rPr>
      </w:pPr>
    </w:p>
    <w:p>
      <w:pPr>
        <w:ind w:left="452" w:hanging="452"/>
        <w:spacing w:after="0"/>
        <w:tabs>
          <w:tab w:leader="none" w:pos="452"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130" w:lineRule="exact"/>
        <w:rPr>
          <w:rFonts w:ascii="Arial" w:cs="Arial" w:eastAsia="Arial" w:hAnsi="Arial"/>
          <w:sz w:val="18"/>
          <w:szCs w:val="18"/>
          <w:color w:val="auto"/>
        </w:rPr>
      </w:pPr>
    </w:p>
    <w:p>
      <w:pPr>
        <w:ind w:left="892" w:right="80" w:hanging="446"/>
        <w:spacing w:after="0" w:line="255" w:lineRule="auto"/>
        <w:tabs>
          <w:tab w:leader="none" w:pos="8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 a search at the Registry of Winding up Petitions at the Central Office of the High Court is not capable of revealing whether or not a receiver has been appointed. 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98" w:lineRule="exact"/>
        <w:rPr>
          <w:rFonts w:ascii="Arial" w:cs="Arial" w:eastAsia="Arial" w:hAnsi="Arial"/>
          <w:sz w:val="18"/>
          <w:szCs w:val="18"/>
          <w:color w:val="auto"/>
        </w:rPr>
      </w:pPr>
    </w:p>
    <w:p>
      <w:pPr>
        <w:ind w:left="892" w:right="60" w:hanging="446"/>
        <w:spacing w:after="0" w:line="264" w:lineRule="auto"/>
        <w:tabs>
          <w:tab w:leader="none" w:pos="8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terms “valid and binding” as used in paragraph 3(b) above, means that the obligations assumed by the Company under the Indenture are of a type which the Irish courts enforce. It does not mean that those obligations will necessarily be enforced in all circumstances in accordance with their terms. In particular:</w:t>
      </w:r>
    </w:p>
    <w:p>
      <w:pPr>
        <w:spacing w:after="0" w:line="86" w:lineRule="exact"/>
        <w:rPr>
          <w:rFonts w:ascii="Arial" w:cs="Arial" w:eastAsia="Arial" w:hAnsi="Arial"/>
          <w:sz w:val="18"/>
          <w:szCs w:val="18"/>
          <w:color w:val="auto"/>
        </w:rPr>
      </w:pPr>
    </w:p>
    <w:p>
      <w:pPr>
        <w:ind w:left="1472" w:right="20" w:hanging="567"/>
        <w:spacing w:after="0" w:line="259" w:lineRule="auto"/>
        <w:tabs>
          <w:tab w:leader="none" w:pos="147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enforcement of obligations of a party to be performed after the date hereof may be limited by bankruptcy, insolvency, liquidation, court protection, reorganisation and other laws of general application relating to or affecting the rights of creditors as such laws may be applied in the event of bankruptcy, insolvency, liquidation, court protection, reorganisation or other similar proceedings with respect to such party;</w:t>
      </w:r>
    </w:p>
    <w:p>
      <w:pPr>
        <w:spacing w:after="0" w:line="92" w:lineRule="exact"/>
        <w:rPr>
          <w:rFonts w:ascii="Arial" w:cs="Arial" w:eastAsia="Arial" w:hAnsi="Arial"/>
          <w:sz w:val="18"/>
          <w:szCs w:val="18"/>
          <w:color w:val="auto"/>
        </w:rPr>
      </w:pPr>
    </w:p>
    <w:p>
      <w:pPr>
        <w:ind w:left="1472" w:hanging="567"/>
        <w:spacing w:after="0" w:line="277" w:lineRule="auto"/>
        <w:tabs>
          <w:tab w:leader="none" w:pos="147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equitable remedies (such as specific performance or injunctive relief) may not be available to persons seeking to enforce provisions of the Indenture and will not be available where damages are considered to be an adequate remedy;</w:t>
      </w:r>
    </w:p>
    <w:p>
      <w:pPr>
        <w:spacing w:after="0" w:line="75" w:lineRule="exact"/>
        <w:rPr>
          <w:rFonts w:ascii="Arial" w:cs="Arial" w:eastAsia="Arial" w:hAnsi="Arial"/>
          <w:sz w:val="18"/>
          <w:szCs w:val="18"/>
          <w:color w:val="auto"/>
        </w:rPr>
      </w:pPr>
    </w:p>
    <w:p>
      <w:pPr>
        <w:ind w:left="1472" w:right="160" w:hanging="567"/>
        <w:spacing w:after="0" w:line="264" w:lineRule="auto"/>
        <w:tabs>
          <w:tab w:leader="none" w:pos="147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claims may become barred under the Irish Statute of Limitations of 1957 (as amended from time to time) or under other statutes or may be or become subject to defences of set-off or counterclaim (except to the extent that any right of set-off has been waived and is not required by the provisions of the rules applicable in a liquidation to be exercised);</w:t>
      </w:r>
    </w:p>
    <w:p>
      <w:pPr>
        <w:spacing w:after="0" w:line="86" w:lineRule="exact"/>
        <w:rPr>
          <w:rFonts w:ascii="Arial" w:cs="Arial" w:eastAsia="Arial" w:hAnsi="Arial"/>
          <w:sz w:val="18"/>
          <w:szCs w:val="18"/>
          <w:color w:val="auto"/>
        </w:rPr>
      </w:pPr>
    </w:p>
    <w:p>
      <w:pPr>
        <w:ind w:left="1472" w:right="760" w:hanging="567"/>
        <w:spacing w:after="0" w:line="308" w:lineRule="auto"/>
        <w:tabs>
          <w:tab w:leader="none" w:pos="1472" w:val="left"/>
        </w:tabs>
        <w:numPr>
          <w:ilvl w:val="2"/>
          <w:numId w:val="132"/>
        </w:numPr>
        <w:rPr>
          <w:rFonts w:ascii="Arial" w:cs="Arial" w:eastAsia="Arial" w:hAnsi="Arial"/>
          <w:sz w:val="17"/>
          <w:szCs w:val="17"/>
          <w:color w:val="auto"/>
        </w:rPr>
      </w:pPr>
      <w:r>
        <w:rPr>
          <w:rFonts w:ascii="Arial" w:cs="Arial" w:eastAsia="Arial" w:hAnsi="Arial"/>
          <w:sz w:val="17"/>
          <w:szCs w:val="17"/>
          <w:color w:val="auto"/>
        </w:rPr>
        <w:t>where obligations are to be performed in a jurisdiction outside Ireland, they may not be enforceable in Ireland to the extent that performance would be illegal or contrary to the public policy under the laws of the other jurisdiction; and</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634" w:right="259" w:bottom="1440" w:gutter="0" w:footer="0" w:header="0"/>
        </w:sectPr>
      </w:pPr>
    </w:p>
    <w:bookmarkStart w:id="139" w:name="page140"/>
    <w:bookmarkEnd w:id="139"/>
    <w:p>
      <w:pPr>
        <w:ind w:left="1480" w:right="160" w:hanging="567"/>
        <w:spacing w:after="0" w:line="277"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183515</wp:posOffset>
            </wp:positionV>
            <wp:extent cx="131191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137160"/>
                    </a:xfrm>
                    <a:prstGeom prst="rect">
                      <a:avLst/>
                    </a:prstGeom>
                    <a:noFill/>
                  </pic:spPr>
                </pic:pic>
              </a:graphicData>
            </a:graphic>
          </wp:anchor>
        </w:drawing>
        <w:t>enforcement of obligations may be invalidated by reason of fraud, misrepresentation, mistake or duress or by the provisions of Irish law applicable to contracts held to have been frustrated by events happening after their execution.</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provision of any of the Documents which provides for interest to be paid on overdue amounts at a rate higher than the predefault rate may amount to a penalty under the laws of Ireland and may therefore not be recoverable.</w:t>
      </w:r>
    </w:p>
    <w:p>
      <w:pPr>
        <w:spacing w:after="0" w:line="75" w:lineRule="exact"/>
        <w:rPr>
          <w:rFonts w:ascii="Arial" w:cs="Arial" w:eastAsia="Arial" w:hAnsi="Arial"/>
          <w:sz w:val="18"/>
          <w:szCs w:val="18"/>
          <w:color w:val="auto"/>
        </w:rPr>
      </w:pPr>
    </w:p>
    <w:p>
      <w:pPr>
        <w:jc w:val="both"/>
        <w:ind w:left="900" w:right="560" w:hanging="446"/>
        <w:spacing w:after="0" w:line="342"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provision in the Documents providing that any calculation or certification is to be conclusive and binding will not be effective if such calculation or certification is fraudulent and will not necessarily prevent judicial enquiry into the merits of any claim by any party thereto.</w:t>
      </w:r>
    </w:p>
    <w:p>
      <w:pPr>
        <w:spacing w:after="0" w:line="29" w:lineRule="exact"/>
        <w:rPr>
          <w:rFonts w:ascii="Arial" w:cs="Arial" w:eastAsia="Arial" w:hAnsi="Arial"/>
          <w:sz w:val="16"/>
          <w:szCs w:val="16"/>
          <w:color w:val="auto"/>
        </w:rPr>
      </w:pPr>
    </w:p>
    <w:p>
      <w:pPr>
        <w:ind w:left="900" w:right="32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Provisions as to severability may not be binding under the laws of Ireland as the question of whether or not any provision of any of the Documents which may be invalid on account of illegality or otherwise may be severed from the other provisions thereof in order to save such other provisions would be determined by an Irish court at its discretion.</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agreement may be varied, amended or discharged by a further agreement or affected by a collateral agreement which may be effected by an oral agreement or a course of dealing.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30"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Whilst in the event of any proceedings being brought in the Irish courts in respect of a monetary obligation expressed to be payable in a currency other than euro, an Irish court would have power to give a judgement expressed as an order to pay a currency other than euro, it may decline to do so in its discretion and an Irish court might not enforce the benefit of any currency or conversion clause and, with respect to a bankruptcy, liquidation, insolvency, reorganisation or similar proceeding, Irish law may require that all clauses or debts are converted into euro at an exchange rate determined by the court as at a date related thereto, such as the date of commencement of a winding up.</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effectiveness of terms exculpating any party to the Documents from a liability or duty otherwise owed are limited by law.</w:t>
      </w:r>
    </w:p>
    <w:p>
      <w:pPr>
        <w:spacing w:after="0" w:line="130"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2014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100 days). Prohibited steps include steps taken to enforce any guarantees or security, the commencement or continuation of proceedings or execution or other legal process or the levying of distress against the company or its property and the appointment of a receiver.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MATHESON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517650" cy="651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176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Early Results of Cash Tender Offers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Baar, Switzerland, June 17, 2016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the early results of the previously announced offers (the “Tender Offers”) by Weatherford International Ltd., a Bermuda exempted company and indirect, wholly owned subsidiary of the Company (“Weatherford Bermuda”), and Weatherford International, LLC, a Delaware limited liability company and indirect, wholly owned subsidiary of the Company and indirect subsidiary of Weatherford Bermuda (“Weatherford Delaware” and, together with Weatherford Bermuda, the “Offerors”) to purchase for cash Weatherford Delaware’s 6.35% senior notes due 2017 (the “2017 Notes”) and Weatherford Bermuda’s 6.00% senior notes due 2018 (the “2018 Notes”), 9.625% senior notes due 2019 (the “2019 Notes”) and 5.125% senior notes due 2020 (the “2020 Notes” and, together with the 2017 Notes, 2018 Notes and 2019 Notes, the “Notes”) for a maximum aggregate purchase price (excluding accrued interest) of up to $2.6 billion (the “Aggregate Maximum Purchase Price”).</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According to information received from Global Bondholder Services Corporation (“GBSC”), the Depositary and Information Agent for the Tender Offers, as of 5:00 p.m., New York City time, on June 16, 2016 (that date and time, the “Early Tender Date”), the Offerors had received valid tenders from holders of the Notes as outlined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Dollars per $1,000</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Acceptance</w:t>
            </w:r>
          </w:p>
        </w:tc>
        <w:tc>
          <w:tcPr>
            <w:tcW w:w="1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CUSIP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Security</w:t>
            </w: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Priority</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gridSpan w:val="2"/>
            <w:vMerge w:val="continue"/>
          </w:tcPr>
          <w:p>
            <w:pPr>
              <w:spacing w:after="0"/>
              <w:rPr>
                <w:sz w:val="14"/>
                <w:szCs w:val="14"/>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1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Tendered</w:t>
            </w:r>
          </w:p>
        </w:tc>
        <w:tc>
          <w:tcPr>
            <w:tcW w:w="140" w:type="dxa"/>
            <w:vAlign w:val="bottom"/>
          </w:tcPr>
          <w:p>
            <w:pPr>
              <w:spacing w:after="0"/>
              <w:rPr>
                <w:sz w:val="14"/>
                <w:szCs w:val="14"/>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Accepted</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4"/>
                <w:szCs w:val="14"/>
                <w:color w:val="auto"/>
              </w:rPr>
            </w:pPr>
          </w:p>
        </w:tc>
        <w:tc>
          <w:tcPr>
            <w:tcW w:w="1220" w:type="dxa"/>
            <w:vAlign w:val="bottom"/>
            <w:gridSpan w:val="5"/>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 xml:space="preserve">Consideration </w:t>
            </w: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02"/>
        </w:trPr>
        <w:tc>
          <w:tcPr>
            <w:tcW w:w="100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947074AJ9 /</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947074AF7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Delaware’s 2017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U94320AC9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600,000,000</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$510,744,000</w:t>
            </w:r>
          </w:p>
        </w:tc>
        <w:tc>
          <w:tcPr>
            <w:tcW w:w="11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$510,744,000</w:t>
            </w: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Weatherford Bermuda’s 2018 Notes</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947075AD9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$433,806,000</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$433,806,000</w:t>
            </w:r>
          </w:p>
        </w:tc>
        <w:tc>
          <w:tcPr>
            <w:tcW w:w="2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1,055.00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Weatherford Bermuda’s 2019 Notes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947075AF4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1,000,000,000</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$514,475,000</w:t>
            </w:r>
          </w:p>
        </w:tc>
        <w:tc>
          <w:tcPr>
            <w:tcW w:w="11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$514,475,000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Weatherford Bermuda’s 2020 Notes</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94707VAA8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773,088,000</w:t>
            </w:r>
          </w:p>
        </w:tc>
        <w:tc>
          <w:tcPr>
            <w:tcW w:w="28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$407,758,000</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$407,758,000</w:t>
            </w:r>
          </w:p>
        </w:tc>
        <w:tc>
          <w:tcPr>
            <w:tcW w:w="2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945.00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Includes the Early Tender Premium (as defined below) but excludes accrued and unpaid interest.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Offerors intend to accept for purchase all Notes validly tendered (and not validly withdrawn) before the Early Tender Date, subject to all conditions to the Tender Offers having been either satisfied or waived by the applicable Offeror. These Notes will be purchased on the “Early Settlement Date”, which is currently expected to occur on the date hereof, subject to all conditions to the Tender Offers having been either satisfied or waived by the applicable Offeror.</w:t>
      </w:r>
    </w:p>
    <w:p>
      <w:pPr>
        <w:sectPr>
          <w:pgSz w:w="11900" w:h="16838" w:orient="portrait"/>
          <w:cols w:equalWidth="0" w:num="1">
            <w:col w:w="11420"/>
          </w:cols>
          <w:pgMar w:left="240" w:top="121" w:right="239" w:bottom="1440" w:gutter="0" w:footer="0" w:header="0"/>
        </w:sectPr>
      </w:pPr>
    </w:p>
    <w:bookmarkStart w:id="141" w:name="page142"/>
    <w:bookmarkEnd w:id="14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for Notes purchased will include accrued and unpaid interest from and including the last interest payment date applicable to the relevant series of Notes up to, but not including, the applicable Settlement Date (as such term is defined in the Offer to Purchase).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Tender Offers are being made pursuant to the terms and conditions described in the Offer to Purchase, dated June 1, 2016, as amended by the press releases filed on June 8, 2016 and June 10, 2016 (the “Offer to Purchase”).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Subject to the terms and conditions of the Tender Offers, the consideration for each US$1,000 principal amount of Notes validly tendered (and not validly withdrawn) and accepted for purchase pursuant to the Tender Offers will be the tender offer consideration for such series of Notes set forth in the Offer to Purchase (with respect to each series of Notes, the “Tender Offer Consideration”). Holders of Notes that were validly tendered (and not validly withdrawn) prior to the Early Tender Date and accepted for purchase pursuant to the Tender Offers will receive the applicable Total Consideration (as defined below and as set forth in the table above) for such series, which includes the early tender premium of $30.00 for each series of Notes as set forth in the Offer to Purchase (with respect to each series of Notes, the “Early Tender Premium” and, together with the applicable Tender Offer Consideration, the “Total Consideration”).</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Tender Offers will expire at 12:00 midnight, New York City time, at the end of the day on June 30, 2016 (the “Expiration Date”). No tenders submitted after the Expiration Date will be valid. The settlement date, if necessary, for Notes validly tendered after the Early Tender Date and before the Expiration Date and which are accepted for purchase (the ”Final Settlement Date”) is expected to occur on the first business day following the Expiration Date. The amount of each series of Notes that is to be purchased on the Final Settlement Date will be determined in accordance with the acceptance priority levels and proration described in the Offer to Purchase, subject to the Aggregate Maximum Purchase Price. Since the Withdrawal Deadline (as defined in the Offer to Purchase) has passed, Notes tendered after the Early Tender Date may not be withdrawn, subject to applicable law.</w:t>
      </w:r>
    </w:p>
    <w:p>
      <w:pPr>
        <w:spacing w:after="0" w:line="16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Tender Offers are subject to the conditions described in the Offer to Purchase. However, the financing condition described in the Offer to Purchase is expected to be satisfied on the date hereof, upon the closing of Weatherford Bermuda’s previously announced offering of senior unsecured notes in an aggregate principal amount of US$1.5 billion. Full details of the terms and conditions of the Tender Offers are set forth in the Offer to Purchase, which is available from GBSC. The Offerors may amend, extend or terminate the Tender Offers at any time, subject to applicable law.</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Deutsche Bank Securities Inc., Citigroup Global Markets Inc., RBC Capital Markets, LLC and Wells Fargo Securities, LLC are the dealer managers in the Tender Offers. GBSC has been retained to serve as both the depositary and the information agent for the Tender Offers. Persons with questions regarding the Tender Offers should contact Deutsche Bank Securities Inc. at (toll-free): (855) 287-1922 or (collect): (212) 250-7527, Citigroup Global Markets Inc. at (toll-free): (800) 558-3745 or (New York): (212) 723-6106, RBC Capital Markets, LLC at (toll-free): (877) 381-2099 or (collect): (212) 618-7822 or Wells Fargo Securities, LLC at (toll-free): (866) 309-6316 or (collect): (704) 410-4760. Requests for copies of the Offer to Purchase and other related materials should be directed to GBSC at (toll-free): (866) 807-2200 or (collect): (212) 430-3774.</w:t>
      </w:r>
    </w:p>
    <w:p>
      <w:pPr>
        <w:sectPr>
          <w:pgSz w:w="11900" w:h="16838" w:orient="portrait"/>
          <w:cols w:equalWidth="0" w:num="1">
            <w:col w:w="11400"/>
          </w:cols>
          <w:pgMar w:left="240" w:top="274" w:right="259" w:bottom="1440" w:gutter="0" w:footer="0" w:header="0"/>
        </w:sectPr>
      </w:pPr>
    </w:p>
    <w:bookmarkStart w:id="142" w:name="page143"/>
    <w:bookmarkEnd w:id="142"/>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Company, its board of directors, the dealer managers, the depositary or the information agent or any of the Company, the Offerors or their respective affiliates, makes any recommendation as to whether holders of the Notes should tender any Notes in response to the Tender Offers. The Tender Offers are made only by the Offer to Purchase. The Tender Offers are not being made to holders of Notes in any jurisdiction in which the making or acceptance thereof would not be in compliance with the securities, blue sky or other laws of such jurisdiction. In any jurisdiction in which the Tender Offers are required to be made by a licensed broker or dealer, the Tender Offers will be deemed to be made on behalf of the Offerors by the dealer managers, or one or more registered brokers or dealers that are licensed under the laws of such jurisdiction.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press release includes forward-looking statements as defined under federal law, including those related to the Company’s potential securities offering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forward-looking statements and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1560" w:type="dxa"/>
            <w:vAlign w:val="bottom"/>
          </w:tcPr>
          <w:p>
            <w:pPr>
              <w:spacing w:after="0"/>
              <w:rPr>
                <w:sz w:val="20"/>
                <w:szCs w:val="20"/>
                <w:color w:val="auto"/>
              </w:rPr>
            </w:pPr>
          </w:p>
        </w:tc>
      </w:tr>
      <w:tr>
        <w:trPr>
          <w:trHeight w:val="310"/>
        </w:trPr>
        <w:tc>
          <w:tcPr>
            <w:tcW w:w="5920" w:type="dxa"/>
            <w:vAlign w:val="bottom"/>
          </w:tcPr>
          <w:p>
            <w:pPr>
              <w:spacing w:after="0"/>
              <w:rPr>
                <w:sz w:val="20"/>
                <w:szCs w:val="20"/>
                <w:color w:val="auto"/>
              </w:rPr>
            </w:pPr>
            <w:r>
              <w:rPr>
                <w:rFonts w:ascii="Arial" w:cs="Arial" w:eastAsia="Arial" w:hAnsi="Arial"/>
                <w:sz w:val="18"/>
                <w:szCs w:val="18"/>
                <w:color w:val="auto"/>
              </w:rPr>
              <w:t>Krishna Shivram</w:t>
            </w:r>
          </w:p>
        </w:tc>
        <w:tc>
          <w:tcPr>
            <w:tcW w:w="156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560" w:type="dxa"/>
            <w:vAlign w:val="bottom"/>
          </w:tcPr>
          <w:p>
            <w:pPr>
              <w:spacing w:after="0"/>
              <w:rPr>
                <w:sz w:val="20"/>
                <w:szCs w:val="20"/>
                <w:color w:val="auto"/>
              </w:rPr>
            </w:pP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Karen David-Green</w:t>
            </w:r>
          </w:p>
        </w:tc>
        <w:tc>
          <w:tcPr>
            <w:tcW w:w="156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w w:val="96"/>
              </w:rPr>
              <w:t>Vice President – Investor Relations, Corporate Marketing &amp; Communications</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lowerLetter"/>
      <w:start w:val="1"/>
    </w:lvl>
  </w:abstractNum>
  <w:abstractNum w:abstractNumId="2">
    <w:nsid w:val="6590700B"/>
    <w:multiLevelType w:val="hybridMultilevel"/>
    <w:lvl w:ilvl="0">
      <w:lvlJc w:val="left"/>
      <w:lvlText w:val="(%1)"/>
      <w:numFmt w:val="lowerLetter"/>
      <w:start w:val="9"/>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6"/>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1)"/>
      <w:numFmt w:val="lowerLetter"/>
      <w:start w:val="2"/>
    </w:lvl>
  </w:abstractNum>
  <w:abstractNum w:abstractNumId="8">
    <w:nsid w:val="42C296BD"/>
    <w:multiLevelType w:val="hybridMultilevel"/>
    <w:lvl w:ilvl="0">
      <w:lvlJc w:val="left"/>
      <w:lvlText w:val="(%1)"/>
      <w:numFmt w:val="decimal"/>
      <w:start w:val="1"/>
    </w:lvl>
    <w:lvl w:ilvl="1">
      <w:lvlJc w:val="left"/>
      <w:lvlText w:val="(%2)"/>
      <w:numFmt w:val="lowerLetter"/>
      <w:start w:val="1"/>
    </w:lvl>
  </w:abstractNum>
  <w:abstractNum w:abstractNumId="9">
    <w:nsid w:val="168E121F"/>
    <w:multiLevelType w:val="hybridMultilevel"/>
    <w:lvl w:ilvl="0">
      <w:lvlJc w:val="left"/>
      <w:lvlText w:val="(%1)"/>
      <w:numFmt w:val="decimal"/>
      <w:start w:val="3"/>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decimal"/>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1)"/>
      <w:numFmt w:val="decimal"/>
      <w:start w:val="3"/>
    </w:lvl>
  </w:abstractNum>
  <w:abstractNum w:abstractNumId="17">
    <w:nsid w:val="BF72B14"/>
    <w:multiLevelType w:val="hybridMultilevel"/>
    <w:lvl w:ilvl="0">
      <w:lvlJc w:val="left"/>
      <w:lvlText w:val="(%1)"/>
      <w:numFmt w:val="decimal"/>
      <w:start w:val="1"/>
    </w:lvl>
  </w:abstractNum>
  <w:abstractNum w:abstractNumId="18">
    <w:nsid w:val="11447B73"/>
    <w:multiLevelType w:val="hybridMultilevel"/>
    <w:lvl w:ilvl="0">
      <w:lvlJc w:val="left"/>
      <w:lvlText w:val="(%1)"/>
      <w:numFmt w:val="decimal"/>
      <w:start w:val="2"/>
    </w:lvl>
  </w:abstractNum>
  <w:abstractNum w:abstractNumId="19">
    <w:nsid w:val="42963E5A"/>
    <w:multiLevelType w:val="hybridMultilevel"/>
    <w:lvl w:ilvl="0">
      <w:lvlJc w:val="left"/>
      <w:lvlText w:val="(%1)"/>
      <w:numFmt w:val="decimal"/>
      <w:start w:val="1"/>
    </w:lvl>
  </w:abstractNum>
  <w:abstractNum w:abstractNumId="20">
    <w:nsid w:val="A0382C5"/>
    <w:multiLevelType w:val="hybridMultilevel"/>
    <w:lvl w:ilvl="0">
      <w:lvlJc w:val="left"/>
      <w:lvlText w:val="(%1)"/>
      <w:numFmt w:val="decimal"/>
      <w:start w:val="1"/>
    </w:lvl>
  </w:abstractNum>
  <w:abstractNum w:abstractNumId="21">
    <w:nsid w:val="8F2B15E"/>
    <w:multiLevelType w:val="hybridMultilevel"/>
    <w:lvl w:ilvl="0">
      <w:lvlJc w:val="left"/>
      <w:lvlText w:val="(%1)"/>
      <w:numFmt w:val="decimal"/>
      <w:start w:val="2"/>
    </w:lvl>
  </w:abstractNum>
  <w:abstractNum w:abstractNumId="22">
    <w:nsid w:val="1A32234B"/>
    <w:multiLevelType w:val="hybridMultilevel"/>
    <w:lvl w:ilvl="0">
      <w:lvlJc w:val="left"/>
      <w:lvlText w:val="(%1)"/>
      <w:numFmt w:val="decimal"/>
      <w:start w:val="18"/>
    </w:lvl>
  </w:abstractNum>
  <w:abstractNum w:abstractNumId="23">
    <w:nsid w:val="3B0FD379"/>
    <w:multiLevelType w:val="hybridMultilevel"/>
    <w:lvl w:ilvl="0">
      <w:lvlJc w:val="left"/>
      <w:lvlText w:val="(%1)"/>
      <w:numFmt w:val="lowerRoman"/>
      <w:start w:val="1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2"/>
    </w:lvl>
  </w:abstractNum>
  <w:abstractNum w:abstractNumId="26">
    <w:nsid w:val="60B6DF70"/>
    <w:multiLevelType w:val="hybridMultilevel"/>
    <w:lvl w:ilvl="0">
      <w:lvlJc w:val="left"/>
      <w:lvlText w:val="(%1)"/>
      <w:numFmt w:val="lowerLetter"/>
      <w:start w:val="24"/>
    </w:lvl>
  </w:abstractNum>
  <w:abstractNum w:abstractNumId="27">
    <w:nsid w:val="6A5EE64"/>
    <w:multiLevelType w:val="hybridMultilevel"/>
    <w:lvl w:ilvl="0">
      <w:lvlJc w:val="left"/>
      <w:lvlText w:val="(%1)"/>
      <w:numFmt w:val="decimal"/>
      <w:start w:val="1"/>
    </w:lvl>
  </w:abstractNum>
  <w:abstractNum w:abstractNumId="28">
    <w:nsid w:val="14330624"/>
    <w:multiLevelType w:val="hybridMultilevel"/>
    <w:lvl w:ilvl="0">
      <w:lvlJc w:val="left"/>
      <w:lvlText w:val="(%1)"/>
      <w:numFmt w:val="decimal"/>
      <w:start w:val="2"/>
    </w:lvl>
  </w:abstractNum>
  <w:abstractNum w:abstractNumId="29">
    <w:nsid w:val="7FFFC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
    <w:nsid w:val="1A27709E"/>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1)"/>
      <w:numFmt w:val="decimal"/>
      <w:start w:val="1"/>
    </w:lvl>
  </w:abstractNum>
  <w:abstractNum w:abstractNumId="33">
    <w:nsid w:val="7FB7E0AA"/>
    <w:multiLevelType w:val="hybridMultilevel"/>
    <w:lvl w:ilvl="0">
      <w:lvlJc w:val="left"/>
      <w:lvlText w:val="(%1)"/>
      <w:numFmt w:val="decimal"/>
      <w:start w:val="1"/>
    </w:lvl>
  </w:abstractNum>
  <w:abstractNum w:abstractNumId="34">
    <w:nsid w:val="6EB5BD4"/>
    <w:multiLevelType w:val="hybridMultilevel"/>
    <w:lvl w:ilvl="0">
      <w:lvlJc w:val="left"/>
      <w:lvlText w:val="(%1)"/>
      <w:numFmt w:val="lowerRoman"/>
      <w:start w:val="4"/>
    </w:lvl>
  </w:abstractNum>
  <w:abstractNum w:abstractNumId="35">
    <w:nsid w:val="6F6DD9AC"/>
    <w:multiLevelType w:val="hybridMultilevel"/>
    <w:lvl w:ilvl="0">
      <w:lvlJc w:val="left"/>
      <w:lvlText w:val="(%1)"/>
      <w:numFmt w:val="decimal"/>
      <w:start w:val="1"/>
    </w:lvl>
  </w:abstractNum>
  <w:abstractNum w:abstractNumId="36">
    <w:nsid w:val="94211F2"/>
    <w:multiLevelType w:val="hybridMultilevel"/>
    <w:lvl w:ilvl="0">
      <w:lvlJc w:val="left"/>
      <w:lvlText w:val="(%1)"/>
      <w:numFmt w:val="decimal"/>
      <w:start w:val="1"/>
    </w:lvl>
  </w:abstractNum>
  <w:abstractNum w:abstractNumId="37">
    <w:nsid w:val="885E1B"/>
    <w:multiLevelType w:val="hybridMultilevel"/>
    <w:lvl w:ilvl="0">
      <w:lvlJc w:val="left"/>
      <w:lvlText w:val="(%1)"/>
      <w:numFmt w:val="decimal"/>
      <w:start w:val="1"/>
    </w:lvl>
  </w:abstractNum>
  <w:abstractNum w:abstractNumId="38">
    <w:nsid w:val="7627211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9">
    <w:nsid w:val="4C04A8AF"/>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40">
    <w:nsid w:val="1716703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41">
    <w:nsid w:val="14E17E33"/>
    <w:multiLevelType w:val="hybridMultilevel"/>
    <w:lvl w:ilvl="0">
      <w:lvlJc w:val="left"/>
      <w:lvlText w:val="(%1)"/>
      <w:numFmt w:val="decimal"/>
      <w:start w:val="2"/>
    </w:lvl>
  </w:abstractNum>
  <w:abstractNum w:abstractNumId="42">
    <w:nsid w:val="3222E7CD"/>
    <w:multiLevelType w:val="hybridMultilevel"/>
    <w:lvl w:ilvl="0">
      <w:lvlJc w:val="left"/>
      <w:lvlText w:val="(%1)"/>
      <w:numFmt w:val="decimal"/>
      <w:start w:val="1"/>
    </w:lvl>
    <w:lvl w:ilvl="1">
      <w:lvlJc w:val="left"/>
      <w:lvlText w:val="(%2)"/>
      <w:numFmt w:val="lowerLetter"/>
      <w:start w:val="1"/>
    </w:lvl>
  </w:abstractNum>
  <w:abstractNum w:abstractNumId="43">
    <w:nsid w:val="74DE0EE3"/>
    <w:multiLevelType w:val="hybridMultilevel"/>
    <w:lvl w:ilvl="0">
      <w:lvlJc w:val="left"/>
      <w:lvlText w:val="%1"/>
      <w:numFmt w:val="upperLetter"/>
      <w:start w:val="1"/>
    </w:lvl>
    <w:lvl w:ilvl="1">
      <w:lvlJc w:val="left"/>
      <w:lvlText w:val="(%2)"/>
      <w:numFmt w:val="decimal"/>
      <w:start w:val="6"/>
    </w:lvl>
  </w:abstractNum>
  <w:abstractNum w:abstractNumId="44">
    <w:nsid w:val="68EBC550"/>
    <w:multiLevelType w:val="hybridMultilevel"/>
    <w:lvl w:ilvl="0">
      <w:lvlJc w:val="left"/>
      <w:lvlText w:val="(%1)"/>
      <w:numFmt w:val="upperLetter"/>
      <w:start w:val="2"/>
    </w:lvl>
    <w:lvl w:ilvl="1">
      <w:lvlJc w:val="left"/>
      <w:lvlText w:val="(%2)"/>
      <w:numFmt w:val="decimal"/>
      <w:start w:val="8"/>
    </w:lvl>
  </w:abstractNum>
  <w:abstractNum w:abstractNumId="45">
    <w:nsid w:val="2DF6D648"/>
    <w:multiLevelType w:val="hybridMultilevel"/>
    <w:lvl w:ilvl="0">
      <w:lvlJc w:val="left"/>
      <w:lvlText w:val="(%1)"/>
      <w:numFmt w:val="lowerLetter"/>
      <w:start w:val="1"/>
    </w:lvl>
    <w:lvl w:ilvl="1">
      <w:lvlJc w:val="left"/>
      <w:lvlText w:val="(%2)"/>
      <w:numFmt w:val="upperLetter"/>
      <w:start w:val="1"/>
    </w:lvl>
  </w:abstractNum>
  <w:abstractNum w:abstractNumId="46">
    <w:nsid w:val="46B7D447"/>
    <w:multiLevelType w:val="hybridMultilevel"/>
    <w:lvl w:ilvl="0">
      <w:lvlJc w:val="left"/>
      <w:lvlText w:val="(%1)"/>
      <w:numFmt w:val="decimal"/>
      <w:start w:val="1"/>
    </w:lvl>
  </w:abstractNum>
  <w:abstractNum w:abstractNumId="47">
    <w:nsid w:val="4A2AC315"/>
    <w:multiLevelType w:val="hybridMultilevel"/>
    <w:lvl w:ilvl="0">
      <w:lvlJc w:val="left"/>
      <w:lvlText w:val="(%1)"/>
      <w:numFmt w:val="decimal"/>
      <w:start w:val="1"/>
    </w:lvl>
  </w:abstractNum>
  <w:abstractNum w:abstractNumId="48">
    <w:nsid w:val="39EE015C"/>
    <w:multiLevelType w:val="hybridMultilevel"/>
    <w:lvl w:ilvl="0">
      <w:lvlJc w:val="left"/>
      <w:lvlText w:val="(%1)"/>
      <w:numFmt w:val="decimal"/>
      <w:start w:val="1"/>
    </w:lvl>
  </w:abstractNum>
  <w:abstractNum w:abstractNumId="49">
    <w:nsid w:val="57FC4FBB"/>
    <w:multiLevelType w:val="hybridMultilevel"/>
    <w:lvl w:ilvl="0">
      <w:lvlJc w:val="left"/>
      <w:lvlText w:val="(%1)"/>
      <w:numFmt w:val="decimal"/>
      <w:start w:val="1"/>
    </w:lvl>
  </w:abstractNum>
  <w:abstractNum w:abstractNumId="50">
    <w:nsid w:val="CC1016F"/>
    <w:multiLevelType w:val="hybridMultilevel"/>
    <w:lvl w:ilvl="0">
      <w:lvlJc w:val="left"/>
      <w:lvlText w:val="(%1)"/>
      <w:numFmt w:val="decimal"/>
      <w:start w:val="11"/>
    </w:lvl>
  </w:abstractNum>
  <w:abstractNum w:abstractNumId="51">
    <w:nsid w:val="43F18422"/>
    <w:multiLevelType w:val="hybridMultilevel"/>
    <w:lvl w:ilvl="0">
      <w:lvlJc w:val="left"/>
      <w:lvlText w:val="(%1)"/>
      <w:numFmt w:val="decimal"/>
      <w:start w:val="1"/>
    </w:lvl>
  </w:abstractNum>
  <w:abstractNum w:abstractNumId="52">
    <w:nsid w:val="60EF0119"/>
    <w:multiLevelType w:val="hybridMultilevel"/>
    <w:lvl w:ilvl="0">
      <w:lvlJc w:val="left"/>
      <w:lvlText w:val="(%1)"/>
      <w:numFmt w:val="lowerLetter"/>
      <w:start w:val="3"/>
    </w:lvl>
  </w:abstractNum>
  <w:abstractNum w:abstractNumId="53">
    <w:nsid w:val="26F324BA"/>
    <w:multiLevelType w:val="hybridMultilevel"/>
    <w:lvl w:ilvl="0">
      <w:lvlJc w:val="left"/>
      <w:lvlText w:val="(%1)"/>
      <w:numFmt w:val="decimal"/>
      <w:start w:val="1"/>
    </w:lvl>
  </w:abstractNum>
  <w:abstractNum w:abstractNumId="54">
    <w:nsid w:val="7F01579B"/>
    <w:multiLevelType w:val="hybridMultilevel"/>
    <w:lvl w:ilvl="0">
      <w:lvlJc w:val="left"/>
      <w:lvlText w:val="(%1)"/>
      <w:numFmt w:val="decimal"/>
      <w:start w:val="1"/>
    </w:lvl>
  </w:abstractNum>
  <w:abstractNum w:abstractNumId="55">
    <w:nsid w:val="49DA307D"/>
    <w:multiLevelType w:val="hybridMultilevel"/>
    <w:lvl w:ilvl="0">
      <w:lvlJc w:val="left"/>
      <w:lvlText w:val="(%1)"/>
      <w:numFmt w:val="decimal"/>
      <w:start w:val="2"/>
    </w:lvl>
  </w:abstractNum>
  <w:abstractNum w:abstractNumId="56">
    <w:nsid w:val="7055A5F5"/>
    <w:multiLevelType w:val="hybridMultilevel"/>
    <w:lvl w:ilvl="0">
      <w:lvlJc w:val="left"/>
      <w:lvlText w:val="(%1)"/>
      <w:numFmt w:val="lowerLetter"/>
      <w:start w:val="1"/>
    </w:lvl>
    <w:lvl w:ilvl="1">
      <w:lvlJc w:val="left"/>
      <w:lvlText w:val="(%2)"/>
      <w:numFmt w:val="decimal"/>
      <w:start w:val="1"/>
    </w:lvl>
  </w:abstractNum>
  <w:abstractNum w:abstractNumId="57">
    <w:nsid w:val="5FB8370B"/>
    <w:multiLevelType w:val="hybridMultilevel"/>
    <w:lvl w:ilvl="0">
      <w:lvlJc w:val="left"/>
      <w:lvlText w:val="(%1)"/>
      <w:numFmt w:val="lowerLetter"/>
      <w:start w:val="3"/>
    </w:lvl>
  </w:abstractNum>
  <w:abstractNum w:abstractNumId="58">
    <w:nsid w:val="50801EE1"/>
    <w:multiLevelType w:val="hybridMultilevel"/>
    <w:lvl w:ilvl="0">
      <w:lvlJc w:val="left"/>
      <w:lvlText w:val="%1"/>
      <w:numFmt w:val="lowerLetter"/>
      <w:start w:val="1"/>
    </w:lvl>
    <w:lvl w:ilvl="1">
      <w:lvlJc w:val="left"/>
      <w:lvlText w:val="(%2)"/>
      <w:numFmt w:val="decimal"/>
      <w:start w:val="1"/>
    </w:lvl>
  </w:abstractNum>
  <w:abstractNum w:abstractNumId="59">
    <w:nsid w:val="488AC1A"/>
    <w:multiLevelType w:val="hybridMultilevel"/>
    <w:lvl w:ilvl="0">
      <w:lvlJc w:val="left"/>
      <w:lvlText w:val="(%1)"/>
      <w:numFmt w:val="lowerLetter"/>
      <w:start w:val="2"/>
    </w:lvl>
    <w:lvl w:ilvl="1">
      <w:lvlJc w:val="left"/>
      <w:lvlText w:val="(%2)"/>
      <w:numFmt w:val="decimal"/>
      <w:start w:val="2"/>
    </w:lvl>
  </w:abstractNum>
  <w:abstractNum w:abstractNumId="60">
    <w:nsid w:val="5FB8011C"/>
    <w:multiLevelType w:val="hybridMultilevel"/>
    <w:lvl w:ilvl="0">
      <w:lvlJc w:val="left"/>
      <w:lvlText w:val="(%1)"/>
      <w:numFmt w:val="decimal"/>
      <w:start w:val="1"/>
    </w:lvl>
  </w:abstractNum>
  <w:abstractNum w:abstractNumId="61">
    <w:nsid w:val="6AA78F7F"/>
    <w:multiLevelType w:val="hybridMultilevel"/>
    <w:lvl w:ilvl="0">
      <w:lvlJc w:val="left"/>
      <w:lvlText w:val="(%1)"/>
      <w:numFmt w:val="decimal"/>
      <w:start w:val="1"/>
    </w:lvl>
  </w:abstractNum>
  <w:abstractNum w:abstractNumId="62">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3">
    <w:nsid w:val="6FC75AF8"/>
    <w:multiLevelType w:val="hybridMultilevel"/>
    <w:lvl w:ilvl="0">
      <w:lvlJc w:val="left"/>
      <w:lvlText w:val="%1"/>
      <w:numFmt w:val="decimal"/>
      <w:start w:val="1"/>
    </w:lvl>
    <w:lvl w:ilvl="1">
      <w:lvlJc w:val="left"/>
      <w:lvlText w:val="(%2)"/>
      <w:numFmt w:val="lowerLetter"/>
      <w:start w:val="2"/>
    </w:lvl>
  </w:abstractNum>
  <w:abstractNum w:abstractNumId="64">
    <w:nsid w:val="6A5F7029"/>
    <w:multiLevelType w:val="hybridMultilevel"/>
    <w:lvl w:ilvl="0">
      <w:lvlJc w:val="left"/>
      <w:lvlText w:val="(%1)"/>
      <w:numFmt w:val="decimal"/>
      <w:start w:val="2"/>
    </w:lvl>
    <w:lvl w:ilvl="1">
      <w:lvlJc w:val="left"/>
      <w:lvlText w:val="%2"/>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decimal"/>
      <w:start w:val="1"/>
    </w:lvl>
  </w:abstractNum>
  <w:abstractNum w:abstractNumId="67">
    <w:nsid w:val="73A1821B"/>
    <w:multiLevelType w:val="hybridMultilevel"/>
    <w:lvl w:ilvl="0">
      <w:lvlJc w:val="left"/>
      <w:lvlText w:val="(%1)"/>
      <w:numFmt w:val="decimal"/>
      <w:start w:val="1"/>
    </w:lvl>
  </w:abstractNum>
  <w:abstractNum w:abstractNumId="68">
    <w:nsid w:val="7DE67713"/>
    <w:multiLevelType w:val="hybridMultilevel"/>
    <w:lvl w:ilvl="0">
      <w:lvlJc w:val="left"/>
      <w:lvlText w:val="(%1)"/>
      <w:numFmt w:val="decimal"/>
      <w:start w:val="1"/>
    </w:lvl>
  </w:abstractNum>
  <w:abstractNum w:abstractNumId="69">
    <w:nsid w:val="555C55B5"/>
    <w:multiLevelType w:val="hybridMultilevel"/>
    <w:lvl w:ilvl="0">
      <w:lvlJc w:val="left"/>
      <w:lvlText w:val="(%1)"/>
      <w:numFmt w:val="decimal"/>
      <w:start w:val="1"/>
    </w:lvl>
  </w:abstractNum>
  <w:abstractNum w:abstractNumId="70">
    <w:nsid w:val="3FA62ACA"/>
    <w:multiLevelType w:val="hybridMultilevel"/>
    <w:lvl w:ilvl="0">
      <w:lvlJc w:val="left"/>
      <w:lvlText w:val="(%1)"/>
      <w:numFmt w:val="decimal"/>
      <w:start w:val="1"/>
    </w:lvl>
  </w:abstractNum>
  <w:abstractNum w:abstractNumId="71">
    <w:nsid w:val="14FCE74E"/>
    <w:multiLevelType w:val="hybridMultilevel"/>
    <w:lvl w:ilvl="0">
      <w:lvlJc w:val="left"/>
      <w:lvlText w:val="%1"/>
      <w:numFmt w:val="lowerRoman"/>
      <w:start w:val="1"/>
    </w:lvl>
    <w:lvl w:ilvl="1">
      <w:lvlJc w:val="left"/>
      <w:lvlText w:val="(%2)"/>
      <w:numFmt w:val="decimal"/>
      <w:start w:val="1"/>
    </w:lvl>
  </w:abstractNum>
  <w:abstractNum w:abstractNumId="72">
    <w:nsid w:val="6A3DD3E8"/>
    <w:multiLevelType w:val="hybridMultilevel"/>
    <w:lvl w:ilvl="0">
      <w:lvlJc w:val="left"/>
      <w:lvlText w:val="(%1)"/>
      <w:numFmt w:val="lowerRoman"/>
      <w:start w:val="2"/>
    </w:lvl>
    <w:lvl w:ilvl="1">
      <w:lvlJc w:val="left"/>
      <w:lvlText w:val="%2"/>
      <w:numFmt w:val="decimal"/>
      <w:start w:val="1"/>
    </w:lvl>
  </w:abstractNum>
  <w:abstractNum w:abstractNumId="73">
    <w:nsid w:val="71C91298"/>
    <w:multiLevelType w:val="hybridMultilevel"/>
    <w:lvl w:ilvl="0">
      <w:lvlJc w:val="left"/>
      <w:lvlText w:val="%1"/>
      <w:numFmt w:val="lowerLetter"/>
      <w:start w:val="1"/>
    </w:lvl>
    <w:lvl w:ilvl="1">
      <w:lvlJc w:val="left"/>
      <w:lvlText w:val="(%2)"/>
      <w:numFmt w:val="decimal"/>
      <w:start w:val="7"/>
    </w:lvl>
  </w:abstractNum>
  <w:abstractNum w:abstractNumId="74">
    <w:nsid w:val="9DAF632"/>
    <w:multiLevelType w:val="hybridMultilevel"/>
    <w:lvl w:ilvl="0">
      <w:lvlJc w:val="left"/>
      <w:lvlText w:val="(%1)"/>
      <w:numFmt w:val="lowerLetter"/>
      <w:start w:val="2"/>
    </w:lvl>
    <w:lvl w:ilvl="1">
      <w:lvlJc w:val="left"/>
      <w:lvlText w:val="(%2)"/>
      <w:numFmt w:val="decimal"/>
      <w:start w:val="9"/>
    </w:lvl>
  </w:abstractNum>
  <w:abstractNum w:abstractNumId="75">
    <w:nsid w:val="53299938"/>
    <w:multiLevelType w:val="hybridMultilevel"/>
    <w:lvl w:ilvl="0">
      <w:lvlJc w:val="left"/>
      <w:lvlText w:val="(%1)"/>
      <w:numFmt w:val="decimal"/>
      <w:start w:val="16"/>
    </w:lvl>
  </w:abstractNum>
  <w:abstractNum w:abstractNumId="76">
    <w:nsid w:val="1FBFE8E0"/>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77">
    <w:nsid w:val="5092CA7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78">
    <w:nsid w:val="1D545C4D"/>
    <w:multiLevelType w:val="hybridMultilevel"/>
    <w:lvl w:ilvl="0">
      <w:lvlJc w:val="left"/>
      <w:lvlText w:val="(%1)"/>
      <w:numFmt w:val="lowerLetter"/>
      <w:start w:val="4"/>
    </w:lvl>
  </w:abstractNum>
  <w:abstractNum w:abstractNumId="79">
    <w:nsid w:val="59ADEA3D"/>
    <w:multiLevelType w:val="hybridMultilevel"/>
    <w:lvl w:ilvl="0">
      <w:lvlJc w:val="left"/>
      <w:lvlText w:val="(%1)"/>
      <w:numFmt w:val="decimal"/>
      <w:start w:val="1"/>
    </w:lvl>
  </w:abstractNum>
  <w:abstractNum w:abstractNumId="80">
    <w:nsid w:val="288F1A34"/>
    <w:multiLevelType w:val="hybridMultilevel"/>
    <w:lvl w:ilvl="0">
      <w:lvlJc w:val="left"/>
      <w:lvlText w:val="(%1)"/>
      <w:numFmt w:val="decimal"/>
      <w:start w:val="6"/>
    </w:lvl>
  </w:abstractNum>
  <w:abstractNum w:abstractNumId="81">
    <w:nsid w:val="2A155DBC"/>
    <w:multiLevelType w:val="hybridMultilevel"/>
    <w:lvl w:ilvl="0">
      <w:lvlJc w:val="left"/>
      <w:lvlText w:val="%1"/>
      <w:numFmt w:val="decimal"/>
      <w:start w:val="1"/>
    </w:lvl>
    <w:lvl w:ilvl="1">
      <w:lvlJc w:val="left"/>
      <w:lvlText w:val="(%2)"/>
      <w:numFmt w:val="decimal"/>
      <w:start w:val="1"/>
    </w:lvl>
  </w:abstractNum>
  <w:abstractNum w:abstractNumId="82">
    <w:nsid w:val="1D9F6E5F"/>
    <w:multiLevelType w:val="hybridMultilevel"/>
    <w:lvl w:ilvl="0">
      <w:lvlJc w:val="left"/>
      <w:lvlText w:val="(%1)"/>
      <w:numFmt w:val="decimal"/>
      <w:start w:val="3"/>
    </w:lvl>
    <w:lvl w:ilvl="1">
      <w:lvlJc w:val="left"/>
      <w:lvlText w:val="(%2)"/>
      <w:numFmt w:val="decimal"/>
      <w:start w:val="4"/>
    </w:lvl>
  </w:abstractNum>
  <w:abstractNum w:abstractNumId="83">
    <w:nsid w:val="97E1B4E"/>
    <w:multiLevelType w:val="hybridMultilevel"/>
    <w:lvl w:ilvl="0">
      <w:lvlJc w:val="left"/>
      <w:lvlText w:val="(%1)"/>
      <w:numFmt w:val="decimal"/>
      <w:start w:val="7"/>
    </w:lvl>
  </w:abstractNum>
  <w:abstractNum w:abstractNumId="84">
    <w:nsid w:val="51088277"/>
    <w:multiLevelType w:val="hybridMultilevel"/>
    <w:lvl w:ilvl="0">
      <w:lvlJc w:val="left"/>
      <w:lvlText w:val="(%1)"/>
      <w:numFmt w:val="lowerLetter"/>
      <w:start w:val="2"/>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decimal"/>
      <w:start w:val="1"/>
    </w:lvl>
  </w:abstractNum>
  <w:abstractNum w:abstractNumId="87">
    <w:nsid w:val="415E286C"/>
    <w:multiLevelType w:val="hybridMultilevel"/>
    <w:lvl w:ilvl="0">
      <w:lvlJc w:val="left"/>
      <w:lvlText w:val="(%1)"/>
      <w:numFmt w:val="decimal"/>
      <w:start w:val="11"/>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Letter"/>
      <w:start w:val="2"/>
    </w:lvl>
  </w:abstractNum>
  <w:abstractNum w:abstractNumId="90">
    <w:nsid w:val="45E6D486"/>
    <w:multiLevelType w:val="hybridMultilevel"/>
    <w:lvl w:ilvl="0">
      <w:lvlJc w:val="left"/>
      <w:lvlText w:val="(%1)"/>
      <w:numFmt w:val="decimal"/>
      <w:start w:val="1"/>
    </w:lvl>
  </w:abstractNum>
  <w:abstractNum w:abstractNumId="91">
    <w:nsid w:val="5C10FE21"/>
    <w:multiLevelType w:val="hybridMultilevel"/>
    <w:lvl w:ilvl="0">
      <w:lvlJc w:val="left"/>
      <w:lvlText w:val="(%1)"/>
      <w:numFmt w:val="decimal"/>
      <w:start w:val="1"/>
    </w:lvl>
  </w:abstractNum>
  <w:abstractNum w:abstractNumId="92">
    <w:nsid w:val="E7FFA2B"/>
    <w:multiLevelType w:val="hybridMultilevel"/>
    <w:lvl w:ilvl="0">
      <w:lvlJc w:val="left"/>
      <w:lvlText w:val="(%1)"/>
      <w:numFmt w:val="decimal"/>
      <w:start w:val="3"/>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lowerLetter"/>
      <w:start w:val="3"/>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1)"/>
      <w:numFmt w:val="decimal"/>
      <w:start w:val="1"/>
    </w:lvl>
  </w:abstractNum>
  <w:abstractNum w:abstractNumId="97">
    <w:nsid w:val="2B0D8DBE"/>
    <w:multiLevelType w:val="hybridMultilevel"/>
    <w:lvl w:ilvl="0">
      <w:lvlJc w:val="left"/>
      <w:lvlText w:val="(%1)"/>
      <w:numFmt w:val="decimal"/>
      <w:start w:val="2"/>
    </w:lvl>
    <w:lvl w:ilvl="1">
      <w:lvlJc w:val="left"/>
      <w:lvlText w:val="(%2)"/>
      <w:numFmt w:val="lowerLetter"/>
      <w:start w:val="1"/>
    </w:lvl>
  </w:abstractNum>
  <w:abstractNum w:abstractNumId="98">
    <w:nsid w:val="6C80EC70"/>
    <w:multiLevelType w:val="hybridMultilevel"/>
    <w:lvl w:ilvl="0">
      <w:lvlJc w:val="left"/>
      <w:lvlText w:val="(%1)"/>
      <w:numFmt w:val="decimal"/>
      <w:start w:val="3"/>
    </w:lvl>
  </w:abstractNum>
  <w:abstractNum w:abstractNumId="99">
    <w:nsid w:val="379E21B5"/>
    <w:multiLevelType w:val="hybridMultilevel"/>
    <w:lvl w:ilvl="0">
      <w:lvlJc w:val="left"/>
      <w:lvlText w:val="(%1)"/>
      <w:numFmt w:val="lowerLetter"/>
      <w:start w:val="1"/>
    </w:lvl>
  </w:abstractNum>
  <w:abstractNum w:abstractNumId="100">
    <w:nsid w:val="69E373"/>
    <w:multiLevelType w:val="hybridMultilevel"/>
    <w:lvl w:ilvl="0">
      <w:lvlJc w:val="left"/>
      <w:lvlText w:val="%1"/>
      <w:numFmt w:val="upperLetter"/>
      <w:start w:val="1"/>
    </w:lvl>
    <w:lvl w:ilvl="1">
      <w:lvlJc w:val="left"/>
      <w:lvlText w:val="(%2)"/>
      <w:numFmt w:val="lowerLetter"/>
      <w:start w:val="3"/>
    </w:lvl>
  </w:abstractNum>
  <w:abstractNum w:abstractNumId="101">
    <w:nsid w:val="2C27173B"/>
    <w:multiLevelType w:val="hybridMultilevel"/>
    <w:lvl w:ilvl="0">
      <w:lvlJc w:val="left"/>
      <w:lvlText w:val="(%1)"/>
      <w:numFmt w:val="upperLetter"/>
      <w:start w:val="1"/>
    </w:lvl>
    <w:lvl w:ilvl="1">
      <w:lvlJc w:val="left"/>
      <w:lvlText w:val="(%2)"/>
      <w:numFmt w:val="lowerLetter"/>
      <w:start w:val="4"/>
    </w:lvl>
  </w:abstractNum>
  <w:abstractNum w:abstractNumId="102">
    <w:nsid w:val="4C9B0904"/>
    <w:multiLevelType w:val="hybridMultilevel"/>
    <w:lvl w:ilvl="0">
      <w:lvlJc w:val="left"/>
      <w:lvlText w:val="(%1)"/>
      <w:numFmt w:val="lowerLetter"/>
      <w:start w:val="5"/>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5">
    <w:nsid w:val="5675FF3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6">
    <w:nsid w:val="3DD1509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7">
    <w:nsid w:val="3DB012B3"/>
    <w:multiLevelType w:val="hybridMultilevel"/>
    <w:lvl w:ilvl="0">
      <w:lvlJc w:val="left"/>
      <w:lvlText w:val="*"/>
      <w:numFmt w:val="bullet"/>
      <w:start w:val="1"/>
    </w:lvl>
  </w:abstractNum>
  <w:abstractNum w:abstractNumId="108">
    <w:nsid w:val="2708C9AF"/>
    <w:multiLevelType w:val="hybridMultilevel"/>
    <w:lvl w:ilvl="0">
      <w:lvlJc w:val="left"/>
      <w:lvlText w:val="*"/>
      <w:numFmt w:val="bullet"/>
      <w:start w:val="1"/>
    </w:lvl>
  </w:abstractNum>
  <w:abstractNum w:abstractNumId="109">
    <w:nsid w:val="5B25ACE2"/>
    <w:multiLevelType w:val="hybridMultilevel"/>
    <w:lvl w:ilvl="0">
      <w:lvlJc w:val="left"/>
      <w:lvlText w:val="*"/>
      <w:numFmt w:val="bullet"/>
      <w:start w:val="1"/>
    </w:lvl>
  </w:abstractNum>
  <w:abstractNum w:abstractNumId="110">
    <w:nsid w:val="175DFCF0"/>
    <w:multiLevelType w:val="hybridMultilevel"/>
    <w:lvl w:ilvl="0">
      <w:lvlJc w:val="left"/>
      <w:lvlText w:val="*"/>
      <w:numFmt w:val="bullet"/>
      <w:start w:val="1"/>
    </w:lvl>
  </w:abstractNum>
  <w:abstractNum w:abstractNumId="111">
    <w:nsid w:val="4F97E3E4"/>
    <w:multiLevelType w:val="hybridMultilevel"/>
    <w:lvl w:ilvl="0">
      <w:lvlJc w:val="left"/>
      <w:lvlText w:val="*"/>
      <w:numFmt w:val="bullet"/>
      <w:start w:val="1"/>
    </w:lvl>
  </w:abstractNum>
  <w:abstractNum w:abstractNumId="112">
    <w:nsid w:val="53B0A9E"/>
    <w:multiLevelType w:val="hybridMultilevel"/>
    <w:lvl w:ilvl="0">
      <w:lvlJc w:val="left"/>
      <w:lvlText w:val="*"/>
      <w:numFmt w:val="bullet"/>
      <w:start w:val="1"/>
    </w:lvl>
  </w:abstractNum>
  <w:abstractNum w:abstractNumId="113">
    <w:nsid w:val="34FD6B4F"/>
    <w:multiLevelType w:val="hybridMultilevel"/>
    <w:lvl w:ilvl="0">
      <w:lvlJc w:val="left"/>
      <w:lvlText w:val="%1."/>
      <w:numFmt w:val="decimal"/>
      <w:start w:val="1"/>
    </w:lvl>
  </w:abstractNum>
  <w:abstractNum w:abstractNumId="114">
    <w:nsid w:val="5915FF32"/>
    <w:multiLevelType w:val="hybridMultilevel"/>
    <w:lvl w:ilvl="0">
      <w:lvlJc w:val="left"/>
      <w:lvlText w:val="%1."/>
      <w:numFmt w:val="decimal"/>
      <w:start w:val="3"/>
    </w:lvl>
  </w:abstractNum>
  <w:abstractNum w:abstractNumId="115">
    <w:nsid w:val="56438D15"/>
    <w:multiLevelType w:val="hybridMultilevel"/>
    <w:lvl w:ilvl="0">
      <w:lvlJc w:val="left"/>
      <w:lvlText w:val="(%1)"/>
      <w:numFmt w:val="lowerRoman"/>
      <w:start w:val="2"/>
    </w:lvl>
  </w:abstractNum>
  <w:abstractNum w:abstractNumId="116">
    <w:nsid w:val="519E3149"/>
    <w:multiLevelType w:val="hybridMultilevel"/>
    <w:lvl w:ilvl="0">
      <w:lvlJc w:val="left"/>
      <w:lvlText w:val="(%1)"/>
      <w:numFmt w:val="lowerRoman"/>
      <w:start w:val="1"/>
    </w:lvl>
  </w:abstractNum>
  <w:abstractNum w:abstractNumId="117">
    <w:nsid w:val="2C6E4AFD"/>
    <w:multiLevelType w:val="hybridMultilevel"/>
    <w:lvl w:ilvl="0">
      <w:lvlJc w:val="left"/>
      <w:lvlText w:val="%1."/>
      <w:numFmt w:val="decimal"/>
      <w:start w:val="1"/>
    </w:lvl>
  </w:abstractNum>
  <w:abstractNum w:abstractNumId="118">
    <w:nsid w:val="17A1B582"/>
    <w:multiLevelType w:val="hybridMultilevel"/>
    <w:lvl w:ilvl="0">
      <w:lvlJc w:val="left"/>
      <w:lvlText w:val="(%1)"/>
      <w:numFmt w:val="lowerLetter"/>
      <w:start w:val="4"/>
    </w:lvl>
  </w:abstractNum>
  <w:abstractNum w:abstractNumId="119">
    <w:nsid w:val="4DF72E4E"/>
    <w:multiLevelType w:val="hybridMultilevel"/>
    <w:lvl w:ilvl="0">
      <w:lvlJc w:val="left"/>
      <w:lvlText w:val="(%1)"/>
      <w:numFmt w:val="lowerLetter"/>
      <w:start w:val="10"/>
    </w:lvl>
  </w:abstractNum>
  <w:abstractNum w:abstractNumId="120">
    <w:nsid w:val="5046B5A9"/>
    <w:multiLevelType w:val="hybridMultilevel"/>
    <w:lvl w:ilvl="0">
      <w:lvlJc w:val="left"/>
      <w:lvlText w:val="(%1)"/>
      <w:numFmt w:val="lowerLetter"/>
      <w:start w:val="12"/>
    </w:lvl>
  </w:abstractNum>
  <w:abstractNum w:abstractNumId="121">
    <w:nsid w:val="5D888A08"/>
    <w:multiLevelType w:val="hybridMultilevel"/>
    <w:lvl w:ilvl="0">
      <w:lvlJc w:val="left"/>
      <w:lvlText w:val="(%1)"/>
      <w:numFmt w:val="lowerRoman"/>
      <w:start w:val="2"/>
    </w:lvl>
  </w:abstractNum>
  <w:abstractNum w:abstractNumId="122">
    <w:nsid w:val="2A082C70"/>
    <w:multiLevelType w:val="hybridMultilevel"/>
    <w:lvl w:ilvl="0">
      <w:lvlJc w:val="left"/>
      <w:lvlText w:val="1"/>
      <w:numFmt w:val="bullet"/>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lowerRoman"/>
      <w:start w:val="1"/>
    </w:lvl>
  </w:abstractNum>
  <w:abstractNum w:abstractNumId="125">
    <w:nsid w:val="75E0858A"/>
    <w:multiLevelType w:val="hybridMultilevel"/>
    <w:lvl w:ilvl="0">
      <w:lvlJc w:val="left"/>
      <w:lvlText w:val="2"/>
      <w:numFmt w:val="bullet"/>
      <w:start w:val="1"/>
    </w:lvl>
    <w:lvl w:ilvl="1">
      <w:lvlJc w:val="left"/>
      <w:lvlText w:val="(%2)"/>
      <w:numFmt w:val="lowerLetter"/>
      <w:start w:val="1"/>
    </w:lvl>
  </w:abstractNum>
  <w:abstractNum w:abstractNumId="126">
    <w:nsid w:val="57A61A29"/>
    <w:multiLevelType w:val="hybridMultilevel"/>
    <w:lvl w:ilvl="0">
      <w:lvlJc w:val="left"/>
      <w:lvlText w:val="(%1)"/>
      <w:numFmt w:val="lowerLetter"/>
      <w:start w:val="3"/>
    </w:lvl>
    <w:lvl w:ilvl="1">
      <w:lvlJc w:val="left"/>
      <w:lvlText w:val="(%2)"/>
      <w:numFmt w:val="lowerRoman"/>
      <w:start w:val="1"/>
    </w:lvl>
  </w:abstractNum>
  <w:abstractNum w:abstractNumId="127">
    <w:nsid w:val="5399C654"/>
    <w:multiLevelType w:val="hybridMultilevel"/>
    <w:lvl w:ilvl="0">
      <w:lvlJc w:val="left"/>
      <w:lvlText w:val="(%1)"/>
      <w:numFmt w:val="lowerLetter"/>
      <w:start w:val="10"/>
    </w:lvl>
  </w:abstractNum>
  <w:abstractNum w:abstractNumId="128">
    <w:nsid w:val="20EE1348"/>
    <w:multiLevelType w:val="hybridMultilevel"/>
    <w:lvl w:ilvl="0">
      <w:lvlJc w:val="left"/>
      <w:lvlText w:val="(%1)"/>
      <w:numFmt w:val="lowerLetter"/>
      <w:start w:val="11"/>
    </w:lvl>
  </w:abstractNum>
  <w:abstractNum w:abstractNumId="129">
    <w:nsid w:val="4427069A"/>
    <w:multiLevelType w:val="hybridMultilevel"/>
    <w:lvl w:ilvl="0">
      <w:lvlJc w:val="left"/>
      <w:lvlText w:val="(%1)"/>
      <w:numFmt w:val="lowerLetter"/>
      <w:start w:val="17"/>
    </w:lvl>
  </w:abstractNum>
  <w:abstractNum w:abstractNumId="130">
    <w:nsid w:val="B37E80A"/>
    <w:multiLevelType w:val="hybridMultilevel"/>
    <w:lvl w:ilvl="0">
      <w:lvlJc w:val="left"/>
      <w:lvlText w:val="3"/>
      <w:numFmt w:val="bullet"/>
      <w:start w:val="1"/>
    </w:lvl>
    <w:lvl w:ilvl="1">
      <w:lvlJc w:val="left"/>
      <w:lvlText w:val="(%2)"/>
      <w:numFmt w:val="lowerLetter"/>
      <w:start w:val="1"/>
    </w:lvl>
  </w:abstractNum>
  <w:abstractNum w:abstractNumId="131">
    <w:nsid w:val="2157F6BC"/>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132">
    <w:nsid w:val="704E1DD5"/>
    <w:multiLevelType w:val="hybridMultilevel"/>
    <w:lvl w:ilvl="0">
      <w:lvlJc w:val="left"/>
      <w:lvlText w:val="%1"/>
      <w:numFmt w:val="lowerLetter"/>
      <w:start w:val="1"/>
    </w:lvl>
    <w:lvl w:ilvl="1">
      <w:lvlJc w:val="left"/>
      <w:lvlText w:val="(%2)"/>
      <w:numFmt w:val="lowerLetter"/>
      <w:start w:val="22"/>
    </w:lvl>
  </w:abstractNum>
  <w:abstractNum w:abstractNumId="133">
    <w:nsid w:val="57D2F10E"/>
    <w:multiLevelType w:val="hybridMultilevel"/>
    <w:lvl w:ilvl="0">
      <w:lvlJc w:val="left"/>
      <w:lvlText w:val="(%1)"/>
      <w:numFmt w:val="lowerLetter"/>
      <w:start w:val="3"/>
    </w:lvl>
    <w:lvl w:ilvl="1">
      <w:lvlJc w:val="left"/>
      <w:lvlText w:val="%2"/>
      <w:numFmt w:val="lowerLetter"/>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2019-12-09T00:51:08Z</dcterms:created>
  <dcterms:modified xsi:type="dcterms:W3CDTF">2019-12-09T00:51:08Z</dcterms:modified>
</cp:coreProperties>
</file>