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Times New Roman" w:cs="Times New Roman" w:eastAsia="Times New Roman" w:hAnsi="Times New Roman"/>
          <w:sz w:val="22"/>
          <w:szCs w:val="22"/>
          <w:b w:val="1"/>
          <w:bCs w:val="1"/>
          <w:color w:val="auto"/>
        </w:rPr>
        <w:t>(Amendment No.</w:t>
        <w:tab/>
        <w:t>01</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color w:val="auto"/>
        </w:rPr>
        <w:t>Weatherford International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G48833100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63" w:lineRule="auto"/>
        <w:tabs>
          <w:tab w:leader="none" w:pos="42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o Rule 13d-1(c) o Rule 13d-1(d)</w:t>
      </w:r>
    </w:p>
    <w:p>
      <w:pPr>
        <w:spacing w:after="0" w:line="1" w:lineRule="exact"/>
        <w:rPr>
          <w:rFonts w:ascii="Times New Roman" w:cs="Times New Roman" w:eastAsia="Times New Roman" w:hAnsi="Times New Roman"/>
          <w:sz w:val="17"/>
          <w:szCs w:val="17"/>
          <w:color w:val="auto"/>
        </w:rPr>
      </w:pPr>
    </w:p>
    <w:p>
      <w:pPr>
        <w:ind w:right="18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401955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3" w:right="25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36"/>
          <w:szCs w:val="36"/>
          <w:color w:val="auto"/>
          <w:vertAlign w:val="superscript"/>
        </w:rPr>
        <w:t>CUSIP</w:t>
      </w:r>
      <w:r>
        <w:rPr>
          <w:sz w:val="20"/>
          <w:szCs w:val="20"/>
          <w:color w:val="auto"/>
        </w:rPr>
        <w:tab/>
      </w:r>
      <w:r>
        <w:rPr>
          <w:rFonts w:ascii="Times New Roman" w:cs="Times New Roman" w:eastAsia="Times New Roman" w:hAnsi="Times New Roman"/>
          <w:sz w:val="18"/>
          <w:szCs w:val="18"/>
          <w:color w:val="auto"/>
        </w:rPr>
        <w:t>G48833100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6234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234430"/>
                    </a:xfrm>
                    <a:prstGeom prst="rect">
                      <a:avLst/>
                    </a:prstGeom>
                    <a:noFill/>
                  </pic:spPr>
                </pic:pic>
              </a:graphicData>
            </a:graphic>
          </wp:anchor>
        </w:drawing>
      </w:r>
    </w:p>
    <w:p>
      <w:pPr>
        <w:spacing w:after="0" w:line="2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7" w:lineRule="exact"/>
        <w:rPr>
          <w:sz w:val="20"/>
          <w:szCs w:val="20"/>
          <w:color w:val="auto"/>
        </w:rPr>
      </w:pPr>
    </w:p>
    <w:p>
      <w:pPr>
        <w:ind w:left="760" w:right="5080" w:hanging="529"/>
        <w:spacing w:after="0" w:line="180" w:lineRule="auto"/>
        <w:tabs>
          <w:tab w:leader="none" w:pos="760" w:val="left"/>
        </w:tabs>
        <w:numPr>
          <w:ilvl w:val="0"/>
          <w:numId w:val="2"/>
        </w:numPr>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5"/>
          <w:szCs w:val="15"/>
          <w:color w:val="auto"/>
        </w:rPr>
        <w:t>I.R.S. IDENTIFICATION NOS. OF ABOVE PERSONS (ENTITIES ONLY) Clearbridge Investments, LLC</w:t>
      </w:r>
    </w:p>
    <w:p>
      <w:pPr>
        <w:spacing w:after="0" w:line="2" w:lineRule="exact"/>
        <w:rPr>
          <w:rFonts w:ascii="Times New Roman" w:cs="Times New Roman" w:eastAsia="Times New Roman" w:hAnsi="Times New Roman"/>
          <w:sz w:val="38"/>
          <w:szCs w:val="38"/>
          <w:b w:val="1"/>
          <w:bCs w:val="1"/>
          <w:color w:val="auto"/>
          <w:vertAlign w:val="subscript"/>
        </w:rPr>
      </w:pPr>
    </w:p>
    <w:p>
      <w:pPr>
        <w:ind w:left="760"/>
        <w:spacing w:after="0"/>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8"/>
          <w:szCs w:val="18"/>
          <w:color w:val="auto"/>
        </w:rPr>
        <w:t>01-0846058</w:t>
      </w:r>
    </w:p>
    <w:p>
      <w:pPr>
        <w:spacing w:after="0" w:line="71" w:lineRule="exact"/>
        <w:rPr>
          <w:rFonts w:ascii="Times New Roman" w:cs="Times New Roman" w:eastAsia="Times New Roman" w:hAnsi="Times New Roman"/>
          <w:sz w:val="38"/>
          <w:szCs w:val="38"/>
          <w:b w:val="1"/>
          <w:bCs w:val="1"/>
          <w:color w:val="auto"/>
          <w:vertAlign w:val="subscript"/>
        </w:rPr>
      </w:pPr>
    </w:p>
    <w:p>
      <w:pPr>
        <w:ind w:left="760"/>
        <w:spacing w:after="0"/>
        <w:rPr>
          <w:rFonts w:ascii="Times New Roman" w:cs="Times New Roman" w:eastAsia="Times New Roman" w:hAnsi="Times New Roman"/>
          <w:sz w:val="38"/>
          <w:szCs w:val="38"/>
          <w:b w:val="1"/>
          <w:bCs w:val="1"/>
          <w:color w:val="auto"/>
          <w:vertAlign w:val="subscript"/>
        </w:rPr>
      </w:pPr>
      <w:r>
        <w:rPr>
          <w:rFonts w:ascii="Times New Roman" w:cs="Times New Roman" w:eastAsia="Times New Roman" w:hAnsi="Times New Roman"/>
          <w:sz w:val="18"/>
          <w:szCs w:val="18"/>
          <w:color w:val="auto"/>
        </w:rPr>
        <w:t>CHECK THE APPROPRIATE BOX IF A MEMBER OF A GROUP (SEE INSTRUCTIONS)</w:t>
      </w:r>
    </w:p>
    <w:p>
      <w:pPr>
        <w:spacing w:after="0" w:line="256" w:lineRule="exact"/>
        <w:rPr>
          <w:sz w:val="20"/>
          <w:szCs w:val="20"/>
          <w:color w:val="auto"/>
        </w:rPr>
      </w:pPr>
    </w:p>
    <w:p>
      <w:pPr>
        <w:jc w:val="right"/>
        <w:ind w:left="240" w:right="10240" w:firstLine="511"/>
        <w:spacing w:after="0" w:line="208" w:lineRule="auto"/>
        <w:tabs>
          <w:tab w:leader="none" w:pos="10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o </w:t>
      </w:r>
      <w:r>
        <w:rPr>
          <w:rFonts w:ascii="Times New Roman" w:cs="Times New Roman" w:eastAsia="Times New Roman" w:hAnsi="Times New Roman"/>
          <w:sz w:val="31"/>
          <w:szCs w:val="31"/>
          <w:b w:val="1"/>
          <w:bCs w:val="1"/>
          <w:color w:val="auto"/>
        </w:rPr>
        <w:t xml:space="preserve">2  </w:t>
      </w:r>
      <w:r>
        <w:rPr>
          <w:rFonts w:ascii="Times New Roman" w:cs="Times New Roman" w:eastAsia="Times New Roman" w:hAnsi="Times New Roman"/>
          <w:sz w:val="18"/>
          <w:szCs w:val="18"/>
          <w:color w:val="auto"/>
        </w:rPr>
        <w:t>(b)</w:t>
      </w:r>
      <w:r>
        <w:rPr>
          <w:rFonts w:ascii="Times New Roman" w:cs="Times New Roman" w:eastAsia="Times New Roman" w:hAnsi="Times New Roman"/>
          <w:sz w:val="31"/>
          <w:szCs w:val="31"/>
          <w:b w:val="1"/>
          <w:bCs w:val="1"/>
          <w:color w:val="auto"/>
        </w:rPr>
        <w:t xml:space="preserve">  </w:t>
      </w:r>
      <w:r>
        <w:rPr>
          <w:rFonts w:ascii="Times New Roman" w:cs="Times New Roman" w:eastAsia="Times New Roman" w:hAnsi="Times New Roman"/>
          <w:sz w:val="17"/>
          <w:szCs w:val="17"/>
          <w:color w:val="auto"/>
        </w:rPr>
        <w:t>o</w:t>
      </w:r>
    </w:p>
    <w:p>
      <w:pPr>
        <w:spacing w:after="0" w:line="4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32"/>
          <w:szCs w:val="32"/>
          <w:b w:val="1"/>
          <w:bCs w:val="1"/>
          <w:color w:val="auto"/>
        </w:rPr>
        <w:t>3</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146" w:lineRule="exact"/>
        <w:rPr>
          <w:sz w:val="20"/>
          <w:szCs w:val="20"/>
          <w:color w:val="auto"/>
        </w:rPr>
      </w:pPr>
    </w:p>
    <w:p>
      <w:pPr>
        <w:ind w:left="760" w:hanging="529"/>
        <w:spacing w:after="0"/>
        <w:tabs>
          <w:tab w:leader="none" w:pos="760" w:val="left"/>
        </w:tabs>
        <w:numPr>
          <w:ilvl w:val="0"/>
          <w:numId w:val="4"/>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Delaware Limited Liability Corporation</w:t>
      </w:r>
    </w:p>
    <w:p>
      <w:pPr>
        <w:spacing w:after="0" w:line="62" w:lineRule="exact"/>
        <w:rPr>
          <w:rFonts w:ascii="Times New Roman" w:cs="Times New Roman" w:eastAsia="Times New Roman" w:hAnsi="Times New Roman"/>
          <w:sz w:val="32"/>
          <w:szCs w:val="32"/>
          <w:b w:val="1"/>
          <w:bCs w:val="1"/>
          <w:color w:val="auto"/>
        </w:rPr>
      </w:pPr>
    </w:p>
    <w:p>
      <w:pPr>
        <w:ind w:left="202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SOLE VOTING POWER</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425"/>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32"/>
                <w:szCs w:val="32"/>
                <w:b w:val="1"/>
                <w:bCs w:val="1"/>
                <w:color w:val="auto"/>
              </w:rPr>
              <w:t>5</w:t>
            </w:r>
          </w:p>
        </w:tc>
        <w:tc>
          <w:tcPr>
            <w:tcW w:w="9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75,348,578</w:t>
            </w:r>
          </w:p>
        </w:tc>
        <w:tc>
          <w:tcPr>
            <w:tcW w:w="0" w:type="dxa"/>
            <w:vAlign w:val="bottom"/>
          </w:tcPr>
          <w:p>
            <w:pPr>
              <w:spacing w:after="0"/>
              <w:rPr>
                <w:sz w:val="1"/>
                <w:szCs w:val="1"/>
                <w:color w:val="auto"/>
              </w:rPr>
            </w:pPr>
          </w:p>
        </w:tc>
      </w:tr>
      <w:tr>
        <w:trPr>
          <w:trHeight w:val="264"/>
        </w:trPr>
        <w:tc>
          <w:tcPr>
            <w:tcW w:w="1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500"/>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32"/>
                <w:szCs w:val="32"/>
                <w:b w:val="1"/>
                <w:bCs w:val="1"/>
                <w:color w:val="auto"/>
              </w:rPr>
              <w:t>6</w:t>
            </w:r>
          </w:p>
        </w:tc>
        <w:tc>
          <w:tcPr>
            <w:tcW w:w="9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520" w:type="dxa"/>
            <w:vAlign w:val="bottom"/>
          </w:tcPr>
          <w:p>
            <w:pPr>
              <w:spacing w:after="0"/>
              <w:rPr>
                <w:sz w:val="18"/>
                <w:szCs w:val="18"/>
                <w:color w:val="auto"/>
              </w:rPr>
            </w:pPr>
          </w:p>
        </w:tc>
        <w:tc>
          <w:tcPr>
            <w:tcW w:w="9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7</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20" w:type="dxa"/>
            <w:vAlign w:val="bottom"/>
            <w:vMerge w:val="continue"/>
          </w:tcPr>
          <w:p>
            <w:pPr>
              <w:spacing w:after="0"/>
              <w:rPr>
                <w:sz w:val="22"/>
                <w:szCs w:val="22"/>
                <w:color w:val="auto"/>
              </w:rPr>
            </w:pPr>
          </w:p>
        </w:tc>
        <w:tc>
          <w:tcPr>
            <w:tcW w:w="9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77,580,277</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OWNED BY</w:t>
            </w:r>
          </w:p>
        </w:tc>
        <w:tc>
          <w:tcPr>
            <w:tcW w:w="520" w:type="dxa"/>
            <w:vAlign w:val="bottom"/>
            <w:tcBorders>
              <w:bottom w:val="single" w:sz="8" w:color="auto"/>
            </w:tcBorders>
          </w:tcPr>
          <w:p>
            <w:pPr>
              <w:spacing w:after="0"/>
              <w:rPr>
                <w:sz w:val="5"/>
                <w:szCs w:val="5"/>
                <w:color w:val="auto"/>
              </w:rPr>
            </w:pPr>
          </w:p>
        </w:tc>
        <w:tc>
          <w:tcPr>
            <w:tcW w:w="9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3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5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520" w:type="dxa"/>
            <w:vAlign w:val="bottom"/>
          </w:tcPr>
          <w:p>
            <w:pPr>
              <w:spacing w:after="0"/>
              <w:rPr>
                <w:sz w:val="18"/>
                <w:szCs w:val="18"/>
                <w:color w:val="auto"/>
              </w:rPr>
            </w:pPr>
          </w:p>
        </w:tc>
        <w:tc>
          <w:tcPr>
            <w:tcW w:w="9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32"/>
                <w:szCs w:val="32"/>
                <w:b w:val="1"/>
                <w:bCs w:val="1"/>
                <w:color w:val="auto"/>
              </w:rPr>
              <w:t>8</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520" w:type="dxa"/>
            <w:vAlign w:val="bottom"/>
            <w:vMerge w:val="continue"/>
          </w:tcPr>
          <w:p>
            <w:pPr>
              <w:spacing w:after="0"/>
              <w:rPr>
                <w:sz w:val="21"/>
                <w:szCs w:val="21"/>
                <w:color w:val="auto"/>
              </w:rPr>
            </w:pPr>
          </w:p>
        </w:tc>
        <w:tc>
          <w:tcPr>
            <w:tcW w:w="9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146" w:lineRule="exact"/>
        <w:rPr>
          <w:sz w:val="20"/>
          <w:szCs w:val="20"/>
          <w:color w:val="auto"/>
        </w:rPr>
      </w:pPr>
    </w:p>
    <w:p>
      <w:pPr>
        <w:ind w:left="760" w:hanging="529"/>
        <w:spacing w:after="0"/>
        <w:tabs>
          <w:tab w:leader="none" w:pos="760" w:val="left"/>
        </w:tabs>
        <w:numPr>
          <w:ilvl w:val="0"/>
          <w:numId w:val="5"/>
        </w:numPr>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77,580,277</w:t>
      </w:r>
    </w:p>
    <w:p>
      <w:pPr>
        <w:spacing w:after="0" w:line="62" w:lineRule="exact"/>
        <w:rPr>
          <w:rFonts w:ascii="Times New Roman" w:cs="Times New Roman" w:eastAsia="Times New Roman" w:hAnsi="Times New Roman"/>
          <w:sz w:val="32"/>
          <w:szCs w:val="32"/>
          <w:b w:val="1"/>
          <w:bCs w:val="1"/>
          <w:color w:val="auto"/>
        </w:rPr>
      </w:pPr>
    </w:p>
    <w:p>
      <w:pPr>
        <w:ind w:left="760"/>
        <w:spacing w:after="0"/>
        <w:rPr>
          <w:rFonts w:ascii="Times New Roman" w:cs="Times New Roman" w:eastAsia="Times New Roman" w:hAnsi="Times New Roman"/>
          <w:sz w:val="32"/>
          <w:szCs w:val="32"/>
          <w:b w:val="1"/>
          <w:bCs w:val="1"/>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10</w:t>
      </w:r>
      <w:r>
        <w:rPr>
          <w:sz w:val="20"/>
          <w:szCs w:val="20"/>
          <w:color w:val="auto"/>
        </w:rPr>
        <w:tab/>
      </w:r>
      <w:r>
        <w:rPr>
          <w:rFonts w:ascii="Times New Roman" w:cs="Times New Roman" w:eastAsia="Times New Roman" w:hAnsi="Times New Roman"/>
          <w:sz w:val="16"/>
          <w:szCs w:val="16"/>
          <w:color w:val="auto"/>
        </w:rPr>
        <w:t>o</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102" w:lineRule="exact"/>
        <w:rPr>
          <w:sz w:val="20"/>
          <w:szCs w:val="20"/>
          <w:color w:val="auto"/>
        </w:rPr>
      </w:pPr>
    </w:p>
    <w:p>
      <w:pPr>
        <w:ind w:left="16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11</w:t>
      </w:r>
      <w:r>
        <w:rPr>
          <w:sz w:val="20"/>
          <w:szCs w:val="20"/>
          <w:color w:val="auto"/>
        </w:rPr>
        <w:tab/>
      </w:r>
      <w:r>
        <w:rPr>
          <w:rFonts w:ascii="Times New Roman" w:cs="Times New Roman" w:eastAsia="Times New Roman" w:hAnsi="Times New Roman"/>
          <w:sz w:val="17"/>
          <w:szCs w:val="17"/>
          <w:color w:val="auto"/>
        </w:rPr>
        <w:t>10.03%</w:t>
      </w:r>
    </w:p>
    <w:p>
      <w:pPr>
        <w:spacing w:after="0" w:line="1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TYPE OF REPORTING PERSON (SEE INSTRUCTIONS)</w:t>
      </w:r>
    </w:p>
    <w:p>
      <w:pPr>
        <w:spacing w:after="0" w:line="102" w:lineRule="exact"/>
        <w:rPr>
          <w:sz w:val="20"/>
          <w:szCs w:val="20"/>
          <w:color w:val="auto"/>
        </w:rPr>
      </w:pPr>
    </w:p>
    <w:p>
      <w:pPr>
        <w:ind w:left="140"/>
        <w:spacing w:after="0"/>
        <w:tabs>
          <w:tab w:leader="none" w:pos="740" w:val="left"/>
        </w:tabs>
        <w:rPr>
          <w:sz w:val="20"/>
          <w:szCs w:val="20"/>
          <w:color w:val="auto"/>
        </w:rPr>
      </w:pPr>
      <w:r>
        <w:rPr>
          <w:rFonts w:ascii="Times New Roman" w:cs="Times New Roman" w:eastAsia="Times New Roman" w:hAnsi="Times New Roman"/>
          <w:sz w:val="32"/>
          <w:szCs w:val="32"/>
          <w:b w:val="1"/>
          <w:bCs w:val="1"/>
          <w:color w:val="auto"/>
        </w:rPr>
        <w:t>12</w:t>
      </w:r>
      <w:r>
        <w:rPr>
          <w:sz w:val="20"/>
          <w:szCs w:val="20"/>
          <w:color w:val="auto"/>
        </w:rPr>
        <w:tab/>
      </w:r>
      <w:r>
        <w:rPr>
          <w:rFonts w:ascii="Times New Roman" w:cs="Times New Roman" w:eastAsia="Times New Roman" w:hAnsi="Times New Roman"/>
          <w:sz w:val="17"/>
          <w:szCs w:val="17"/>
          <w:color w:val="auto"/>
        </w:rPr>
        <w:t>IA</w:t>
      </w: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Weatherford International plc</w:t>
      </w:r>
    </w:p>
    <w:p>
      <w:pPr>
        <w:spacing w:after="0" w:line="233" w:lineRule="exact"/>
        <w:rPr>
          <w:rFonts w:ascii="Times New Roman" w:cs="Times New Roman" w:eastAsia="Times New Roman" w:hAnsi="Times New Roman"/>
          <w:sz w:val="18"/>
          <w:szCs w:val="18"/>
          <w:color w:val="auto"/>
        </w:rPr>
      </w:pPr>
    </w:p>
    <w:p>
      <w:pPr>
        <w:ind w:left="1300" w:right="6480" w:hanging="644"/>
        <w:spacing w:after="0" w:line="261"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 Bahnhofstrasse 1, 6340</w:t>
      </w:r>
    </w:p>
    <w:p>
      <w:pPr>
        <w:ind w:left="1300" w:right="886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Baar CH 6340 Switzerland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56" w:lineRule="exact"/>
        <w:rPr>
          <w:sz w:val="20"/>
          <w:szCs w:val="20"/>
          <w:color w:val="auto"/>
        </w:rPr>
      </w:pPr>
    </w:p>
    <w:p>
      <w:pPr>
        <w:ind w:left="1300" w:right="770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Clearbridge Investments, LLC</w:t>
      </w:r>
    </w:p>
    <w:p>
      <w:pPr>
        <w:spacing w:after="0" w:line="188" w:lineRule="exact"/>
        <w:rPr>
          <w:rFonts w:ascii="Times New Roman" w:cs="Times New Roman" w:eastAsia="Times New Roman" w:hAnsi="Times New Roman"/>
          <w:sz w:val="18"/>
          <w:szCs w:val="18"/>
          <w:color w:val="auto"/>
        </w:rPr>
      </w:pPr>
    </w:p>
    <w:p>
      <w:pPr>
        <w:ind w:left="1300" w:right="5620" w:hanging="644"/>
        <w:spacing w:after="0" w:line="261"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620 8th Avenue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NY 10018</w:t>
      </w:r>
    </w:p>
    <w:p>
      <w:pPr>
        <w:spacing w:after="0" w:line="23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Limited Liability Corporation</w:t>
      </w:r>
    </w:p>
    <w:p>
      <w:pPr>
        <w:spacing w:after="0" w:line="233" w:lineRule="exact"/>
        <w:rPr>
          <w:rFonts w:ascii="Times New Roman" w:cs="Times New Roman" w:eastAsia="Times New Roman" w:hAnsi="Times New Roman"/>
          <w:sz w:val="18"/>
          <w:szCs w:val="18"/>
          <w:color w:val="auto"/>
        </w:rPr>
      </w:pPr>
    </w:p>
    <w:p>
      <w:pPr>
        <w:ind w:left="1300" w:right="798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188" w:lineRule="exact"/>
        <w:rPr>
          <w:rFonts w:ascii="Times New Roman" w:cs="Times New Roman" w:eastAsia="Times New Roman" w:hAnsi="Times New Roman"/>
          <w:sz w:val="18"/>
          <w:szCs w:val="18"/>
          <w:color w:val="auto"/>
        </w:rPr>
      </w:pPr>
    </w:p>
    <w:p>
      <w:pPr>
        <w:ind w:left="1300" w:right="8760" w:hanging="644"/>
        <w:spacing w:after="0" w:line="313" w:lineRule="auto"/>
        <w:tabs>
          <w:tab w:leader="none" w:pos="1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G48833100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Broker or dealer registered under section 15 of the Act (15 U.S.C. 78o).</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Bank as defined in section 3(a)(6) of the Act (15 U.S.C. 78c).</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Insurance company as defined in section 3(a)(19) of the Act (15 U.S.C. 78c).</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7"/>
          <w:szCs w:val="17"/>
          <w:color w:val="auto"/>
        </w:rPr>
        <w:t>An investment adviser in accordance with §240.13d-1(b)(1)(ii)(E);</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An employee benefit plan or endowment fund in accordance with §240.13d-1(b)(1)(ii)(F);</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parent holding company or control person in accordance with § 240.13d-1(b)(1)(ii)(G);</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savings associations as defined in Section 3(b) of the Federal Deposit Insurance Act (12 U.S.C. 1813);</w:t>
      </w:r>
    </w:p>
    <w:p>
      <w:pPr>
        <w:spacing w:after="0" w:line="252"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church plan that is excluded from the definition of an investment company under section 3(c)(14) of the Investment Company Act of 1940 (15 U.S.C. 80a-3);</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 non-U.S. institution in accordance with § 240.13d-1(b)(1)(ii)(J).</w:t>
      </w:r>
    </w:p>
    <w:p>
      <w:pPr>
        <w:spacing w:after="0" w:line="252" w:lineRule="exact"/>
        <w:rPr>
          <w:rFonts w:ascii="Times New Roman" w:cs="Times New Roman" w:eastAsia="Times New Roman" w:hAnsi="Times New Roman"/>
          <w:sz w:val="18"/>
          <w:szCs w:val="18"/>
          <w:color w:val="auto"/>
        </w:rPr>
      </w:pPr>
    </w:p>
    <w:p>
      <w:pPr>
        <w:ind w:left="1960" w:hanging="1304"/>
        <w:spacing w:after="0" w:line="282" w:lineRule="auto"/>
        <w:tabs>
          <w:tab w:leader="none" w:pos="131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09"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77,580,277</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10.03%</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75,348,578</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77,580,277</w:t>
      </w:r>
    </w:p>
    <w:p>
      <w:pPr>
        <w:spacing w:after="0" w:line="252"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0</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09" w:right="299" w:bottom="1440" w:gutter="0" w:footer="0" w:header="0"/>
        </w:sectPr>
      </w:pPr>
    </w:p>
    <w:bookmarkStart w:id="4" w:name="page5"/>
    <w:bookmarkEnd w:id="4"/>
    <w:p>
      <w:pPr>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Item</w:t>
        <w:tab/>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207" w:lineRule="exact"/>
        <w:rPr>
          <w:sz w:val="20"/>
          <w:szCs w:val="20"/>
          <w:color w:val="auto"/>
        </w:rPr>
      </w:pPr>
    </w:p>
    <w:p>
      <w:pPr>
        <w:ind w:left="6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7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ClearBridge Investments, LLC</w:t>
      </w:r>
    </w:p>
    <w:p>
      <w:pPr>
        <w:sectPr>
          <w:pgSz w:w="11900" w:h="16838" w:orient="portrait"/>
          <w:cols w:equalWidth="0" w:num="1">
            <w:col w:w="11260"/>
          </w:cols>
          <w:pgMar w:left="240" w:top="752" w:right="39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17, 2015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Barbara Brooke Manning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Barbara Brooke Manning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General Counsel &amp; Chief Compliance Offier</w:t>
      </w:r>
    </w:p>
    <w:p>
      <w:pPr>
        <w:spacing w:after="0" w:line="200" w:lineRule="exact"/>
        <w:rPr>
          <w:sz w:val="20"/>
          <w:szCs w:val="20"/>
          <w:color w:val="auto"/>
        </w:rPr>
      </w:pPr>
    </w:p>
    <w:p>
      <w:pPr>
        <w:sectPr>
          <w:pgSz w:w="11900" w:h="16838" w:orient="portrait"/>
          <w:cols w:equalWidth="0" w:num="3">
            <w:col w:w="5000" w:space="720"/>
            <w:col w:w="260" w:space="100"/>
            <w:col w:w="5180"/>
          </w:cols>
          <w:pgMar w:left="240" w:top="752" w:right="39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367665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260"/>
      </w:cols>
      <w:pgMar w:left="240" w:top="75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2019-12-17T05:57:06Z</dcterms:created>
  <dcterms:modified xsi:type="dcterms:W3CDTF">2019-12-17T05:57:06Z</dcterms:modified>
</cp:coreProperties>
</file>