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416560</wp:posOffset>
            </wp:positionH>
            <wp:positionV relativeFrom="paragraph">
              <wp:posOffset>-224155</wp:posOffset>
            </wp:positionV>
            <wp:extent cx="68351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35140" cy="8890"/>
                    </a:xfrm>
                    <a:prstGeom prst="rect">
                      <a:avLst/>
                    </a:prstGeom>
                    <a:noFill/>
                  </pic:spPr>
                </pic:pic>
              </a:graphicData>
            </a:graphic>
          </wp:anchor>
        </w:drawing>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2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312"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4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34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October 22, 2014</w:t>
      </w:r>
    </w:p>
    <w:p>
      <w:pPr>
        <w:spacing w:after="0" w:line="348" w:lineRule="exact"/>
        <w:rPr>
          <w:sz w:val="24"/>
          <w:szCs w:val="24"/>
          <w:color w:val="auto"/>
        </w:rPr>
      </w:pPr>
    </w:p>
    <w:p>
      <w:pPr>
        <w:jc w:val="center"/>
        <w:ind w:right="-119"/>
        <w:spacing w:after="0"/>
        <w:rPr>
          <w:sz w:val="20"/>
          <w:szCs w:val="20"/>
          <w:color w:val="auto"/>
        </w:rPr>
      </w:pPr>
      <w:r>
        <w:rPr>
          <w:rFonts w:ascii="Arial" w:cs="Arial" w:eastAsia="Arial" w:hAnsi="Arial"/>
          <w:sz w:val="40"/>
          <w:szCs w:val="40"/>
          <w:b w:val="1"/>
          <w:bCs w:val="1"/>
          <w:color w:val="auto"/>
        </w:rPr>
        <w:t>Weatherford International public limited company</w:t>
      </w:r>
    </w:p>
    <w:p>
      <w:pPr>
        <w:spacing w:after="0" w:line="4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7" w:lineRule="exact"/>
        <w:rPr>
          <w:sz w:val="24"/>
          <w:szCs w:val="24"/>
          <w:color w:val="auto"/>
        </w:rPr>
      </w:pPr>
    </w:p>
    <w:tbl>
      <w:tblPr>
        <w:tblLayout w:type="fixed"/>
        <w:tblInd w:w="1100" w:type="dxa"/>
        <w:tblCellMar>
          <w:top w:w="0" w:type="dxa"/>
          <w:left w:w="0" w:type="dxa"/>
          <w:bottom w:w="0" w:type="dxa"/>
          <w:right w:w="0" w:type="dxa"/>
        </w:tblCellMar>
      </w:tblPr>
      <w:tr>
        <w:trPr>
          <w:trHeight w:val="234"/>
        </w:trPr>
        <w:tc>
          <w:tcPr>
            <w:tcW w:w="3100" w:type="dxa"/>
            <w:vAlign w:val="bottom"/>
          </w:tcPr>
          <w:p>
            <w:pPr>
              <w:jc w:val="center"/>
              <w:spacing w:after="0"/>
              <w:rPr>
                <w:sz w:val="20"/>
                <w:szCs w:val="20"/>
                <w:color w:val="auto"/>
              </w:rPr>
            </w:pPr>
            <w:r>
              <w:rPr>
                <w:rFonts w:ascii="Arial" w:cs="Arial" w:eastAsia="Arial" w:hAnsi="Arial"/>
                <w:sz w:val="18"/>
                <w:szCs w:val="18"/>
                <w:b w:val="1"/>
                <w:bCs w:val="1"/>
                <w:color w:val="auto"/>
                <w:w w:val="94"/>
              </w:rPr>
              <w:t>Ireland</w:t>
            </w:r>
          </w:p>
        </w:tc>
        <w:tc>
          <w:tcPr>
            <w:tcW w:w="2900" w:type="dxa"/>
            <w:vAlign w:val="bottom"/>
          </w:tcPr>
          <w:p>
            <w:pPr>
              <w:jc w:val="right"/>
              <w:ind w:right="910"/>
              <w:spacing w:after="0"/>
              <w:rPr>
                <w:sz w:val="20"/>
                <w:szCs w:val="20"/>
                <w:color w:val="auto"/>
              </w:rPr>
            </w:pPr>
            <w:r>
              <w:rPr>
                <w:rFonts w:ascii="Arial" w:cs="Arial" w:eastAsia="Arial" w:hAnsi="Arial"/>
                <w:sz w:val="18"/>
                <w:szCs w:val="18"/>
                <w:b w:val="1"/>
                <w:bCs w:val="1"/>
                <w:color w:val="auto"/>
              </w:rPr>
              <w:t>001-36504</w:t>
            </w:r>
          </w:p>
        </w:tc>
        <w:tc>
          <w:tcPr>
            <w:tcW w:w="3220" w:type="dxa"/>
            <w:vAlign w:val="bottom"/>
          </w:tcPr>
          <w:p>
            <w:pPr>
              <w:jc w:val="center"/>
              <w:ind w:left="70"/>
              <w:spacing w:after="0"/>
              <w:rPr>
                <w:sz w:val="20"/>
                <w:szCs w:val="20"/>
                <w:color w:val="auto"/>
              </w:rPr>
            </w:pPr>
            <w:r>
              <w:rPr>
                <w:rFonts w:ascii="Arial" w:cs="Arial" w:eastAsia="Arial" w:hAnsi="Arial"/>
                <w:sz w:val="18"/>
                <w:szCs w:val="18"/>
                <w:b w:val="1"/>
                <w:bCs w:val="1"/>
                <w:color w:val="auto"/>
                <w:w w:val="89"/>
              </w:rPr>
              <w:t>98-0606750</w:t>
            </w:r>
          </w:p>
        </w:tc>
        <w:tc>
          <w:tcPr>
            <w:tcW w:w="20" w:type="dxa"/>
            <w:vAlign w:val="bottom"/>
          </w:tcPr>
          <w:p>
            <w:pPr>
              <w:spacing w:after="0"/>
              <w:rPr>
                <w:sz w:val="20"/>
                <w:szCs w:val="20"/>
                <w:color w:val="auto"/>
              </w:rPr>
            </w:pPr>
          </w:p>
        </w:tc>
      </w:tr>
      <w:tr>
        <w:trPr>
          <w:trHeight w:val="27"/>
        </w:trPr>
        <w:tc>
          <w:tcPr>
            <w:tcW w:w="31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2"/>
        </w:trPr>
        <w:tc>
          <w:tcPr>
            <w:tcW w:w="310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2900" w:type="dxa"/>
            <w:vAlign w:val="bottom"/>
          </w:tcPr>
          <w:p>
            <w:pPr>
              <w:jc w:val="center"/>
              <w:ind w:left="30"/>
              <w:spacing w:after="0"/>
              <w:rPr>
                <w:sz w:val="20"/>
                <w:szCs w:val="20"/>
                <w:color w:val="auto"/>
              </w:rPr>
            </w:pPr>
            <w:r>
              <w:rPr>
                <w:rFonts w:ascii="Arial" w:cs="Arial" w:eastAsia="Arial" w:hAnsi="Arial"/>
                <w:sz w:val="18"/>
                <w:szCs w:val="18"/>
                <w:color w:val="auto"/>
                <w:w w:val="92"/>
              </w:rPr>
              <w:t>(Commission File Number)</w:t>
            </w:r>
          </w:p>
        </w:tc>
        <w:tc>
          <w:tcPr>
            <w:tcW w:w="3240" w:type="dxa"/>
            <w:vAlign w:val="bottom"/>
            <w:gridSpan w:val="2"/>
          </w:tcPr>
          <w:p>
            <w:pPr>
              <w:jc w:val="center"/>
              <w:ind w:left="5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100" w:type="dxa"/>
            <w:vAlign w:val="bottom"/>
          </w:tcPr>
          <w:p>
            <w:pPr>
              <w:jc w:val="center"/>
              <w:spacing w:after="0"/>
              <w:rPr>
                <w:sz w:val="20"/>
                <w:szCs w:val="20"/>
                <w:color w:val="auto"/>
              </w:rPr>
            </w:pPr>
            <w:r>
              <w:rPr>
                <w:rFonts w:ascii="Arial" w:cs="Arial" w:eastAsia="Arial" w:hAnsi="Arial"/>
                <w:sz w:val="18"/>
                <w:szCs w:val="18"/>
                <w:color w:val="auto"/>
                <w:w w:val="92"/>
              </w:rPr>
              <w:t>incorporation)</w:t>
            </w:r>
          </w:p>
        </w:tc>
        <w:tc>
          <w:tcPr>
            <w:tcW w:w="29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37"/>
        </w:trPr>
        <w:tc>
          <w:tcPr>
            <w:tcW w:w="600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89"/>
              </w:rPr>
              <w:t>Bahnhofstrasse 1, 6340 Baar, Switzerland</w:t>
            </w:r>
          </w:p>
        </w:tc>
        <w:tc>
          <w:tcPr>
            <w:tcW w:w="324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5"/>
              </w:rPr>
              <w:t>CH 6340</w:t>
            </w:r>
          </w:p>
        </w:tc>
      </w:tr>
      <w:tr>
        <w:trPr>
          <w:trHeight w:val="27"/>
        </w:trPr>
        <w:tc>
          <w:tcPr>
            <w:tcW w:w="6000" w:type="dxa"/>
            <w:vAlign w:val="bottom"/>
            <w:tcBorders>
              <w:bottom w:val="single" w:sz="8" w:color="auto"/>
            </w:tcBorders>
            <w:gridSpan w:val="2"/>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600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(Address of principal executive offices)</w:t>
            </w:r>
          </w:p>
        </w:tc>
        <w:tc>
          <w:tcPr>
            <w:tcW w:w="3240" w:type="dxa"/>
            <w:vAlign w:val="bottom"/>
            <w:gridSpan w:val="2"/>
          </w:tcPr>
          <w:p>
            <w:pPr>
              <w:jc w:val="center"/>
              <w:ind w:left="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37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36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391160</wp:posOffset>
            </wp:positionH>
            <wp:positionV relativeFrom="paragraph">
              <wp:posOffset>34290</wp:posOffset>
            </wp:positionV>
            <wp:extent cx="64833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83350" cy="8890"/>
                    </a:xfrm>
                    <a:prstGeom prst="rect">
                      <a:avLst/>
                    </a:prstGeom>
                    <a:noFill/>
                  </pic:spPr>
                </pic:pic>
              </a:graphicData>
            </a:graphic>
          </wp:anchor>
        </w:drawing>
      </w:r>
    </w:p>
    <w:p>
      <w:pPr>
        <w:spacing w:after="0" w:line="61"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00" w:lineRule="exact"/>
        <w:rPr>
          <w:sz w:val="24"/>
          <w:szCs w:val="24"/>
          <w:color w:val="auto"/>
        </w:rPr>
      </w:pPr>
    </w:p>
    <w:p>
      <w:pPr>
        <w:spacing w:after="0" w:line="21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003" w:right="359" w:bottom="1440" w:gutter="0" w:footer="0" w:header="0"/>
        </w:sectPr>
      </w:pPr>
    </w:p>
    <w:bookmarkStart w:id="1" w:name="page2"/>
    <w:bookmarkEnd w:id="1"/>
    <w:p>
      <w:pPr>
        <w:ind w:left="40"/>
        <w:spacing w:after="0"/>
        <w:tabs>
          <w:tab w:leader="none" w:pos="16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October 22, 2014, Weatherford International public limited company (“we” or the “Company”) issued a news release announcing results for the quarter ended September 30, 2014. A copy of the news release is furnished as Exhibit 99.1 and incorporated into this Item 2.02.</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23, 2014, we will hold a conference call at 8:30 a.m. eastern daylight time (“EDT”), 7:30 a.m. central daylight time (“CDT”), regarding the quarterly results. This scheduled conference call was previously announced on July 31, 2014 and will be made available via real-time webcast. A replay of the call will be available until 5:00 p.m. EDT, November 6, 2014. The number for the replay is 855-859-2056 or 404-537-3406 for international calls; passcode 83135858.</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 enhanced webcast of the conference call and replay will be provided by NASDAQ OMX Corporate Solutions and will be available through Weatherford’s web site at http://www.weatherford.com. To access the conference call and replay, click on the Investor Relations link and then click on the Conference Call Details link.</w:t>
      </w:r>
    </w:p>
    <w:p>
      <w:pPr>
        <w:spacing w:after="0" w:line="339"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Regulation FD Disclosure.</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7.01</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October 22, 2014, we issued a news release announcing results for the quarter ended September 30, 2014. A copy of the press release is furnished as Exhibit 99.1 and incorporated into this Item 7.01.</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Effective as of November 1, 2014, Mr. Mark J. Bedford will join the Company as President - Land Rigs and will be based in Dubai, United Arab Emirates. Mr. Bedford, age 52, has extensive experience managing both Eastern and Western Hemisphere drilling operations. He spent more than 30 years with Nabors Industries Ltd. His last position at Nabors was Senior Vice President of Drilling Operations, where he was responsible for all international business units. Mr. Bedford will manage all aspects of the Company’s land drilling business, which is currently being prepared for divestment. He will directly report to Mr. Krishna Shivram, Executive Vice-President and Chief Financial Officer.</w:t>
      </w:r>
    </w:p>
    <w:p>
      <w:pPr>
        <w:spacing w:after="0" w:line="346" w:lineRule="exact"/>
        <w:rPr>
          <w:sz w:val="20"/>
          <w:szCs w:val="20"/>
          <w:color w:val="auto"/>
        </w:rPr>
      </w:pPr>
    </w:p>
    <w:p>
      <w:pPr>
        <w:ind w:left="40"/>
        <w:spacing w:after="0"/>
        <w:tabs>
          <w:tab w:leader="none" w:pos="16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351" w:lineRule="exact"/>
        <w:rPr>
          <w:sz w:val="20"/>
          <w:szCs w:val="20"/>
          <w:color w:val="auto"/>
        </w:rPr>
      </w:pPr>
    </w:p>
    <w:p>
      <w:pPr>
        <w:ind w:left="1660" w:hanging="940"/>
        <w:spacing w:after="0"/>
        <w:tabs>
          <w:tab w:leader="none" w:pos="1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below are furnished pursuant to Item 9.01 of this Form 8-K.</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60" w:type="dxa"/>
            <w:vAlign w:val="bottom"/>
          </w:tcPr>
          <w:p>
            <w:pPr>
              <w:jc w:val="right"/>
              <w:ind w:right="10"/>
              <w:spacing w:after="0"/>
              <w:rPr>
                <w:sz w:val="20"/>
                <w:szCs w:val="20"/>
                <w:color w:val="auto"/>
              </w:rPr>
            </w:pPr>
            <w:r>
              <w:rPr>
                <w:rFonts w:ascii="Arial" w:cs="Arial" w:eastAsia="Arial" w:hAnsi="Arial"/>
                <w:sz w:val="18"/>
                <w:szCs w:val="18"/>
                <w:b w:val="1"/>
                <w:bCs w:val="1"/>
                <w:color w:val="auto"/>
              </w:rPr>
              <w:t>Exhibit Number</w:t>
            </w:r>
          </w:p>
        </w:tc>
        <w:tc>
          <w:tcPr>
            <w:tcW w:w="9860" w:type="dxa"/>
            <w:vAlign w:val="bottom"/>
          </w:tcPr>
          <w:p>
            <w:pPr>
              <w:ind w:left="100"/>
              <w:spacing w:after="0"/>
              <w:rPr>
                <w:sz w:val="20"/>
                <w:szCs w:val="20"/>
                <w:color w:val="auto"/>
              </w:rPr>
            </w:pPr>
            <w:r>
              <w:rPr>
                <w:rFonts w:ascii="Arial" w:cs="Arial" w:eastAsia="Arial" w:hAnsi="Arial"/>
                <w:sz w:val="18"/>
                <w:szCs w:val="18"/>
                <w:b w:val="1"/>
                <w:bCs w:val="1"/>
                <w:color w:val="auto"/>
              </w:rPr>
              <w:t>Exhibit Description</w:t>
            </w:r>
          </w:p>
        </w:tc>
      </w:tr>
      <w:tr>
        <w:trPr>
          <w:trHeight w:val="27"/>
        </w:trPr>
        <w:tc>
          <w:tcPr>
            <w:tcW w:w="1560" w:type="dxa"/>
            <w:vAlign w:val="bottom"/>
            <w:tcBorders>
              <w:bottom w:val="single" w:sz="8" w:color="auto"/>
            </w:tcBorders>
          </w:tcPr>
          <w:p>
            <w:pPr>
              <w:spacing w:after="0"/>
              <w:rPr>
                <w:sz w:val="2"/>
                <w:szCs w:val="2"/>
                <w:color w:val="auto"/>
              </w:rPr>
            </w:pPr>
          </w:p>
        </w:tc>
        <w:tc>
          <w:tcPr>
            <w:tcW w:w="9860" w:type="dxa"/>
            <w:vAlign w:val="bottom"/>
            <w:tcBorders>
              <w:bottom w:val="single" w:sz="8" w:color="auto"/>
            </w:tcBorders>
          </w:tcPr>
          <w:p>
            <w:pPr>
              <w:spacing w:after="0"/>
              <w:rPr>
                <w:sz w:val="2"/>
                <w:szCs w:val="2"/>
                <w:color w:val="auto"/>
              </w:rPr>
            </w:pPr>
          </w:p>
        </w:tc>
      </w:tr>
      <w:tr>
        <w:trPr>
          <w:trHeight w:val="237"/>
        </w:trPr>
        <w:tc>
          <w:tcPr>
            <w:tcW w:w="1560" w:type="dxa"/>
            <w:vAlign w:val="bottom"/>
          </w:tcPr>
          <w:p>
            <w:pPr>
              <w:jc w:val="right"/>
              <w:ind w:right="1110"/>
              <w:spacing w:after="0"/>
              <w:rPr>
                <w:sz w:val="20"/>
                <w:szCs w:val="20"/>
                <w:color w:val="auto"/>
              </w:rPr>
            </w:pPr>
            <w:r>
              <w:rPr>
                <w:rFonts w:ascii="Arial" w:cs="Arial" w:eastAsia="Arial" w:hAnsi="Arial"/>
                <w:sz w:val="18"/>
                <w:szCs w:val="18"/>
                <w:color w:val="auto"/>
                <w:w w:val="96"/>
              </w:rPr>
              <w:t>99.1</w:t>
            </w:r>
          </w:p>
        </w:tc>
        <w:tc>
          <w:tcPr>
            <w:tcW w:w="9860" w:type="dxa"/>
            <w:vAlign w:val="bottom"/>
          </w:tcPr>
          <w:p>
            <w:pPr>
              <w:ind w:left="100"/>
              <w:spacing w:after="0"/>
              <w:rPr>
                <w:sz w:val="20"/>
                <w:szCs w:val="20"/>
                <w:color w:val="auto"/>
              </w:rPr>
            </w:pPr>
            <w:r>
              <w:rPr>
                <w:rFonts w:ascii="Arial" w:cs="Arial" w:eastAsia="Arial" w:hAnsi="Arial"/>
                <w:sz w:val="18"/>
                <w:szCs w:val="18"/>
                <w:color w:val="auto"/>
              </w:rPr>
              <w:t>News release dated October 22, 2014, announcing results for the quarter ended September 30, 2014.</w:t>
            </w:r>
          </w:p>
        </w:tc>
      </w:tr>
    </w:tbl>
    <w:p>
      <w:pPr>
        <w:sectPr>
          <w:pgSz w:w="11900" w:h="16838" w:orient="portrait"/>
          <w:cols w:equalWidth="0" w:num="1">
            <w:col w:w="11420"/>
          </w:cols>
          <w:pgMar w:left="240" w:top="742"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5" w:lineRule="exact"/>
        <w:rPr>
          <w:sz w:val="20"/>
          <w:szCs w:val="20"/>
          <w:color w:val="auto"/>
        </w:rPr>
      </w:pPr>
    </w:p>
    <w:p>
      <w:pPr>
        <w:ind w:left="6920"/>
        <w:spacing w:after="0"/>
        <w:rPr>
          <w:sz w:val="20"/>
          <w:szCs w:val="20"/>
          <w:color w:val="auto"/>
        </w:rPr>
      </w:pPr>
      <w:r>
        <w:rPr>
          <w:rFonts w:ascii="Arial" w:cs="Arial" w:eastAsia="Arial" w:hAnsi="Arial"/>
          <w:sz w:val="18"/>
          <w:szCs w:val="18"/>
          <w:b w:val="1"/>
          <w:bCs w:val="1"/>
          <w:color w:val="auto"/>
        </w:rPr>
        <w:t>Weatherford International plc</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October 22, 2014</w:t>
      </w:r>
    </w:p>
    <w:p>
      <w:pPr>
        <w:spacing w:after="0" w:line="63" w:lineRule="exact"/>
        <w:rPr>
          <w:sz w:val="20"/>
          <w:szCs w:val="20"/>
          <w:color w:val="auto"/>
        </w:rPr>
      </w:pPr>
    </w:p>
    <w:p>
      <w:pPr>
        <w:jc w:val="center"/>
        <w:ind w:left="4760"/>
        <w:spacing w:after="0"/>
        <w:rPr>
          <w:sz w:val="20"/>
          <w:szCs w:val="20"/>
          <w:color w:val="auto"/>
        </w:rPr>
      </w:pPr>
      <w:r>
        <w:rPr>
          <w:rFonts w:ascii="Arial" w:cs="Arial" w:eastAsia="Arial" w:hAnsi="Arial"/>
          <w:sz w:val="18"/>
          <w:szCs w:val="18"/>
          <w:color w:val="auto"/>
        </w:rPr>
        <w:t>/s/ Krishna Shivram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3178175</wp:posOffset>
            </wp:positionH>
            <wp:positionV relativeFrom="paragraph">
              <wp:posOffset>31750</wp:posOffset>
            </wp:positionV>
            <wp:extent cx="3910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jc w:val="center"/>
        <w:ind w:left="4760"/>
        <w:spacing w:after="0"/>
        <w:rPr>
          <w:sz w:val="20"/>
          <w:szCs w:val="20"/>
          <w:color w:val="auto"/>
        </w:rPr>
      </w:pPr>
      <w:r>
        <w:rPr>
          <w:rFonts w:ascii="Arial" w:cs="Arial" w:eastAsia="Arial" w:hAnsi="Arial"/>
          <w:sz w:val="18"/>
          <w:szCs w:val="18"/>
          <w:color w:val="auto"/>
        </w:rPr>
        <w:t>Krishna Shivram</w:t>
      </w:r>
    </w:p>
    <w:p>
      <w:pPr>
        <w:spacing w:after="0" w:line="279" w:lineRule="exact"/>
        <w:rPr>
          <w:sz w:val="20"/>
          <w:szCs w:val="20"/>
          <w:color w:val="auto"/>
        </w:rPr>
      </w:pPr>
    </w:p>
    <w:p>
      <w:pPr>
        <w:jc w:val="center"/>
        <w:ind w:left="476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jc w:val="center"/>
        <w:ind w:left="47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20"/>
          </w:cols>
          <w:pgMar w:left="240" w:top="580"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560" w:type="dxa"/>
            <w:vAlign w:val="bottom"/>
          </w:tcPr>
          <w:p>
            <w:pPr>
              <w:ind w:left="3000"/>
              <w:spacing w:after="0"/>
              <w:rPr>
                <w:sz w:val="20"/>
                <w:szCs w:val="20"/>
                <w:color w:val="auto"/>
              </w:rPr>
            </w:pPr>
            <w:r>
              <w:rPr>
                <w:rFonts w:ascii="Arial" w:cs="Arial" w:eastAsia="Arial" w:hAnsi="Arial"/>
                <w:sz w:val="18"/>
                <w:szCs w:val="18"/>
                <w:b w:val="1"/>
                <w:bCs w:val="1"/>
                <w:color w:val="auto"/>
              </w:rPr>
              <w:t>INDEX TO EXHIBIT</w:t>
            </w:r>
          </w:p>
        </w:tc>
      </w:tr>
      <w:tr>
        <w:trPr>
          <w:trHeight w:val="594"/>
        </w:trPr>
        <w:tc>
          <w:tcPr>
            <w:tcW w:w="18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Exhibit Number</w:t>
            </w:r>
          </w:p>
        </w:tc>
        <w:tc>
          <w:tcPr>
            <w:tcW w:w="9560" w:type="dxa"/>
            <w:vAlign w:val="bottom"/>
          </w:tcPr>
          <w:p>
            <w:pPr>
              <w:ind w:left="20"/>
              <w:spacing w:after="0"/>
              <w:rPr>
                <w:sz w:val="20"/>
                <w:szCs w:val="20"/>
                <w:color w:val="auto"/>
              </w:rPr>
            </w:pPr>
            <w:r>
              <w:rPr>
                <w:rFonts w:ascii="Arial" w:cs="Arial" w:eastAsia="Arial" w:hAnsi="Arial"/>
                <w:sz w:val="18"/>
                <w:szCs w:val="18"/>
                <w:b w:val="1"/>
                <w:bCs w:val="1"/>
                <w:color w:val="auto"/>
              </w:rPr>
              <w:t>Exhibit Description</w:t>
            </w:r>
          </w:p>
        </w:tc>
      </w:tr>
      <w:tr>
        <w:trPr>
          <w:trHeight w:val="27"/>
        </w:trPr>
        <w:tc>
          <w:tcPr>
            <w:tcW w:w="15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9560" w:type="dxa"/>
            <w:vAlign w:val="bottom"/>
            <w:tcBorders>
              <w:bottom w:val="single" w:sz="8" w:color="auto"/>
            </w:tcBorders>
          </w:tcPr>
          <w:p>
            <w:pPr>
              <w:spacing w:after="0"/>
              <w:rPr>
                <w:sz w:val="2"/>
                <w:szCs w:val="2"/>
                <w:color w:val="auto"/>
              </w:rPr>
            </w:pPr>
          </w:p>
        </w:tc>
      </w:tr>
      <w:tr>
        <w:trPr>
          <w:trHeight w:val="237"/>
        </w:trPr>
        <w:tc>
          <w:tcPr>
            <w:tcW w:w="1580" w:type="dxa"/>
            <w:vAlign w:val="bottom"/>
          </w:tcPr>
          <w:p>
            <w:pPr>
              <w:jc w:val="right"/>
              <w:ind w:right="550"/>
              <w:spacing w:after="0"/>
              <w:rPr>
                <w:sz w:val="20"/>
                <w:szCs w:val="20"/>
                <w:color w:val="auto"/>
              </w:rPr>
            </w:pPr>
            <w:r>
              <w:rPr>
                <w:rFonts w:ascii="Arial" w:cs="Arial" w:eastAsia="Arial" w:hAnsi="Arial"/>
                <w:sz w:val="18"/>
                <w:szCs w:val="18"/>
                <w:color w:val="auto"/>
              </w:rPr>
              <w:t>99.1</w:t>
            </w:r>
          </w:p>
        </w:tc>
        <w:tc>
          <w:tcPr>
            <w:tcW w:w="280" w:type="dxa"/>
            <w:vAlign w:val="bottom"/>
          </w:tcPr>
          <w:p>
            <w:pPr>
              <w:spacing w:after="0"/>
              <w:rPr>
                <w:sz w:val="20"/>
                <w:szCs w:val="20"/>
                <w:color w:val="auto"/>
              </w:rPr>
            </w:pPr>
          </w:p>
        </w:tc>
        <w:tc>
          <w:tcPr>
            <w:tcW w:w="9560" w:type="dxa"/>
            <w:vAlign w:val="bottom"/>
          </w:tcPr>
          <w:p>
            <w:pPr>
              <w:ind w:left="20"/>
              <w:spacing w:after="0"/>
              <w:rPr>
                <w:sz w:val="20"/>
                <w:szCs w:val="20"/>
                <w:color w:val="auto"/>
              </w:rPr>
            </w:pPr>
            <w:r>
              <w:rPr>
                <w:rFonts w:ascii="Arial" w:cs="Arial" w:eastAsia="Arial" w:hAnsi="Arial"/>
                <w:sz w:val="18"/>
                <w:szCs w:val="18"/>
                <w:color w:val="auto"/>
              </w:rPr>
              <w:t>News release dated October 22, 2014, announcing results for the quarter ended September 30, 2014.</w:t>
            </w:r>
          </w:p>
        </w:tc>
      </w:tr>
    </w:tbl>
    <w:p>
      <w:pPr>
        <w:sectPr>
          <w:pgSz w:w="11900" w:h="16838" w:orient="portrait"/>
          <w:cols w:equalWidth="0" w:num="1">
            <w:col w:w="11420"/>
          </w:cols>
          <w:pgMar w:left="240" w:top="58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343535</wp:posOffset>
            </wp:positionV>
            <wp:extent cx="1903730" cy="7886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0373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0360"/>
        <w:spacing w:after="0"/>
        <w:rPr>
          <w:sz w:val="20"/>
          <w:szCs w:val="20"/>
          <w:color w:val="auto"/>
        </w:rPr>
      </w:pPr>
      <w:r>
        <w:rPr>
          <w:rFonts w:ascii="Arial" w:cs="Arial" w:eastAsia="Arial" w:hAnsi="Arial"/>
          <w:sz w:val="15"/>
          <w:szCs w:val="15"/>
          <w:b w:val="1"/>
          <w:bCs w:val="1"/>
          <w:color w:val="auto"/>
        </w:rPr>
        <w:t>News Release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Weatherford Reports Third Quarter 2014 Results</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Revenues, excluding divestitures, grew 8% sequentially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EPS of $0.32 (non-GAAP) improved 33% sequentially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Incremental operating income of 48% on sequential revenue growth</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Reduction in Net Debt of $717 million</w:t>
      </w:r>
    </w:p>
    <w:p>
      <w:pPr>
        <w:spacing w:after="0" w:line="200" w:lineRule="exact"/>
        <w:rPr>
          <w:sz w:val="20"/>
          <w:szCs w:val="20"/>
          <w:color w:val="auto"/>
        </w:rPr>
      </w:pPr>
    </w:p>
    <w:p>
      <w:pPr>
        <w:spacing w:after="0" w:line="216" w:lineRule="exact"/>
        <w:rPr>
          <w:sz w:val="20"/>
          <w:szCs w:val="20"/>
          <w:color w:val="auto"/>
        </w:rPr>
      </w:pPr>
    </w:p>
    <w:p>
      <w:pPr>
        <w:ind w:right="20"/>
        <w:spacing w:after="0" w:line="387" w:lineRule="auto"/>
        <w:rPr>
          <w:sz w:val="20"/>
          <w:szCs w:val="20"/>
          <w:color w:val="auto"/>
        </w:rPr>
      </w:pPr>
      <w:r>
        <w:rPr>
          <w:rFonts w:ascii="Arial" w:cs="Arial" w:eastAsia="Arial" w:hAnsi="Arial"/>
          <w:sz w:val="18"/>
          <w:szCs w:val="18"/>
          <w:color w:val="auto"/>
        </w:rPr>
        <w:t>BAAR, SWITZERLAND, October 22, 2014 - Weatherford International plc (NYSE: WFT) reported net income before charges of $248 million ($0.32 diluted earnings per share on a non-GAAP basis) on revenues of $3.88 billion for the third quarter of 2014.</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Third Quarter 2014 Highlights</w:t>
      </w:r>
    </w:p>
    <w:p>
      <w:pPr>
        <w:spacing w:after="0" w:line="10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Completed the sale of the Russian and Venezuelan land rig operations;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Completed the sale of the Pipeline and Specialty Services business;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Reduced net debt by $717 million using proceeds from the successful divestiture of non-core businesses;</w:t>
      </w:r>
    </w:p>
    <w:p>
      <w:pPr>
        <w:spacing w:after="0" w:line="103" w:lineRule="exact"/>
        <w:rPr>
          <w:rFonts w:ascii="Arial" w:cs="Arial" w:eastAsia="Arial" w:hAnsi="Arial"/>
          <w:sz w:val="18"/>
          <w:szCs w:val="18"/>
          <w:color w:val="auto"/>
        </w:rPr>
      </w:pPr>
    </w:p>
    <w:p>
      <w:pPr>
        <w:ind w:left="660" w:hanging="328"/>
        <w:spacing w:after="0" w:line="36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Improved operating income margins by 145 basis points sequentially to 15.4% led by a 183 basis point gain in the international operations; North America improved by 92 basis points;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North America revenues by 9% sequentially and 14% year-over-year;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Completed the planned cost reductions in our core businesses.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Third Quarter 2014 Results</w:t>
      </w:r>
    </w:p>
    <w:p>
      <w:pPr>
        <w:spacing w:after="0" w:line="200" w:lineRule="exact"/>
        <w:rPr>
          <w:sz w:val="20"/>
          <w:szCs w:val="20"/>
          <w:color w:val="auto"/>
        </w:rPr>
      </w:pPr>
    </w:p>
    <w:p>
      <w:pPr>
        <w:spacing w:after="0" w:line="218"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Revenue for the third quarter of 2014 improved 4% sequentially and was $3.88 billion compared with $3.71 billion in the second quarter of 2014 and $3.82 billion in the third quarter of 2013. Excluding the impact of our divested businesses, third quarter revenues improved 8% sequentially. GAAP Net Income for the third quarter of 2014 was $77 million, or $0.10 per diluted share.</w:t>
      </w:r>
    </w:p>
    <w:p>
      <w:pPr>
        <w:sectPr>
          <w:pgSz w:w="11900" w:h="16838" w:orient="portrait"/>
          <w:cols w:equalWidth="0" w:num="1">
            <w:col w:w="11420"/>
          </w:cols>
          <w:pgMar w:left="240" w:top="17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After-tax charges of $171 million for the third quarter included:</w:t>
      </w:r>
    </w:p>
    <w:p>
      <w:pPr>
        <w:spacing w:after="0" w:line="200" w:lineRule="exact"/>
        <w:rPr>
          <w:sz w:val="20"/>
          <w:szCs w:val="20"/>
          <w:color w:val="auto"/>
        </w:rPr>
      </w:pPr>
    </w:p>
    <w:p>
      <w:pPr>
        <w:spacing w:after="0" w:line="214" w:lineRule="exact"/>
        <w:rPr>
          <w:sz w:val="20"/>
          <w:szCs w:val="20"/>
          <w:color w:val="auto"/>
        </w:rPr>
      </w:pPr>
    </w:p>
    <w:p>
      <w:pPr>
        <w:ind w:left="660" w:hanging="328"/>
        <w:spacing w:after="0" w:line="3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$81 million, net of tax, consisting of severance, restructuring and exit costs related to the workforce reduction and closure of businesses in North Africa, principally Libya, that were negatively impacted by recent disruptions;</w:t>
      </w:r>
    </w:p>
    <w:p>
      <w:pPr>
        <w:ind w:left="660" w:right="20" w:hanging="328"/>
        <w:spacing w:after="0" w:line="3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$78 million, net of tax, consisting of severance, restructuring and exit costs related to the workforce reduction and the closure of underperforming operations in specific markets other than North Africa;</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$21 million of other costs, net of tax, primarily consisting of professional fees and other costs associated with the divestiture program;</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$4 million, net of tax, associated with the legacy lump sum contracts in Iraq;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Offset by a $13 million gain, net of tax, associated with the sale of non-core businesses.</w:t>
      </w:r>
    </w:p>
    <w:p>
      <w:pPr>
        <w:spacing w:after="0" w:line="200" w:lineRule="exact"/>
        <w:rPr>
          <w:sz w:val="20"/>
          <w:szCs w:val="20"/>
          <w:color w:val="auto"/>
        </w:rPr>
      </w:pPr>
    </w:p>
    <w:p>
      <w:pPr>
        <w:spacing w:after="0" w:line="214" w:lineRule="exact"/>
        <w:rPr>
          <w:sz w:val="20"/>
          <w:szCs w:val="20"/>
          <w:color w:val="auto"/>
        </w:rPr>
      </w:pPr>
    </w:p>
    <w:p>
      <w:pPr>
        <w:spacing w:after="0" w:line="387" w:lineRule="auto"/>
        <w:rPr>
          <w:sz w:val="20"/>
          <w:szCs w:val="20"/>
          <w:color w:val="auto"/>
        </w:rPr>
      </w:pPr>
      <w:r>
        <w:rPr>
          <w:rFonts w:ascii="Arial" w:cs="Arial" w:eastAsia="Arial" w:hAnsi="Arial"/>
          <w:sz w:val="18"/>
          <w:szCs w:val="18"/>
          <w:color w:val="auto"/>
        </w:rPr>
        <w:t>Net income on a non-GAAP basis for the third quarter of 2014 was $248 million compared to $186 million in the second quarter of 2014 and $177 million in the third quarter of 2013.</w:t>
      </w:r>
    </w:p>
    <w:p>
      <w:pPr>
        <w:spacing w:after="0" w:line="264" w:lineRule="exact"/>
        <w:rPr>
          <w:sz w:val="20"/>
          <w:szCs w:val="20"/>
          <w:color w:val="auto"/>
        </w:rPr>
      </w:pPr>
    </w:p>
    <w:p>
      <w:pPr>
        <w:ind w:right="2060"/>
        <w:spacing w:after="0" w:line="465" w:lineRule="auto"/>
        <w:rPr>
          <w:sz w:val="20"/>
          <w:szCs w:val="20"/>
          <w:color w:val="auto"/>
        </w:rPr>
      </w:pPr>
      <w:r>
        <w:rPr>
          <w:rFonts w:ascii="Arial" w:cs="Arial" w:eastAsia="Arial" w:hAnsi="Arial"/>
          <w:sz w:val="16"/>
          <w:szCs w:val="16"/>
          <w:color w:val="auto"/>
        </w:rPr>
        <w:t>Weatherford’s operating income margins continued to improve for the third consecutive quarter, with strong incrementals of 48%, driven mainly by increases in the core business margins. The sequential operating income improvements were driven by:</w:t>
      </w:r>
    </w:p>
    <w:p>
      <w:pPr>
        <w:spacing w:after="0" w:line="219" w:lineRule="exact"/>
        <w:rPr>
          <w:sz w:val="20"/>
          <w:szCs w:val="20"/>
          <w:color w:val="auto"/>
        </w:rPr>
      </w:pPr>
    </w:p>
    <w:p>
      <w:pPr>
        <w:ind w:left="660" w:hanging="328"/>
        <w:spacing w:after="0" w:line="36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Europe/Sub-Sahara Africa/Russia, where a nearly 500 basis point improvement in operating income margins was attributable to continued growth and new contracts in Sub-Sahara Africa and higher revenues and operating income from core businesses in Russia;</w:t>
      </w:r>
    </w:p>
    <w:p>
      <w:pPr>
        <w:ind w:left="660" w:hanging="328"/>
        <w:spacing w:after="0" w:line="36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Latin America, driven by higher unconventional activity in Argentina, increases in Brazil on the start-up of new Well Construction contracts and increases in overall activity in Venezuela; and</w:t>
      </w:r>
    </w:p>
    <w:p>
      <w:pPr>
        <w:ind w:left="660" w:hanging="328"/>
        <w:spacing w:after="0" w:line="38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North America, where margin improvements were attributable to higher activity levels in Canada with the seasonal recovery following the spring breakup and stronger Formation Evaluation, Completion and Artificial Lift margins in the U.S.</w:t>
      </w:r>
    </w:p>
    <w:p>
      <w:pPr>
        <w:spacing w:after="0" w:line="264" w:lineRule="exact"/>
        <w:rPr>
          <w:sz w:val="20"/>
          <w:szCs w:val="20"/>
          <w:color w:val="auto"/>
        </w:rPr>
      </w:pPr>
    </w:p>
    <w:p>
      <w:pPr>
        <w:spacing w:after="0" w:line="387" w:lineRule="auto"/>
        <w:rPr>
          <w:sz w:val="20"/>
          <w:szCs w:val="20"/>
          <w:color w:val="auto"/>
        </w:rPr>
      </w:pPr>
      <w:r>
        <w:rPr>
          <w:rFonts w:ascii="Arial" w:cs="Arial" w:eastAsia="Arial" w:hAnsi="Arial"/>
          <w:sz w:val="18"/>
          <w:szCs w:val="18"/>
          <w:color w:val="auto"/>
        </w:rPr>
        <w:t>These improvements were partially offset by Middle East/North Africa/Asia Pacific, where disruptions in Northern Iraq and North Africa weighed slightly on operating income margins during the third quarter despite an improvement in overall operating income from higher revenues.</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79"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Regional Highlights</w:t>
      </w:r>
    </w:p>
    <w:p>
      <w:pPr>
        <w:spacing w:after="0" w:line="200" w:lineRule="exact"/>
        <w:rPr>
          <w:sz w:val="20"/>
          <w:szCs w:val="20"/>
          <w:color w:val="auto"/>
        </w:rPr>
      </w:pPr>
    </w:p>
    <w:p>
      <w:pPr>
        <w:spacing w:after="0" w:line="218"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Europe/Sub-Sahara Africa/Russia</w:t>
      </w:r>
    </w:p>
    <w:p>
      <w:pPr>
        <w:spacing w:after="0" w:line="333" w:lineRule="exact"/>
        <w:rPr>
          <w:sz w:val="20"/>
          <w:szCs w:val="20"/>
          <w:color w:val="auto"/>
        </w:rPr>
      </w:pPr>
    </w:p>
    <w:p>
      <w:pPr>
        <w:jc w:val="both"/>
        <w:spacing w:after="0" w:line="425" w:lineRule="auto"/>
        <w:rPr>
          <w:sz w:val="20"/>
          <w:szCs w:val="20"/>
          <w:color w:val="auto"/>
        </w:rPr>
      </w:pPr>
      <w:r>
        <w:rPr>
          <w:rFonts w:ascii="Arial" w:cs="Arial" w:eastAsia="Arial" w:hAnsi="Arial"/>
          <w:sz w:val="17"/>
          <w:szCs w:val="17"/>
          <w:color w:val="auto"/>
        </w:rPr>
        <w:t>Third quarter revenues of $644 million were down $106 million, or 14% sequentially, and down $47 million, or 7%, over the same quarter in the prior year. Third quarter operating income of $140 million (21.8% margin) increased $14 million, or 11%, sequentially and was up 36% when compared to the same quarter in the prior year. The decrease in sequential revenues is due to the sale of the land drilling and workover rig operations in Russia during the early part of the third quarter. Adjusting for the divested businesses, revenue was down 1% sequentially. The improvement in operating income was led by sequential revenue and operating income growth for Well Construction and geographically by the remaining core business operations in Russia.</w:t>
      </w:r>
    </w:p>
    <w:p>
      <w:pPr>
        <w:spacing w:after="0" w:line="255"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Latin America</w:t>
      </w:r>
    </w:p>
    <w:p>
      <w:pPr>
        <w:spacing w:after="0" w:line="320" w:lineRule="exact"/>
        <w:rPr>
          <w:sz w:val="20"/>
          <w:szCs w:val="20"/>
          <w:color w:val="auto"/>
        </w:rPr>
      </w:pPr>
    </w:p>
    <w:p>
      <w:pPr>
        <w:jc w:val="both"/>
        <w:spacing w:after="0" w:line="366" w:lineRule="auto"/>
        <w:rPr>
          <w:sz w:val="20"/>
          <w:szCs w:val="20"/>
          <w:color w:val="auto"/>
        </w:rPr>
      </w:pPr>
      <w:r>
        <w:rPr>
          <w:rFonts w:ascii="Arial" w:cs="Arial" w:eastAsia="Arial" w:hAnsi="Arial"/>
          <w:sz w:val="18"/>
          <w:szCs w:val="18"/>
          <w:color w:val="auto"/>
        </w:rPr>
        <w:t>Third quarter revenues of $611 million were up $63 million, or 11% sequentially, and down $102 million, or 14%, compared to the same quarter in the prior year. Third quarter operating income of $90 million (14.7% margin) was up $22 million, or 32% sequentially, and down $25 million, or 22%, compared to the same quarter in the prior year. The sequential improvements in revenue and operating income were driven by additional activity in Brazil due to the commencement of new Well Construction contracts, higher unconventional activity in Argentina and increases in overall activity in Venezuela, while Mexico had sequential declines in the quarter.</w:t>
      </w:r>
    </w:p>
    <w:p>
      <w:pPr>
        <w:spacing w:after="0" w:line="285"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North America</w:t>
      </w:r>
    </w:p>
    <w:p>
      <w:pPr>
        <w:spacing w:after="0" w:line="200" w:lineRule="exact"/>
        <w:rPr>
          <w:sz w:val="20"/>
          <w:szCs w:val="20"/>
          <w:color w:val="auto"/>
        </w:rPr>
      </w:pPr>
    </w:p>
    <w:p>
      <w:pPr>
        <w:spacing w:after="0" w:line="214" w:lineRule="exact"/>
        <w:rPr>
          <w:sz w:val="20"/>
          <w:szCs w:val="20"/>
          <w:color w:val="auto"/>
        </w:rPr>
      </w:pPr>
    </w:p>
    <w:p>
      <w:pPr>
        <w:jc w:val="both"/>
        <w:spacing w:after="0" w:line="395" w:lineRule="auto"/>
        <w:rPr>
          <w:sz w:val="20"/>
          <w:szCs w:val="20"/>
          <w:color w:val="auto"/>
        </w:rPr>
      </w:pPr>
      <w:r>
        <w:rPr>
          <w:rFonts w:ascii="Arial" w:cs="Arial" w:eastAsia="Arial" w:hAnsi="Arial"/>
          <w:sz w:val="17"/>
          <w:szCs w:val="17"/>
          <w:color w:val="auto"/>
        </w:rPr>
        <w:t>Third quarter revenues of $1.81 billion were up $155 million, or 9% sequentially, and up $217 million, or 14%, over the same quarter in the prior year. Third quarter operating income of $292 million (16.1% margin) increased 16% sequentially and 36% from the same quarter in the prior year. The sequential revenue and operating income growth was primarily led by Canada, across all product lines. Both the revenue and operating margin improvements in North America were led by our Formation Evaluation, Artificial Lift, Well Construction and Completion product lines.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75" w:right="239" w:bottom="1440" w:gutter="0" w:footer="0" w:header="0"/>
        </w:sectPr>
      </w:pPr>
    </w:p>
    <w:bookmarkStart w:id="7" w:name="page8"/>
    <w:bookmarkEnd w:id="7"/>
    <w:p>
      <w:pPr>
        <w:ind w:left="340" w:hanging="332"/>
        <w:spacing w:after="0"/>
        <w:tabs>
          <w:tab w:leader="none" w:pos="34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Middle East/North Africa/Asia Pacific</w:t>
      </w:r>
    </w:p>
    <w:p>
      <w:pPr>
        <w:spacing w:after="0" w:line="200" w:lineRule="exact"/>
        <w:rPr>
          <w:sz w:val="20"/>
          <w:szCs w:val="20"/>
          <w:color w:val="auto"/>
        </w:rPr>
      </w:pPr>
    </w:p>
    <w:p>
      <w:pPr>
        <w:spacing w:after="0" w:line="214" w:lineRule="exact"/>
        <w:rPr>
          <w:sz w:val="20"/>
          <w:szCs w:val="20"/>
          <w:color w:val="auto"/>
        </w:rPr>
      </w:pPr>
    </w:p>
    <w:p>
      <w:pPr>
        <w:jc w:val="both"/>
        <w:spacing w:after="0" w:line="366" w:lineRule="auto"/>
        <w:rPr>
          <w:sz w:val="20"/>
          <w:szCs w:val="20"/>
          <w:color w:val="auto"/>
        </w:rPr>
      </w:pPr>
      <w:r>
        <w:rPr>
          <w:rFonts w:ascii="Arial" w:cs="Arial" w:eastAsia="Arial" w:hAnsi="Arial"/>
          <w:sz w:val="18"/>
          <w:szCs w:val="18"/>
          <w:color w:val="auto"/>
        </w:rPr>
        <w:t>Third quarter revenues of $808 million were up $54 million, or 7% sequentially, and down $11 million, or 1%, over the same quarter in the prior year. Third quarter operating income of $76 million (9.4% margin) grew 4% sequentially and increased 10% from the same quarter in the prior year. All core product lines contributed to the sequential growth in revenue and operating income, with Completion and Formation Evaluation posting the strongest results. Geographically, the Gulf Countries and Malaysia led the growth in revenue. These improvements were adversely impacted by the geopolitical disruptions in Northern Iraq and North Africa, principally Libya.</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Debt</w:t>
      </w:r>
    </w:p>
    <w:p>
      <w:pPr>
        <w:spacing w:after="0" w:line="200" w:lineRule="exact"/>
        <w:rPr>
          <w:sz w:val="20"/>
          <w:szCs w:val="20"/>
          <w:color w:val="auto"/>
        </w:rPr>
      </w:pPr>
    </w:p>
    <w:p>
      <w:pPr>
        <w:spacing w:after="0" w:line="218"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Net debt decreased by $717 million sequentially, primarily from the cash proceeds related to the divestiture of non-core businesses. Capital expenditures of $349 million (net of lost-in-hole) in the third quarter were up sequentially by 1% reflecting investments for new contract awards, primarily in Well Construction and Formation Evaluation, and were up 6% versus the prior year quarter.</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Outlook</w:t>
      </w:r>
    </w:p>
    <w:p>
      <w:pPr>
        <w:spacing w:after="0" w:line="200" w:lineRule="exact"/>
        <w:rPr>
          <w:sz w:val="20"/>
          <w:szCs w:val="20"/>
          <w:color w:val="auto"/>
        </w:rPr>
      </w:pPr>
    </w:p>
    <w:p>
      <w:pPr>
        <w:spacing w:after="0" w:line="218" w:lineRule="exact"/>
        <w:rPr>
          <w:sz w:val="20"/>
          <w:szCs w:val="20"/>
          <w:color w:val="auto"/>
        </w:rPr>
      </w:pPr>
    </w:p>
    <w:p>
      <w:pPr>
        <w:jc w:val="both"/>
        <w:spacing w:after="0" w:line="364" w:lineRule="auto"/>
        <w:rPr>
          <w:sz w:val="20"/>
          <w:szCs w:val="20"/>
          <w:color w:val="auto"/>
        </w:rPr>
      </w:pPr>
      <w:r>
        <w:rPr>
          <w:rFonts w:ascii="Arial" w:cs="Arial" w:eastAsia="Arial" w:hAnsi="Arial"/>
          <w:sz w:val="18"/>
          <w:szCs w:val="18"/>
          <w:color w:val="auto"/>
        </w:rPr>
        <w:t>The Company expects the fourth quarter of 2014 to show higher revenue and operating income in North America, with the U.S. benefiting from continuing growth across all core product lines and also by an improvement in stimulation margins with higher activity levels driven by increased well service intensity as well as a lower operating cost structure. Latin America is expected to show improvement in both revenue and profitability in the fourth quarter given higher core business activity in Argentina and Brazil. The outlook for the Eastern Hemisphere remains positive with increased activity from contract wins in the North Sea, Sub-Sahara Africa and the Middle East, partly offset by the typical seasonal slow down in Russia and some parts of the Asia Pacific region. Cost reductions will continue to help margin improvements, benefiting all regions. Overall margins will improve with a higher level of growth in the core businesses, which should approach 20% by year-end.</w:t>
      </w:r>
    </w:p>
    <w:p>
      <w:pPr>
        <w:spacing w:after="0" w:line="287"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The tax rate for the fourth quarter will be in the mid-twenties and will be dependent on the geographic mix of earnings. Weatherford fully expects to generate higher levels of free cash flow in the fourth quarter resulting in positive free cash flow for the year. The Company expects to reduce net debt to be in the range of $7.0 billion to $7.5 billion by year-end.</w:t>
      </w:r>
    </w:p>
    <w:p>
      <w:pPr>
        <w:spacing w:after="0" w:line="277" w:lineRule="exact"/>
        <w:rPr>
          <w:sz w:val="20"/>
          <w:szCs w:val="20"/>
          <w:color w:val="auto"/>
        </w:rPr>
      </w:pPr>
    </w:p>
    <w:p>
      <w:pPr>
        <w:jc w:val="both"/>
        <w:spacing w:after="0" w:line="387" w:lineRule="auto"/>
        <w:rPr>
          <w:sz w:val="20"/>
          <w:szCs w:val="20"/>
          <w:color w:val="auto"/>
        </w:rPr>
      </w:pPr>
      <w:r>
        <w:rPr>
          <w:rFonts w:ascii="Arial" w:cs="Arial" w:eastAsia="Arial" w:hAnsi="Arial"/>
          <w:sz w:val="18"/>
          <w:szCs w:val="18"/>
          <w:color w:val="auto"/>
        </w:rPr>
        <w:t>Bernard J. Duroc-Danner, Chairman, President and Chief Executive Officer commented, “Weatherford’s direction remains steadfast. We are executing on our financial and operating objectives of returns driven growth of our core and the de-risking of the enterprise.”</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90" w:right="239" w:bottom="1440" w:gutter="0" w:footer="0" w:header="0"/>
        </w:sectPr>
      </w:pPr>
    </w:p>
    <w:bookmarkStart w:id="8" w:name="page9"/>
    <w:bookmarkEnd w:id="8"/>
    <w:p>
      <w:pPr>
        <w:jc w:val="both"/>
        <w:spacing w:after="0" w:line="369" w:lineRule="auto"/>
        <w:rPr>
          <w:sz w:val="20"/>
          <w:szCs w:val="20"/>
          <w:color w:val="auto"/>
        </w:rPr>
      </w:pPr>
      <w:r>
        <w:rPr>
          <w:rFonts w:ascii="Arial" w:cs="Arial" w:eastAsia="Arial" w:hAnsi="Arial"/>
          <w:sz w:val="18"/>
          <w:szCs w:val="18"/>
          <w:color w:val="auto"/>
        </w:rPr>
        <w:t>Weatherford’s core operating income margin was 17.9% for the quarter. This compares with 16.5% for the prior quarter. Sequentially, our core businesses grew revenue by 8%. All core product lines delivered sequential increases in revenue with incremental operating income of 35%. Strong growth is expected in our core businesses during the remainder of the year and throughout 2015. We continue to project our core operating margins to exit near 20% in the fourth quarter.</w:t>
      </w:r>
    </w:p>
    <w:p>
      <w:pPr>
        <w:spacing w:after="0" w:line="280" w:lineRule="exact"/>
        <w:rPr>
          <w:sz w:val="20"/>
          <w:szCs w:val="20"/>
          <w:color w:val="auto"/>
        </w:rPr>
      </w:pPr>
    </w:p>
    <w:p>
      <w:pPr>
        <w:jc w:val="both"/>
        <w:spacing w:after="0" w:line="366" w:lineRule="auto"/>
        <w:rPr>
          <w:sz w:val="20"/>
          <w:szCs w:val="20"/>
          <w:color w:val="auto"/>
        </w:rPr>
      </w:pPr>
      <w:r>
        <w:rPr>
          <w:rFonts w:ascii="Arial" w:cs="Arial" w:eastAsia="Arial" w:hAnsi="Arial"/>
          <w:sz w:val="18"/>
          <w:szCs w:val="18"/>
          <w:color w:val="auto"/>
        </w:rPr>
        <w:t>During the third quarter, we completed our planned headcount reductions and the closures of underperforming operating locations. We have achieved the $500 million annualized pre-tax cost savings goal we set for ourselves early this year. These cost savings will continue to support our results throughout 2015. From our fundamentally strong industrial core, we plan to extract further efficiencies by focusing our future cost reduction objectives in the area of procurement and variable costs. Our determination to run an efficient organization will help underpin our operating income margin improvements throughout 2015.</w:t>
      </w:r>
    </w:p>
    <w:p>
      <w:pPr>
        <w:spacing w:after="0" w:line="285" w:lineRule="exact"/>
        <w:rPr>
          <w:sz w:val="20"/>
          <w:szCs w:val="20"/>
          <w:color w:val="auto"/>
        </w:rPr>
      </w:pPr>
    </w:p>
    <w:p>
      <w:pPr>
        <w:jc w:val="both"/>
        <w:ind w:right="20"/>
        <w:spacing w:after="0" w:line="465" w:lineRule="auto"/>
        <w:rPr>
          <w:sz w:val="20"/>
          <w:szCs w:val="20"/>
          <w:color w:val="auto"/>
        </w:rPr>
      </w:pPr>
      <w:r>
        <w:rPr>
          <w:rFonts w:ascii="Arial" w:cs="Arial" w:eastAsia="Arial" w:hAnsi="Arial"/>
          <w:sz w:val="16"/>
          <w:szCs w:val="16"/>
          <w:color w:val="auto"/>
        </w:rPr>
        <w:t>During the quarter, we completed the sale of our Russian and Venezuelan land rig operations as well as the Pipeline and Specialty Services business. As planned, all proceeds were used to reduce debt. Our continued drive to divest non-core assets and reduce net debt will be unabated throughout 2015.</w:t>
      </w:r>
    </w:p>
    <w:p>
      <w:pPr>
        <w:spacing w:after="0" w:line="219" w:lineRule="exact"/>
        <w:rPr>
          <w:sz w:val="20"/>
          <w:szCs w:val="20"/>
          <w:color w:val="auto"/>
        </w:rPr>
      </w:pPr>
    </w:p>
    <w:p>
      <w:pPr>
        <w:ind w:right="260"/>
        <w:spacing w:after="0" w:line="435" w:lineRule="auto"/>
        <w:rPr>
          <w:sz w:val="20"/>
          <w:szCs w:val="20"/>
          <w:color w:val="auto"/>
        </w:rPr>
      </w:pPr>
      <w:r>
        <w:rPr>
          <w:rFonts w:ascii="Arial" w:cs="Arial" w:eastAsia="Arial" w:hAnsi="Arial"/>
          <w:sz w:val="16"/>
          <w:szCs w:val="16"/>
          <w:color w:val="auto"/>
        </w:rPr>
        <w:t>In 2015, Weatherford will remain committed to the fundamental direction of core, cost and cash. The Company will focus on execution and quality. In addition, Weatherford will remain highly committed to technology. The joint effect of continuing to divest non-core businesses, further optimizing the cost structure, increasing free cash flow, and an unencumbered focus on core businesses, should result in improved profitability and lower debt levels.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Financial Measures</w:t>
      </w:r>
    </w:p>
    <w:p>
      <w:pPr>
        <w:spacing w:after="0" w:line="200" w:lineRule="exact"/>
        <w:rPr>
          <w:sz w:val="20"/>
          <w:szCs w:val="20"/>
          <w:color w:val="auto"/>
        </w:rPr>
      </w:pPr>
    </w:p>
    <w:p>
      <w:pPr>
        <w:spacing w:after="0" w:line="218" w:lineRule="exact"/>
        <w:rPr>
          <w:sz w:val="20"/>
          <w:szCs w:val="20"/>
          <w:color w:val="auto"/>
        </w:rPr>
      </w:pPr>
    </w:p>
    <w:p>
      <w:pPr>
        <w:spacing w:after="0" w:line="424" w:lineRule="auto"/>
        <w:rPr>
          <w:sz w:val="20"/>
          <w:szCs w:val="20"/>
          <w:color w:val="auto"/>
        </w:rPr>
      </w:pPr>
      <w:r>
        <w:rPr>
          <w:rFonts w:ascii="Arial" w:cs="Arial" w:eastAsia="Arial" w:hAnsi="Arial"/>
          <w:sz w:val="17"/>
          <w:szCs w:val="17"/>
          <w:color w:val="auto"/>
        </w:rPr>
        <w:t>Unless explicitly stated to the contrary, all financial measures used throughout this document are non-GAAP. Corresponding reconciliations to GAAP financial measures have been provided in the following pages to offer meaningful comparisons between current results and results in prior periods.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79"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About Weatherford</w:t>
      </w:r>
    </w:p>
    <w:p>
      <w:pPr>
        <w:spacing w:after="0" w:line="200" w:lineRule="exact"/>
        <w:rPr>
          <w:sz w:val="20"/>
          <w:szCs w:val="20"/>
          <w:color w:val="auto"/>
        </w:rPr>
      </w:pPr>
    </w:p>
    <w:p>
      <w:pPr>
        <w:spacing w:after="0" w:line="218"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Weatherford is one of the largest multinational oilfield service companies providing innovative solutions, technology and services to the oil and gas industry. The Company’s product and service portfolio spans the lifecycle of the well, and includes Well Construction, Formation Evaluation, Completion and Artificial Lift. Weatherford is Irish-based, operates in over 100 countries, and currently employees approximately 56,000 people worldwide. For more information, visit www.weatherford.com.</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w:t>
      </w:r>
    </w:p>
    <w:p>
      <w:pPr>
        <w:spacing w:after="0" w:line="200" w:lineRule="exact"/>
        <w:rPr>
          <w:sz w:val="20"/>
          <w:szCs w:val="20"/>
          <w:color w:val="auto"/>
        </w:rPr>
      </w:pPr>
    </w:p>
    <w:p>
      <w:pPr>
        <w:spacing w:after="0" w:line="218"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The Company will host a conference call with financial analysts to discuss the quarterly results on October 23, 2014, at 8:30 a.m. eastern daylight time (EDT), 7:30 a.m. central daylight time (CDT). Weatherford invites investors to listen to the call live via the Company’s website, www.weatherford.com, in the Investor Relations section. A recording of the conference call and transcript of the call will be available in that section of the website shortly after the call ends.</w:t>
      </w:r>
    </w:p>
    <w:p>
      <w:pPr>
        <w:spacing w:after="0" w:line="280" w:lineRule="exact"/>
        <w:rPr>
          <w:sz w:val="20"/>
          <w:szCs w:val="20"/>
          <w:color w:val="auto"/>
        </w:rPr>
      </w:pPr>
    </w:p>
    <w:tbl>
      <w:tblPr>
        <w:tblLayout w:type="fixed"/>
        <w:tblInd w:w="112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p>
        </w:tc>
        <w:tc>
          <w:tcPr>
            <w:tcW w:w="5540" w:type="dxa"/>
            <w:vAlign w:val="bottom"/>
          </w:tcPr>
          <w:p>
            <w:pPr>
              <w:jc w:val="right"/>
              <w:ind w:right="1790"/>
              <w:spacing w:after="0"/>
              <w:rPr>
                <w:sz w:val="20"/>
                <w:szCs w:val="20"/>
                <w:color w:val="auto"/>
              </w:rPr>
            </w:pPr>
            <w:r>
              <w:rPr>
                <w:rFonts w:ascii="Arial" w:cs="Arial" w:eastAsia="Arial" w:hAnsi="Arial"/>
                <w:sz w:val="18"/>
                <w:szCs w:val="18"/>
                <w:color w:val="auto"/>
              </w:rPr>
              <w:t># # #</w:t>
            </w:r>
          </w:p>
        </w:tc>
        <w:tc>
          <w:tcPr>
            <w:tcW w:w="2520" w:type="dxa"/>
            <w:vAlign w:val="bottom"/>
          </w:tcPr>
          <w:p>
            <w:pPr>
              <w:spacing w:after="0"/>
              <w:rPr>
                <w:sz w:val="20"/>
                <w:szCs w:val="20"/>
                <w:color w:val="auto"/>
              </w:rPr>
            </w:pPr>
          </w:p>
        </w:tc>
      </w:tr>
      <w:tr>
        <w:trPr>
          <w:trHeight w:val="419"/>
        </w:trPr>
        <w:tc>
          <w:tcPr>
            <w:tcW w:w="1120" w:type="dxa"/>
            <w:vAlign w:val="bottom"/>
          </w:tcPr>
          <w:p>
            <w:pPr>
              <w:spacing w:after="0"/>
              <w:rPr>
                <w:sz w:val="20"/>
                <w:szCs w:val="20"/>
                <w:color w:val="auto"/>
              </w:rPr>
            </w:pPr>
            <w:r>
              <w:rPr>
                <w:rFonts w:ascii="Arial" w:cs="Arial" w:eastAsia="Arial" w:hAnsi="Arial"/>
                <w:sz w:val="18"/>
                <w:szCs w:val="18"/>
                <w:color w:val="auto"/>
              </w:rPr>
              <w:t>Contacts:</w:t>
            </w:r>
          </w:p>
        </w:tc>
        <w:tc>
          <w:tcPr>
            <w:tcW w:w="5540" w:type="dxa"/>
            <w:vAlign w:val="bottom"/>
          </w:tcPr>
          <w:p>
            <w:pPr>
              <w:ind w:left="420"/>
              <w:spacing w:after="0"/>
              <w:rPr>
                <w:sz w:val="20"/>
                <w:szCs w:val="20"/>
                <w:color w:val="auto"/>
              </w:rPr>
            </w:pPr>
            <w:r>
              <w:rPr>
                <w:rFonts w:ascii="Arial" w:cs="Arial" w:eastAsia="Arial" w:hAnsi="Arial"/>
                <w:sz w:val="18"/>
                <w:szCs w:val="18"/>
                <w:color w:val="auto"/>
              </w:rPr>
              <w:t>Krishna Shivram</w:t>
            </w:r>
          </w:p>
        </w:tc>
        <w:tc>
          <w:tcPr>
            <w:tcW w:w="2520" w:type="dxa"/>
            <w:vAlign w:val="bottom"/>
          </w:tcPr>
          <w:p>
            <w:pPr>
              <w:jc w:val="right"/>
              <w:spacing w:after="0"/>
              <w:rPr>
                <w:sz w:val="20"/>
                <w:szCs w:val="20"/>
                <w:color w:val="auto"/>
              </w:rPr>
            </w:pPr>
            <w:r>
              <w:rPr>
                <w:rFonts w:ascii="Arial" w:cs="Arial" w:eastAsia="Arial" w:hAnsi="Arial"/>
                <w:sz w:val="18"/>
                <w:szCs w:val="18"/>
                <w:color w:val="auto"/>
              </w:rPr>
              <w:t>+1.713.836.4610</w:t>
            </w:r>
          </w:p>
        </w:tc>
      </w:tr>
      <w:tr>
        <w:trPr>
          <w:trHeight w:val="270"/>
        </w:trPr>
        <w:tc>
          <w:tcPr>
            <w:tcW w:w="1120" w:type="dxa"/>
            <w:vAlign w:val="bottom"/>
          </w:tcPr>
          <w:p>
            <w:pPr>
              <w:spacing w:after="0"/>
              <w:rPr>
                <w:sz w:val="23"/>
                <w:szCs w:val="23"/>
                <w:color w:val="auto"/>
              </w:rPr>
            </w:pPr>
          </w:p>
        </w:tc>
        <w:tc>
          <w:tcPr>
            <w:tcW w:w="5540" w:type="dxa"/>
            <w:vAlign w:val="bottom"/>
          </w:tcPr>
          <w:p>
            <w:pPr>
              <w:ind w:left="420"/>
              <w:spacing w:after="0"/>
              <w:rPr>
                <w:sz w:val="20"/>
                <w:szCs w:val="20"/>
                <w:color w:val="auto"/>
              </w:rPr>
            </w:pPr>
            <w:r>
              <w:rPr>
                <w:rFonts w:ascii="Arial" w:cs="Arial" w:eastAsia="Arial" w:hAnsi="Arial"/>
                <w:sz w:val="18"/>
                <w:szCs w:val="18"/>
                <w:color w:val="auto"/>
              </w:rPr>
              <w:t>Executive Vice President and Chief Financial Officer</w:t>
            </w:r>
          </w:p>
        </w:tc>
        <w:tc>
          <w:tcPr>
            <w:tcW w:w="2520" w:type="dxa"/>
            <w:vAlign w:val="bottom"/>
          </w:tcPr>
          <w:p>
            <w:pPr>
              <w:spacing w:after="0"/>
              <w:rPr>
                <w:sz w:val="23"/>
                <w:szCs w:val="23"/>
                <w:color w:val="auto"/>
              </w:rPr>
            </w:pPr>
          </w:p>
        </w:tc>
      </w:tr>
      <w:tr>
        <w:trPr>
          <w:trHeight w:val="540"/>
        </w:trPr>
        <w:tc>
          <w:tcPr>
            <w:tcW w:w="1120" w:type="dxa"/>
            <w:vAlign w:val="bottom"/>
          </w:tcPr>
          <w:p>
            <w:pPr>
              <w:spacing w:after="0"/>
              <w:rPr>
                <w:sz w:val="24"/>
                <w:szCs w:val="24"/>
                <w:color w:val="auto"/>
              </w:rPr>
            </w:pPr>
          </w:p>
        </w:tc>
        <w:tc>
          <w:tcPr>
            <w:tcW w:w="5540" w:type="dxa"/>
            <w:vAlign w:val="bottom"/>
          </w:tcPr>
          <w:p>
            <w:pPr>
              <w:ind w:left="420"/>
              <w:spacing w:after="0"/>
              <w:rPr>
                <w:sz w:val="20"/>
                <w:szCs w:val="20"/>
                <w:color w:val="auto"/>
              </w:rPr>
            </w:pPr>
            <w:r>
              <w:rPr>
                <w:rFonts w:ascii="Arial" w:cs="Arial" w:eastAsia="Arial" w:hAnsi="Arial"/>
                <w:sz w:val="18"/>
                <w:szCs w:val="18"/>
                <w:color w:val="auto"/>
              </w:rPr>
              <w:t>Karen David-Green</w:t>
            </w:r>
          </w:p>
        </w:tc>
        <w:tc>
          <w:tcPr>
            <w:tcW w:w="2520" w:type="dxa"/>
            <w:vAlign w:val="bottom"/>
          </w:tcPr>
          <w:p>
            <w:pPr>
              <w:jc w:val="right"/>
              <w:spacing w:after="0"/>
              <w:rPr>
                <w:sz w:val="20"/>
                <w:szCs w:val="20"/>
                <w:color w:val="auto"/>
              </w:rPr>
            </w:pPr>
            <w:r>
              <w:rPr>
                <w:rFonts w:ascii="Arial" w:cs="Arial" w:eastAsia="Arial" w:hAnsi="Arial"/>
                <w:sz w:val="18"/>
                <w:szCs w:val="18"/>
                <w:color w:val="auto"/>
              </w:rPr>
              <w:t>+1.713.836.7430</w:t>
            </w:r>
          </w:p>
        </w:tc>
      </w:tr>
      <w:tr>
        <w:trPr>
          <w:trHeight w:val="270"/>
        </w:trPr>
        <w:tc>
          <w:tcPr>
            <w:tcW w:w="1120" w:type="dxa"/>
            <w:vAlign w:val="bottom"/>
          </w:tcPr>
          <w:p>
            <w:pPr>
              <w:spacing w:after="0"/>
              <w:rPr>
                <w:sz w:val="23"/>
                <w:szCs w:val="23"/>
                <w:color w:val="auto"/>
              </w:rPr>
            </w:pPr>
          </w:p>
        </w:tc>
        <w:tc>
          <w:tcPr>
            <w:tcW w:w="5540" w:type="dxa"/>
            <w:vAlign w:val="bottom"/>
          </w:tcPr>
          <w:p>
            <w:pPr>
              <w:ind w:left="420"/>
              <w:spacing w:after="0"/>
              <w:rPr>
                <w:sz w:val="20"/>
                <w:szCs w:val="20"/>
                <w:color w:val="auto"/>
              </w:rPr>
            </w:pPr>
            <w:r>
              <w:rPr>
                <w:rFonts w:ascii="Arial" w:cs="Arial" w:eastAsia="Arial" w:hAnsi="Arial"/>
                <w:sz w:val="18"/>
                <w:szCs w:val="18"/>
                <w:color w:val="auto"/>
              </w:rPr>
              <w:t>Vice President – Investor Relations</w:t>
            </w:r>
          </w:p>
        </w:tc>
        <w:tc>
          <w:tcPr>
            <w:tcW w:w="2520" w:type="dxa"/>
            <w:vAlign w:val="bottom"/>
          </w:tcPr>
          <w:p>
            <w:pPr>
              <w:spacing w:after="0"/>
              <w:rPr>
                <w:sz w:val="23"/>
                <w:szCs w:val="23"/>
                <w:color w:val="auto"/>
              </w:rPr>
            </w:pPr>
          </w:p>
        </w:tc>
      </w:tr>
      <w:tr>
        <w:trPr>
          <w:trHeight w:val="797"/>
        </w:trPr>
        <w:tc>
          <w:tcPr>
            <w:tcW w:w="1120" w:type="dxa"/>
            <w:vAlign w:val="bottom"/>
          </w:tcPr>
          <w:p>
            <w:pPr>
              <w:spacing w:after="0"/>
              <w:rPr>
                <w:sz w:val="24"/>
                <w:szCs w:val="24"/>
                <w:color w:val="auto"/>
              </w:rPr>
            </w:pPr>
          </w:p>
        </w:tc>
        <w:tc>
          <w:tcPr>
            <w:tcW w:w="5540" w:type="dxa"/>
            <w:vAlign w:val="bottom"/>
          </w:tcPr>
          <w:p>
            <w:pPr>
              <w:jc w:val="right"/>
              <w:ind w:right="1930"/>
              <w:spacing w:after="0"/>
              <w:rPr>
                <w:sz w:val="20"/>
                <w:szCs w:val="20"/>
                <w:color w:val="auto"/>
              </w:rPr>
            </w:pPr>
            <w:r>
              <w:rPr>
                <w:rFonts w:ascii="Arial" w:cs="Arial" w:eastAsia="Arial" w:hAnsi="Arial"/>
                <w:sz w:val="18"/>
                <w:szCs w:val="18"/>
                <w:color w:val="auto"/>
              </w:rPr>
              <w:t>6</w:t>
            </w:r>
          </w:p>
        </w:tc>
        <w:tc>
          <w:tcPr>
            <w:tcW w:w="2520" w:type="dxa"/>
            <w:vAlign w:val="bottom"/>
          </w:tcPr>
          <w:p>
            <w:pPr>
              <w:spacing w:after="0"/>
              <w:rPr>
                <w:sz w:val="24"/>
                <w:szCs w:val="24"/>
                <w:color w:val="auto"/>
              </w:rPr>
            </w:pPr>
          </w:p>
        </w:tc>
      </w:tr>
    </w:tbl>
    <w:p>
      <w:pPr>
        <w:sectPr>
          <w:pgSz w:w="11900" w:h="16838" w:orient="portrait"/>
          <w:cols w:equalWidth="0" w:num="1">
            <w:col w:w="11420"/>
          </w:cols>
          <w:pgMar w:left="240" w:top="17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Forward-Looking Statements</w:t>
      </w:r>
    </w:p>
    <w:p>
      <w:pPr>
        <w:spacing w:after="0" w:line="200" w:lineRule="exact"/>
        <w:rPr>
          <w:sz w:val="20"/>
          <w:szCs w:val="20"/>
          <w:color w:val="auto"/>
        </w:rPr>
      </w:pPr>
    </w:p>
    <w:p>
      <w:pPr>
        <w:spacing w:after="0" w:line="218" w:lineRule="exact"/>
        <w:rPr>
          <w:sz w:val="20"/>
          <w:szCs w:val="20"/>
          <w:color w:val="auto"/>
        </w:rPr>
      </w:pPr>
    </w:p>
    <w:p>
      <w:pPr>
        <w:jc w:val="both"/>
        <w:spacing w:after="0" w:line="385" w:lineRule="auto"/>
        <w:rPr>
          <w:sz w:val="20"/>
          <w:szCs w:val="20"/>
          <w:color w:val="auto"/>
        </w:rPr>
      </w:pPr>
      <w:r>
        <w:rPr>
          <w:rFonts w:ascii="Arial" w:cs="Arial" w:eastAsia="Arial" w:hAnsi="Arial"/>
          <w:sz w:val="17"/>
          <w:szCs w:val="17"/>
          <w:color w:val="auto"/>
        </w:rPr>
        <w:t>This press release contains, and the conference call announced in this release may include, forward-looking statements within the meaning of the Private Securities Litigation Reform Act of 1995. These forward-looking statements include, among other things, the Company’s quarterly non-GAAP earnings per shar</w:t>
      </w:r>
      <w:r>
        <w:rPr>
          <w:rFonts w:ascii="Arial" w:cs="Arial" w:eastAsia="Arial" w:hAnsi="Arial"/>
          <w:sz w:val="17"/>
          <w:szCs w:val="17"/>
          <w:color w:val="1F497D"/>
        </w:rPr>
        <w:t>e</w:t>
      </w:r>
      <w:r>
        <w:rPr>
          <w:rFonts w:ascii="Arial" w:cs="Arial" w:eastAsia="Arial" w:hAnsi="Arial"/>
          <w:sz w:val="17"/>
          <w:szCs w:val="17"/>
          <w:color w:val="auto"/>
        </w:rPr>
        <w:t>, effective tax rate, free cash flow, net debt, and capital expenditures, and are also generally identified by the words “believe,” “project,” “expect,” “anticipate,” “estimate,” “budget,” “intend,” “strategy,”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also cautioned that forward-looking statements are only predictions and may differ materially from actual future events or results. Forward-looking statements are also affected by the risk factors described in the Company’s Annual Report on Form 10-K for the year ended December 31, 2013, as amended, the Company’s Quarterly Reports on Form 10-Q, and those set forth from time-to-time in the Company’s other filings with the Securities and Exchange Commission (“SEC”). We undertake no obligation to correct or update any forward-looking statement, whether as a result of new information, future events, or otherwise, except to the extent required under federal securities laws.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86"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0"/>
                <w:szCs w:val="20"/>
                <w:color w:val="auto"/>
              </w:rPr>
            </w:pPr>
          </w:p>
        </w:tc>
        <w:tc>
          <w:tcPr>
            <w:tcW w:w="224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6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6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9/30/2014</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w w:val="97"/>
              </w:rPr>
              <w:t>9/30/2013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w w:val="97"/>
              </w:rPr>
              <w:t>9/30/2014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9/30/2013</w:t>
            </w:r>
          </w:p>
        </w:tc>
      </w:tr>
      <w:tr>
        <w:trPr>
          <w:trHeight w:val="27"/>
        </w:trPr>
        <w:tc>
          <w:tcPr>
            <w:tcW w:w="6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6340" w:type="dxa"/>
            <w:vAlign w:val="bottom"/>
          </w:tcPr>
          <w:p>
            <w:pPr>
              <w:ind w:left="180"/>
              <w:spacing w:after="0"/>
              <w:rPr>
                <w:sz w:val="20"/>
                <w:szCs w:val="20"/>
                <w:color w:val="auto"/>
              </w:rPr>
            </w:pPr>
            <w:r>
              <w:rPr>
                <w:rFonts w:ascii="Arial" w:cs="Arial" w:eastAsia="Arial" w:hAnsi="Arial"/>
                <w:sz w:val="18"/>
                <w:szCs w:val="18"/>
                <w:color w:val="auto"/>
              </w:rPr>
              <w:t>North America</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1,814</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1,597</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5,083</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4,818</w:t>
            </w:r>
          </w:p>
        </w:tc>
      </w:tr>
      <w:tr>
        <w:trPr>
          <w:trHeight w:val="27"/>
        </w:trPr>
        <w:tc>
          <w:tcPr>
            <w:tcW w:w="6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Middle East/North Africa/Asia</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808</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819</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2,343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2,523</w:t>
            </w:r>
          </w:p>
        </w:tc>
      </w:tr>
      <w:tr>
        <w:trPr>
          <w:trHeight w:val="243"/>
        </w:trPr>
        <w:tc>
          <w:tcPr>
            <w:tcW w:w="6340" w:type="dxa"/>
            <w:vAlign w:val="bottom"/>
          </w:tcPr>
          <w:p>
            <w:pPr>
              <w:ind w:left="180"/>
              <w:spacing w:after="0"/>
              <w:rPr>
                <w:sz w:val="20"/>
                <w:szCs w:val="20"/>
                <w:color w:val="auto"/>
              </w:rPr>
            </w:pPr>
            <w:r>
              <w:rPr>
                <w:rFonts w:ascii="Arial" w:cs="Arial" w:eastAsia="Arial" w:hAnsi="Arial"/>
                <w:sz w:val="18"/>
                <w:szCs w:val="18"/>
                <w:color w:val="auto"/>
              </w:rPr>
              <w:t>Europe/SSA/Russia</w:t>
            </w:r>
          </w:p>
        </w:tc>
        <w:tc>
          <w:tcPr>
            <w:tcW w:w="2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644</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691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2,058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2,005</w:t>
            </w:r>
          </w:p>
        </w:tc>
      </w:tr>
      <w:tr>
        <w:trPr>
          <w:trHeight w:val="27"/>
        </w:trPr>
        <w:tc>
          <w:tcPr>
            <w:tcW w:w="6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Latin America</w:t>
            </w: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713</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1,700</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2,179</w:t>
            </w:r>
          </w:p>
        </w:tc>
      </w:tr>
      <w:tr>
        <w:trPr>
          <w:trHeight w:val="237"/>
        </w:trPr>
        <w:tc>
          <w:tcPr>
            <w:tcW w:w="6340" w:type="dxa"/>
            <w:vAlign w:val="bottom"/>
          </w:tcPr>
          <w:p>
            <w:pPr>
              <w:ind w:left="280"/>
              <w:spacing w:after="0"/>
              <w:rPr>
                <w:sz w:val="20"/>
                <w:szCs w:val="20"/>
                <w:color w:val="auto"/>
              </w:rPr>
            </w:pPr>
            <w:r>
              <w:rPr>
                <w:rFonts w:ascii="Arial" w:cs="Arial" w:eastAsia="Arial" w:hAnsi="Arial"/>
                <w:sz w:val="18"/>
                <w:szCs w:val="18"/>
                <w:color w:val="auto"/>
              </w:rPr>
              <w:t>Total Net Revenues</w:t>
            </w: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3,877</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3,820</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11,184</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11,525</w:t>
            </w:r>
          </w:p>
        </w:tc>
      </w:tr>
      <w:tr>
        <w:trPr>
          <w:trHeight w:val="27"/>
        </w:trPr>
        <w:tc>
          <w:tcPr>
            <w:tcW w:w="6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91"/>
        </w:trPr>
        <w:tc>
          <w:tcPr>
            <w:tcW w:w="63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b w:val="1"/>
                <w:bCs w:val="1"/>
                <w:color w:val="auto"/>
              </w:rPr>
              <w:t>Operating Income (Expense):</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6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North America</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745</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606</w:t>
            </w:r>
          </w:p>
        </w:tc>
      </w:tr>
      <w:tr>
        <w:trPr>
          <w:trHeight w:val="243"/>
        </w:trPr>
        <w:tc>
          <w:tcPr>
            <w:tcW w:w="6340" w:type="dxa"/>
            <w:vAlign w:val="bottom"/>
          </w:tcPr>
          <w:p>
            <w:pPr>
              <w:ind w:left="180"/>
              <w:spacing w:after="0"/>
              <w:rPr>
                <w:sz w:val="20"/>
                <w:szCs w:val="20"/>
                <w:color w:val="auto"/>
              </w:rPr>
            </w:pPr>
            <w:r>
              <w:rPr>
                <w:rFonts w:ascii="Arial" w:cs="Arial" w:eastAsia="Arial" w:hAnsi="Arial"/>
                <w:sz w:val="18"/>
                <w:szCs w:val="18"/>
                <w:color w:val="auto"/>
              </w:rPr>
              <w:t>Middle East/North Africa/Asia</w:t>
            </w:r>
          </w:p>
        </w:tc>
        <w:tc>
          <w:tcPr>
            <w:tcW w:w="2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203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180</w:t>
            </w:r>
          </w:p>
        </w:tc>
      </w:tr>
      <w:tr>
        <w:trPr>
          <w:trHeight w:val="27"/>
        </w:trPr>
        <w:tc>
          <w:tcPr>
            <w:tcW w:w="6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Europe/SSA/Russia</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w:t>
            </w:r>
          </w:p>
        </w:tc>
      </w:tr>
      <w:tr>
        <w:trPr>
          <w:trHeight w:val="243"/>
        </w:trPr>
        <w:tc>
          <w:tcPr>
            <w:tcW w:w="6340" w:type="dxa"/>
            <w:vAlign w:val="bottom"/>
          </w:tcPr>
          <w:p>
            <w:pPr>
              <w:ind w:left="180"/>
              <w:spacing w:after="0"/>
              <w:rPr>
                <w:sz w:val="20"/>
                <w:szCs w:val="20"/>
                <w:color w:val="auto"/>
              </w:rPr>
            </w:pPr>
            <w:r>
              <w:rPr>
                <w:rFonts w:ascii="Arial" w:cs="Arial" w:eastAsia="Arial" w:hAnsi="Arial"/>
                <w:sz w:val="18"/>
                <w:szCs w:val="18"/>
                <w:color w:val="auto"/>
              </w:rPr>
              <w:t>Latin America</w:t>
            </w:r>
          </w:p>
        </w:tc>
        <w:tc>
          <w:tcPr>
            <w:tcW w:w="2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115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251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303</w:t>
            </w:r>
          </w:p>
        </w:tc>
      </w:tr>
      <w:tr>
        <w:trPr>
          <w:trHeight w:val="27"/>
        </w:trPr>
        <w:tc>
          <w:tcPr>
            <w:tcW w:w="6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43"/>
        </w:trPr>
        <w:tc>
          <w:tcPr>
            <w:tcW w:w="6340" w:type="dxa"/>
            <w:vAlign w:val="bottom"/>
          </w:tcPr>
          <w:p>
            <w:pPr>
              <w:ind w:left="180"/>
              <w:spacing w:after="0"/>
              <w:rPr>
                <w:sz w:val="20"/>
                <w:szCs w:val="20"/>
                <w:color w:val="auto"/>
              </w:rPr>
            </w:pPr>
            <w:r>
              <w:rPr>
                <w:rFonts w:ascii="Arial" w:cs="Arial" w:eastAsia="Arial" w:hAnsi="Arial"/>
                <w:sz w:val="18"/>
                <w:szCs w:val="18"/>
                <w:color w:val="auto"/>
              </w:rPr>
              <w:t>Corporate Expenses</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7"/>
        </w:trPr>
        <w:tc>
          <w:tcPr>
            <w:tcW w:w="6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Long-Lived Asset and Goodwill Impairment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340" w:type="dxa"/>
            <w:vAlign w:val="bottom"/>
          </w:tcPr>
          <w:p>
            <w:pPr>
              <w:ind w:left="180"/>
              <w:spacing w:after="0"/>
              <w:rPr>
                <w:sz w:val="20"/>
                <w:szCs w:val="20"/>
                <w:color w:val="auto"/>
              </w:rPr>
            </w:pPr>
            <w:r>
              <w:rPr>
                <w:rFonts w:ascii="Arial" w:cs="Arial" w:eastAsia="Arial" w:hAnsi="Arial"/>
                <w:sz w:val="18"/>
                <w:szCs w:val="18"/>
                <w:color w:val="auto"/>
              </w:rPr>
              <w:t>Restructuring and Exited Business Charges</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(175)</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Government Investigation Loss</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43"/>
        </w:trPr>
        <w:tc>
          <w:tcPr>
            <w:tcW w:w="6340" w:type="dxa"/>
            <w:vAlign w:val="bottom"/>
          </w:tcPr>
          <w:p>
            <w:pPr>
              <w:ind w:left="180"/>
              <w:spacing w:after="0"/>
              <w:rPr>
                <w:sz w:val="20"/>
                <w:szCs w:val="20"/>
                <w:color w:val="auto"/>
              </w:rPr>
            </w:pPr>
            <w:r>
              <w:rPr>
                <w:rFonts w:ascii="Arial" w:cs="Arial" w:eastAsia="Arial" w:hAnsi="Arial"/>
                <w:sz w:val="18"/>
                <w:szCs w:val="18"/>
                <w:color w:val="auto"/>
              </w:rPr>
              <w:t>Gain on Sale of Businesses</w:t>
            </w:r>
          </w:p>
        </w:tc>
        <w:tc>
          <w:tcPr>
            <w:tcW w:w="2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6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Items</w:t>
            </w: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r>
      <w:tr>
        <w:trPr>
          <w:trHeight w:val="237"/>
        </w:trPr>
        <w:tc>
          <w:tcPr>
            <w:tcW w:w="6340" w:type="dxa"/>
            <w:vAlign w:val="bottom"/>
          </w:tcPr>
          <w:p>
            <w:pPr>
              <w:ind w:left="280"/>
              <w:spacing w:after="0"/>
              <w:rPr>
                <w:sz w:val="20"/>
                <w:szCs w:val="20"/>
                <w:color w:val="auto"/>
              </w:rPr>
            </w:pPr>
            <w:r>
              <w:rPr>
                <w:rFonts w:ascii="Arial" w:cs="Arial" w:eastAsia="Arial" w:hAnsi="Arial"/>
                <w:sz w:val="18"/>
                <w:szCs w:val="18"/>
                <w:color w:val="auto"/>
              </w:rPr>
              <w:t>Total Operating Income</w:t>
            </w: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318</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239</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473</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573</w:t>
            </w:r>
          </w:p>
        </w:tc>
      </w:tr>
      <w:tr>
        <w:trPr>
          <w:trHeight w:val="27"/>
        </w:trPr>
        <w:tc>
          <w:tcPr>
            <w:tcW w:w="6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97"/>
        </w:trPr>
        <w:tc>
          <w:tcPr>
            <w:tcW w:w="63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6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w:t>
            </w:r>
          </w:p>
        </w:tc>
      </w:tr>
      <w:tr>
        <w:trPr>
          <w:trHeight w:val="243"/>
        </w:trPr>
        <w:tc>
          <w:tcPr>
            <w:tcW w:w="6340" w:type="dxa"/>
            <w:vAlign w:val="bottom"/>
          </w:tcPr>
          <w:p>
            <w:pPr>
              <w:ind w:left="180"/>
              <w:spacing w:after="0"/>
              <w:rPr>
                <w:sz w:val="20"/>
                <w:szCs w:val="20"/>
                <w:color w:val="auto"/>
              </w:rPr>
            </w:pPr>
            <w:r>
              <w:rPr>
                <w:rFonts w:ascii="Arial" w:cs="Arial" w:eastAsia="Arial" w:hAnsi="Arial"/>
                <w:sz w:val="18"/>
                <w:szCs w:val="18"/>
                <w:color w:val="auto"/>
              </w:rPr>
              <w:t>Devaluation of Venezuelan Bolivar</w:t>
            </w:r>
          </w:p>
        </w:tc>
        <w:tc>
          <w:tcPr>
            <w:tcW w:w="200" w:type="dxa"/>
            <w:vAlign w:val="bottom"/>
          </w:tcPr>
          <w:p>
            <w:pPr>
              <w:spacing w:after="0"/>
              <w:rPr>
                <w:sz w:val="21"/>
                <w:szCs w:val="21"/>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6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91"/>
        </w:trPr>
        <w:tc>
          <w:tcPr>
            <w:tcW w:w="63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r>
      <w:tr>
        <w:trPr>
          <w:trHeight w:val="297"/>
        </w:trPr>
        <w:tc>
          <w:tcPr>
            <w:tcW w:w="6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91"/>
        </w:trPr>
        <w:tc>
          <w:tcPr>
            <w:tcW w:w="63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6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Weatherford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0"/>
        </w:trPr>
        <w:tc>
          <w:tcPr>
            <w:tcW w:w="6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84"/>
        </w:trPr>
        <w:tc>
          <w:tcPr>
            <w:tcW w:w="6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Per Share Attributable to Weatherford:</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6340" w:type="dxa"/>
            <w:vAlign w:val="bottom"/>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0.10</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0.03</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(0.14)</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(0.10)</w:t>
            </w:r>
          </w:p>
        </w:tc>
      </w:tr>
      <w:tr>
        <w:trPr>
          <w:trHeight w:val="27"/>
        </w:trPr>
        <w:tc>
          <w:tcPr>
            <w:tcW w:w="6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0.10</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(0.10)</w:t>
            </w:r>
          </w:p>
        </w:tc>
      </w:tr>
      <w:tr>
        <w:trPr>
          <w:trHeight w:val="297"/>
        </w:trPr>
        <w:tc>
          <w:tcPr>
            <w:tcW w:w="6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6340" w:type="dxa"/>
            <w:vAlign w:val="bottom"/>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777</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773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776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771</w:t>
            </w:r>
          </w:p>
        </w:tc>
      </w:tr>
      <w:tr>
        <w:trPr>
          <w:trHeight w:val="27"/>
        </w:trPr>
        <w:tc>
          <w:tcPr>
            <w:tcW w:w="6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6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784</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779</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776</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771</w:t>
            </w:r>
          </w:p>
        </w:tc>
      </w:tr>
      <w:tr>
        <w:trPr>
          <w:trHeight w:val="27"/>
        </w:trPr>
        <w:tc>
          <w:tcPr>
            <w:tcW w:w="63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742" w:right="239"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742" w:right="2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Statements of Operations Information</w:t>
      </w:r>
    </w:p>
    <w:p>
      <w:pPr>
        <w:spacing w:after="0" w:line="6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80" w:type="dxa"/>
            <w:vAlign w:val="bottom"/>
            <w:gridSpan w:val="6"/>
          </w:tcPr>
          <w:p>
            <w:pPr>
              <w:ind w:left="40"/>
              <w:spacing w:after="0"/>
              <w:rPr>
                <w:sz w:val="20"/>
                <w:szCs w:val="20"/>
                <w:color w:val="auto"/>
              </w:rPr>
            </w:pPr>
            <w:r>
              <w:rPr>
                <w:rFonts w:ascii="Arial" w:cs="Arial" w:eastAsia="Arial" w:hAnsi="Arial"/>
                <w:sz w:val="18"/>
                <w:szCs w:val="18"/>
                <w:b w:val="1"/>
                <w:bCs w:val="1"/>
                <w:color w:val="auto"/>
                <w:w w:val="90"/>
              </w:rPr>
              <w:t>Three Months Ended</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47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9/30/2014</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6/30/2014</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3/31/2014</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12/31/2013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9/30/2013</w:t>
            </w:r>
          </w:p>
        </w:tc>
      </w:tr>
      <w:tr>
        <w:trPr>
          <w:trHeight w:val="27"/>
        </w:trPr>
        <w:tc>
          <w:tcPr>
            <w:tcW w:w="47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1,814</w:t>
            </w:r>
          </w:p>
        </w:tc>
        <w:tc>
          <w:tcPr>
            <w:tcW w:w="2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1,659</w:t>
            </w:r>
          </w:p>
        </w:tc>
        <w:tc>
          <w:tcPr>
            <w:tcW w:w="50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1,610</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1,572</w:t>
            </w:r>
          </w:p>
        </w:tc>
        <w:tc>
          <w:tcPr>
            <w:tcW w:w="24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1,597</w:t>
            </w:r>
          </w:p>
        </w:tc>
      </w:tr>
      <w:tr>
        <w:trPr>
          <w:trHeight w:val="27"/>
        </w:trPr>
        <w:tc>
          <w:tcPr>
            <w:tcW w:w="4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Middle East/North Africa/Asia</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808</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781</w:t>
            </w: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821</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819</w:t>
            </w: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Europe/SSA/Russia</w:t>
            </w: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644</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750</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664</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688</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691</w:t>
            </w:r>
          </w:p>
        </w:tc>
      </w:tr>
      <w:tr>
        <w:trPr>
          <w:trHeight w:val="27"/>
        </w:trPr>
        <w:tc>
          <w:tcPr>
            <w:tcW w:w="4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Latin America</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611</w:t>
            </w:r>
          </w:p>
        </w:tc>
        <w:tc>
          <w:tcPr>
            <w:tcW w:w="2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541</w:t>
            </w:r>
          </w:p>
        </w:tc>
        <w:tc>
          <w:tcPr>
            <w:tcW w:w="2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657</w:t>
            </w:r>
          </w:p>
        </w:tc>
        <w:tc>
          <w:tcPr>
            <w:tcW w:w="2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713</w:t>
            </w:r>
          </w:p>
        </w:tc>
      </w:tr>
      <w:tr>
        <w:trPr>
          <w:trHeight w:val="297"/>
        </w:trPr>
        <w:tc>
          <w:tcPr>
            <w:tcW w:w="47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Net Revenues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3,877</w:t>
            </w:r>
          </w:p>
        </w:tc>
        <w:tc>
          <w:tcPr>
            <w:tcW w:w="26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3,711</w:t>
            </w:r>
          </w:p>
        </w:tc>
        <w:tc>
          <w:tcPr>
            <w:tcW w:w="60" w:type="dxa"/>
            <w:vAlign w:val="bottom"/>
            <w:tcBorders>
              <w:top w:val="single" w:sz="8" w:color="auto"/>
              <w:bottom w:val="single" w:sz="8" w:color="auto"/>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3,596</w:t>
            </w:r>
          </w:p>
        </w:tc>
        <w:tc>
          <w:tcPr>
            <w:tcW w:w="22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3,738</w:t>
            </w:r>
          </w:p>
        </w:tc>
        <w:tc>
          <w:tcPr>
            <w:tcW w:w="24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3,820</w:t>
            </w:r>
          </w:p>
        </w:tc>
      </w:tr>
      <w:tr>
        <w:trPr>
          <w:trHeight w:val="271"/>
        </w:trPr>
        <w:tc>
          <w:tcPr>
            <w:tcW w:w="47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60" w:type="dxa"/>
            <w:vAlign w:val="bottom"/>
            <w:gridSpan w:val="6"/>
          </w:tcPr>
          <w:p>
            <w:pPr>
              <w:ind w:left="20"/>
              <w:spacing w:after="0"/>
              <w:rPr>
                <w:sz w:val="20"/>
                <w:szCs w:val="20"/>
                <w:color w:val="auto"/>
              </w:rPr>
            </w:pPr>
            <w:r>
              <w:rPr>
                <w:rFonts w:ascii="Arial" w:cs="Arial" w:eastAsia="Arial" w:hAnsi="Arial"/>
                <w:sz w:val="18"/>
                <w:szCs w:val="18"/>
                <w:b w:val="1"/>
                <w:bCs w:val="1"/>
                <w:color w:val="auto"/>
                <w:w w:val="90"/>
              </w:rPr>
              <w:t>Three Months Ended</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47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9/30/2014</w:t>
            </w:r>
          </w:p>
        </w:tc>
        <w:tc>
          <w:tcPr>
            <w:tcW w:w="2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6/30/2014</w:t>
            </w: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3/31/2014</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5"/>
              </w:rPr>
              <w:t>12/31/2013</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9/30/2013</w:t>
            </w:r>
          </w:p>
        </w:tc>
      </w:tr>
      <w:tr>
        <w:trPr>
          <w:trHeight w:val="237"/>
        </w:trPr>
        <w:tc>
          <w:tcPr>
            <w:tcW w:w="4760" w:type="dxa"/>
            <w:vAlign w:val="bottom"/>
          </w:tcPr>
          <w:p>
            <w:pPr>
              <w:ind w:left="40"/>
              <w:spacing w:after="0"/>
              <w:rPr>
                <w:sz w:val="20"/>
                <w:szCs w:val="20"/>
                <w:color w:val="auto"/>
              </w:rPr>
            </w:pPr>
            <w:r>
              <w:rPr>
                <w:rFonts w:ascii="Arial" w:cs="Arial" w:eastAsia="Arial" w:hAnsi="Arial"/>
                <w:sz w:val="18"/>
                <w:szCs w:val="18"/>
                <w:b w:val="1"/>
                <w:bCs w:val="1"/>
                <w:color w:val="auto"/>
              </w:rPr>
              <w:t>Operating Income (Expense):</w:t>
            </w: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27"/>
        </w:trPr>
        <w:tc>
          <w:tcPr>
            <w:tcW w:w="4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292</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4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w:t>
            </w: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w:t>
            </w: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Middle East/North Africa/Asia</w:t>
            </w: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76</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69</w:t>
            </w:r>
          </w:p>
        </w:tc>
      </w:tr>
      <w:tr>
        <w:trPr>
          <w:trHeight w:val="27"/>
        </w:trPr>
        <w:tc>
          <w:tcPr>
            <w:tcW w:w="4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Europe/SSA/Russia</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Latin America</w:t>
            </w: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90</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115</w:t>
            </w:r>
          </w:p>
        </w:tc>
      </w:tr>
      <w:tr>
        <w:trPr>
          <w:trHeight w:val="27"/>
        </w:trPr>
        <w:tc>
          <w:tcPr>
            <w:tcW w:w="4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Corporate Expenses</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4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Long-Lived Asset and Goodwill Impairment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Restructuring and Exited Business Charges</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(175)</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Businesses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Other Items</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(320)</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7"/>
        </w:trPr>
        <w:tc>
          <w:tcPr>
            <w:tcW w:w="47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47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Operating Income (Expense)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318</w:t>
            </w:r>
          </w:p>
        </w:tc>
        <w:tc>
          <w:tcPr>
            <w:tcW w:w="26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239</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76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gridSpan w:val="6"/>
            <w:shd w:val="clear" w:color="auto" w:fill="CCEEFF"/>
          </w:tcPr>
          <w:p>
            <w:pPr>
              <w:ind w:left="40"/>
              <w:spacing w:after="0"/>
              <w:rPr>
                <w:sz w:val="20"/>
                <w:szCs w:val="20"/>
                <w:color w:val="auto"/>
              </w:rPr>
            </w:pPr>
            <w:r>
              <w:rPr>
                <w:rFonts w:ascii="Arial" w:cs="Arial" w:eastAsia="Arial" w:hAnsi="Arial"/>
                <w:sz w:val="18"/>
                <w:szCs w:val="18"/>
                <w:b w:val="1"/>
                <w:bCs w:val="1"/>
                <w:color w:val="auto"/>
                <w:w w:val="90"/>
              </w:rPr>
              <w:t>Three Months Ended</w:t>
            </w:r>
          </w:p>
        </w:tc>
        <w:tc>
          <w:tcPr>
            <w:tcW w:w="1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spacing w:after="0"/>
              <w:rPr>
                <w:sz w:val="22"/>
                <w:szCs w:val="22"/>
                <w:color w:val="auto"/>
              </w:rPr>
            </w:pPr>
          </w:p>
        </w:tc>
      </w:tr>
      <w:tr>
        <w:trPr>
          <w:trHeight w:val="243"/>
        </w:trPr>
        <w:tc>
          <w:tcPr>
            <w:tcW w:w="4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9/30/2014</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6/30/2014</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3/31/2014</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12/31/2013</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9/30/2013</w:t>
            </w:r>
          </w:p>
        </w:tc>
      </w:tr>
      <w:tr>
        <w:trPr>
          <w:trHeight w:val="27"/>
        </w:trPr>
        <w:tc>
          <w:tcPr>
            <w:tcW w:w="47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Product Service Line Revenues: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70"/>
        </w:trPr>
        <w:tc>
          <w:tcPr>
            <w:tcW w:w="47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Formation Evaluation and Well Construction </w:t>
            </w:r>
            <w:r>
              <w:rPr>
                <w:rFonts w:ascii="Arial" w:cs="Arial" w:eastAsia="Arial" w:hAnsi="Arial"/>
                <w:sz w:val="25"/>
                <w:szCs w:val="25"/>
                <w:color w:val="auto"/>
                <w:vertAlign w:val="superscript"/>
              </w:rPr>
              <w:t>(a)</w:t>
            </w:r>
          </w:p>
        </w:tc>
        <w:tc>
          <w:tcPr>
            <w:tcW w:w="20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2,238</w:t>
            </w: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2,202</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2,164</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2,307</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2,330</w:t>
            </w:r>
          </w:p>
        </w:tc>
      </w:tr>
      <w:tr>
        <w:trPr>
          <w:trHeight w:val="270"/>
        </w:trPr>
        <w:tc>
          <w:tcPr>
            <w:tcW w:w="47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Completion and Production </w:t>
            </w:r>
            <w:r>
              <w:rPr>
                <w:rFonts w:ascii="Arial" w:cs="Arial" w:eastAsia="Arial" w:hAnsi="Arial"/>
                <w:sz w:val="25"/>
                <w:szCs w:val="25"/>
                <w:color w:val="auto"/>
                <w:vertAlign w:val="superscript"/>
              </w:rPr>
              <w:t>(b)</w:t>
            </w:r>
          </w:p>
        </w:tc>
        <w:tc>
          <w:tcPr>
            <w:tcW w:w="2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1,639</w:t>
            </w:r>
          </w:p>
        </w:tc>
        <w:tc>
          <w:tcPr>
            <w:tcW w:w="26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60" w:type="dxa"/>
            <w:vAlign w:val="bottom"/>
            <w:tcBorders>
              <w:bottom w:val="single" w:sz="8" w:color="auto"/>
            </w:tcBorders>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1,432</w:t>
            </w:r>
          </w:p>
        </w:tc>
        <w:tc>
          <w:tcPr>
            <w:tcW w:w="2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1,431</w:t>
            </w:r>
          </w:p>
        </w:tc>
        <w:tc>
          <w:tcPr>
            <w:tcW w:w="2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1,490</w:t>
            </w:r>
          </w:p>
        </w:tc>
      </w:tr>
      <w:tr>
        <w:trPr>
          <w:trHeight w:val="297"/>
        </w:trPr>
        <w:tc>
          <w:tcPr>
            <w:tcW w:w="4760" w:type="dxa"/>
            <w:vAlign w:val="bottom"/>
          </w:tcPr>
          <w:p>
            <w:pPr>
              <w:ind w:left="280"/>
              <w:spacing w:after="0"/>
              <w:rPr>
                <w:sz w:val="20"/>
                <w:szCs w:val="20"/>
                <w:color w:val="auto"/>
              </w:rPr>
            </w:pPr>
            <w:r>
              <w:rPr>
                <w:rFonts w:ascii="Arial" w:cs="Arial" w:eastAsia="Arial" w:hAnsi="Arial"/>
                <w:sz w:val="18"/>
                <w:szCs w:val="18"/>
                <w:color w:val="auto"/>
              </w:rPr>
              <w:t>Total Product Service Line Revenues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3,877</w:t>
            </w:r>
          </w:p>
        </w:tc>
        <w:tc>
          <w:tcPr>
            <w:tcW w:w="26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3,711</w:t>
            </w:r>
          </w:p>
        </w:tc>
        <w:tc>
          <w:tcPr>
            <w:tcW w:w="5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3,596</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3,738</w:t>
            </w:r>
          </w:p>
        </w:tc>
        <w:tc>
          <w:tcPr>
            <w:tcW w:w="24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3,820</w:t>
            </w:r>
          </w:p>
        </w:tc>
      </w:tr>
      <w:tr>
        <w:trPr>
          <w:trHeight w:val="271"/>
        </w:trPr>
        <w:tc>
          <w:tcPr>
            <w:tcW w:w="476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26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24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24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80" w:type="dxa"/>
            <w:vAlign w:val="bottom"/>
            <w:gridSpan w:val="6"/>
          </w:tcPr>
          <w:p>
            <w:pPr>
              <w:ind w:left="40"/>
              <w:spacing w:after="0"/>
              <w:rPr>
                <w:sz w:val="20"/>
                <w:szCs w:val="20"/>
                <w:color w:val="auto"/>
              </w:rPr>
            </w:pPr>
            <w:r>
              <w:rPr>
                <w:rFonts w:ascii="Arial" w:cs="Arial" w:eastAsia="Arial" w:hAnsi="Arial"/>
                <w:sz w:val="18"/>
                <w:szCs w:val="18"/>
                <w:b w:val="1"/>
                <w:bCs w:val="1"/>
                <w:color w:val="auto"/>
                <w:w w:val="90"/>
              </w:rPr>
              <w:t>Three Months Ended</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47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9/30/2014</w:t>
            </w:r>
          </w:p>
        </w:tc>
        <w:tc>
          <w:tcPr>
            <w:tcW w:w="2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6/30/2014</w:t>
            </w: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3/31/2014</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5"/>
              </w:rPr>
              <w:t>12/31/2013</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9/30/2013</w:t>
            </w:r>
          </w:p>
        </w:tc>
      </w:tr>
      <w:tr>
        <w:trPr>
          <w:trHeight w:val="237"/>
        </w:trPr>
        <w:tc>
          <w:tcPr>
            <w:tcW w:w="4760" w:type="dxa"/>
            <w:vAlign w:val="bottom"/>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27"/>
        </w:trPr>
        <w:tc>
          <w:tcPr>
            <w:tcW w:w="4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5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Middle East/North Africa/Asia</w:t>
            </w: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98</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101</w:t>
            </w:r>
          </w:p>
        </w:tc>
      </w:tr>
      <w:tr>
        <w:trPr>
          <w:trHeight w:val="27"/>
        </w:trPr>
        <w:tc>
          <w:tcPr>
            <w:tcW w:w="4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Europe/SSA/Russia</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Latin America</w:t>
            </w: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69</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71</w:t>
            </w:r>
          </w:p>
        </w:tc>
      </w:tr>
      <w:tr>
        <w:trPr>
          <w:trHeight w:val="27"/>
        </w:trPr>
        <w:tc>
          <w:tcPr>
            <w:tcW w:w="4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and Corporate</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2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57"/>
        </w:trPr>
        <w:tc>
          <w:tcPr>
            <w:tcW w:w="4760" w:type="dxa"/>
            <w:vAlign w:val="bottom"/>
          </w:tcPr>
          <w:p>
            <w:pPr>
              <w:ind w:left="280"/>
              <w:spacing w:after="0"/>
              <w:rPr>
                <w:sz w:val="20"/>
                <w:szCs w:val="20"/>
                <w:color w:val="auto"/>
              </w:rPr>
            </w:pPr>
            <w:r>
              <w:rPr>
                <w:rFonts w:ascii="Arial" w:cs="Arial" w:eastAsia="Arial" w:hAnsi="Arial"/>
                <w:sz w:val="18"/>
                <w:szCs w:val="18"/>
                <w:color w:val="auto"/>
              </w:rPr>
              <w:t>Total Depreciation and Amortization</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327</w:t>
            </w:r>
          </w:p>
        </w:tc>
        <w:tc>
          <w:tcPr>
            <w:tcW w:w="26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60" w:type="dxa"/>
            <w:vAlign w:val="bottom"/>
            <w:tcBorders>
              <w:top w:val="single" w:sz="8" w:color="auto"/>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351</w:t>
            </w:r>
          </w:p>
        </w:tc>
        <w:tc>
          <w:tcPr>
            <w:tcW w:w="2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363</w:t>
            </w:r>
          </w:p>
        </w:tc>
        <w:tc>
          <w:tcPr>
            <w:tcW w:w="2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352</w:t>
            </w:r>
          </w:p>
        </w:tc>
      </w:tr>
      <w:tr>
        <w:trPr>
          <w:trHeight w:val="20"/>
        </w:trPr>
        <w:tc>
          <w:tcPr>
            <w:tcW w:w="4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340" w:hanging="332"/>
        <w:spacing w:after="0" w:line="255"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Formation Evaluation and Well Construction includes Controlled Pressure Drilling and Testing, Drilling Services, Tubular Running Services, Drilling Tools, Integrated Drilling, Wireline Services, Re-entry and Fishing, Cementing, Liner Systems, Integrated Laboratory Services and Surface Logging.</w:t>
      </w:r>
    </w:p>
    <w:p>
      <w:pPr>
        <w:spacing w:after="0" w:line="1" w:lineRule="exact"/>
        <w:rPr>
          <w:rFonts w:ascii="Arial" w:cs="Arial" w:eastAsia="Arial" w:hAnsi="Arial"/>
          <w:sz w:val="16"/>
          <w:szCs w:val="16"/>
          <w:color w:val="auto"/>
        </w:rPr>
      </w:pPr>
    </w:p>
    <w:p>
      <w:pPr>
        <w:ind w:left="340" w:hanging="332"/>
        <w:spacing w:after="0" w:line="257"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Completion and Production includes Artificial Lift Systems, Stimulation and Chemicals, Completion Systems and Pipeline and Specialty Services. In September 2014, we completed the sale of our pipeline and specialty services business.</w:t>
      </w:r>
    </w:p>
    <w:p>
      <w:pPr>
        <w:sectPr>
          <w:pgSz w:w="11900" w:h="16838" w:orient="portrait"/>
          <w:cols w:equalWidth="0" w:num="1">
            <w:col w:w="11420"/>
          </w:cols>
          <w:pgMar w:left="240" w:top="742" w:right="239"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742" w:right="239" w:bottom="1440" w:gutter="0" w:footer="0" w:header="0"/>
          <w:type w:val="continuous"/>
        </w:sectPr>
      </w:pPr>
    </w:p>
    <w:bookmarkStart w:id="13" w:name="page14"/>
    <w:bookmarkEnd w:id="13"/>
    <w:p>
      <w:pPr>
        <w:jc w:val="both"/>
        <w:ind w:right="20"/>
        <w:spacing w:after="0" w:line="473" w:lineRule="auto"/>
        <w:rPr>
          <w:sz w:val="20"/>
          <w:szCs w:val="20"/>
          <w:color w:val="auto"/>
        </w:rPr>
      </w:pPr>
      <w:r>
        <w:rPr>
          <w:rFonts w:ascii="Arial" w:cs="Arial" w:eastAsia="Arial" w:hAnsi="Arial"/>
          <w:sz w:val="10"/>
          <w:szCs w:val="10"/>
          <w:color w:val="auto"/>
        </w:rPr>
        <w:t>We report our financial results in accordance with U.S. generally accepted accounting principles (GAAP). However, Weatherford’s management believes that certain non-GAAP financial measures and ratios (as defined under the SEC’s Regulation G) may provide users of this financial information, additional meaningful comparisons between current results and results of prior periods. The non-GAAP amounts shown below should not be considered as substitutes for operating income, provision for income taxes, net income or other data prepared and reported in accordance with GAAP, but should be viewed in addition to the Company’s reported results prepared in accordance with GAAP.</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Weatherford International plc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Reconciliation of GAAP to Non-GAAP Financial Measures</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(Unaudited)</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(In Millions, Except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468"/>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54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9/30/2014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6/30/2014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9/30/2013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9/30/2014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9/30/2013</w:t>
            </w:r>
          </w:p>
        </w:tc>
      </w:tr>
      <w:tr>
        <w:trPr>
          <w:trHeight w:val="270"/>
        </w:trPr>
        <w:tc>
          <w:tcPr>
            <w:tcW w:w="5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Operating Income:</w:t>
            </w: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64"/>
        </w:trPr>
        <w:tc>
          <w:tcPr>
            <w:tcW w:w="5400" w:type="dxa"/>
            <w:vAlign w:val="bottom"/>
          </w:tcPr>
          <w:p>
            <w:pPr>
              <w:ind w:left="180"/>
              <w:spacing w:after="0"/>
              <w:rPr>
                <w:sz w:val="20"/>
                <w:szCs w:val="20"/>
                <w:color w:val="auto"/>
              </w:rPr>
            </w:pPr>
            <w:r>
              <w:rPr>
                <w:rFonts w:ascii="Arial" w:cs="Arial" w:eastAsia="Arial" w:hAnsi="Arial"/>
                <w:sz w:val="14"/>
                <w:szCs w:val="14"/>
                <w:color w:val="auto"/>
              </w:rPr>
              <w:t>GAAP Operating Income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318</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239</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473</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573</w:t>
            </w:r>
          </w:p>
        </w:tc>
      </w:tr>
      <w:tr>
        <w:trPr>
          <w:trHeight w:val="276"/>
        </w:trPr>
        <w:tc>
          <w:tcPr>
            <w:tcW w:w="54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Long-Lived Asset and Goodwill Impairment</w:t>
            </w: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268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264"/>
        </w:trPr>
        <w:tc>
          <w:tcPr>
            <w:tcW w:w="5400" w:type="dxa"/>
            <w:vAlign w:val="bottom"/>
          </w:tcPr>
          <w:p>
            <w:pPr>
              <w:ind w:left="280"/>
              <w:spacing w:after="0"/>
              <w:rPr>
                <w:sz w:val="20"/>
                <w:szCs w:val="20"/>
                <w:color w:val="auto"/>
              </w:rPr>
            </w:pPr>
            <w:r>
              <w:rPr>
                <w:rFonts w:ascii="Arial" w:cs="Arial" w:eastAsia="Arial" w:hAnsi="Arial"/>
                <w:sz w:val="14"/>
                <w:szCs w:val="14"/>
                <w:color w:val="auto"/>
              </w:rPr>
              <w:t xml:space="preserve">North Africa Restructuring </w:t>
            </w:r>
            <w:r>
              <w:rPr>
                <w:rFonts w:ascii="Arial" w:cs="Arial" w:eastAsia="Arial" w:hAnsi="Arial"/>
                <w:sz w:val="8"/>
                <w:szCs w:val="8"/>
                <w:color w:val="auto"/>
              </w:rPr>
              <w:t>(a)</w:t>
            </w:r>
          </w:p>
        </w:tc>
        <w:tc>
          <w:tcPr>
            <w:tcW w:w="18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76"/>
        </w:trPr>
        <w:tc>
          <w:tcPr>
            <w:tcW w:w="54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 xml:space="preserve">Other Restructuring, Exited Businesses and Severance Cost </w:t>
            </w:r>
            <w:r>
              <w:rPr>
                <w:rFonts w:ascii="Arial" w:cs="Arial" w:eastAsia="Arial" w:hAnsi="Arial"/>
                <w:sz w:val="8"/>
                <w:szCs w:val="8"/>
                <w:color w:val="auto"/>
              </w:rPr>
              <w:t>(b)</w:t>
            </w: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64</w:t>
            </w:r>
          </w:p>
        </w:tc>
      </w:tr>
      <w:tr>
        <w:trPr>
          <w:trHeight w:val="264"/>
        </w:trPr>
        <w:tc>
          <w:tcPr>
            <w:tcW w:w="5400" w:type="dxa"/>
            <w:vAlign w:val="bottom"/>
          </w:tcPr>
          <w:p>
            <w:pPr>
              <w:ind w:left="280"/>
              <w:spacing w:after="0"/>
              <w:rPr>
                <w:sz w:val="20"/>
                <w:szCs w:val="20"/>
                <w:color w:val="auto"/>
              </w:rPr>
            </w:pPr>
            <w:r>
              <w:rPr>
                <w:rFonts w:ascii="Arial" w:cs="Arial" w:eastAsia="Arial" w:hAnsi="Arial"/>
                <w:sz w:val="14"/>
                <w:szCs w:val="14"/>
                <w:color w:val="auto"/>
              </w:rPr>
              <w:t>Gain on Sale of Businesses</w:t>
            </w:r>
          </w:p>
        </w:tc>
        <w:tc>
          <w:tcPr>
            <w:tcW w:w="1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(8)</w:t>
            </w:r>
          </w:p>
        </w:tc>
      </w:tr>
      <w:tr>
        <w:trPr>
          <w:trHeight w:val="276"/>
        </w:trPr>
        <w:tc>
          <w:tcPr>
            <w:tcW w:w="54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 xml:space="preserve">Legacy Contracts </w:t>
            </w:r>
            <w:r>
              <w:rPr>
                <w:rFonts w:ascii="Arial" w:cs="Arial" w:eastAsia="Arial" w:hAnsi="Arial"/>
                <w:sz w:val="8"/>
                <w:szCs w:val="8"/>
                <w:color w:val="auto"/>
              </w:rPr>
              <w:t>(c)</w:t>
            </w: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131</w:t>
            </w:r>
          </w:p>
        </w:tc>
      </w:tr>
      <w:tr>
        <w:trPr>
          <w:trHeight w:val="264"/>
        </w:trPr>
        <w:tc>
          <w:tcPr>
            <w:tcW w:w="5400" w:type="dxa"/>
            <w:vAlign w:val="bottom"/>
          </w:tcPr>
          <w:p>
            <w:pPr>
              <w:ind w:left="280"/>
              <w:spacing w:after="0"/>
              <w:rPr>
                <w:sz w:val="20"/>
                <w:szCs w:val="20"/>
                <w:color w:val="auto"/>
              </w:rPr>
            </w:pPr>
            <w:r>
              <w:rPr>
                <w:rFonts w:ascii="Arial" w:cs="Arial" w:eastAsia="Arial" w:hAnsi="Arial"/>
                <w:sz w:val="14"/>
                <w:szCs w:val="14"/>
                <w:color w:val="auto"/>
              </w:rPr>
              <w:t>U.S. Government Investigation Loss</w:t>
            </w:r>
          </w:p>
        </w:tc>
        <w:tc>
          <w:tcPr>
            <w:tcW w:w="18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153</w:t>
            </w:r>
          </w:p>
        </w:tc>
      </w:tr>
      <w:tr>
        <w:trPr>
          <w:trHeight w:val="276"/>
        </w:trPr>
        <w:tc>
          <w:tcPr>
            <w:tcW w:w="54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Tax Remediation and Restatement Expenses</w:t>
            </w: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w:t>
            </w:r>
          </w:p>
        </w:tc>
      </w:tr>
      <w:tr>
        <w:trPr>
          <w:trHeight w:val="264"/>
        </w:trPr>
        <w:tc>
          <w:tcPr>
            <w:tcW w:w="54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 xml:space="preserve">Professional Fees and Other </w:t>
            </w:r>
            <w:r>
              <w:rPr>
                <w:rFonts w:ascii="Arial" w:cs="Arial" w:eastAsia="Arial" w:hAnsi="Arial"/>
                <w:sz w:val="8"/>
                <w:szCs w:val="8"/>
                <w:color w:val="auto"/>
              </w:rPr>
              <w:t>(d)</w:t>
            </w: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47</w:t>
            </w:r>
          </w:p>
        </w:tc>
      </w:tr>
      <w:tr>
        <w:trPr>
          <w:trHeight w:val="250"/>
        </w:trPr>
        <w:tc>
          <w:tcPr>
            <w:tcW w:w="54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Non-GAAP Adjustments</w:t>
            </w:r>
          </w:p>
        </w:tc>
        <w:tc>
          <w:tcPr>
            <w:tcW w:w="1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163</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374</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153</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693</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422</w:t>
            </w:r>
          </w:p>
        </w:tc>
      </w:tr>
      <w:tr>
        <w:trPr>
          <w:trHeight w:val="283"/>
        </w:trPr>
        <w:tc>
          <w:tcPr>
            <w:tcW w:w="5400" w:type="dxa"/>
            <w:vAlign w:val="bottom"/>
          </w:tcPr>
          <w:p>
            <w:pPr>
              <w:ind w:left="180"/>
              <w:spacing w:after="0"/>
              <w:rPr>
                <w:sz w:val="20"/>
                <w:szCs w:val="20"/>
                <w:color w:val="auto"/>
              </w:rPr>
            </w:pPr>
            <w:r>
              <w:rPr>
                <w:rFonts w:ascii="Arial" w:cs="Arial" w:eastAsia="Arial" w:hAnsi="Arial"/>
                <w:sz w:val="14"/>
                <w:szCs w:val="14"/>
                <w:color w:val="auto"/>
              </w:rPr>
              <w:t>Non-GAAP Operating Income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481</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399</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392</w:t>
            </w: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1,166</w:t>
            </w: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995</w:t>
            </w:r>
          </w:p>
        </w:tc>
      </w:tr>
      <w:tr>
        <w:trPr>
          <w:trHeight w:val="143"/>
        </w:trPr>
        <w:tc>
          <w:tcPr>
            <w:tcW w:w="54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r>
      <w:tr>
        <w:trPr>
          <w:trHeight w:val="264"/>
        </w:trPr>
        <w:tc>
          <w:tcPr>
            <w:tcW w:w="5400" w:type="dxa"/>
            <w:vAlign w:val="bottom"/>
          </w:tcPr>
          <w:p>
            <w:pPr>
              <w:ind w:left="40"/>
              <w:spacing w:after="0"/>
              <w:rPr>
                <w:sz w:val="20"/>
                <w:szCs w:val="20"/>
                <w:color w:val="auto"/>
              </w:rPr>
            </w:pPr>
            <w:r>
              <w:rPr>
                <w:rFonts w:ascii="Arial" w:cs="Arial" w:eastAsia="Arial" w:hAnsi="Arial"/>
                <w:sz w:val="14"/>
                <w:szCs w:val="14"/>
                <w:b w:val="1"/>
                <w:bCs w:val="1"/>
                <w:color w:val="auto"/>
              </w:rPr>
              <w:t>Income (Loss) Before Income Taxes:</w:t>
            </w: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6"/>
        </w:trPr>
        <w:tc>
          <w:tcPr>
            <w:tcW w:w="5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GAAP Income (Loss) Before Income Taxes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187</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w:t>
            </w:r>
          </w:p>
        </w:tc>
      </w:tr>
      <w:tr>
        <w:trPr>
          <w:trHeight w:val="264"/>
        </w:trPr>
        <w:tc>
          <w:tcPr>
            <w:tcW w:w="5400" w:type="dxa"/>
            <w:vAlign w:val="bottom"/>
          </w:tcPr>
          <w:p>
            <w:pPr>
              <w:ind w:left="280"/>
              <w:spacing w:after="0"/>
              <w:rPr>
                <w:sz w:val="20"/>
                <w:szCs w:val="20"/>
                <w:color w:val="auto"/>
              </w:rPr>
            </w:pPr>
            <w:r>
              <w:rPr>
                <w:rFonts w:ascii="Arial" w:cs="Arial" w:eastAsia="Arial" w:hAnsi="Arial"/>
                <w:sz w:val="14"/>
                <w:szCs w:val="14"/>
                <w:color w:val="auto"/>
              </w:rPr>
              <w:t>Operating Income Adjustments</w:t>
            </w:r>
          </w:p>
        </w:tc>
        <w:tc>
          <w:tcPr>
            <w:tcW w:w="18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163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374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153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693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422</w:t>
            </w:r>
          </w:p>
        </w:tc>
      </w:tr>
      <w:tr>
        <w:trPr>
          <w:trHeight w:val="270"/>
        </w:trPr>
        <w:tc>
          <w:tcPr>
            <w:tcW w:w="54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Devaluation of Venezuelan Bolivar</w:t>
            </w:r>
          </w:p>
        </w:tc>
        <w:tc>
          <w:tcPr>
            <w:tcW w:w="1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100</w:t>
            </w:r>
          </w:p>
        </w:tc>
      </w:tr>
      <w:tr>
        <w:trPr>
          <w:trHeight w:val="283"/>
        </w:trPr>
        <w:tc>
          <w:tcPr>
            <w:tcW w:w="5400" w:type="dxa"/>
            <w:vAlign w:val="bottom"/>
          </w:tcPr>
          <w:p>
            <w:pPr>
              <w:ind w:left="180"/>
              <w:spacing w:after="0"/>
              <w:rPr>
                <w:sz w:val="20"/>
                <w:szCs w:val="20"/>
                <w:color w:val="auto"/>
              </w:rPr>
            </w:pPr>
            <w:r>
              <w:rPr>
                <w:rFonts w:ascii="Arial" w:cs="Arial" w:eastAsia="Arial" w:hAnsi="Arial"/>
                <w:sz w:val="14"/>
                <w:szCs w:val="14"/>
                <w:color w:val="auto"/>
              </w:rPr>
              <w:t>Non-GAAP Income Before Income Taxes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350</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252</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233</w:t>
            </w: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753</w:t>
            </w: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546</w:t>
            </w:r>
          </w:p>
        </w:tc>
      </w:tr>
      <w:tr>
        <w:trPr>
          <w:trHeight w:val="143"/>
        </w:trPr>
        <w:tc>
          <w:tcPr>
            <w:tcW w:w="54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r>
      <w:tr>
        <w:trPr>
          <w:trHeight w:val="264"/>
        </w:trPr>
        <w:tc>
          <w:tcPr>
            <w:tcW w:w="5400" w:type="dxa"/>
            <w:vAlign w:val="bottom"/>
          </w:tcPr>
          <w:p>
            <w:pPr>
              <w:ind w:left="40"/>
              <w:spacing w:after="0"/>
              <w:rPr>
                <w:sz w:val="20"/>
                <w:szCs w:val="20"/>
                <w:color w:val="auto"/>
              </w:rPr>
            </w:pPr>
            <w:r>
              <w:rPr>
                <w:rFonts w:ascii="Arial" w:cs="Arial" w:eastAsia="Arial" w:hAnsi="Arial"/>
                <w:sz w:val="14"/>
                <w:szCs w:val="14"/>
                <w:b w:val="1"/>
                <w:bCs w:val="1"/>
                <w:color w:val="auto"/>
              </w:rPr>
              <w:t>Provision for Income Taxes:</w:t>
            </w: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6"/>
        </w:trPr>
        <w:tc>
          <w:tcPr>
            <w:tcW w:w="5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GAAP Provision for Income Taxes</w:t>
            </w: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w:t>
            </w:r>
          </w:p>
        </w:tc>
      </w:tr>
      <w:tr>
        <w:trPr>
          <w:trHeight w:val="264"/>
        </w:trPr>
        <w:tc>
          <w:tcPr>
            <w:tcW w:w="54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Tax Effect on Non-GAAP Adjustments</w:t>
            </w: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w:t>
            </w:r>
          </w:p>
        </w:tc>
      </w:tr>
      <w:tr>
        <w:trPr>
          <w:trHeight w:val="243"/>
        </w:trPr>
        <w:tc>
          <w:tcPr>
            <w:tcW w:w="5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Non-GAAP Provision for Income Taxes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5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70"/>
        </w:trPr>
        <w:tc>
          <w:tcPr>
            <w:tcW w:w="5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Attributable to Weatherford:</w:t>
            </w: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64"/>
        </w:trPr>
        <w:tc>
          <w:tcPr>
            <w:tcW w:w="5400" w:type="dxa"/>
            <w:vAlign w:val="bottom"/>
          </w:tcPr>
          <w:p>
            <w:pPr>
              <w:ind w:left="180"/>
              <w:spacing w:after="0"/>
              <w:rPr>
                <w:sz w:val="20"/>
                <w:szCs w:val="20"/>
                <w:color w:val="auto"/>
              </w:rPr>
            </w:pPr>
            <w:r>
              <w:rPr>
                <w:rFonts w:ascii="Arial" w:cs="Arial" w:eastAsia="Arial" w:hAnsi="Arial"/>
                <w:sz w:val="14"/>
                <w:szCs w:val="14"/>
                <w:color w:val="auto"/>
              </w:rPr>
              <w:t>GAAP Net Income (Loss)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77</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(74)</w:t>
            </w:r>
          </w:p>
        </w:tc>
      </w:tr>
      <w:tr>
        <w:trPr>
          <w:trHeight w:val="276"/>
        </w:trPr>
        <w:tc>
          <w:tcPr>
            <w:tcW w:w="54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Long-Lived Asset and Goodwill Impairment</w:t>
            </w: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246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264"/>
        </w:trPr>
        <w:tc>
          <w:tcPr>
            <w:tcW w:w="5400" w:type="dxa"/>
            <w:vAlign w:val="bottom"/>
          </w:tcPr>
          <w:p>
            <w:pPr>
              <w:ind w:left="280"/>
              <w:spacing w:after="0"/>
              <w:rPr>
                <w:sz w:val="20"/>
                <w:szCs w:val="20"/>
                <w:color w:val="auto"/>
              </w:rPr>
            </w:pPr>
            <w:r>
              <w:rPr>
                <w:rFonts w:ascii="Arial" w:cs="Arial" w:eastAsia="Arial" w:hAnsi="Arial"/>
                <w:sz w:val="14"/>
                <w:szCs w:val="14"/>
                <w:color w:val="auto"/>
              </w:rPr>
              <w:t xml:space="preserve">North Africa Restructuring </w:t>
            </w:r>
            <w:r>
              <w:rPr>
                <w:rFonts w:ascii="Arial" w:cs="Arial" w:eastAsia="Arial" w:hAnsi="Arial"/>
                <w:sz w:val="8"/>
                <w:szCs w:val="8"/>
                <w:color w:val="auto"/>
              </w:rPr>
              <w:t>(a)</w:t>
            </w:r>
          </w:p>
        </w:tc>
        <w:tc>
          <w:tcPr>
            <w:tcW w:w="18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76"/>
        </w:trPr>
        <w:tc>
          <w:tcPr>
            <w:tcW w:w="54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Restructuring, Exited Businesses and Severance Cost</w:t>
            </w: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48</w:t>
            </w:r>
          </w:p>
        </w:tc>
      </w:tr>
      <w:tr>
        <w:trPr>
          <w:trHeight w:val="264"/>
        </w:trPr>
        <w:tc>
          <w:tcPr>
            <w:tcW w:w="5400" w:type="dxa"/>
            <w:vAlign w:val="bottom"/>
          </w:tcPr>
          <w:p>
            <w:pPr>
              <w:ind w:left="280"/>
              <w:spacing w:after="0"/>
              <w:rPr>
                <w:sz w:val="20"/>
                <w:szCs w:val="20"/>
                <w:color w:val="auto"/>
              </w:rPr>
            </w:pPr>
            <w:r>
              <w:rPr>
                <w:rFonts w:ascii="Arial" w:cs="Arial" w:eastAsia="Arial" w:hAnsi="Arial"/>
                <w:sz w:val="14"/>
                <w:szCs w:val="14"/>
                <w:color w:val="auto"/>
              </w:rPr>
              <w:t>Gain on Sale of Businesses</w:t>
            </w:r>
          </w:p>
        </w:tc>
        <w:tc>
          <w:tcPr>
            <w:tcW w:w="1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(9)</w:t>
            </w:r>
          </w:p>
        </w:tc>
      </w:tr>
      <w:tr>
        <w:trPr>
          <w:trHeight w:val="276"/>
        </w:trPr>
        <w:tc>
          <w:tcPr>
            <w:tcW w:w="54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Legacy Contracts</w:t>
            </w: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152</w:t>
            </w:r>
          </w:p>
        </w:tc>
      </w:tr>
      <w:tr>
        <w:trPr>
          <w:trHeight w:val="264"/>
        </w:trPr>
        <w:tc>
          <w:tcPr>
            <w:tcW w:w="5400" w:type="dxa"/>
            <w:vAlign w:val="bottom"/>
          </w:tcPr>
          <w:p>
            <w:pPr>
              <w:ind w:left="280"/>
              <w:spacing w:after="0"/>
              <w:rPr>
                <w:sz w:val="20"/>
                <w:szCs w:val="20"/>
                <w:color w:val="auto"/>
              </w:rPr>
            </w:pPr>
            <w:r>
              <w:rPr>
                <w:rFonts w:ascii="Arial" w:cs="Arial" w:eastAsia="Arial" w:hAnsi="Arial"/>
                <w:sz w:val="14"/>
                <w:szCs w:val="14"/>
                <w:color w:val="auto"/>
              </w:rPr>
              <w:t>U.S. Government Investigation Loss</w:t>
            </w:r>
          </w:p>
        </w:tc>
        <w:tc>
          <w:tcPr>
            <w:tcW w:w="18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153</w:t>
            </w:r>
          </w:p>
        </w:tc>
      </w:tr>
      <w:tr>
        <w:trPr>
          <w:trHeight w:val="276"/>
        </w:trPr>
        <w:tc>
          <w:tcPr>
            <w:tcW w:w="54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Devaluation of Venezuelan Bolivar</w:t>
            </w: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61</w:t>
            </w:r>
          </w:p>
        </w:tc>
      </w:tr>
      <w:tr>
        <w:trPr>
          <w:trHeight w:val="264"/>
        </w:trPr>
        <w:tc>
          <w:tcPr>
            <w:tcW w:w="5400" w:type="dxa"/>
            <w:vAlign w:val="bottom"/>
          </w:tcPr>
          <w:p>
            <w:pPr>
              <w:ind w:left="280"/>
              <w:spacing w:after="0"/>
              <w:rPr>
                <w:sz w:val="20"/>
                <w:szCs w:val="20"/>
                <w:color w:val="auto"/>
              </w:rPr>
            </w:pPr>
            <w:r>
              <w:rPr>
                <w:rFonts w:ascii="Arial" w:cs="Arial" w:eastAsia="Arial" w:hAnsi="Arial"/>
                <w:sz w:val="14"/>
                <w:szCs w:val="14"/>
                <w:color w:val="auto"/>
              </w:rPr>
              <w:t>Tax Remediation and Restatement Expenses</w:t>
            </w:r>
          </w:p>
        </w:tc>
        <w:tc>
          <w:tcPr>
            <w:tcW w:w="18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30</w:t>
            </w:r>
          </w:p>
        </w:tc>
      </w:tr>
      <w:tr>
        <w:trPr>
          <w:trHeight w:val="270"/>
        </w:trPr>
        <w:tc>
          <w:tcPr>
            <w:tcW w:w="54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Professional Fees and Other</w:t>
            </w:r>
          </w:p>
        </w:tc>
        <w:tc>
          <w:tcPr>
            <w:tcW w:w="1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49</w:t>
            </w:r>
          </w:p>
        </w:tc>
      </w:tr>
      <w:tr>
        <w:trPr>
          <w:trHeight w:val="250"/>
        </w:trPr>
        <w:tc>
          <w:tcPr>
            <w:tcW w:w="540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Charges, net of tax</w:t>
            </w: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171</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331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155</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642</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484</w:t>
            </w:r>
          </w:p>
        </w:tc>
      </w:tr>
      <w:tr>
        <w:trPr>
          <w:trHeight w:val="243"/>
        </w:trPr>
        <w:tc>
          <w:tcPr>
            <w:tcW w:w="5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Non-GAAP Net Income</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248</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186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533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410</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102"/>
        </w:trPr>
        <w:tc>
          <w:tcPr>
            <w:tcW w:w="5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r>
      <w:tr>
        <w:trPr>
          <w:trHeight w:val="270"/>
        </w:trPr>
        <w:tc>
          <w:tcPr>
            <w:tcW w:w="5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Diluted Earnings Per Share Attributable to Weatherford:</w:t>
            </w: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64"/>
        </w:trPr>
        <w:tc>
          <w:tcPr>
            <w:tcW w:w="5400" w:type="dxa"/>
            <w:vAlign w:val="bottom"/>
          </w:tcPr>
          <w:p>
            <w:pPr>
              <w:ind w:left="180"/>
              <w:spacing w:after="0"/>
              <w:rPr>
                <w:sz w:val="20"/>
                <w:szCs w:val="20"/>
                <w:color w:val="auto"/>
              </w:rPr>
            </w:pPr>
            <w:r>
              <w:rPr>
                <w:rFonts w:ascii="Arial" w:cs="Arial" w:eastAsia="Arial" w:hAnsi="Arial"/>
                <w:sz w:val="14"/>
                <w:szCs w:val="14"/>
                <w:color w:val="auto"/>
              </w:rPr>
              <w:t>GAAP Diluted Earnings (Loss) per Share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0.10</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(0.19)</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0.03</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(0.14)</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(0.10)</w:t>
            </w:r>
          </w:p>
        </w:tc>
      </w:tr>
      <w:tr>
        <w:trPr>
          <w:trHeight w:val="270"/>
        </w:trPr>
        <w:tc>
          <w:tcPr>
            <w:tcW w:w="54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Charges, net of tax</w:t>
            </w:r>
          </w:p>
        </w:tc>
        <w:tc>
          <w:tcPr>
            <w:tcW w:w="1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0.22</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0.43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0.20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0.82</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0.63</w:t>
            </w:r>
          </w:p>
        </w:tc>
      </w:tr>
      <w:tr>
        <w:trPr>
          <w:trHeight w:val="283"/>
        </w:trPr>
        <w:tc>
          <w:tcPr>
            <w:tcW w:w="5400" w:type="dxa"/>
            <w:vAlign w:val="bottom"/>
          </w:tcPr>
          <w:p>
            <w:pPr>
              <w:ind w:left="180"/>
              <w:spacing w:after="0"/>
              <w:rPr>
                <w:sz w:val="20"/>
                <w:szCs w:val="20"/>
                <w:color w:val="auto"/>
              </w:rPr>
            </w:pPr>
            <w:r>
              <w:rPr>
                <w:rFonts w:ascii="Arial" w:cs="Arial" w:eastAsia="Arial" w:hAnsi="Arial"/>
                <w:sz w:val="14"/>
                <w:szCs w:val="14"/>
                <w:color w:val="auto"/>
              </w:rPr>
              <w:t>Non-GAAP Diluted Earnings per Share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0.32</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0.24</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0.23</w:t>
            </w: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0.68</w:t>
            </w: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0.53</w:t>
            </w:r>
          </w:p>
        </w:tc>
      </w:tr>
      <w:tr>
        <w:trPr>
          <w:trHeight w:val="143"/>
        </w:trPr>
        <w:tc>
          <w:tcPr>
            <w:tcW w:w="54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r>
      <w:tr>
        <w:trPr>
          <w:trHeight w:val="264"/>
        </w:trPr>
        <w:tc>
          <w:tcPr>
            <w:tcW w:w="5400" w:type="dxa"/>
            <w:vAlign w:val="bottom"/>
          </w:tcPr>
          <w:p>
            <w:pPr>
              <w:ind w:left="180"/>
              <w:spacing w:after="0"/>
              <w:rPr>
                <w:sz w:val="20"/>
                <w:szCs w:val="20"/>
                <w:color w:val="auto"/>
              </w:rPr>
            </w:pPr>
            <w:r>
              <w:rPr>
                <w:rFonts w:ascii="Arial" w:cs="Arial" w:eastAsia="Arial" w:hAnsi="Arial"/>
                <w:sz w:val="14"/>
                <w:szCs w:val="14"/>
                <w:b w:val="1"/>
                <w:bCs w:val="1"/>
                <w:color w:val="auto"/>
              </w:rPr>
              <w:t xml:space="preserve">GAAP Effective Tax Rate </w:t>
            </w:r>
            <w:r>
              <w:rPr>
                <w:rFonts w:ascii="Arial" w:cs="Arial" w:eastAsia="Arial" w:hAnsi="Arial"/>
                <w:sz w:val="8"/>
                <w:szCs w:val="8"/>
                <w:b w:val="1"/>
                <w:bCs w:val="1"/>
                <w:color w:val="auto"/>
              </w:rPr>
              <w:t>(e)</w:t>
            </w: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308%</w:t>
            </w:r>
          </w:p>
        </w:tc>
      </w:tr>
      <w:tr>
        <w:trPr>
          <w:trHeight w:val="276"/>
        </w:trPr>
        <w:tc>
          <w:tcPr>
            <w:tcW w:w="540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 xml:space="preserve">Non-GAAP Effective Tax Rate </w:t>
            </w:r>
            <w:r>
              <w:rPr>
                <w:rFonts w:ascii="Arial" w:cs="Arial" w:eastAsia="Arial" w:hAnsi="Arial"/>
                <w:sz w:val="8"/>
                <w:szCs w:val="8"/>
                <w:b w:val="1"/>
                <w:bCs w:val="1"/>
                <w:color w:val="auto"/>
              </w:rPr>
              <w:t>(f)</w:t>
            </w: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22 %</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r>
    </w:tbl>
    <w:p>
      <w:pPr>
        <w:spacing w:after="0" w:line="71" w:lineRule="exact"/>
        <w:rPr>
          <w:sz w:val="20"/>
          <w:szCs w:val="20"/>
          <w:color w:val="auto"/>
        </w:rPr>
      </w:pPr>
    </w:p>
    <w:p>
      <w:pPr>
        <w:ind w:left="340" w:hanging="332"/>
        <w:spacing w:after="0" w:line="238" w:lineRule="auto"/>
        <w:tabs>
          <w:tab w:leader="none" w:pos="340" w:val="left"/>
        </w:tabs>
        <w:numPr>
          <w:ilvl w:val="0"/>
          <w:numId w:val="11"/>
        </w:numPr>
        <w:rPr>
          <w:rFonts w:ascii="Arial" w:cs="Arial" w:eastAsia="Arial" w:hAnsi="Arial"/>
          <w:sz w:val="11"/>
          <w:szCs w:val="11"/>
          <w:color w:val="auto"/>
        </w:rPr>
      </w:pPr>
      <w:r>
        <w:rPr>
          <w:rFonts w:ascii="Arial" w:cs="Arial" w:eastAsia="Arial" w:hAnsi="Arial"/>
          <w:sz w:val="11"/>
          <w:szCs w:val="11"/>
          <w:color w:val="auto"/>
        </w:rPr>
        <w:t>Responsive to the recent disruptions in North Africa, principally Libya, the Company incorporated the restructuring of the affected markets into the our overall restructuring plan recognizing in the three months ended September 30, 2014, $67 million in asset impairments, $8 million in severance and $6 million in operating losses related to the exited businesses.</w:t>
      </w:r>
    </w:p>
    <w:p>
      <w:pPr>
        <w:jc w:val="both"/>
        <w:ind w:left="340" w:hanging="332"/>
        <w:spacing w:after="0" w:line="230" w:lineRule="auto"/>
        <w:tabs>
          <w:tab w:leader="none" w:pos="340" w:val="left"/>
        </w:tabs>
        <w:numPr>
          <w:ilvl w:val="0"/>
          <w:numId w:val="11"/>
        </w:numPr>
        <w:rPr>
          <w:rFonts w:ascii="Arial" w:cs="Arial" w:eastAsia="Arial" w:hAnsi="Arial"/>
          <w:sz w:val="11"/>
          <w:szCs w:val="11"/>
          <w:color w:val="auto"/>
        </w:rPr>
      </w:pPr>
      <w:r>
        <w:rPr>
          <w:rFonts w:ascii="Arial" w:cs="Arial" w:eastAsia="Arial" w:hAnsi="Arial"/>
          <w:sz w:val="11"/>
          <w:szCs w:val="11"/>
          <w:color w:val="auto"/>
        </w:rPr>
        <w:t>Other Restructuring, Exited Businesses and Severance Cost includes severance and restructuring costs of $79 million and $59 million for the three months ended September 30, 2014 and June 30, 2014, respectively, associated with our 2014 workforce and cost reduction initiatives, as well as $15 million and $27 million in operating losses related to businesses exited for the three months ended September 30, 2014 and June 30, 2014, respectively. These results are presented in comparison to the severance amounts recognized in the prior periods.</w:t>
      </w:r>
    </w:p>
    <w:p>
      <w:pPr>
        <w:spacing w:after="0" w:line="1" w:lineRule="exact"/>
        <w:rPr>
          <w:rFonts w:ascii="Arial" w:cs="Arial" w:eastAsia="Arial" w:hAnsi="Arial"/>
          <w:sz w:val="11"/>
          <w:szCs w:val="11"/>
          <w:color w:val="auto"/>
        </w:rPr>
      </w:pPr>
    </w:p>
    <w:p>
      <w:pPr>
        <w:ind w:left="340" w:hanging="332"/>
        <w:spacing w:after="0" w:line="230" w:lineRule="auto"/>
        <w:tabs>
          <w:tab w:leader="none" w:pos="340" w:val="left"/>
        </w:tabs>
        <w:numPr>
          <w:ilvl w:val="0"/>
          <w:numId w:val="11"/>
        </w:numPr>
        <w:rPr>
          <w:rFonts w:ascii="Arial" w:cs="Arial" w:eastAsia="Arial" w:hAnsi="Arial"/>
          <w:sz w:val="11"/>
          <w:szCs w:val="11"/>
          <w:color w:val="auto"/>
        </w:rPr>
      </w:pPr>
      <w:r>
        <w:rPr>
          <w:rFonts w:ascii="Arial" w:cs="Arial" w:eastAsia="Arial" w:hAnsi="Arial"/>
          <w:sz w:val="11"/>
          <w:szCs w:val="11"/>
          <w:color w:val="auto"/>
        </w:rPr>
        <w:t>The revenues associated with the legacy lump sum contracts in Iraq were $76 million, $43 million and $80 million for the three months ended September 30, 2014, June 30, 2014 and September 30, 2013, and $214 million and $460 million for the nine months ended September 30, 2014 and 2013, respectively.</w:t>
      </w:r>
    </w:p>
    <w:p>
      <w:pPr>
        <w:ind w:left="340" w:hanging="332"/>
        <w:spacing w:after="0" w:line="230" w:lineRule="auto"/>
        <w:tabs>
          <w:tab w:leader="none" w:pos="340" w:val="left"/>
        </w:tabs>
        <w:numPr>
          <w:ilvl w:val="0"/>
          <w:numId w:val="11"/>
        </w:numPr>
        <w:rPr>
          <w:rFonts w:ascii="Arial" w:cs="Arial" w:eastAsia="Arial" w:hAnsi="Arial"/>
          <w:sz w:val="11"/>
          <w:szCs w:val="11"/>
          <w:color w:val="auto"/>
        </w:rPr>
      </w:pPr>
      <w:r>
        <w:rPr>
          <w:rFonts w:ascii="Arial" w:cs="Arial" w:eastAsia="Arial" w:hAnsi="Arial"/>
          <w:sz w:val="11"/>
          <w:szCs w:val="11"/>
          <w:color w:val="auto"/>
        </w:rPr>
        <w:t>Professional Fees and Other, during the three months ended September 30, 2014, includes the cost of our divestiture program, the restatement related investigation and litigation costs and other charges.</w:t>
      </w:r>
    </w:p>
    <w:p>
      <w:pPr>
        <w:ind w:left="340" w:hanging="332"/>
        <w:spacing w:after="0" w:line="230" w:lineRule="auto"/>
        <w:tabs>
          <w:tab w:leader="none" w:pos="340" w:val="left"/>
        </w:tabs>
        <w:numPr>
          <w:ilvl w:val="0"/>
          <w:numId w:val="11"/>
        </w:numPr>
        <w:rPr>
          <w:rFonts w:ascii="Arial" w:cs="Arial" w:eastAsia="Arial" w:hAnsi="Arial"/>
          <w:sz w:val="11"/>
          <w:szCs w:val="11"/>
          <w:color w:val="auto"/>
        </w:rPr>
      </w:pPr>
      <w:r>
        <w:rPr>
          <w:rFonts w:ascii="Arial" w:cs="Arial" w:eastAsia="Arial" w:hAnsi="Arial"/>
          <w:sz w:val="11"/>
          <w:szCs w:val="11"/>
          <w:color w:val="auto"/>
        </w:rPr>
        <w:t>GAAP Effective Tax Rate is GAAP provision for income taxes divided by GAAP income before income taxes.</w:t>
      </w:r>
    </w:p>
    <w:p>
      <w:pPr>
        <w:ind w:left="340" w:hanging="332"/>
        <w:spacing w:after="0"/>
        <w:tabs>
          <w:tab w:leader="none" w:pos="340" w:val="left"/>
        </w:tabs>
        <w:numPr>
          <w:ilvl w:val="0"/>
          <w:numId w:val="11"/>
        </w:numPr>
        <w:rPr>
          <w:rFonts w:ascii="Arial" w:cs="Arial" w:eastAsia="Arial" w:hAnsi="Arial"/>
          <w:sz w:val="11"/>
          <w:szCs w:val="11"/>
          <w:color w:val="auto"/>
        </w:rPr>
      </w:pPr>
      <w:r>
        <w:rPr>
          <w:rFonts w:ascii="Arial" w:cs="Arial" w:eastAsia="Arial" w:hAnsi="Arial"/>
          <w:sz w:val="11"/>
          <w:szCs w:val="11"/>
          <w:color w:val="auto"/>
        </w:rPr>
        <w:t>Non-GAAP Effective Tax Rate is the Non-GAAP provision for income taxes divided by Non-GAAP income before income taxes.</w:t>
      </w:r>
    </w:p>
    <w:p>
      <w:pPr>
        <w:sectPr>
          <w:pgSz w:w="11900" w:h="16838" w:orient="portrait"/>
          <w:cols w:equalWidth="0" w:num="1">
            <w:col w:w="11420"/>
          </w:cols>
          <w:pgMar w:left="240" w:top="629" w:right="239" w:bottom="28" w:gutter="0" w:footer="0" w:header="0"/>
        </w:sect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629" w:right="239" w:bottom="28"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Balance Sheet Data</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9/30/2014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6/30/2014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3/31/2014</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12/31/2013</w:t>
            </w:r>
          </w:p>
        </w:tc>
      </w:tr>
      <w:tr>
        <w:trPr>
          <w:trHeight w:val="27"/>
        </w:trPr>
        <w:tc>
          <w:tcPr>
            <w:tcW w:w="59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582</w:t>
            </w:r>
          </w:p>
        </w:tc>
        <w:tc>
          <w:tcPr>
            <w:tcW w:w="2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571</w:t>
            </w:r>
          </w:p>
        </w:tc>
        <w:tc>
          <w:tcPr>
            <w:tcW w:w="2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367</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435</w:t>
            </w:r>
          </w:p>
        </w:tc>
      </w:tr>
      <w:tr>
        <w:trPr>
          <w:trHeight w:val="27"/>
        </w:trPr>
        <w:tc>
          <w:tcPr>
            <w:tcW w:w="59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3,531</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3,399</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Inventories, Net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3,317</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3,365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3,321</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3,290</w:t>
            </w:r>
          </w:p>
        </w:tc>
      </w:tr>
      <w:tr>
        <w:trPr>
          <w:trHeight w:val="27"/>
        </w:trPr>
        <w:tc>
          <w:tcPr>
            <w:tcW w:w="59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7,460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7,588</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7,486</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7,592</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Goodwill and Intangibles, Net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3,905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4,044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4,013</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4,105</w:t>
            </w:r>
          </w:p>
        </w:tc>
      </w:tr>
      <w:tr>
        <w:trPr>
          <w:trHeight w:val="27"/>
        </w:trPr>
        <w:tc>
          <w:tcPr>
            <w:tcW w:w="59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Investments</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Current Assets Held for Sale</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240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1,034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1,261</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1,311</w:t>
            </w:r>
          </w:p>
        </w:tc>
      </w:tr>
      <w:tr>
        <w:trPr>
          <w:trHeight w:val="27"/>
        </w:trPr>
        <w:tc>
          <w:tcPr>
            <w:tcW w:w="59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324"/>
        </w:trPr>
        <w:tc>
          <w:tcPr>
            <w:tcW w:w="59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59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1,784</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1,822</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1,879</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1,956</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Short-term Borrowings and Current Portion of Long-term Debt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1,715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2,404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2,283</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1,653</w:t>
            </w:r>
          </w:p>
        </w:tc>
      </w:tr>
      <w:tr>
        <w:trPr>
          <w:trHeight w:val="27"/>
        </w:trPr>
        <w:tc>
          <w:tcPr>
            <w:tcW w:w="59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7,004</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7,021</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7,039</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7,061</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Current Liabilities Held for Sale</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189</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236</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238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42"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7000" w:type="dxa"/>
            <w:vAlign w:val="bottom"/>
            <w:gridSpan w:val="2"/>
          </w:tcPr>
          <w:p>
            <w:pPr>
              <w:jc w:val="center"/>
              <w:ind w:left="4290"/>
              <w:spacing w:after="0"/>
              <w:rPr>
                <w:sz w:val="20"/>
                <w:szCs w:val="20"/>
                <w:color w:val="auto"/>
              </w:rPr>
            </w:pPr>
            <w:r>
              <w:rPr>
                <w:rFonts w:ascii="Arial" w:cs="Arial" w:eastAsia="Arial" w:hAnsi="Arial"/>
                <w:sz w:val="18"/>
                <w:szCs w:val="18"/>
                <w:b w:val="1"/>
                <w:bCs w:val="1"/>
                <w:color w:val="auto"/>
                <w:w w:val="93"/>
              </w:rPr>
              <w:t>Weatherford International plc</w:t>
            </w: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0"/>
        </w:trPr>
        <w:tc>
          <w:tcPr>
            <w:tcW w:w="6800" w:type="dxa"/>
            <w:vAlign w:val="bottom"/>
          </w:tcPr>
          <w:p>
            <w:pPr>
              <w:jc w:val="center"/>
              <w:ind w:left="4510"/>
              <w:spacing w:after="0"/>
              <w:rPr>
                <w:sz w:val="20"/>
                <w:szCs w:val="20"/>
                <w:color w:val="auto"/>
              </w:rPr>
            </w:pPr>
            <w:r>
              <w:rPr>
                <w:rFonts w:ascii="Arial" w:cs="Arial" w:eastAsia="Arial" w:hAnsi="Arial"/>
                <w:sz w:val="18"/>
                <w:szCs w:val="18"/>
                <w:b w:val="1"/>
                <w:bCs w:val="1"/>
                <w:color w:val="auto"/>
                <w:w w:val="91"/>
              </w:rPr>
              <w:t>Net Debt</w:t>
            </w: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6800" w:type="dxa"/>
            <w:vAlign w:val="bottom"/>
          </w:tcPr>
          <w:p>
            <w:pPr>
              <w:jc w:val="center"/>
              <w:ind w:left="4490"/>
              <w:spacing w:after="0"/>
              <w:rPr>
                <w:sz w:val="20"/>
                <w:szCs w:val="20"/>
                <w:color w:val="auto"/>
              </w:rPr>
            </w:pPr>
            <w:r>
              <w:rPr>
                <w:rFonts w:ascii="Arial" w:cs="Arial" w:eastAsia="Arial" w:hAnsi="Arial"/>
                <w:sz w:val="18"/>
                <w:szCs w:val="18"/>
                <w:color w:val="auto"/>
                <w:w w:val="91"/>
              </w:rPr>
              <w:t>(Unaudited)</w:t>
            </w: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6800" w:type="dxa"/>
            <w:vAlign w:val="bottom"/>
          </w:tcPr>
          <w:p>
            <w:pPr>
              <w:jc w:val="center"/>
              <w:ind w:left="4510"/>
              <w:spacing w:after="0"/>
              <w:rPr>
                <w:sz w:val="20"/>
                <w:szCs w:val="20"/>
                <w:color w:val="auto"/>
              </w:rPr>
            </w:pPr>
            <w:r>
              <w:rPr>
                <w:rFonts w:ascii="Arial" w:cs="Arial" w:eastAsia="Arial" w:hAnsi="Arial"/>
                <w:sz w:val="18"/>
                <w:szCs w:val="18"/>
                <w:color w:val="auto"/>
                <w:w w:val="99"/>
              </w:rPr>
              <w:t>(In Millions)</w:t>
            </w: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97"/>
        </w:trPr>
        <w:tc>
          <w:tcPr>
            <w:tcW w:w="6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Change in Net Debt for the Three Months Ended 9/30/2014:</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6800" w:type="dxa"/>
            <w:vAlign w:val="bottom"/>
          </w:tcPr>
          <w:p>
            <w:pPr>
              <w:ind w:left="160"/>
              <w:spacing w:after="0"/>
              <w:rPr>
                <w:sz w:val="20"/>
                <w:szCs w:val="20"/>
                <w:color w:val="auto"/>
              </w:rPr>
            </w:pPr>
            <w:r>
              <w:rPr>
                <w:rFonts w:ascii="Arial" w:cs="Arial" w:eastAsia="Arial" w:hAnsi="Arial"/>
                <w:sz w:val="18"/>
                <w:szCs w:val="18"/>
                <w:color w:val="auto"/>
              </w:rPr>
              <w:t>Net Debt at 6/30/2014</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(8,854)</w:t>
            </w:r>
          </w:p>
        </w:tc>
      </w:tr>
      <w:tr>
        <w:trPr>
          <w:trHeight w:val="27"/>
        </w:trPr>
        <w:tc>
          <w:tcPr>
            <w:tcW w:w="6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318</w:t>
            </w:r>
          </w:p>
        </w:tc>
      </w:tr>
      <w:tr>
        <w:trPr>
          <w:trHeight w:val="243"/>
        </w:trPr>
        <w:tc>
          <w:tcPr>
            <w:tcW w:w="680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327</w:t>
            </w:r>
          </w:p>
        </w:tc>
      </w:tr>
      <w:tr>
        <w:trPr>
          <w:trHeight w:val="27"/>
        </w:trPr>
        <w:tc>
          <w:tcPr>
            <w:tcW w:w="6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Capital Expenditures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r>
      <w:tr>
        <w:trPr>
          <w:trHeight w:val="243"/>
        </w:trPr>
        <w:tc>
          <w:tcPr>
            <w:tcW w:w="6800" w:type="dxa"/>
            <w:vAlign w:val="bottom"/>
          </w:tcPr>
          <w:p>
            <w:pPr>
              <w:ind w:left="260"/>
              <w:spacing w:after="0"/>
              <w:rPr>
                <w:sz w:val="20"/>
                <w:szCs w:val="20"/>
                <w:color w:val="auto"/>
              </w:rPr>
            </w:pPr>
            <w:r>
              <w:rPr>
                <w:rFonts w:ascii="Arial" w:cs="Arial" w:eastAsia="Arial" w:hAnsi="Arial"/>
                <w:sz w:val="18"/>
                <w:szCs w:val="18"/>
                <w:color w:val="auto"/>
              </w:rPr>
              <w:t>Restructuring Charges</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138</w:t>
            </w:r>
          </w:p>
        </w:tc>
      </w:tr>
      <w:tr>
        <w:trPr>
          <w:trHeight w:val="27"/>
        </w:trPr>
        <w:tc>
          <w:tcPr>
            <w:tcW w:w="6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Increase in Working Capital</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43"/>
        </w:trPr>
        <w:tc>
          <w:tcPr>
            <w:tcW w:w="6800" w:type="dxa"/>
            <w:vAlign w:val="bottom"/>
          </w:tcPr>
          <w:p>
            <w:pPr>
              <w:ind w:left="260"/>
              <w:spacing w:after="0"/>
              <w:rPr>
                <w:sz w:val="20"/>
                <w:szCs w:val="20"/>
                <w:color w:val="auto"/>
              </w:rPr>
            </w:pPr>
            <w:r>
              <w:rPr>
                <w:rFonts w:ascii="Arial" w:cs="Arial" w:eastAsia="Arial" w:hAnsi="Arial"/>
                <w:sz w:val="18"/>
                <w:szCs w:val="18"/>
                <w:color w:val="auto"/>
              </w:rPr>
              <w:t>Income Taxes Paid</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7"/>
        </w:trPr>
        <w:tc>
          <w:tcPr>
            <w:tcW w:w="6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Interest Paid</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43"/>
        </w:trPr>
        <w:tc>
          <w:tcPr>
            <w:tcW w:w="6800" w:type="dxa"/>
            <w:vAlign w:val="bottom"/>
          </w:tcPr>
          <w:p>
            <w:pPr>
              <w:ind w:left="260"/>
              <w:spacing w:after="0"/>
              <w:rPr>
                <w:sz w:val="20"/>
                <w:szCs w:val="20"/>
                <w:color w:val="auto"/>
              </w:rPr>
            </w:pPr>
            <w:r>
              <w:rPr>
                <w:rFonts w:ascii="Arial" w:cs="Arial" w:eastAsia="Arial" w:hAnsi="Arial"/>
                <w:sz w:val="18"/>
                <w:szCs w:val="18"/>
                <w:color w:val="auto"/>
              </w:rPr>
              <w:t>Acquisitions and Divestitures of Assets and Businesses, Net</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755</w:t>
            </w:r>
          </w:p>
        </w:tc>
      </w:tr>
      <w:tr>
        <w:trPr>
          <w:trHeight w:val="27"/>
        </w:trPr>
        <w:tc>
          <w:tcPr>
            <w:tcW w:w="6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Change in Billing in Excess/Costs in Excess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6800" w:type="dxa"/>
            <w:vAlign w:val="bottom"/>
          </w:tcPr>
          <w:p>
            <w:pPr>
              <w:ind w:left="26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68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6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Debt at 9/30/2014</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(8,137)</w:t>
            </w:r>
          </w:p>
        </w:tc>
      </w:tr>
      <w:tr>
        <w:trPr>
          <w:trHeight w:val="20"/>
        </w:trPr>
        <w:tc>
          <w:tcPr>
            <w:tcW w:w="6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57"/>
        </w:trPr>
        <w:tc>
          <w:tcPr>
            <w:tcW w:w="6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50"/>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Change in Net Debt for the Nine Months Ended 9/30/2014:</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6800" w:type="dxa"/>
            <w:vAlign w:val="bottom"/>
          </w:tcPr>
          <w:p>
            <w:pPr>
              <w:ind w:left="160"/>
              <w:spacing w:after="0"/>
              <w:rPr>
                <w:sz w:val="20"/>
                <w:szCs w:val="20"/>
                <w:color w:val="auto"/>
              </w:rPr>
            </w:pPr>
            <w:r>
              <w:rPr>
                <w:rFonts w:ascii="Arial" w:cs="Arial" w:eastAsia="Arial" w:hAnsi="Arial"/>
                <w:sz w:val="18"/>
                <w:szCs w:val="18"/>
                <w:color w:val="auto"/>
              </w:rPr>
              <w:t>Net Debt at 12/31/2013</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(8,279)</w:t>
            </w:r>
          </w:p>
        </w:tc>
      </w:tr>
      <w:tr>
        <w:trPr>
          <w:trHeight w:val="27"/>
        </w:trPr>
        <w:tc>
          <w:tcPr>
            <w:tcW w:w="6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473</w:t>
            </w:r>
          </w:p>
        </w:tc>
      </w:tr>
      <w:tr>
        <w:trPr>
          <w:trHeight w:val="243"/>
        </w:trPr>
        <w:tc>
          <w:tcPr>
            <w:tcW w:w="680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1,033</w:t>
            </w:r>
          </w:p>
        </w:tc>
      </w:tr>
      <w:tr>
        <w:trPr>
          <w:trHeight w:val="27"/>
        </w:trPr>
        <w:tc>
          <w:tcPr>
            <w:tcW w:w="6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Capital Expenditures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w:t>
            </w:r>
          </w:p>
        </w:tc>
      </w:tr>
      <w:tr>
        <w:trPr>
          <w:trHeight w:val="243"/>
        </w:trPr>
        <w:tc>
          <w:tcPr>
            <w:tcW w:w="6800" w:type="dxa"/>
            <w:vAlign w:val="bottom"/>
          </w:tcPr>
          <w:p>
            <w:pPr>
              <w:ind w:left="260"/>
              <w:spacing w:after="0"/>
              <w:rPr>
                <w:sz w:val="20"/>
                <w:szCs w:val="20"/>
                <w:color w:val="auto"/>
              </w:rPr>
            </w:pPr>
            <w:r>
              <w:rPr>
                <w:rFonts w:ascii="Arial" w:cs="Arial" w:eastAsia="Arial" w:hAnsi="Arial"/>
                <w:sz w:val="18"/>
                <w:szCs w:val="18"/>
                <w:color w:val="auto"/>
              </w:rPr>
              <w:t>Long-Lived Asset and Goodwill Impairment</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264</w:t>
            </w:r>
          </w:p>
        </w:tc>
      </w:tr>
      <w:tr>
        <w:trPr>
          <w:trHeight w:val="27"/>
        </w:trPr>
        <w:tc>
          <w:tcPr>
            <w:tcW w:w="6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Restructuring Charges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w:t>
            </w:r>
          </w:p>
        </w:tc>
      </w:tr>
      <w:tr>
        <w:trPr>
          <w:trHeight w:val="243"/>
        </w:trPr>
        <w:tc>
          <w:tcPr>
            <w:tcW w:w="6800" w:type="dxa"/>
            <w:vAlign w:val="bottom"/>
          </w:tcPr>
          <w:p>
            <w:pPr>
              <w:ind w:left="260"/>
              <w:spacing w:after="0"/>
              <w:rPr>
                <w:sz w:val="20"/>
                <w:szCs w:val="20"/>
                <w:color w:val="auto"/>
              </w:rPr>
            </w:pPr>
            <w:r>
              <w:rPr>
                <w:rFonts w:ascii="Arial" w:cs="Arial" w:eastAsia="Arial" w:hAnsi="Arial"/>
                <w:sz w:val="18"/>
                <w:szCs w:val="18"/>
                <w:color w:val="auto"/>
              </w:rPr>
              <w:t>Increase in Working Capital</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(314)</w:t>
            </w:r>
          </w:p>
        </w:tc>
      </w:tr>
      <w:tr>
        <w:trPr>
          <w:trHeight w:val="27"/>
        </w:trPr>
        <w:tc>
          <w:tcPr>
            <w:tcW w:w="6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Income Taxes Paid</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r>
      <w:tr>
        <w:trPr>
          <w:trHeight w:val="243"/>
        </w:trPr>
        <w:tc>
          <w:tcPr>
            <w:tcW w:w="6800" w:type="dxa"/>
            <w:vAlign w:val="bottom"/>
          </w:tcPr>
          <w:p>
            <w:pPr>
              <w:ind w:left="260"/>
              <w:spacing w:after="0"/>
              <w:rPr>
                <w:sz w:val="20"/>
                <w:szCs w:val="20"/>
                <w:color w:val="auto"/>
              </w:rPr>
            </w:pPr>
            <w:r>
              <w:rPr>
                <w:rFonts w:ascii="Arial" w:cs="Arial" w:eastAsia="Arial" w:hAnsi="Arial"/>
                <w:sz w:val="18"/>
                <w:szCs w:val="18"/>
                <w:color w:val="auto"/>
              </w:rPr>
              <w:t>Interest Paid</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(436)</w:t>
            </w:r>
          </w:p>
        </w:tc>
      </w:tr>
      <w:tr>
        <w:trPr>
          <w:trHeight w:val="27"/>
        </w:trPr>
        <w:tc>
          <w:tcPr>
            <w:tcW w:w="6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FCPA / Sanctioned Country Matters Payment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243"/>
        </w:trPr>
        <w:tc>
          <w:tcPr>
            <w:tcW w:w="6800" w:type="dxa"/>
            <w:vAlign w:val="bottom"/>
          </w:tcPr>
          <w:p>
            <w:pPr>
              <w:ind w:left="260"/>
              <w:spacing w:after="0"/>
              <w:rPr>
                <w:sz w:val="20"/>
                <w:szCs w:val="20"/>
                <w:color w:val="auto"/>
              </w:rPr>
            </w:pPr>
            <w:r>
              <w:rPr>
                <w:rFonts w:ascii="Arial" w:cs="Arial" w:eastAsia="Arial" w:hAnsi="Arial"/>
                <w:sz w:val="18"/>
                <w:szCs w:val="18"/>
                <w:color w:val="auto"/>
              </w:rPr>
              <w:t>Acquisitions and Divestitures of Assets and Businesses, Net</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795</w:t>
            </w:r>
          </w:p>
        </w:tc>
      </w:tr>
      <w:tr>
        <w:trPr>
          <w:trHeight w:val="27"/>
        </w:trPr>
        <w:tc>
          <w:tcPr>
            <w:tcW w:w="6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Proceeds from Sale of Executive Deferred Compensation Treasury Shares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r>
      <w:tr>
        <w:trPr>
          <w:trHeight w:val="243"/>
        </w:trPr>
        <w:tc>
          <w:tcPr>
            <w:tcW w:w="6800" w:type="dxa"/>
            <w:vAlign w:val="bottom"/>
          </w:tcPr>
          <w:p>
            <w:pPr>
              <w:ind w:left="260"/>
              <w:spacing w:after="0"/>
              <w:rPr>
                <w:sz w:val="20"/>
                <w:szCs w:val="20"/>
                <w:color w:val="auto"/>
              </w:rPr>
            </w:pPr>
            <w:r>
              <w:rPr>
                <w:rFonts w:ascii="Arial" w:cs="Arial" w:eastAsia="Arial" w:hAnsi="Arial"/>
                <w:sz w:val="18"/>
                <w:szCs w:val="18"/>
                <w:color w:val="auto"/>
              </w:rPr>
              <w:t>Net Change in Billing in Excess/Costs in Excess</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7"/>
        </w:trPr>
        <w:tc>
          <w:tcPr>
            <w:tcW w:w="6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97"/>
        </w:trPr>
        <w:tc>
          <w:tcPr>
            <w:tcW w:w="68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Debt at 9/30/2014</w:t>
            </w:r>
          </w:p>
        </w:tc>
        <w:tc>
          <w:tcPr>
            <w:tcW w:w="20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(8,137)</w:t>
            </w:r>
          </w:p>
        </w:tc>
      </w:tr>
      <w:tr>
        <w:trPr>
          <w:trHeight w:val="284"/>
        </w:trPr>
        <w:tc>
          <w:tcPr>
            <w:tcW w:w="68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97"/>
        </w:trPr>
        <w:tc>
          <w:tcPr>
            <w:tcW w:w="68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64"/>
        </w:trPr>
        <w:tc>
          <w:tcPr>
            <w:tcW w:w="6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Components of Net Debt</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9/30/2014</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6/30/2014</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7"/>
              </w:rPr>
              <w:t>12/31/2013</w:t>
            </w:r>
          </w:p>
        </w:tc>
      </w:tr>
      <w:tr>
        <w:trPr>
          <w:trHeight w:val="237"/>
        </w:trPr>
        <w:tc>
          <w:tcPr>
            <w:tcW w:w="6800" w:type="dxa"/>
            <w:vAlign w:val="bottom"/>
          </w:tcPr>
          <w:p>
            <w:pPr>
              <w:ind w:left="260"/>
              <w:spacing w:after="0"/>
              <w:rPr>
                <w:sz w:val="20"/>
                <w:szCs w:val="20"/>
                <w:color w:val="auto"/>
              </w:rPr>
            </w:pPr>
            <w:r>
              <w:rPr>
                <w:rFonts w:ascii="Arial" w:cs="Arial" w:eastAsia="Arial" w:hAnsi="Arial"/>
                <w:sz w:val="18"/>
                <w:szCs w:val="18"/>
                <w:color w:val="auto"/>
              </w:rPr>
              <w:t>Cash</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582</w:t>
            </w:r>
          </w:p>
        </w:tc>
        <w:tc>
          <w:tcPr>
            <w:tcW w:w="24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571</w:t>
            </w:r>
          </w:p>
        </w:tc>
        <w:tc>
          <w:tcPr>
            <w:tcW w:w="24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435</w:t>
            </w:r>
          </w:p>
        </w:tc>
      </w:tr>
      <w:tr>
        <w:trPr>
          <w:trHeight w:val="27"/>
        </w:trPr>
        <w:tc>
          <w:tcPr>
            <w:tcW w:w="6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Short-term Borrowings and Current Portion of 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(2,404)</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(1,653)</w:t>
            </w:r>
          </w:p>
        </w:tc>
      </w:tr>
      <w:tr>
        <w:trPr>
          <w:trHeight w:val="243"/>
        </w:trPr>
        <w:tc>
          <w:tcPr>
            <w:tcW w:w="6800" w:type="dxa"/>
            <w:vAlign w:val="bottom"/>
          </w:tcPr>
          <w:p>
            <w:pPr>
              <w:ind w:left="260"/>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(7,004)</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(7,021)</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(7,061)</w:t>
            </w:r>
          </w:p>
        </w:tc>
      </w:tr>
      <w:tr>
        <w:trPr>
          <w:trHeight w:val="27"/>
        </w:trPr>
        <w:tc>
          <w:tcPr>
            <w:tcW w:w="6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6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Debt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(8,137)</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(8,854)</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(8,279)</w:t>
            </w:r>
          </w:p>
        </w:tc>
      </w:tr>
      <w:tr>
        <w:trPr>
          <w:trHeight w:val="20"/>
        </w:trPr>
        <w:tc>
          <w:tcPr>
            <w:tcW w:w="6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160"/>
        <w:spacing w:after="0" w:line="273" w:lineRule="auto"/>
        <w:rPr>
          <w:sz w:val="20"/>
          <w:szCs w:val="20"/>
          <w:color w:val="auto"/>
        </w:rPr>
      </w:pPr>
      <w:r>
        <w:rPr>
          <w:rFonts w:ascii="Arial" w:cs="Arial" w:eastAsia="Arial" w:hAnsi="Arial"/>
          <w:sz w:val="14"/>
          <w:szCs w:val="14"/>
          <w:color w:val="auto"/>
        </w:rPr>
        <w:t>“Net Debt” is defined as debt less cash. Management believes that Net Debt provides useful information regarding the level of Weatherford indebtedness by reflecting cash that could be used to repay debt.</w:t>
      </w:r>
    </w:p>
    <w:p>
      <w:pPr>
        <w:spacing w:after="0" w:line="120" w:lineRule="exact"/>
        <w:rPr>
          <w:sz w:val="20"/>
          <w:szCs w:val="20"/>
          <w:color w:val="auto"/>
        </w:rPr>
      </w:pPr>
    </w:p>
    <w:p>
      <w:pPr>
        <w:ind w:left="160"/>
        <w:spacing w:after="0"/>
        <w:rPr>
          <w:sz w:val="20"/>
          <w:szCs w:val="20"/>
          <w:color w:val="auto"/>
        </w:rPr>
      </w:pPr>
      <w:r>
        <w:rPr>
          <w:rFonts w:ascii="Arial" w:cs="Arial" w:eastAsia="Arial" w:hAnsi="Arial"/>
          <w:sz w:val="14"/>
          <w:szCs w:val="14"/>
          <w:color w:val="auto"/>
        </w:rPr>
        <w:t>Working capital is defined as accounts receivable plus inventory less accounts payable.</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Net Debt above excludes $13 million and $4 million of short-term debt classified in current liabilities held for sale at December 2013 and June 2014, respectively.</w:t>
      </w:r>
    </w:p>
    <w:p>
      <w:pPr>
        <w:sectPr>
          <w:pgSz w:w="11900" w:h="16838" w:orient="portrait"/>
          <w:cols w:equalWidth="0" w:num="1">
            <w:col w:w="11400"/>
          </w:cols>
          <w:pgMar w:left="260" w:top="742" w:right="239" w:bottom="1440" w:gutter="0" w:footer="0" w:header="0"/>
        </w:sectPr>
      </w:pPr>
    </w:p>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00"/>
          </w:cols>
          <w:pgMar w:left="260" w:top="742" w:right="239" w:bottom="1440" w:gutter="0" w:footer="0" w:header="0"/>
          <w:type w:val="continuous"/>
        </w:sectPr>
      </w:pPr>
    </w:p>
    <w:bookmarkStart w:id="16" w:name="page17"/>
    <w:bookmarkEnd w:id="16"/>
    <w:p>
      <w:pPr>
        <w:jc w:val="both"/>
        <w:spacing w:after="0" w:line="257" w:lineRule="auto"/>
        <w:rPr>
          <w:sz w:val="20"/>
          <w:szCs w:val="20"/>
          <w:color w:val="auto"/>
        </w:rPr>
      </w:pPr>
      <w:r>
        <w:rPr>
          <w:rFonts w:ascii="Arial" w:cs="Arial" w:eastAsia="Arial" w:hAnsi="Arial"/>
          <w:sz w:val="18"/>
          <w:szCs w:val="18"/>
          <w:color w:val="auto"/>
        </w:rPr>
        <w:t>We report our financial results in accordance with U.S. generally accepted accounting principles (GAAP). However, Weatherford’s management believes that certain non-GAAP financial measures and ratios (as defined under the SEC’s Regulation G) may provide users of this financial information, additional meaningful comparisons between current results and results of prior periods. The non-GAAP amounts shown below should not be considered as substitutes for cash flow information prepared and reported in accordance with GAAP, but should be viewed in addition to the Company’s reported cash flow statements prepared in accordance with GAAP.</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Cash Flow Data</w:t>
      </w:r>
    </w:p>
    <w:p>
      <w:pPr>
        <w:spacing w:after="0" w:line="6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0" w:type="dxa"/>
            <w:vAlign w:val="bottom"/>
            <w:gridSpan w:val="8"/>
          </w:tcPr>
          <w:p>
            <w:pPr>
              <w:ind w:left="76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0"/>
                <w:szCs w:val="20"/>
                <w:color w:val="auto"/>
              </w:rPr>
            </w:pPr>
          </w:p>
        </w:tc>
        <w:tc>
          <w:tcPr>
            <w:tcW w:w="212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5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9/30/2014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6/30/2014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9/30/2013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9/30/2014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9/30/2013</w:t>
            </w:r>
          </w:p>
        </w:tc>
      </w:tr>
      <w:tr>
        <w:trPr>
          <w:trHeight w:val="27"/>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567</w:t>
            </w:r>
          </w:p>
        </w:tc>
      </w:tr>
      <w:tr>
        <w:trPr>
          <w:trHeight w:val="270"/>
        </w:trPr>
        <w:tc>
          <w:tcPr>
            <w:tcW w:w="5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Capital Expenditures for Property, Plant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(1,211)</w:t>
            </w:r>
          </w:p>
        </w:tc>
      </w:tr>
      <w:tr>
        <w:trPr>
          <w:trHeight w:val="270"/>
        </w:trPr>
        <w:tc>
          <w:tcPr>
            <w:tcW w:w="56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Free Cash Flow</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w:t>
            </w: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Free cash flow is defined as net cash provided by or used in operating activities less capital expenditures. Free cash flow is an important indicator of how much cash is generated or used by our normal business operations, including capital expenditures. Management uses free cash flow as a measure of progress on its capital efficiency and cash flow initiatives.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4"/>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2019-12-08T10:16:06Z</dcterms:created>
  <dcterms:modified xsi:type="dcterms:W3CDTF">2019-12-08T10:16:06Z</dcterms:modified>
</cp:coreProperties>
</file>