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156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68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Mills Douglas M.</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01/27/2015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&amp; Chief Accounting Officer</w:t>
      </w:r>
    </w:p>
    <w:p>
      <w:pPr>
        <w:spacing w:after="0" w:line="32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7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62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Pr>
          <w:p>
            <w:pPr>
              <w:spacing w:after="0"/>
              <w:rPr>
                <w:sz w:val="23"/>
                <w:szCs w:val="23"/>
                <w:color w:val="auto"/>
              </w:rPr>
            </w:pPr>
          </w:p>
        </w:tc>
        <w:tc>
          <w:tcPr>
            <w:tcW w:w="1760" w:type="dxa"/>
            <w:vAlign w:val="bottom"/>
            <w:gridSpan w:val="2"/>
          </w:tcPr>
          <w:p>
            <w:pPr>
              <w:ind w:left="800"/>
              <w:spacing w:after="0"/>
              <w:rPr>
                <w:sz w:val="20"/>
                <w:szCs w:val="20"/>
                <w:color w:val="auto"/>
              </w:rPr>
            </w:pPr>
            <w:r>
              <w:rPr>
                <w:rFonts w:ascii="Arial" w:cs="Arial" w:eastAsia="Arial" w:hAnsi="Arial"/>
                <w:sz w:val="17"/>
                <w:szCs w:val="17"/>
                <w:color w:val="0000FF"/>
              </w:rPr>
              <w:t>01/27/2015</w:t>
            </w: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44,603</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80" w:type="dxa"/>
            <w:vAlign w:val="bottom"/>
            <w:gridSpan w:val="3"/>
          </w:tcPr>
          <w:p>
            <w:pPr>
              <w:jc w:val="right"/>
              <w:ind w:right="319"/>
              <w:spacing w:after="0"/>
              <w:rPr>
                <w:sz w:val="20"/>
                <w:szCs w:val="20"/>
                <w:color w:val="auto"/>
              </w:rPr>
            </w:pPr>
            <w:r>
              <w:rPr>
                <w:rFonts w:ascii="Arial" w:cs="Arial" w:eastAsia="Arial" w:hAnsi="Arial"/>
                <w:sz w:val="17"/>
                <w:szCs w:val="17"/>
                <w:color w:val="0000FF"/>
              </w:rPr>
              <w:t>152,354</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80" w:type="dxa"/>
            <w:vAlign w:val="bottom"/>
            <w:gridSpan w:val="3"/>
            <w:vMerge w:val="restart"/>
          </w:tcPr>
          <w:p>
            <w:pPr>
              <w:jc w:val="right"/>
              <w:ind w:right="399"/>
              <w:spacing w:after="0"/>
              <w:rPr>
                <w:sz w:val="20"/>
                <w:szCs w:val="20"/>
                <w:color w:val="auto"/>
              </w:rPr>
            </w:pPr>
            <w:r>
              <w:rPr>
                <w:rFonts w:ascii="Arial" w:cs="Arial" w:eastAsia="Arial" w:hAnsi="Arial"/>
                <w:sz w:val="17"/>
                <w:szCs w:val="17"/>
                <w:color w:val="0000FF"/>
              </w:rPr>
              <w:t>2,126</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20" w:type="dxa"/>
            <w:vAlign w:val="bottom"/>
            <w:vMerge w:val="restart"/>
          </w:tcPr>
          <w:p>
            <w:pPr>
              <w:ind w:left="260"/>
              <w:spacing w:after="0"/>
              <w:rPr>
                <w:sz w:val="20"/>
                <w:szCs w:val="20"/>
                <w:color w:val="auto"/>
              </w:rPr>
            </w:pPr>
            <w:r>
              <w:rPr>
                <w:rFonts w:ascii="Arial" w:cs="Arial" w:eastAsia="Arial" w:hAnsi="Arial"/>
                <w:sz w:val="13"/>
                <w:szCs w:val="13"/>
                <w:color w:val="0000FF"/>
              </w:rPr>
              <w:t>01/27/2015</w:t>
            </w:r>
          </w:p>
        </w:tc>
        <w:tc>
          <w:tcPr>
            <w:tcW w:w="1120" w:type="dxa"/>
            <w:vAlign w:val="bottom"/>
          </w:tcPr>
          <w:p>
            <w:pPr>
              <w:spacing w:after="0"/>
              <w:rPr>
                <w:sz w:val="16"/>
                <w:szCs w:val="1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rPr>
              <w:t>62,444</w:t>
            </w:r>
          </w:p>
        </w:tc>
        <w:tc>
          <w:tcPr>
            <w:tcW w:w="300" w:type="dxa"/>
            <w:vAlign w:val="bottom"/>
          </w:tcPr>
          <w:p>
            <w:pPr>
              <w:spacing w:after="0"/>
              <w:rPr>
                <w:sz w:val="16"/>
                <w:szCs w:val="16"/>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(2)</w:t>
            </w:r>
          </w:p>
        </w:tc>
        <w:tc>
          <w:tcPr>
            <w:tcW w:w="660" w:type="dxa"/>
            <w:vAlign w:val="bottom"/>
          </w:tcPr>
          <w:p>
            <w:pPr>
              <w:ind w:left="4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ind w:left="16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62,444</w:t>
            </w:r>
          </w:p>
        </w:tc>
        <w:tc>
          <w:tcPr>
            <w:tcW w:w="30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Transaction was a grant of restricted share units and therefore has no price. Units are scheduled to vest in equal increments on each of January 27, 2016, 2017 and 2018.</w:t>
      </w:r>
    </w:p>
    <w:p>
      <w:pPr>
        <w:spacing w:after="0" w:line="50" w:lineRule="exact"/>
        <w:rPr>
          <w:rFonts w:ascii="Arial" w:cs="Arial" w:eastAsia="Arial" w:hAnsi="Arial"/>
          <w:sz w:val="13"/>
          <w:szCs w:val="13"/>
          <w:color w:val="008000"/>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unit represents a contingent right to receive 0 to 2 shares. Units are scheduled to vest in equal increments on each of January 27, 2016, 2017 and 2018. The conversion ratio applied to these performance units will be determined based on the increase in the issuer's share price at the end of each year of the performance period (fiscal years 2015-2017).</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Charity R. Kohl, by Power of</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01/29/2015</w:t>
            </w:r>
          </w:p>
        </w:tc>
        <w:tc>
          <w:tcPr>
            <w:tcW w:w="0" w:type="dxa"/>
            <w:vAlign w:val="bottom"/>
          </w:tcPr>
          <w:p>
            <w:pPr>
              <w:spacing w:after="0"/>
              <w:rPr>
                <w:sz w:val="1"/>
                <w:szCs w:val="1"/>
                <w:color w:val="auto"/>
              </w:rPr>
            </w:pPr>
          </w:p>
        </w:tc>
      </w:tr>
      <w:tr>
        <w:trPr>
          <w:trHeight w:val="92"/>
        </w:trPr>
        <w:tc>
          <w:tcPr>
            <w:tcW w:w="62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Attorney</w:t>
            </w:r>
          </w:p>
        </w:tc>
        <w:tc>
          <w:tcPr>
            <w:tcW w:w="1420" w:type="dxa"/>
            <w:vAlign w:val="bottom"/>
            <w:tcBorders>
              <w:top w:val="single" w:sz="8" w:color="auto"/>
              <w:bottom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20" w:type="dxa"/>
            <w:vAlign w:val="bottom"/>
            <w:tcBorders>
              <w:bottom w:val="single" w:sz="8" w:color="auto"/>
            </w:tcBorders>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922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2019-12-24T08:44:55Z</dcterms:created>
  <dcterms:modified xsi:type="dcterms:W3CDTF">2019-12-24T08:44:55Z</dcterms:modified>
</cp:coreProperties>
</file>