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713740</wp:posOffset>
            </wp:positionH>
            <wp:positionV relativeFrom="page">
              <wp:posOffset>782955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5, 2021</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Ireland</w:t>
            </w:r>
          </w:p>
        </w:tc>
        <w:tc>
          <w:tcPr>
            <w:tcW w:w="28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001-36504</w:t>
            </w:r>
          </w:p>
        </w:tc>
        <w:tc>
          <w:tcPr>
            <w:tcW w:w="3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4"/>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(I.R.S. Employer Identification No.)</w:t>
            </w:r>
          </w:p>
        </w:tc>
      </w:tr>
      <w:tr>
        <w:trPr>
          <w:trHeight w:val="350"/>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6"/>
              </w:rPr>
              <w:t>2000 St. James Place ,  Houston,</w:t>
            </w:r>
          </w:p>
        </w:tc>
        <w:tc>
          <w:tcPr>
            <w:tcW w:w="28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Texas</w:t>
            </w:r>
          </w:p>
        </w:tc>
        <w:tc>
          <w:tcPr>
            <w:tcW w:w="3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4"/>
        </w:trPr>
        <w:tc>
          <w:tcPr>
            <w:tcW w:w="800" w:type="dxa"/>
            <w:vAlign w:val="bottom"/>
          </w:tcPr>
          <w:p>
            <w:pPr>
              <w:spacing w:after="0"/>
              <w:rPr>
                <w:sz w:val="19"/>
                <w:szCs w:val="19"/>
                <w:color w:val="auto"/>
              </w:rPr>
            </w:pPr>
          </w:p>
        </w:tc>
        <w:tc>
          <w:tcPr>
            <w:tcW w:w="63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0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c>
          <w:tcPr>
            <w:tcW w:w="820" w:type="dxa"/>
            <w:vAlign w:val="bottom"/>
          </w:tcPr>
          <w:p>
            <w:pPr>
              <w:spacing w:after="0"/>
              <w:rPr>
                <w:sz w:val="19"/>
                <w:szCs w:val="19"/>
                <w:color w:val="auto"/>
              </w:rPr>
            </w:pPr>
          </w:p>
        </w:tc>
      </w:tr>
    </w:tbl>
    <w:p>
      <w:pPr>
        <w:spacing w:after="0" w:line="6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Name of each exchange on which registered</w:t>
            </w:r>
          </w:p>
        </w:tc>
      </w:tr>
      <w:tr>
        <w:trPr>
          <w:trHeight w:val="250"/>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4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6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0" w:right="39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3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May 5, 2021, Weatherford International plc (“Weatherford” and together with its subsidiaries, “we” or the “Company”) issued a news release announcing results for the first quarter ended March 31, 2021. A copy of the news release is furnished as Exhibit 99.1 and incorporated into this Item 2.02.</w:t>
      </w:r>
    </w:p>
    <w:p>
      <w:pPr>
        <w:spacing w:after="0" w:line="1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host a conference call on Thursday, May 6, 2021, to discuss the results for the first quarter ended March 31, 2021. The conference call will begin at 9:00 a.m. Eastern Time (8:00 a.m. Central Time).</w:t>
      </w:r>
    </w:p>
    <w:p>
      <w:pPr>
        <w:spacing w:after="0" w:line="19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Listeners may register in advance for the conference call at http://dpregister.com/10153725 and will receive an email including a calendar reminder, dial-in number, and a PIN providing immediate access to the call.</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2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telephonic replay of the conference call will be available until May 20, 2021, at 5:00 p.m. Eastern Time. To access the replay, please dial +1 877-344-7529 (within the U.S.) or +1 412-317-0088 (outside of the U.S.) and reference conference number 10153725.</w:t>
      </w:r>
    </w:p>
    <w:p>
      <w:pPr>
        <w:spacing w:after="0" w:line="32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5, 2021, we issued a news release announcing results for the Company’s first quarter ended March 31, 2021. A copy of the news release is furnished as Exhibit 99.1 and incorporated into this Item 7.01.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5"/>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w:t>
            </w:r>
          </w:p>
        </w:tc>
        <w:tc>
          <w:tcPr>
            <w:tcW w:w="9580" w:type="dxa"/>
            <w:vAlign w:val="bottom"/>
            <w:gridSpan w:val="3"/>
          </w:tcPr>
          <w:p>
            <w:pPr>
              <w:spacing w:after="0"/>
              <w:rPr>
                <w:sz w:val="20"/>
                <w:szCs w:val="20"/>
                <w:color w:val="auto"/>
              </w:rPr>
            </w:pPr>
            <w:r>
              <w:rPr>
                <w:rFonts w:ascii="Arial" w:cs="Arial" w:eastAsia="Arial" w:hAnsi="Arial"/>
                <w:sz w:val="18"/>
                <w:szCs w:val="18"/>
                <w:color w:val="auto"/>
              </w:rPr>
              <w:t>Exhibits</w:t>
            </w:r>
          </w:p>
        </w:tc>
      </w:tr>
      <w:tr>
        <w:trPr>
          <w:trHeight w:val="567"/>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3"/>
        </w:trPr>
        <w:tc>
          <w:tcPr>
            <w:tcW w:w="40" w:type="dxa"/>
            <w:vAlign w:val="bottom"/>
          </w:tcPr>
          <w:p>
            <w:pPr>
              <w:spacing w:after="0"/>
              <w:rPr>
                <w:sz w:val="15"/>
                <w:szCs w:val="15"/>
                <w:color w:val="auto"/>
              </w:rPr>
            </w:pPr>
          </w:p>
        </w:tc>
        <w:tc>
          <w:tcPr>
            <w:tcW w:w="150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6980" w:type="dxa"/>
            <w:vAlign w:val="bottom"/>
            <w:tcBorders>
              <w:top w:val="single" w:sz="8" w:color="auto"/>
              <w:bottom w:val="single" w:sz="8" w:color="0000FF"/>
            </w:tcBorders>
          </w:tcPr>
          <w:p>
            <w:pPr>
              <w:spacing w:after="0" w:line="18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News Release dated May 5, 2021, announcing results for the first quarter ended March 31, 2021.</w:t>
              </w:r>
            </w:hyperlink>
          </w:p>
        </w:tc>
        <w:tc>
          <w:tcPr>
            <w:tcW w:w="2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540" w:type="dxa"/>
            <w:vAlign w:val="bottom"/>
            <w:gridSpan w:val="2"/>
          </w:tcPr>
          <w:p>
            <w:pPr>
              <w:jc w:val="right"/>
              <w:ind w:right="5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9"/>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2021</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14605</wp:posOffset>
            </wp:positionV>
            <wp:extent cx="384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120015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8"/>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28" w:lineRule="exact"/>
        <w:rPr>
          <w:sz w:val="20"/>
          <w:szCs w:val="20"/>
          <w:color w:val="auto"/>
        </w:rPr>
      </w:pPr>
    </w:p>
    <w:p>
      <w:pPr>
        <w:ind w:left="1688"/>
        <w:spacing w:after="0"/>
        <w:rPr>
          <w:sz w:val="20"/>
          <w:szCs w:val="20"/>
          <w:color w:val="auto"/>
        </w:rPr>
      </w:pPr>
      <w:r>
        <w:rPr>
          <w:rFonts w:ascii="Arial" w:cs="Arial" w:eastAsia="Arial" w:hAnsi="Arial"/>
          <w:sz w:val="32"/>
          <w:szCs w:val="32"/>
          <w:b w:val="1"/>
          <w:bCs w:val="1"/>
          <w:color w:val="auto"/>
        </w:rPr>
        <w:t>Weatherford Announces First-Quarter 2021 Results</w:t>
      </w:r>
    </w:p>
    <w:p>
      <w:pPr>
        <w:spacing w:after="0" w:line="200" w:lineRule="exact"/>
        <w:rPr>
          <w:sz w:val="20"/>
          <w:szCs w:val="20"/>
          <w:color w:val="auto"/>
        </w:rPr>
      </w:pPr>
    </w:p>
    <w:p>
      <w:pPr>
        <w:spacing w:after="0" w:line="383" w:lineRule="exact"/>
        <w:rPr>
          <w:sz w:val="20"/>
          <w:szCs w:val="20"/>
          <w:color w:val="auto"/>
        </w:rPr>
      </w:pPr>
    </w:p>
    <w:p>
      <w:pPr>
        <w:ind w:left="328" w:hanging="328"/>
        <w:spacing w:after="0"/>
        <w:tabs>
          <w:tab w:leader="none" w:pos="328" w:val="left"/>
        </w:tabs>
        <w:numPr>
          <w:ilvl w:val="0"/>
          <w:numId w:val="2"/>
        </w:numPr>
        <w:rPr>
          <w:rFonts w:ascii="Arial" w:cs="Arial" w:eastAsia="Arial" w:hAnsi="Arial"/>
          <w:sz w:val="21"/>
          <w:szCs w:val="21"/>
          <w:color w:val="auto"/>
        </w:rPr>
      </w:pPr>
      <w:r>
        <w:rPr>
          <w:rFonts w:ascii="Arial" w:cs="Arial" w:eastAsia="Arial" w:hAnsi="Arial"/>
          <w:sz w:val="19"/>
          <w:szCs w:val="19"/>
          <w:color w:val="auto"/>
        </w:rPr>
        <w:t xml:space="preserve">Revenues of $832 million decreased </w:t>
      </w:r>
      <w:r>
        <w:rPr>
          <w:rFonts w:ascii="Arial" w:cs="Arial" w:eastAsia="Arial" w:hAnsi="Arial"/>
          <w:sz w:val="20"/>
          <w:szCs w:val="20"/>
          <w:color w:val="auto"/>
        </w:rPr>
        <w:t>1%</w:t>
      </w:r>
      <w:r>
        <w:rPr>
          <w:rFonts w:ascii="Arial" w:cs="Arial" w:eastAsia="Arial" w:hAnsi="Arial"/>
          <w:sz w:val="19"/>
          <w:szCs w:val="19"/>
          <w:color w:val="auto"/>
        </w:rPr>
        <w:t xml:space="preserve"> sequentially, with 4% decline internationally offset by 6% growth in North America</w:t>
      </w:r>
    </w:p>
    <w:p>
      <w:pPr>
        <w:spacing w:after="0" w:line="114" w:lineRule="exact"/>
        <w:rPr>
          <w:rFonts w:ascii="Arial" w:cs="Arial" w:eastAsia="Arial" w:hAnsi="Arial"/>
          <w:sz w:val="21"/>
          <w:szCs w:val="21"/>
          <w:color w:val="auto"/>
        </w:rPr>
      </w:pPr>
    </w:p>
    <w:p>
      <w:pPr>
        <w:ind w:left="308" w:hanging="308"/>
        <w:spacing w:after="0"/>
        <w:tabs>
          <w:tab w:leader="none" w:pos="30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Operating loss totaled $13 million and adjusted EBITDA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totaled $102 million</w:t>
      </w:r>
    </w:p>
    <w:p>
      <w:pPr>
        <w:spacing w:after="0" w:line="50" w:lineRule="exact"/>
        <w:rPr>
          <w:rFonts w:ascii="Arial" w:cs="Arial" w:eastAsia="Arial" w:hAnsi="Arial"/>
          <w:sz w:val="20"/>
          <w:szCs w:val="20"/>
          <w:color w:val="auto"/>
        </w:rPr>
      </w:pPr>
    </w:p>
    <w:p>
      <w:pPr>
        <w:ind w:left="308" w:hanging="308"/>
        <w:spacing w:after="0"/>
        <w:tabs>
          <w:tab w:leader="none" w:pos="30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Cash provided by operating activities totaled $74 million and free cash flow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totaled $70 million</w:t>
      </w:r>
    </w:p>
    <w:p>
      <w:pPr>
        <w:spacing w:after="0" w:line="50" w:lineRule="exact"/>
        <w:rPr>
          <w:rFonts w:ascii="Arial" w:cs="Arial" w:eastAsia="Arial" w:hAnsi="Arial"/>
          <w:sz w:val="20"/>
          <w:szCs w:val="20"/>
          <w:color w:val="auto"/>
        </w:rPr>
      </w:pPr>
    </w:p>
    <w:p>
      <w:pPr>
        <w:ind w:left="308" w:hanging="308"/>
        <w:spacing w:after="0"/>
        <w:tabs>
          <w:tab w:leader="none" w:pos="30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Total cash increased $58 million from the prior quarter and ended at $1.3 billion </w:t>
      </w:r>
      <w:r>
        <w:rPr>
          <w:rFonts w:ascii="Arial" w:cs="Arial" w:eastAsia="Arial" w:hAnsi="Arial"/>
          <w:sz w:val="25"/>
          <w:szCs w:val="25"/>
          <w:color w:val="auto"/>
          <w:vertAlign w:val="superscript"/>
        </w:rPr>
        <w:t>[2]</w:t>
      </w:r>
    </w:p>
    <w:p>
      <w:pPr>
        <w:spacing w:after="0" w:line="50" w:lineRule="exact"/>
        <w:rPr>
          <w:rFonts w:ascii="Arial" w:cs="Arial" w:eastAsia="Arial" w:hAnsi="Arial"/>
          <w:sz w:val="20"/>
          <w:szCs w:val="20"/>
          <w:color w:val="auto"/>
        </w:rPr>
      </w:pPr>
    </w:p>
    <w:p>
      <w:pPr>
        <w:ind w:left="328" w:hanging="328"/>
        <w:spacing w:after="0" w:line="373" w:lineRule="auto"/>
        <w:tabs>
          <w:tab w:leader="none" w:pos="316" w:val="left"/>
        </w:tabs>
        <w:numPr>
          <w:ilvl w:val="0"/>
          <w:numId w:val="2"/>
        </w:numPr>
        <w:rPr>
          <w:rFonts w:ascii="Arial" w:cs="Arial" w:eastAsia="Arial" w:hAnsi="Arial"/>
          <w:sz w:val="20"/>
          <w:szCs w:val="20"/>
          <w:color w:val="auto"/>
        </w:rPr>
      </w:pPr>
      <w:r>
        <w:rPr>
          <w:rFonts w:ascii="Arial" w:cs="Arial" w:eastAsia="Arial" w:hAnsi="Arial"/>
          <w:sz w:val="20"/>
          <w:szCs w:val="20"/>
          <w:color w:val="auto"/>
        </w:rPr>
        <w:t>Registration documents submitted and application filed for listing on the NASDAQ stock exchange, with completion expected before the end of the second quarter of 2021</w:t>
      </w:r>
    </w:p>
    <w:p>
      <w:pPr>
        <w:sectPr>
          <w:pgSz w:w="11900" w:h="16838" w:orient="portrait"/>
          <w:cols w:equalWidth="0" w:num="1">
            <w:col w:w="10908"/>
          </w:cols>
          <w:pgMar w:left="652" w:top="1053" w:right="339" w:bottom="1440" w:gutter="0" w:footer="0" w:header="0"/>
        </w:sectPr>
      </w:pPr>
    </w:p>
    <w:bookmarkStart w:id="4" w:name="page5"/>
    <w:bookmarkEnd w:id="4"/>
    <w:p>
      <w:pPr>
        <w:jc w:val="both"/>
        <w:spacing w:after="0" w:line="379" w:lineRule="auto"/>
        <w:rPr>
          <w:sz w:val="20"/>
          <w:szCs w:val="20"/>
          <w:color w:val="auto"/>
        </w:rPr>
      </w:pPr>
      <w:r>
        <w:rPr>
          <w:rFonts w:ascii="Arial" w:cs="Arial" w:eastAsia="Arial" w:hAnsi="Arial"/>
          <w:sz w:val="20"/>
          <w:szCs w:val="20"/>
          <w:b w:val="1"/>
          <w:bCs w:val="1"/>
          <w:color w:val="auto"/>
        </w:rPr>
        <w:t xml:space="preserve">Houston, May 5, 2021 – </w:t>
      </w:r>
      <w:r>
        <w:rPr>
          <w:rFonts w:ascii="Arial" w:cs="Arial" w:eastAsia="Arial" w:hAnsi="Arial"/>
          <w:sz w:val="20"/>
          <w:szCs w:val="20"/>
          <w:color w:val="auto"/>
        </w:rPr>
        <w:t>Weatherford International plc (OTC Pink: WFTLF) (“Weatherford” or the “Company”) announced today its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first quarter of 2021.</w:t>
      </w:r>
    </w:p>
    <w:p>
      <w:pPr>
        <w:spacing w:after="0" w:line="126"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 xml:space="preserve">Revenues for the first quarter of 2021 were $832 million, a decline of </w:t>
      </w:r>
      <w:r>
        <w:rPr>
          <w:rFonts w:ascii="Arial" w:cs="Arial" w:eastAsia="Arial" w:hAnsi="Arial"/>
          <w:sz w:val="20"/>
          <w:szCs w:val="20"/>
          <w:color w:val="auto"/>
        </w:rPr>
        <w:t>1%</w:t>
      </w:r>
      <w:r>
        <w:rPr>
          <w:rFonts w:ascii="Arial" w:cs="Arial" w:eastAsia="Arial" w:hAnsi="Arial"/>
          <w:sz w:val="19"/>
          <w:szCs w:val="19"/>
          <w:color w:val="auto"/>
        </w:rPr>
        <w:t xml:space="preserve"> sequentially and </w:t>
      </w:r>
      <w:r>
        <w:rPr>
          <w:rFonts w:ascii="Arial" w:cs="Arial" w:eastAsia="Arial" w:hAnsi="Arial"/>
          <w:sz w:val="20"/>
          <w:szCs w:val="20"/>
          <w:color w:val="auto"/>
        </w:rPr>
        <w:t>32%</w:t>
      </w:r>
      <w:r>
        <w:rPr>
          <w:rFonts w:ascii="Arial" w:cs="Arial" w:eastAsia="Arial" w:hAnsi="Arial"/>
          <w:sz w:val="19"/>
          <w:szCs w:val="19"/>
          <w:color w:val="auto"/>
        </w:rPr>
        <w:t xml:space="preserve"> year-on-year. Reported operating loss was $13 million in the first quarter of 2021, compared to an operating loss of $107 million in the fourth quarter of 2020 and an operating loss of $822 million in the first quarter of 2020. The Company’s first-quarter 2021 net loss was $116 million, compared to a net loss of $200 million in the fourth quarter of 2020 and a net loss of $966 million in the first quarter of 2020. First-quarter 2021 cash flows provided by operations were $74 million, compared to cash flows provided by operations of $22 million in the fourth quarter of 2020 and cash flows provided by operations of $30 million in the first quarter of 2020. Capital expenditures were $15 million in the first quarter of 2021, compared to $54 million in the fourth quarter of 2020 and $38 million in the first quarter of 2020.</w:t>
      </w:r>
    </w:p>
    <w:p>
      <w:pPr>
        <w:spacing w:after="0" w:line="129" w:lineRule="exact"/>
        <w:rPr>
          <w:sz w:val="20"/>
          <w:szCs w:val="20"/>
          <w:color w:val="auto"/>
        </w:rPr>
      </w:pPr>
    </w:p>
    <w:p>
      <w:pPr>
        <w:ind w:left="320" w:hanging="23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First-quarter 2021</w:t>
      </w:r>
    </w:p>
    <w:p>
      <w:pPr>
        <w:spacing w:after="0" w:line="215" w:lineRule="exact"/>
        <w:rPr>
          <w:rFonts w:ascii="Arial" w:cs="Arial" w:eastAsia="Arial" w:hAnsi="Arial"/>
          <w:sz w:val="20"/>
          <w:szCs w:val="20"/>
          <w:color w:val="auto"/>
        </w:rPr>
      </w:pPr>
    </w:p>
    <w:p>
      <w:pPr>
        <w:ind w:left="480" w:hanging="148"/>
        <w:spacing w:after="0"/>
        <w:tabs>
          <w:tab w:leader="none" w:pos="48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$102 million increased 4% sequentially and declined 43% year-over-year</w:t>
      </w:r>
    </w:p>
    <w:p>
      <w:pPr>
        <w:spacing w:after="0" w:line="158" w:lineRule="exact"/>
        <w:rPr>
          <w:rFonts w:ascii="Arial" w:cs="Arial" w:eastAsia="Arial" w:hAnsi="Arial"/>
          <w:sz w:val="20"/>
          <w:szCs w:val="20"/>
          <w:color w:val="auto"/>
        </w:rPr>
      </w:pPr>
    </w:p>
    <w:p>
      <w:pPr>
        <w:ind w:left="480" w:hanging="148"/>
        <w:spacing w:after="0"/>
        <w:tabs>
          <w:tab w:leader="none" w:pos="480"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Unlevered free cash flow </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$94 million was essentially unchanged sequentially and increased $94 million year-over-year</w:t>
      </w:r>
    </w:p>
    <w:p>
      <w:pPr>
        <w:spacing w:after="0" w:line="183" w:lineRule="exact"/>
        <w:rPr>
          <w:rFonts w:ascii="Arial" w:cs="Arial" w:eastAsia="Arial" w:hAnsi="Arial"/>
          <w:sz w:val="19"/>
          <w:szCs w:val="19"/>
          <w:color w:val="auto"/>
        </w:rPr>
      </w:pPr>
    </w:p>
    <w:p>
      <w:pPr>
        <w:ind w:left="480" w:hanging="148"/>
        <w:spacing w:after="0"/>
        <w:tabs>
          <w:tab w:leader="none" w:pos="480" w:val="left"/>
        </w:tabs>
        <w:numPr>
          <w:ilvl w:val="1"/>
          <w:numId w:val="3"/>
        </w:numPr>
        <w:rPr>
          <w:rFonts w:ascii="Arial" w:cs="Arial" w:eastAsia="Arial" w:hAnsi="Arial"/>
          <w:sz w:val="20"/>
          <w:szCs w:val="20"/>
          <w:color w:val="auto"/>
        </w:rPr>
      </w:pPr>
      <w:r>
        <w:rPr>
          <w:rFonts w:ascii="Arial" w:cs="Arial" w:eastAsia="Arial" w:hAnsi="Arial"/>
          <w:sz w:val="20"/>
          <w:szCs w:val="20"/>
          <w:color w:val="auto"/>
        </w:rPr>
        <w:t>Free cash flow of $70 million improved by $93 million sequentially and $72 million year-on-year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8" w:right="339" w:bottom="1440" w:gutter="0" w:footer="0" w:header="0"/>
        </w:sectPr>
      </w:pPr>
    </w:p>
    <w:bookmarkStart w:id="5" w:name="page6"/>
    <w:bookmarkEnd w:id="5"/>
    <w:p>
      <w:pPr>
        <w:jc w:val="both"/>
        <w:spacing w:after="0" w:line="359" w:lineRule="auto"/>
        <w:rPr>
          <w:sz w:val="20"/>
          <w:szCs w:val="20"/>
          <w:color w:val="auto"/>
        </w:rPr>
      </w:pPr>
      <w:r>
        <w:rPr>
          <w:rFonts w:ascii="Arial" w:cs="Arial" w:eastAsia="Arial" w:hAnsi="Arial"/>
          <w:sz w:val="20"/>
          <w:szCs w:val="20"/>
          <w:color w:val="auto"/>
        </w:rPr>
        <w:t>Girish Saligram, President and Chief Executive Officer, commented, “I am pleased that we delivered favorable operational performance by accomplishing another quarter of double-digit adjusted EBITDA margins and generating free cash flow. We continued to build on our core focus areas by driving improvements in our profitability in North America, leveraging our portfolio to improve profitability in key product lines, and improving our liquidity position.”</w:t>
      </w:r>
    </w:p>
    <w:p>
      <w:pPr>
        <w:spacing w:after="0" w:line="136" w:lineRule="exact"/>
        <w:rPr>
          <w:sz w:val="20"/>
          <w:szCs w:val="20"/>
          <w:color w:val="auto"/>
        </w:rPr>
      </w:pPr>
    </w:p>
    <w:p>
      <w:pPr>
        <w:jc w:val="both"/>
        <w:spacing w:after="0" w:line="339" w:lineRule="auto"/>
        <w:rPr>
          <w:sz w:val="20"/>
          <w:szCs w:val="20"/>
          <w:color w:val="auto"/>
        </w:rPr>
      </w:pPr>
      <w:r>
        <w:rPr>
          <w:rFonts w:ascii="Arial" w:cs="Arial" w:eastAsia="Arial" w:hAnsi="Arial"/>
          <w:sz w:val="20"/>
          <w:szCs w:val="20"/>
          <w:color w:val="auto"/>
        </w:rPr>
        <w:t>“Our results from the first quarter of 2021 clearly demonstrate we are making significant progress in harnessing growth opportunities through commercial traction of new technologies, expanding into new markets by leveraging adjacent product lines in targeted geographies, and driving synergies from cross-product line solutions. As an example, in our Tubular Running Services product line, we had a commercial Vero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operation in each of our geographies in the first quarter, which marks a major milestone in the commercial traction of this technology. At the confluence of these growth levers lies our confidence in our people, our technologies, and our firm resolve to exceed our customers’ expectations.”</w:t>
      </w:r>
    </w:p>
    <w:p>
      <w:pPr>
        <w:spacing w:after="0" w:line="15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“We exited the first quarter of 2021 with a strong liquidity position by generating $70 million of positive free cash flow, an improvement of $93 million sequentially and $72 million year-on-year. This achievement resulted from improved operating performance, disciplined capital allocation and expenditures, and reduced working capital driven by continued strength in accounts receivable collections and inventory rationalization.”</w:t>
      </w:r>
    </w:p>
    <w:p>
      <w:pPr>
        <w:spacing w:after="0" w:line="136"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“Lastly, I am also pleased to share that we recently took an essential step for the Company to fully return to the public markets by filing our Form 10 Registration Statement with the United States Securities and Exchange Commission. I believe that listing on the NASDAQ stock exchange will enhance long-term shareholder value by improving the Company’s visibility, expanding liquidity in our ordinary shares, and providing a broader institutional investor base the opportunity to invest in the new Weatherford. Relisting our shares on the NASDAQ stock exchange has been a goal of the Company’s since completing our financial restructuring. I am extremely proud that we are now in a position to meet this commitment, and this would not have been possible without the hard work and dedication of our employees.”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3" w:lineRule="exact"/>
        <w:rPr>
          <w:sz w:val="20"/>
          <w:szCs w:val="20"/>
          <w:color w:val="auto"/>
        </w:rPr>
      </w:pPr>
    </w:p>
    <w:p>
      <w:pPr>
        <w:jc w:val="both"/>
        <w:ind w:firstLine="8"/>
        <w:spacing w:after="0" w:line="234" w:lineRule="auto"/>
        <w:tabs>
          <w:tab w:leader="none" w:pos="146"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EBITDA represents income before income tax, depreciation and amortization expense. Adjusted EBITDA excludes, among other items, impairments of long-lived assets and goodwill, restructuring expense, stock-based compensation expense, as well as write-offs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Adjusted EBITDA, free cash flow and unlevered free cash flow are non-GAAP measures. Each measure is defined and reconciled to the most directly comparable GAAP measure in the tables below.</w:t>
      </w:r>
    </w:p>
    <w:p>
      <w:pPr>
        <w:ind w:left="160" w:hanging="152"/>
        <w:spacing w:after="0" w:line="222" w:lineRule="auto"/>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4"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Operational Highlights</w:t>
      </w:r>
    </w:p>
    <w:p>
      <w:pPr>
        <w:spacing w:after="0" w:line="232" w:lineRule="exact"/>
        <w:rPr>
          <w:sz w:val="20"/>
          <w:szCs w:val="20"/>
          <w:color w:val="auto"/>
        </w:rPr>
      </w:pPr>
    </w:p>
    <w:p>
      <w:pPr>
        <w:jc w:val="both"/>
        <w:ind w:left="340" w:hanging="332"/>
        <w:spacing w:after="0" w:line="388"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During the first quarter, several customers recognized Weatherford operating teams for our outstanding commitment to QHSE. An IOC bestowed the “Outstanding Operational Excellence” award on the tubular running services crew in Tengiz, Kazakhstan. A major NOC in the Middle East recognized Weatherford for delivering 20 years of liner-hanger services without lost time incidents.</w:t>
      </w:r>
    </w:p>
    <w:p>
      <w:pPr>
        <w:spacing w:after="0" w:line="33" w:lineRule="exact"/>
        <w:rPr>
          <w:rFonts w:ascii="Arial" w:cs="Arial" w:eastAsia="Arial" w:hAnsi="Arial"/>
          <w:sz w:val="19"/>
          <w:szCs w:val="19"/>
          <w:color w:val="auto"/>
        </w:rPr>
      </w:pPr>
    </w:p>
    <w:p>
      <w:pPr>
        <w:jc w:val="both"/>
        <w:ind w:left="340" w:hanging="332"/>
        <w:spacing w:after="0" w:line="358"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An operator in Indonesia chose Weatherford to accelerate its digital transformation by deploying the ForeSite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production optimization platform on a 100 plus well trial. After analyzing the first batch of wells, the Weatherford team advised on optimization opportunities that resulted in a 14% uplift. The ForeSite platform also improved uptime across the wells with an average reduction of 40% in lost-production opportunities. The remote monitoring capabilities of the platform have reduced driving and associated HSE risks while also delivering a significant improvement in personnel utilization and response time. This trial has set the stage for the Company to expand its production optimization and remote monitoring platform in the region.</w:t>
      </w:r>
    </w:p>
    <w:p>
      <w:pPr>
        <w:spacing w:after="0" w:line="78" w:lineRule="exact"/>
        <w:rPr>
          <w:rFonts w:ascii="Arial" w:cs="Arial" w:eastAsia="Arial" w:hAnsi="Arial"/>
          <w:sz w:val="19"/>
          <w:szCs w:val="19"/>
          <w:color w:val="auto"/>
        </w:rPr>
      </w:pPr>
    </w:p>
    <w:p>
      <w:pPr>
        <w:jc w:val="both"/>
        <w:ind w:left="340" w:hanging="332"/>
        <w:spacing w:after="0" w:line="3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has introduced the Magnus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rotary steerable system in the North Sea market with excellent outcomes, which further demonstrates its commercial traction. A major operator in the UK decided to replace technology from the incumbent, a major competitor, to drill re-entries in an existing field and boost production. The Magnus system not only surpassed the technical limit set by the customer based on the incumbent’s historical performance in the very first deployment, but also drilled the first three re-entry wells an average of 33% faster than planned. This success has led to contracts with two additional customers in the North Sea.</w:t>
      </w:r>
    </w:p>
    <w:p>
      <w:pPr>
        <w:spacing w:after="0" w:line="65" w:lineRule="exact"/>
        <w:rPr>
          <w:rFonts w:ascii="Arial" w:cs="Arial" w:eastAsia="Arial" w:hAnsi="Arial"/>
          <w:sz w:val="18"/>
          <w:szCs w:val="18"/>
          <w:color w:val="auto"/>
        </w:rPr>
      </w:pPr>
    </w:p>
    <w:p>
      <w:pPr>
        <w:jc w:val="both"/>
        <w:ind w:left="340" w:hanging="332"/>
        <w:spacing w:after="0" w:line="359"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Eastern Europe, Weatherford deployed its Focused Magnetic Resonance tool openhole logging service in a major carbonate pay zone, which marks the introduction of this technology in Europe. By executing the full scope of its service delivery cycle, the Company delivered performance that exceeded the customer’s expectations, which resulted in an award of six additional wells through the course of 2021 and further awards from two more customers.</w:t>
      </w:r>
    </w:p>
    <w:p>
      <w:pPr>
        <w:spacing w:after="0" w:line="54" w:lineRule="exact"/>
        <w:rPr>
          <w:rFonts w:ascii="Arial" w:cs="Arial" w:eastAsia="Arial" w:hAnsi="Arial"/>
          <w:sz w:val="20"/>
          <w:szCs w:val="20"/>
          <w:color w:val="auto"/>
        </w:rPr>
      </w:pPr>
    </w:p>
    <w:p>
      <w:pPr>
        <w:jc w:val="both"/>
        <w:ind w:left="340" w:hanging="332"/>
        <w:spacing w:after="0" w:line="322"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Central Asia, Weatherford completed the fourth installation of 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expandable sand screens, which marks the second remotely supervised ESS installation in the country. This expansion into a new market shows the increased traction of ESS technology, a viable alternative to the more expensive gravel-pack option.</w:t>
      </w:r>
    </w:p>
    <w:p>
      <w:pPr>
        <w:spacing w:after="0" w:line="104" w:lineRule="exact"/>
        <w:rPr>
          <w:rFonts w:ascii="Arial" w:cs="Arial" w:eastAsia="Arial" w:hAnsi="Arial"/>
          <w:sz w:val="20"/>
          <w:szCs w:val="20"/>
          <w:color w:val="auto"/>
        </w:rPr>
      </w:pPr>
    </w:p>
    <w:p>
      <w:pPr>
        <w:jc w:val="both"/>
        <w:ind w:left="340" w:hanging="332"/>
        <w:spacing w:after="0" w:line="365"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conjunction with Victus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managed pressure drilling, or MPD, technology, Weatherford Drilling Services achieved another record by drilling the longest horizontal well in the history of the field in the Middle East. The 4,500-feet-long horizontal section was geosteered through a 5-feet-thick payzone while retaining 100% of the section in the target formation. To sidetrack this well, which was shut in due to prior drilling challenges, the Weatherford team analyzed the well data and proposed combining its MPD solution with its</w:t>
      </w:r>
    </w:p>
    <w:p>
      <w:pPr>
        <w:spacing w:after="0" w:line="3" w:lineRule="exact"/>
        <w:rPr>
          <w:rFonts w:ascii="Arial" w:cs="Arial" w:eastAsia="Arial" w:hAnsi="Arial"/>
          <w:sz w:val="18"/>
          <w:szCs w:val="18"/>
          <w:color w:val="auto"/>
        </w:rPr>
      </w:pPr>
    </w:p>
    <w:p>
      <w:pPr>
        <w:jc w:val="both"/>
        <w:ind w:left="340"/>
        <w:spacing w:after="0" w:line="322" w:lineRule="auto"/>
        <w:rPr>
          <w:rFonts w:ascii="Arial" w:cs="Arial" w:eastAsia="Arial" w:hAnsi="Arial"/>
          <w:sz w:val="18"/>
          <w:szCs w:val="18"/>
          <w:color w:val="auto"/>
        </w:rPr>
      </w:pPr>
      <w:r>
        <w:rPr>
          <w:rFonts w:ascii="Arial" w:cs="Arial" w:eastAsia="Arial" w:hAnsi="Arial"/>
          <w:sz w:val="20"/>
          <w:szCs w:val="20"/>
          <w:color w:val="auto"/>
        </w:rPr>
        <w:t>field-proven rotary steerable system and QuickCut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re-entry whipstock system. After setting the whipstock and milling a 6-inch window, the team sidetracked the original hole, landed into the formation with a 91-degree inclination, and drilled the lateral without lost-time incidents.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64"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18"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The Company maintained its disciplined focus on liquidity during the first quarter of 2021. Unlevered free cash flow of $94 million in the first quarter of 2021 improved by $94 million versus the first quarter of 2020, despite a 43% reduction in adjusted EBITDA. First-quarter 2021 free cash flow of $70 million improved by $93 million sequentially and $72 million year-on-year due to the Company’s efforts to control costs and reduce net working capital and capital expenditures. Total cash of approximately $1.3 billion as of March 31, 2021, was up $58 million from the prior quarter.</w:t>
      </w:r>
    </w:p>
    <w:p>
      <w:pPr>
        <w:sectPr>
          <w:pgSz w:w="11900" w:h="16838" w:orient="portrait"/>
          <w:cols w:equalWidth="0" w:num="1">
            <w:col w:w="11240"/>
          </w:cols>
          <w:pgMar w:left="320" w:top="1440" w:right="3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Results by Operating Segment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Western Hemisphere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7"/>
              </w:rPr>
              <w:t>Quarter Ended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03/31/21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12/31/20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03/31/20</w:t>
            </w: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201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341</w:t>
            </w:r>
          </w:p>
        </w:tc>
      </w:tr>
      <w:tr>
        <w:trPr>
          <w:trHeight w:val="23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247</w:t>
            </w:r>
          </w:p>
        </w:tc>
      </w:tr>
      <w:tr>
        <w:trPr>
          <w:trHeight w:val="223"/>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372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588</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7"/>
        </w:trPr>
        <w:tc>
          <w:tcPr>
            <w:tcW w:w="346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41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76</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Variance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Seq.</w:t>
            </w: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YoY</w:t>
            </w:r>
          </w:p>
        </w:tc>
        <w:tc>
          <w:tcPr>
            <w:tcW w:w="300" w:type="dxa"/>
            <w:vAlign w:val="bottom"/>
            <w:tcBorders>
              <w:top w:val="single" w:sz="8" w:color="auto"/>
              <w:bottom w:val="single" w:sz="8" w:color="auto"/>
            </w:tcBorders>
          </w:tcPr>
          <w:p>
            <w:pPr>
              <w:spacing w:after="0"/>
              <w:rPr>
                <w:sz w:val="18"/>
                <w:szCs w:val="18"/>
                <w:color w:val="auto"/>
              </w:rPr>
            </w:pPr>
          </w:p>
        </w:tc>
      </w:tr>
      <w:tr>
        <w:trPr>
          <w:trHeight w:val="454"/>
        </w:trPr>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572"/>
              <w:spacing w:after="0"/>
              <w:rPr>
                <w:sz w:val="20"/>
                <w:szCs w:val="20"/>
                <w:color w:val="auto"/>
              </w:rPr>
            </w:pPr>
            <w:r>
              <w:rPr>
                <w:rFonts w:ascii="Arial" w:cs="Arial" w:eastAsia="Arial" w:hAnsi="Arial"/>
                <w:sz w:val="18"/>
                <w:szCs w:val="18"/>
                <w:color w:val="auto"/>
                <w:w w:val="93"/>
              </w:rPr>
              <w:t>(37)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3"/>
              </w:rPr>
              <w:t>(29)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3"/>
              </w:rPr>
              <w:t>(34)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357"/>
        </w:trPr>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572"/>
              <w:spacing w:after="0"/>
              <w:rPr>
                <w:sz w:val="20"/>
                <w:szCs w:val="20"/>
                <w:color w:val="auto"/>
              </w:rPr>
            </w:pPr>
            <w:r>
              <w:rPr>
                <w:rFonts w:ascii="Arial" w:cs="Arial" w:eastAsia="Arial" w:hAnsi="Arial"/>
                <w:sz w:val="18"/>
                <w:szCs w:val="18"/>
                <w:color w:val="auto"/>
                <w:w w:val="93"/>
              </w:rPr>
              <w:t>(32)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230</w:t>
            </w:r>
          </w:p>
        </w:tc>
        <w:tc>
          <w:tcPr>
            <w:tcW w:w="660" w:type="dxa"/>
            <w:vAlign w:val="bottom"/>
          </w:tcPr>
          <w:p>
            <w:pPr>
              <w:jc w:val="right"/>
              <w:ind w:right="270"/>
              <w:spacing w:after="0"/>
              <w:rPr>
                <w:sz w:val="20"/>
                <w:szCs w:val="20"/>
                <w:color w:val="auto"/>
              </w:rPr>
            </w:pPr>
            <w:r>
              <w:rPr>
                <w:rFonts w:ascii="Arial" w:cs="Arial" w:eastAsia="Arial" w:hAnsi="Arial"/>
                <w:sz w:val="18"/>
                <w:szCs w:val="18"/>
                <w:i w:val="1"/>
                <w:iCs w:val="1"/>
                <w:color w:val="auto"/>
                <w:w w:val="96"/>
              </w:rPr>
              <w:t>bps</w:t>
            </w:r>
          </w:p>
        </w:tc>
        <w:tc>
          <w:tcPr>
            <w:tcW w:w="1000" w:type="dxa"/>
            <w:vAlign w:val="bottom"/>
          </w:tcPr>
          <w:p>
            <w:pPr>
              <w:jc w:val="center"/>
              <w:ind w:left="612"/>
              <w:spacing w:after="0"/>
              <w:rPr>
                <w:sz w:val="20"/>
                <w:szCs w:val="20"/>
                <w:color w:val="auto"/>
              </w:rPr>
            </w:pPr>
            <w:r>
              <w:rPr>
                <w:rFonts w:ascii="Arial" w:cs="Arial" w:eastAsia="Arial" w:hAnsi="Arial"/>
                <w:sz w:val="18"/>
                <w:szCs w:val="18"/>
                <w:i w:val="1"/>
                <w:iCs w:val="1"/>
                <w:color w:val="auto"/>
                <w:w w:val="89"/>
              </w:rPr>
              <w:t>40</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w w:val="89"/>
              </w:rPr>
              <w:t>bps</w:t>
            </w:r>
          </w:p>
        </w:tc>
      </w:tr>
    </w:tbl>
    <w:p>
      <w:pPr>
        <w:spacing w:after="0" w:line="200" w:lineRule="exact"/>
        <w:rPr>
          <w:sz w:val="20"/>
          <w:szCs w:val="20"/>
          <w:color w:val="auto"/>
        </w:rPr>
      </w:pPr>
    </w:p>
    <w:p>
      <w:pPr>
        <w:sectPr>
          <w:pgSz w:w="11900" w:h="16838" w:orient="portrait"/>
          <w:cols w:equalWidth="0" w:num="2">
            <w:col w:w="7960" w:space="100"/>
            <w:col w:w="3180"/>
          </w:cols>
          <w:pgMar w:left="320" w:top="1440"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First-quarter 2021 Western Hemisphere revenues of $390 million increased 5% sequentially and decreased 34% year-on-year.</w:t>
      </w:r>
    </w:p>
    <w:p>
      <w:pPr>
        <w:spacing w:after="0" w:line="22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In North America, first-quarter 2021 revenues of $214 million increased by 6% sequentially primarily due to increased Drilling, Evaluation, and Intervention services in the United States and Canada and seasonal activity increases in Canada, partially offset by seasonally lower Completion and Production product sales in North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First-quarter 2021 revenues of $176 million in Latin America increased 3% sequentially, driven by increased activity across all product lines.</w:t>
      </w:r>
    </w:p>
    <w:p>
      <w:pPr>
        <w:spacing w:after="0" w:line="25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First-quarter 2021 adjusted segment EBITDA of $52 million increased $11 million sequentially and associated margins of 13% improved by 230 basis points versus the fourth quarter of 2020 and 40 basis points above the first quarter of 2020. The growth in adjusted segment EBITDA was primarily driven by increased activity and sales in North America.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Eastern Hemisphere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7"/>
              </w:rPr>
              <w:t>Quarter Ended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Variance</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03/31/21</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12/31/20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03/31/20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Seq.</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YoY</w:t>
            </w:r>
          </w:p>
        </w:tc>
        <w:tc>
          <w:tcPr>
            <w:tcW w:w="220" w:type="dxa"/>
            <w:vAlign w:val="bottom"/>
            <w:tcBorders>
              <w:bottom w:val="single" w:sz="8" w:color="auto"/>
            </w:tcBorders>
          </w:tcPr>
          <w:p>
            <w:pPr>
              <w:spacing w:after="0"/>
              <w:rPr>
                <w:sz w:val="18"/>
                <w:szCs w:val="18"/>
                <w:color w:val="auto"/>
              </w:rPr>
            </w:pPr>
          </w:p>
        </w:tc>
      </w:tr>
      <w:tr>
        <w:trPr>
          <w:trHeight w:val="226"/>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Middle East, North Africa &amp; Asia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Europe, SSA &amp; Russia</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Segment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20"/>
                <w:szCs w:val="20"/>
                <w:color w:val="auto"/>
              </w:rPr>
            </w:pPr>
          </w:p>
        </w:tc>
        <w:tc>
          <w:tcPr>
            <w:tcW w:w="2080" w:type="dxa"/>
            <w:vAlign w:val="bottom"/>
            <w:gridSpan w:val="2"/>
          </w:tcPr>
          <w:p>
            <w:pPr>
              <w:jc w:val="right"/>
              <w:ind w:right="432"/>
              <w:spacing w:after="0"/>
              <w:rPr>
                <w:sz w:val="20"/>
                <w:szCs w:val="20"/>
                <w:color w:val="auto"/>
              </w:rPr>
            </w:pPr>
            <w:r>
              <w:rPr>
                <w:rFonts w:ascii="Arial" w:cs="Arial" w:eastAsia="Arial" w:hAnsi="Arial"/>
                <w:sz w:val="18"/>
                <w:szCs w:val="18"/>
                <w:i w:val="1"/>
                <w:iCs w:val="1"/>
                <w:color w:val="auto"/>
              </w:rPr>
              <w:t>(360) bps</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(540)bps</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First-quarter 2021 Eastern Hemisphere revenues of $442 million declined 6% sequentially and 30% year-on-year.</w:t>
      </w:r>
    </w:p>
    <w:p>
      <w:pPr>
        <w:spacing w:after="0" w:line="243"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In the Middle East, North Africa, and Asia, first-quarter 2021 revenues of $267 million declined 8% sequentially, primarily due to seasonally lower product sales in Completion and Production across the Middle East and Asia.</w:t>
      </w:r>
    </w:p>
    <w:p>
      <w:pPr>
        <w:spacing w:after="0" w:line="82" w:lineRule="exact"/>
        <w:rPr>
          <w:sz w:val="20"/>
          <w:szCs w:val="20"/>
          <w:color w:val="auto"/>
        </w:rPr>
      </w:pPr>
    </w:p>
    <w:p>
      <w:pPr>
        <w:jc w:val="both"/>
        <w:ind w:right="20"/>
        <w:spacing w:after="0" w:line="362" w:lineRule="auto"/>
        <w:rPr>
          <w:sz w:val="20"/>
          <w:szCs w:val="20"/>
          <w:color w:val="auto"/>
        </w:rPr>
      </w:pPr>
      <w:r>
        <w:rPr>
          <w:rFonts w:ascii="Arial" w:cs="Arial" w:eastAsia="Arial" w:hAnsi="Arial"/>
          <w:sz w:val="20"/>
          <w:szCs w:val="20"/>
          <w:color w:val="auto"/>
        </w:rPr>
        <w:t>First-quarter 2021 revenues in Europe, Sub Saharan Africa, and Russia of $175 million decreased 3% sequentially, primarily due to seasonally lower product sales in the Eastern Hemisphere partially offset by an increase in Drilling, Evaluation, and Intervention sales in Europe and the Middle East.</w:t>
      </w:r>
    </w:p>
    <w:p>
      <w:pPr>
        <w:spacing w:after="0" w:line="93"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First-quarter 2021 adjusted segment EBITDA of $66 million decreased $21 million sequentially, and associated margins of 15% declined 360 basis points versus the fourth quarter of 2020. The sequential decline in adjusted segment EBITDA was primarily due to seasonally driven lower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8"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9" w:lineRule="exact"/>
        <w:rPr>
          <w:sz w:val="20"/>
          <w:szCs w:val="20"/>
          <w:color w:val="auto"/>
        </w:rPr>
      </w:pPr>
    </w:p>
    <w:p>
      <w:pPr>
        <w:jc w:val="both"/>
        <w:ind w:right="40"/>
        <w:spacing w:after="0" w:line="359" w:lineRule="auto"/>
        <w:rPr>
          <w:sz w:val="20"/>
          <w:szCs w:val="20"/>
          <w:color w:val="auto"/>
        </w:rPr>
      </w:pPr>
      <w:r>
        <w:rPr>
          <w:rFonts w:ascii="Arial" w:cs="Arial" w:eastAsia="Arial" w:hAnsi="Arial"/>
          <w:sz w:val="20"/>
          <w:szCs w:val="20"/>
          <w:color w:val="auto"/>
        </w:rPr>
        <w:t xml:space="preserve">Weatherford is a leading wellbore and production solutions company. Operating in more than 75 countries, the Company answers the challenges of the energy industry with its global talent network of approximately 17,000 team members and approximately 380 operating locations, including manufacturing, research and development, service, and training facilities. Visit </w:t>
      </w:r>
      <w:r>
        <w:rPr>
          <w:rFonts w:ascii="Arial" w:cs="Arial" w:eastAsia="Arial" w:hAnsi="Arial"/>
          <w:sz w:val="20"/>
          <w:szCs w:val="20"/>
          <w:u w:val="single" w:color="auto"/>
          <w:color w:val="3051F2"/>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99"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Weatherford will host a conference call on Thursday, May 6, 2021, to discuss the results for the first quarter ending March 31, 2021. The conference call will begin at 9:00 a.m. Eastern Time (8:00 a.m. Central Time).</w:t>
      </w:r>
    </w:p>
    <w:p>
      <w:pPr>
        <w:spacing w:after="0" w:line="82"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95"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 xml:space="preserve">Listeners can participate in the conference call via a live webcast at </w:t>
      </w:r>
      <w:r>
        <w:rPr>
          <w:rFonts w:ascii="Arial" w:cs="Arial" w:eastAsia="Arial" w:hAnsi="Arial"/>
          <w:sz w:val="19"/>
          <w:szCs w:val="19"/>
          <w:u w:val="single" w:color="auto"/>
          <w:color w:val="3051F2"/>
        </w:rPr>
        <w:t>https://www.weatherford.com/en/investor-relations/investor-news-and-events/events/</w:t>
      </w:r>
      <w:r>
        <w:rPr>
          <w:rFonts w:ascii="Arial" w:cs="Arial" w:eastAsia="Arial" w:hAnsi="Arial"/>
          <w:sz w:val="19"/>
          <w:szCs w:val="19"/>
          <w:color w:val="3051F2"/>
        </w:rPr>
        <w:t xml:space="preserve"> </w:t>
      </w:r>
      <w:r>
        <w:rPr>
          <w:rFonts w:ascii="Arial" w:cs="Arial" w:eastAsia="Arial" w:hAnsi="Arial"/>
          <w:sz w:val="19"/>
          <w:szCs w:val="19"/>
          <w:color w:val="000000"/>
        </w:rPr>
        <w:t>or by dialing +1 877-328-5344 (within the U.S.) or +1 412-902-6762 (outside of the U.S.) and asking for the Weatherford</w:t>
      </w:r>
      <w:r>
        <w:rPr>
          <w:rFonts w:ascii="Arial" w:cs="Arial" w:eastAsia="Arial" w:hAnsi="Arial"/>
          <w:sz w:val="19"/>
          <w:szCs w:val="19"/>
          <w:color w:val="3051F2"/>
        </w:rPr>
        <w:t xml:space="preserve"> </w:t>
      </w:r>
      <w:r>
        <w:rPr>
          <w:rFonts w:ascii="Arial" w:cs="Arial" w:eastAsia="Arial" w:hAnsi="Arial"/>
          <w:sz w:val="19"/>
          <w:szCs w:val="19"/>
          <w:color w:val="000000"/>
        </w:rPr>
        <w:t>conference call. Listeners should log in or dial in approximately 10 minutes prior to the start of the call.</w:t>
      </w:r>
    </w:p>
    <w:p>
      <w:pPr>
        <w:spacing w:after="0" w:line="74" w:lineRule="exact"/>
        <w:rPr>
          <w:sz w:val="20"/>
          <w:szCs w:val="20"/>
          <w:color w:val="auto"/>
        </w:rPr>
      </w:pPr>
    </w:p>
    <w:p>
      <w:pPr>
        <w:jc w:val="both"/>
        <w:spacing w:after="0" w:line="405" w:lineRule="auto"/>
        <w:rPr>
          <w:sz w:val="20"/>
          <w:szCs w:val="20"/>
          <w:color w:val="auto"/>
        </w:rPr>
      </w:pPr>
      <w:r>
        <w:rPr>
          <w:rFonts w:ascii="Arial" w:cs="Arial" w:eastAsia="Arial" w:hAnsi="Arial"/>
          <w:sz w:val="19"/>
          <w:szCs w:val="19"/>
          <w:color w:val="auto"/>
        </w:rPr>
        <w:t>A telephonic replay of the conference call will be available until May 20, 2021, at 5:00 p.m. Eastern Time. To access the replay, please dial +1 877-344-7529 (within the U.S.) or +1 412-317-0088 (outside of the U.S.) and reference conference number 10153725.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Mohammed Topiwala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 and M&amp;A</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4"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99"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This news release contains forward-looking statements concerning, among other things, the Company’s quarterly and full-year revenues, operating losses, adjusted EBITDA, unlevered free cash flow,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depressed commodity prices associated with COVID-19 pandemic; general global economic repercussions related to COVID-19 pandemic; the macroeconomic outlook for the oil and gas industry; and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4"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Condensed Consolidated Statements of Operations (Unaudited)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03/31/21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03/31/20</w:t>
            </w: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4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Impairments and Other Charges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420" w:type="dxa"/>
            <w:vAlign w:val="bottom"/>
          </w:tcPr>
          <w:p>
            <w:pPr>
              <w:ind w:left="120"/>
              <w:spacing w:after="0"/>
              <w:rPr>
                <w:sz w:val="20"/>
                <w:szCs w:val="20"/>
                <w:color w:val="auto"/>
              </w:rPr>
            </w:pPr>
            <w:r>
              <w:rPr>
                <w:rFonts w:ascii="Arial" w:cs="Arial" w:eastAsia="Arial" w:hAnsi="Arial"/>
                <w:sz w:val="18"/>
                <w:szCs w:val="18"/>
                <w:color w:val="auto"/>
              </w:rPr>
              <w:t>Reorganization Items</w:t>
            </w:r>
          </w:p>
        </w:tc>
        <w:tc>
          <w:tcPr>
            <w:tcW w:w="2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42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4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8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and Diluted Weighted 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0" w:hanging="308"/>
        <w:spacing w:after="0"/>
        <w:tabs>
          <w:tab w:leader="none" w:pos="4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Quarterly Selected Statements of Operations Information Table for details of the impairments and other charges by quarter.</w:t>
      </w:r>
    </w:p>
    <w:p>
      <w:pPr>
        <w:spacing w:after="0" w:line="200" w:lineRule="exact"/>
        <w:rPr>
          <w:rFonts w:ascii="Arial" w:cs="Arial" w:eastAsia="Arial" w:hAnsi="Arial"/>
          <w:sz w:val="21"/>
          <w:szCs w:val="21"/>
          <w:color w:val="auto"/>
          <w:vertAlign w:val="superscript"/>
        </w:rPr>
      </w:pPr>
    </w:p>
    <w:p>
      <w:pPr>
        <w:spacing w:after="0" w:line="372" w:lineRule="exact"/>
        <w:rPr>
          <w:rFonts w:ascii="Arial" w:cs="Arial" w:eastAsia="Arial" w:hAnsi="Arial"/>
          <w:sz w:val="21"/>
          <w:szCs w:val="21"/>
          <w:color w:val="auto"/>
          <w:vertAlign w:val="superscript"/>
        </w:rPr>
      </w:pPr>
    </w:p>
    <w:p>
      <w:pPr>
        <w:ind w:left="5380"/>
        <w:spacing w:after="0"/>
        <w:rPr>
          <w:rFonts w:ascii="Arial" w:cs="Arial" w:eastAsia="Arial" w:hAnsi="Arial"/>
          <w:sz w:val="21"/>
          <w:szCs w:val="21"/>
          <w:color w:val="auto"/>
          <w:vertAlign w:val="superscript"/>
        </w:rPr>
      </w:pPr>
      <w:r>
        <w:rPr>
          <w:rFonts w:ascii="Arial" w:cs="Arial" w:eastAsia="Arial" w:hAnsi="Arial"/>
          <w:sz w:val="18"/>
          <w:szCs w:val="18"/>
          <w:color w:val="auto"/>
        </w:rPr>
        <w:t>9</w:t>
      </w:r>
    </w:p>
    <w:p>
      <w:pPr>
        <w:sectPr>
          <w:pgSz w:w="11900" w:h="16838" w:orient="portrait"/>
          <w:cols w:equalWidth="0" w:num="1">
            <w:col w:w="10860"/>
          </w:cols>
          <w:pgMar w:left="520" w:top="1066" w:right="5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3/31/2021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70"/>
        </w:trPr>
        <w:tc>
          <w:tcPr>
            <w:tcW w:w="63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70"/>
        </w:trPr>
        <w:tc>
          <w:tcPr>
            <w:tcW w:w="63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2,602</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0"/>
        </w:trPr>
        <w:tc>
          <w:tcPr>
            <w:tcW w:w="63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70"/>
        </w:trPr>
        <w:tc>
          <w:tcPr>
            <w:tcW w:w="63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Less: Cash and Cash Equivalents</w:t>
            </w:r>
          </w:p>
        </w:tc>
        <w:tc>
          <w:tcPr>
            <w:tcW w:w="19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30"/>
        </w:trPr>
        <w:tc>
          <w:tcPr>
            <w:tcW w:w="6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Less: Restricted Cash</w:t>
            </w:r>
          </w:p>
        </w:tc>
        <w:tc>
          <w:tcPr>
            <w:tcW w:w="1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38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[1]</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340" w:hanging="170"/>
        <w:spacing w:after="0"/>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Flows Information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7"/>
                <w:szCs w:val="17"/>
                <w:b w:val="1"/>
                <w:bCs w:val="1"/>
                <w:color w:val="auto"/>
                <w:w w:val="98"/>
              </w:rPr>
              <w:t>Quarter Ended</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11"/>
        </w:trPr>
        <w:tc>
          <w:tcPr>
            <w:tcW w:w="6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3/31/2021</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7"/>
                <w:szCs w:val="17"/>
                <w:b w:val="1"/>
                <w:bCs w:val="1"/>
                <w:color w:val="auto"/>
              </w:rPr>
              <w:t>12/31/2020</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7"/>
                <w:szCs w:val="17"/>
                <w:b w:val="1"/>
                <w:bCs w:val="1"/>
                <w:color w:val="auto"/>
              </w:rPr>
              <w:t>3/31/2020</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w w:val="96"/>
              </w:rPr>
              <w:t>Adjustments to Reconcile Net Loss to Net Cash Provided By Operating Activities:</w:t>
            </w: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Impairments and Other Adjustments</w:t>
            </w:r>
          </w:p>
        </w:tc>
        <w:tc>
          <w:tcPr>
            <w:tcW w:w="1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Provision (Benefit)</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[a]</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26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 xml:space="preserve">Other Operating Activities </w:t>
            </w:r>
            <w:r>
              <w:rPr>
                <w:rFonts w:ascii="Arial" w:cs="Arial" w:eastAsia="Arial" w:hAnsi="Arial"/>
                <w:sz w:val="23"/>
                <w:szCs w:val="23"/>
                <w:color w:val="auto"/>
                <w:vertAlign w:val="superscript"/>
              </w:rPr>
              <w:t>[b]</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6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Capital Expenditures for Property, Plant and Equipment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Proceeds (Payments) for Other Investing Activities</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Borrowings of Long-term Debt</w:t>
            </w:r>
          </w:p>
        </w:tc>
        <w:tc>
          <w:tcPr>
            <w:tcW w:w="1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Borrowings (Repayments) of Short-term Debt, Net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30E74"/>
              </w:rPr>
              <w:t>(4)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330E74"/>
              </w:rPr>
              <w:t>(5)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330E74"/>
              </w:rPr>
              <w:t>(3)</w:t>
            </w:r>
          </w:p>
        </w:tc>
      </w:tr>
      <w:tr>
        <w:trPr>
          <w:trHeight w:val="229"/>
        </w:trPr>
        <w:tc>
          <w:tcPr>
            <w:tcW w:w="6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330E74"/>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0E74"/>
              </w:rPr>
              <w:t>(9)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0E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0E74"/>
              </w:rPr>
              <w:t>(28)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330E7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0E74"/>
              </w:rPr>
              <w:t>(20)</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 w:lineRule="exact"/>
        <w:rPr>
          <w:sz w:val="20"/>
          <w:szCs w:val="20"/>
          <w:color w:val="auto"/>
        </w:rPr>
      </w:pPr>
    </w:p>
    <w:p>
      <w:pPr>
        <w:ind w:left="160" w:hanging="152"/>
        <w:spacing w:after="0"/>
        <w:tabs>
          <w:tab w:leader="none" w:pos="16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Working capital is defined as the cash changes in accounts receivable plus inventory less accounts payable.</w:t>
      </w:r>
    </w:p>
    <w:p>
      <w:pPr>
        <w:ind w:left="160" w:hanging="152"/>
        <w:spacing w:after="0" w:line="190" w:lineRule="auto"/>
        <w:tabs>
          <w:tab w:leader="none" w:pos="16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Other operating activities is primarily accruals, net of cash payments for operational expenses, interest, taxes, employee costs and leases.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3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Selected Statements of Operations Information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Quarter Ended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3/31/21</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12/31/20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03/31/20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48"/>
        </w:trPr>
        <w:tc>
          <w:tcPr>
            <w:tcW w:w="6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Adjusted Segment EBITDA</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6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Adjusted EBITDA</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Segment Operating Income</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Long-lived Asset Impairments</w:t>
            </w:r>
          </w:p>
        </w:tc>
        <w:tc>
          <w:tcPr>
            <w:tcW w:w="11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Charges</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Restructuring Charges</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Operating Loss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1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Depreciation and Amortization</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right="20" w:hanging="332"/>
        <w:spacing w:after="0" w:line="220" w:lineRule="auto"/>
        <w:tabs>
          <w:tab w:leader="none" w:pos="334"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Adjusted EBITDA excludes share-based compensation of $4 million in the first quarter of 2021, with $1 million in the Western Hemisphere, $1 million in the Eastern Hemisphere and $2 million in Corporate. We had an immaterial amount of share-based compensation during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Selected Statements of Operations Information (Unaudited) - Product Line Revenues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Quarter Ended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Product Line Revenues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3/31/21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03/31/20</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320" w:type="dxa"/>
            <w:vAlign w:val="bottom"/>
          </w:tcPr>
          <w:p>
            <w:pPr>
              <w:ind w:left="100"/>
              <w:spacing w:after="0"/>
              <w:rPr>
                <w:sz w:val="20"/>
                <w:szCs w:val="20"/>
                <w:color w:val="auto"/>
              </w:rPr>
            </w:pPr>
            <w:r>
              <w:rPr>
                <w:rFonts w:ascii="Arial" w:cs="Arial" w:eastAsia="Arial" w:hAnsi="Arial"/>
                <w:sz w:val="18"/>
                <w:szCs w:val="18"/>
                <w:color w:val="auto"/>
              </w:rPr>
              <w:t>Completion and Production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6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Drilling, Evaluation and Intervention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Western Hemisphere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50"/>
        </w:trPr>
        <w:tc>
          <w:tcPr>
            <w:tcW w:w="6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0"/>
        </w:trPr>
        <w:tc>
          <w:tcPr>
            <w:tcW w:w="6320" w:type="dxa"/>
            <w:vAlign w:val="bottom"/>
          </w:tcPr>
          <w:p>
            <w:pPr>
              <w:ind w:left="100"/>
              <w:spacing w:after="0"/>
              <w:rPr>
                <w:sz w:val="20"/>
                <w:szCs w:val="20"/>
                <w:color w:val="auto"/>
              </w:rPr>
            </w:pPr>
            <w:r>
              <w:rPr>
                <w:rFonts w:ascii="Arial" w:cs="Arial" w:eastAsia="Arial" w:hAnsi="Arial"/>
                <w:sz w:val="18"/>
                <w:szCs w:val="18"/>
                <w:color w:val="auto"/>
              </w:rPr>
              <w:t>Completion and Production</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6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Drilling, Evaluation and Intervention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Eastern Hemisphere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50"/>
        </w:trPr>
        <w:tc>
          <w:tcPr>
            <w:tcW w:w="6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Total Completion and Production</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Drilling, Evaluation and Intervention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Product Line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80" w:top="1147" w:right="399" w:bottom="1440" w:gutter="0" w:footer="0" w:header="0"/>
        </w:sectPr>
      </w:pPr>
    </w:p>
    <w:bookmarkStart w:id="16" w:name="page17"/>
    <w:bookmarkEnd w:id="16"/>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31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Weatherford International plc</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520" w:type="dxa"/>
            <w:vAlign w:val="bottom"/>
            <w:gridSpan w:val="6"/>
          </w:tcPr>
          <w:p>
            <w:pPr>
              <w:jc w:val="center"/>
              <w:ind w:left="1394"/>
              <w:spacing w:after="0"/>
              <w:rPr>
                <w:sz w:val="20"/>
                <w:szCs w:val="20"/>
                <w:color w:val="auto"/>
              </w:rPr>
            </w:pPr>
            <w:r>
              <w:rPr>
                <w:rFonts w:ascii="Arial" w:cs="Arial" w:eastAsia="Arial" w:hAnsi="Arial"/>
                <w:sz w:val="17"/>
                <w:szCs w:val="17"/>
                <w:b w:val="1"/>
                <w:bCs w:val="1"/>
                <w:color w:val="auto"/>
                <w:w w:val="92"/>
              </w:rPr>
              <w:t>Quarterly Reconciliation of GAAP to Non-GAAP Financial Measures (Unaudited)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3120" w:type="dxa"/>
            <w:vAlign w:val="bottom"/>
            <w:gridSpan w:val="2"/>
          </w:tcPr>
          <w:p>
            <w:pPr>
              <w:jc w:val="center"/>
              <w:ind w:left="14"/>
              <w:spacing w:after="0"/>
              <w:rPr>
                <w:sz w:val="20"/>
                <w:szCs w:val="20"/>
                <w:color w:val="auto"/>
              </w:rPr>
            </w:pPr>
            <w:r>
              <w:rPr>
                <w:rFonts w:ascii="Arial" w:cs="Arial" w:eastAsia="Arial" w:hAnsi="Arial"/>
                <w:sz w:val="17"/>
                <w:szCs w:val="17"/>
                <w:i w:val="1"/>
                <w:iCs w:val="1"/>
                <w:color w:val="auto"/>
                <w:w w:val="92"/>
              </w:rPr>
              <w:t>($ in Millions, Except Per Share Amounts)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4"/>
              </w:rPr>
              <w:t>Quarter Ended</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3/31/21</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12/31/20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03/31/20</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7"/>
                <w:szCs w:val="17"/>
                <w:b w:val="1"/>
                <w:bCs w:val="1"/>
                <w:color w:val="auto"/>
              </w:rPr>
              <w:t>Operating Income (Loss):</w:t>
            </w: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 (Loss)</w:t>
            </w:r>
          </w:p>
        </w:tc>
        <w:tc>
          <w:tcPr>
            <w:tcW w:w="3120" w:type="dxa"/>
            <w:vAlign w:val="bottom"/>
            <w:gridSpan w:val="2"/>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Impairments and Other Charges</w:t>
            </w: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2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Operating Non-GAAP Adjustments</w:t>
            </w:r>
          </w:p>
        </w:tc>
        <w:tc>
          <w:tcPr>
            <w:tcW w:w="2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4"/>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Non-GAAP Adjusted Operating Income (Loss)</w:t>
            </w:r>
          </w:p>
        </w:tc>
        <w:tc>
          <w:tcPr>
            <w:tcW w:w="3120" w:type="dxa"/>
            <w:vAlign w:val="bottom"/>
            <w:tcBorders>
              <w:bottom w:val="single" w:sz="8" w:color="auto"/>
            </w:tcBorders>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(Loss) Before Income Taxes:</w:t>
            </w: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GAAP Income (Loss) Before Income Taxes</w:t>
            </w:r>
          </w:p>
        </w:tc>
        <w:tc>
          <w:tcPr>
            <w:tcW w:w="3120" w:type="dxa"/>
            <w:vAlign w:val="bottom"/>
            <w:gridSpan w:val="2"/>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(174)</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Non-GAAP Adjustments</w:t>
            </w: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Reorganization Items</w:t>
            </w:r>
          </w:p>
        </w:tc>
        <w:tc>
          <w:tcPr>
            <w:tcW w:w="2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Non-GAAP Adjustments Before Taxes</w:t>
            </w:r>
          </w:p>
        </w:tc>
        <w:tc>
          <w:tcPr>
            <w:tcW w:w="2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89</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Non-GAAP Loss Before Income Taxes</w:t>
            </w:r>
          </w:p>
        </w:tc>
        <w:tc>
          <w:tcPr>
            <w:tcW w:w="312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b w:val="1"/>
                <w:bCs w:val="1"/>
                <w:color w:val="auto"/>
              </w:rPr>
              <w:t>Provision for Income Taxes:</w:t>
            </w: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GAAP Provision for Income Taxes</w:t>
            </w:r>
          </w:p>
        </w:tc>
        <w:tc>
          <w:tcPr>
            <w:tcW w:w="3120" w:type="dxa"/>
            <w:vAlign w:val="bottom"/>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Tax Effect on Non-GAAP Adjustments</w:t>
            </w:r>
          </w:p>
        </w:tc>
        <w:tc>
          <w:tcPr>
            <w:tcW w:w="2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Non-GAAP Provision for Income Taxes</w:t>
            </w:r>
          </w:p>
        </w:tc>
        <w:tc>
          <w:tcPr>
            <w:tcW w:w="3120" w:type="dxa"/>
            <w:vAlign w:val="bottom"/>
            <w:tcBorders>
              <w:bottom w:val="single" w:sz="8" w:color="auto"/>
            </w:tcBorders>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Weatherford:</w:t>
            </w: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GAAP Net Loss</w:t>
            </w:r>
          </w:p>
        </w:tc>
        <w:tc>
          <w:tcPr>
            <w:tcW w:w="3120" w:type="dxa"/>
            <w:vAlign w:val="bottom"/>
            <w:gridSpan w:val="2"/>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(200)</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Non-GAAP Adjustments, net of tax</w:t>
            </w:r>
          </w:p>
        </w:tc>
        <w:tc>
          <w:tcPr>
            <w:tcW w:w="2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86</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Non-GAAP Net Loss</w:t>
            </w:r>
          </w:p>
        </w:tc>
        <w:tc>
          <w:tcPr>
            <w:tcW w:w="312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7"/>
                <w:szCs w:val="17"/>
                <w:b w:val="1"/>
                <w:bCs w:val="1"/>
                <w:color w:val="auto"/>
              </w:rPr>
              <w:t>Diluted Loss Per Share Attributable to Weatherford: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GAAP Diluted Loss per Share</w:t>
            </w:r>
          </w:p>
        </w:tc>
        <w:tc>
          <w:tcPr>
            <w:tcW w:w="3120" w:type="dxa"/>
            <w:vAlign w:val="bottom"/>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Non-GAAP Adjustments, net of tax</w:t>
            </w:r>
          </w:p>
        </w:tc>
        <w:tc>
          <w:tcPr>
            <w:tcW w:w="2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1.24</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Non-GAAP Diluted Loss per Share</w:t>
            </w:r>
          </w:p>
        </w:tc>
        <w:tc>
          <w:tcPr>
            <w:tcW w:w="3120" w:type="dxa"/>
            <w:vAlign w:val="bottom"/>
            <w:tcBorders>
              <w:bottom w:val="single" w:sz="8" w:color="auto"/>
            </w:tcBorders>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0"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7"/>
          <w:szCs w:val="17"/>
          <w:b w:val="1"/>
          <w:bCs w:val="1"/>
          <w:color w:val="auto"/>
        </w:rPr>
        <w:t>Weatherford International plc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 in Millions)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Reconciliation of GAAP to Non-GAAP Financial Measures - EBITDA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6"/>
              </w:rPr>
              <w:t>Quarter Ended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2"/>
        </w:trPr>
        <w:tc>
          <w:tcPr>
            <w:tcW w:w="5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3/31/21</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12/31/20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03/31/20</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Weatherford</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16"/>
        </w:trPr>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Net Income Attributable to Noncontrolling Interests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Interest Expense, Net</w:t>
            </w:r>
          </w:p>
        </w:tc>
        <w:tc>
          <w:tcPr>
            <w:tcW w:w="1020" w:type="dxa"/>
            <w:vAlign w:val="bottom"/>
          </w:tcPr>
          <w:p>
            <w:pPr>
              <w:spacing w:after="0"/>
              <w:rPr>
                <w:sz w:val="18"/>
                <w:szCs w:val="18"/>
                <w:color w:val="auto"/>
              </w:rPr>
            </w:pPr>
          </w:p>
        </w:tc>
        <w:tc>
          <w:tcPr>
            <w:tcW w:w="480" w:type="dxa"/>
            <w:vAlign w:val="bottom"/>
          </w:tcPr>
          <w:p>
            <w:pPr>
              <w:jc w:val="right"/>
              <w:ind w:right="34"/>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70</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6"/>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 Provision</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16"/>
        </w:trPr>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111</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116</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70"/>
        </w:trPr>
        <w:tc>
          <w:tcPr>
            <w:tcW w:w="5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 Adjustments: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Reorganization Items</w:t>
            </w:r>
          </w:p>
        </w:tc>
        <w:tc>
          <w:tcPr>
            <w:tcW w:w="1020" w:type="dxa"/>
            <w:vAlign w:val="bottom"/>
          </w:tcPr>
          <w:p>
            <w:pPr>
              <w:spacing w:after="0"/>
              <w:rPr>
                <w:sz w:val="18"/>
                <w:szCs w:val="18"/>
                <w:color w:val="auto"/>
              </w:rPr>
            </w:pPr>
          </w:p>
        </w:tc>
        <w:tc>
          <w:tcPr>
            <w:tcW w:w="4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Impairments and Other Charges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r>
      <w:tr>
        <w:trPr>
          <w:trHeight w:val="230"/>
        </w:trPr>
        <w:tc>
          <w:tcPr>
            <w:tcW w:w="5660" w:type="dxa"/>
            <w:vAlign w:val="bottom"/>
          </w:tcPr>
          <w:p>
            <w:pPr>
              <w:ind w:left="200"/>
              <w:spacing w:after="0"/>
              <w:rPr>
                <w:sz w:val="20"/>
                <w:szCs w:val="20"/>
                <w:color w:val="auto"/>
              </w:rPr>
            </w:pPr>
            <w:r>
              <w:rPr>
                <w:rFonts w:ascii="Arial" w:cs="Arial" w:eastAsia="Arial" w:hAnsi="Arial"/>
                <w:sz w:val="17"/>
                <w:szCs w:val="17"/>
                <w:color w:val="auto"/>
              </w:rPr>
              <w:t>Restructuring Charges</w:t>
            </w:r>
          </w:p>
        </w:tc>
        <w:tc>
          <w:tcPr>
            <w:tcW w:w="1020" w:type="dxa"/>
            <w:vAlign w:val="bottom"/>
          </w:tcPr>
          <w:p>
            <w:pPr>
              <w:spacing w:after="0"/>
              <w:rPr>
                <w:sz w:val="19"/>
                <w:szCs w:val="19"/>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Other Expense, Net</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34"/>
        </w:trPr>
        <w:tc>
          <w:tcPr>
            <w:tcW w:w="5660" w:type="dxa"/>
            <w:vAlign w:val="bottom"/>
            <w:tcBorders>
              <w:bottom w:val="single" w:sz="8" w:color="auto"/>
            </w:tcBorders>
            <w:shd w:val="clear" w:color="auto" w:fill="CCEEFF"/>
          </w:tcPr>
          <w:p>
            <w:pPr>
              <w:spacing w:after="0" w:line="209"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[1]</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98</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60" w:hanging="304"/>
        <w:spacing w:after="0"/>
        <w:tabs>
          <w:tab w:leader="none" w:pos="4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continuation of Adjusted EBITDA to Unlevered Free Cash Flow and Free Cash Flow in the last table.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8" w:lineRule="exact"/>
        <w:rPr>
          <w:rFonts w:ascii="Arial" w:cs="Arial" w:eastAsia="Arial" w:hAnsi="Arial"/>
          <w:sz w:val="21"/>
          <w:szCs w:val="21"/>
          <w:color w:val="auto"/>
          <w:vertAlign w:val="superscript"/>
        </w:rPr>
      </w:pPr>
    </w:p>
    <w:p>
      <w:pPr>
        <w:ind w:left="5040"/>
        <w:spacing w:after="0"/>
        <w:rPr>
          <w:rFonts w:ascii="Arial" w:cs="Arial" w:eastAsia="Arial" w:hAnsi="Arial"/>
          <w:sz w:val="21"/>
          <w:szCs w:val="21"/>
          <w:color w:val="auto"/>
          <w:vertAlign w:val="superscript"/>
        </w:rPr>
      </w:pPr>
      <w:r>
        <w:rPr>
          <w:rFonts w:ascii="Arial" w:cs="Arial" w:eastAsia="Arial" w:hAnsi="Arial"/>
          <w:sz w:val="18"/>
          <w:szCs w:val="18"/>
          <w:color w:val="auto"/>
        </w:rPr>
        <w:t>15</w:t>
      </w:r>
    </w:p>
    <w:p>
      <w:pPr>
        <w:sectPr>
          <w:pgSz w:w="11900" w:h="16838" w:orient="portrait"/>
          <w:cols w:equalWidth="0" w:num="1">
            <w:col w:w="10260"/>
          </w:cols>
          <w:pgMar w:left="820" w:top="1022" w:right="819" w:bottom="1440" w:gutter="0" w:footer="0" w:header="0"/>
        </w:sectPr>
      </w:pPr>
    </w:p>
    <w:bookmarkStart w:id="18" w:name="page19"/>
    <w:bookmarkEnd w:id="18"/>
    <w:p>
      <w:pPr>
        <w:jc w:val="center"/>
        <w:ind w:right="15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Adjusted EBITDA to Unlevered Free Cash Flow and Free Cash Flow (Unaudited) (Continued From EBITDA Tables)</w:t>
      </w:r>
    </w:p>
    <w:p>
      <w:pPr>
        <w:spacing w:after="0" w:line="23" w:lineRule="exact"/>
        <w:rPr>
          <w:sz w:val="20"/>
          <w:szCs w:val="20"/>
          <w:color w:val="auto"/>
        </w:rPr>
      </w:pPr>
    </w:p>
    <w:p>
      <w:pPr>
        <w:jc w:val="center"/>
        <w:ind w:right="150"/>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Quarterly GAAP to Non-GAAP Financial Measures</w:t>
      </w:r>
    </w:p>
    <w:p>
      <w:pPr>
        <w:spacing w:after="0" w:line="274" w:lineRule="exact"/>
        <w:rPr>
          <w:sz w:val="20"/>
          <w:szCs w:val="20"/>
          <w:color w:val="auto"/>
        </w:rPr>
      </w:pPr>
    </w:p>
    <w:tbl>
      <w:tblPr>
        <w:tblLayout w:type="fixed"/>
        <w:tblInd w:w="3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Quarter Ended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3/31/21</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03/31/20</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6100" w:type="dxa"/>
            <w:vAlign w:val="bottom"/>
          </w:tcPr>
          <w:p>
            <w:pPr>
              <w:ind w:left="200"/>
              <w:spacing w:after="0"/>
              <w:rPr>
                <w:sz w:val="20"/>
                <w:szCs w:val="20"/>
                <w:color w:val="auto"/>
              </w:rPr>
            </w:pPr>
            <w:r>
              <w:rPr>
                <w:rFonts w:ascii="Arial" w:cs="Arial" w:eastAsia="Arial" w:hAnsi="Arial"/>
                <w:sz w:val="18"/>
                <w:szCs w:val="18"/>
                <w:color w:val="auto"/>
              </w:rPr>
              <w:t>Cash From (Used) for Working Capital</w:t>
            </w:r>
          </w:p>
        </w:tc>
        <w:tc>
          <w:tcPr>
            <w:tcW w:w="11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Plant and Equipment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100" w:type="dxa"/>
            <w:vAlign w:val="bottom"/>
          </w:tcPr>
          <w:p>
            <w:pPr>
              <w:ind w:left="200"/>
              <w:spacing w:after="0"/>
              <w:rPr>
                <w:sz w:val="20"/>
                <w:szCs w:val="20"/>
                <w:color w:val="auto"/>
              </w:rPr>
            </w:pPr>
            <w:r>
              <w:rPr>
                <w:rFonts w:ascii="Arial" w:cs="Arial" w:eastAsia="Arial" w:hAnsi="Arial"/>
                <w:sz w:val="18"/>
                <w:szCs w:val="18"/>
                <w:color w:val="auto"/>
              </w:rPr>
              <w:t>Cash Paid for Taxes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Severance and Restructuring</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100" w:type="dxa"/>
            <w:vAlign w:val="bottom"/>
            <w:tcBorders>
              <w:bottom w:val="single" w:sz="8" w:color="auto"/>
            </w:tcBorders>
          </w:tcPr>
          <w:p>
            <w:pPr>
              <w:ind w:left="20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Unlevered Free Cash Flow</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Paid for Interest</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10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3"/>
                <w:szCs w:val="23"/>
                <w:b w:val="1"/>
                <w:bCs w:val="1"/>
                <w:color w:val="auto"/>
                <w:vertAlign w:val="superscript"/>
              </w:rPr>
              <w:t>[2]</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30" w:right="20" w:hanging="330"/>
        <w:spacing w:after="0" w:line="216" w:lineRule="auto"/>
        <w:tabs>
          <w:tab w:leader="none" w:pos="32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Other primarily includes accruals net of payments for certain operational expenses, employee costs (excluding restructuring) and leases, inventory charges, bad debt expense, proceeds from disposition of assets and foreign currency exchange impact.</w:t>
      </w:r>
    </w:p>
    <w:p>
      <w:pPr>
        <w:jc w:val="both"/>
        <w:ind w:left="330" w:hanging="330"/>
        <w:spacing w:after="0" w:line="222" w:lineRule="auto"/>
        <w:tabs>
          <w:tab w:leader="none" w:pos="32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0" w:lineRule="exact"/>
        <w:rPr>
          <w:sz w:val="20"/>
          <w:szCs w:val="20"/>
          <w:color w:val="auto"/>
        </w:rPr>
      </w:pPr>
    </w:p>
    <w:p>
      <w:pPr>
        <w:spacing w:after="0" w:line="37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16</w:t>
      </w:r>
    </w:p>
    <w:sectPr>
      <w:pgSz w:w="11900" w:h="16838" w:orient="portrait"/>
      <w:cols w:equalWidth="0" w:num="1">
        <w:col w:w="11070"/>
      </w:cols>
      <w:pgMar w:left="49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2021-05-05T15:49:08Z</dcterms:created>
  <dcterms:modified xsi:type="dcterms:W3CDTF">2021-05-05T15:49:08Z</dcterms:modified>
</cp:coreProperties>
</file>